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20" w:firstLineChars="800"/>
        <w:rPr>
          <w:rFonts w:ascii="宋体" w:hAnsi="宋体"/>
          <w:b/>
          <w:highlight w:val="none"/>
        </w:rPr>
      </w:pPr>
      <w:r>
        <w:drawing>
          <wp:anchor distT="0" distB="0" distL="0" distR="0" simplePos="0" relativeHeight="251698176" behindDoc="0" locked="0" layoutInCell="1" allowOverlap="1">
            <wp:simplePos x="0" y="0"/>
            <wp:positionH relativeFrom="column">
              <wp:posOffset>180975</wp:posOffset>
            </wp:positionH>
            <wp:positionV relativeFrom="paragraph">
              <wp:posOffset>70485</wp:posOffset>
            </wp:positionV>
            <wp:extent cx="1019175" cy="933450"/>
            <wp:effectExtent l="0" t="0" r="9525" b="0"/>
            <wp:wrapNone/>
            <wp:docPr id="32" name="图片 32" descr="scanim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animg61"/>
                    <pic:cNvPicPr>
                      <a:picLocks noChangeAspect="1" noChangeArrowheads="1"/>
                    </pic:cNvPicPr>
                  </pic:nvPicPr>
                  <pic:blipFill>
                    <a:blip r:embed="rId29" cstate="print"/>
                    <a:srcRect l="48662" t="12778" r="42992" b="81848"/>
                    <a:stretch>
                      <a:fillRect/>
                    </a:stretch>
                  </pic:blipFill>
                  <pic:spPr>
                    <a:xfrm>
                      <a:off x="0" y="0"/>
                      <a:ext cx="1019175" cy="933450"/>
                    </a:xfrm>
                    <a:prstGeom prst="rect">
                      <a:avLst/>
                    </a:prstGeom>
                    <a:noFill/>
                    <a:ln w="9525">
                      <a:noFill/>
                      <a:miter lim="800000"/>
                      <a:headEnd/>
                      <a:tailEnd/>
                    </a:ln>
                  </pic:spPr>
                </pic:pic>
              </a:graphicData>
            </a:graphic>
          </wp:anchor>
        </w:drawing>
      </w: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r>
        <w:rPr>
          <w:rFonts w:ascii="宋体" w:hAnsi="宋体"/>
          <w:b/>
          <w:highlight w:val="none"/>
        </w:rPr>
        <mc:AlternateContent>
          <mc:Choice Requires="wps">
            <w:drawing>
              <wp:anchor distT="0" distB="0" distL="114300" distR="114300" simplePos="0" relativeHeight="251687936" behindDoc="0" locked="0" layoutInCell="1" allowOverlap="1">
                <wp:simplePos x="0" y="0"/>
                <wp:positionH relativeFrom="column">
                  <wp:posOffset>98425</wp:posOffset>
                </wp:positionH>
                <wp:positionV relativeFrom="paragraph">
                  <wp:posOffset>94615</wp:posOffset>
                </wp:positionV>
                <wp:extent cx="5486400" cy="0"/>
                <wp:effectExtent l="0" t="19050" r="19050" b="3810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a:solidFill>
                            <a:srgbClr val="000000"/>
                          </a:solidFill>
                          <a:round/>
                        </a:ln>
                      </wps:spPr>
                      <wps:bodyPr/>
                    </wps:wsp>
                  </a:graphicData>
                </a:graphic>
              </wp:anchor>
            </w:drawing>
          </mc:Choice>
          <mc:Fallback>
            <w:pict>
              <v:line id="_x0000_s1026" o:spid="_x0000_s1026" o:spt="20" style="position:absolute;left:0pt;margin-left:7.75pt;margin-top:7.45pt;height:0pt;width:432pt;z-index:251687936;mso-width-relative:page;mso-height-relative:page;" filled="f" stroked="t" coordsize="21600,21600" o:gfxdata="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iXyeq1gAAAAgB&#10;AAAPAAAAAAAAAAEAIAAAACIAAABkcnMvZG93bnJldi54bWxQSwECFAAUAAAACACHTuJAS/YET+QB&#10;AACrAwAADgAAAAAAAAABACAAAAAlAQAAZHJzL2Uyb0RvYy54bWxQSwUGAAAAAAYABgBZAQAAewUA&#10;AAAA&#10;">
                <v:fill on="f" focussize="0,0"/>
                <v:stroke weight="4.5pt" color="#000000" joinstyle="round"/>
                <v:imagedata o:title=""/>
                <o:lock v:ext="edit" aspectratio="f"/>
              </v:line>
            </w:pict>
          </mc:Fallback>
        </mc:AlternateContent>
      </w:r>
    </w:p>
    <w:p>
      <w:pPr>
        <w:tabs>
          <w:tab w:val="center" w:pos="4535"/>
        </w:tabs>
        <w:spacing w:line="360" w:lineRule="auto"/>
        <w:ind w:firstLine="0" w:firstLineChars="0"/>
        <w:jc w:val="center"/>
        <w:rPr>
          <w:rFonts w:ascii="宋体" w:hAnsi="宋体"/>
          <w:b/>
          <w:spacing w:val="20"/>
          <w:sz w:val="48"/>
          <w:szCs w:val="48"/>
          <w:highlight w:val="none"/>
        </w:rPr>
      </w:pPr>
      <w:r>
        <w:rPr>
          <w:rFonts w:ascii="宋体" w:hAnsi="宋体"/>
          <w:b/>
          <w:spacing w:val="20"/>
          <w:sz w:val="48"/>
          <w:szCs w:val="48"/>
          <w:highlight w:val="none"/>
        </w:rPr>
        <w:t>山西省繁峙县垣利铁选厂</w:t>
      </w:r>
    </w:p>
    <w:p>
      <w:pPr>
        <w:tabs>
          <w:tab w:val="center" w:pos="4535"/>
        </w:tabs>
        <w:spacing w:line="360" w:lineRule="auto"/>
        <w:ind w:firstLine="0" w:firstLineChars="0"/>
        <w:jc w:val="center"/>
        <w:rPr>
          <w:rFonts w:ascii="宋体" w:hAnsi="宋体"/>
          <w:b/>
          <w:spacing w:val="20"/>
          <w:sz w:val="48"/>
          <w:szCs w:val="48"/>
          <w:highlight w:val="none"/>
        </w:rPr>
      </w:pPr>
      <w:r>
        <w:rPr>
          <w:rFonts w:ascii="宋体" w:hAnsi="宋体"/>
          <w:b/>
          <w:spacing w:val="20"/>
          <w:sz w:val="48"/>
          <w:szCs w:val="48"/>
          <w:highlight w:val="none"/>
        </w:rPr>
        <w:t>30万吨/年低品位铁矿石综合利用项目</w:t>
      </w:r>
    </w:p>
    <w:p>
      <w:pPr>
        <w:tabs>
          <w:tab w:val="center" w:pos="4535"/>
        </w:tabs>
        <w:spacing w:line="276" w:lineRule="auto"/>
        <w:ind w:firstLine="0" w:firstLineChars="0"/>
        <w:jc w:val="center"/>
        <w:rPr>
          <w:rFonts w:ascii="宋体" w:hAnsi="宋体"/>
          <w:b/>
          <w:spacing w:val="20"/>
          <w:sz w:val="84"/>
          <w:szCs w:val="84"/>
          <w:highlight w:val="none"/>
        </w:rPr>
      </w:pPr>
      <w:r>
        <w:rPr>
          <w:rFonts w:ascii="宋体" w:hAnsi="宋体"/>
          <w:b/>
          <w:spacing w:val="20"/>
          <w:sz w:val="84"/>
          <w:szCs w:val="84"/>
          <w:highlight w:val="none"/>
        </w:rPr>
        <w:t>环境影响报告书</w:t>
      </w:r>
    </w:p>
    <w:p>
      <w:pPr>
        <w:spacing w:line="360" w:lineRule="auto"/>
        <w:ind w:firstLine="0" w:firstLineChars="0"/>
        <w:jc w:val="center"/>
        <w:rPr>
          <w:rFonts w:ascii="宋体" w:hAnsi="宋体"/>
          <w:b/>
          <w:sz w:val="32"/>
          <w:szCs w:val="32"/>
          <w:highlight w:val="none"/>
        </w:rPr>
      </w:pPr>
      <w:r>
        <w:rPr>
          <w:rFonts w:ascii="宋体" w:hAnsi="宋体"/>
          <w:b/>
          <w:sz w:val="32"/>
          <w:szCs w:val="32"/>
          <w:highlight w:val="none"/>
        </w:rPr>
        <w:t>（</w:t>
      </w:r>
      <w:r>
        <w:rPr>
          <w:rFonts w:hint="eastAsia" w:ascii="宋体" w:hAnsi="宋体"/>
          <w:b/>
          <w:sz w:val="32"/>
          <w:szCs w:val="32"/>
          <w:highlight w:val="none"/>
          <w:lang w:eastAsia="zh-CN"/>
        </w:rPr>
        <w:t>公示本</w:t>
      </w:r>
      <w:r>
        <w:rPr>
          <w:rFonts w:ascii="宋体" w:hAnsi="宋体"/>
          <w:b/>
          <w:sz w:val="32"/>
          <w:szCs w:val="32"/>
          <w:highlight w:val="none"/>
        </w:rPr>
        <w:t>）</w:t>
      </w:r>
    </w:p>
    <w:p>
      <w:pPr>
        <w:spacing w:line="640" w:lineRule="exact"/>
        <w:ind w:firstLine="482"/>
        <w:rPr>
          <w:rFonts w:ascii="宋体" w:hAnsi="宋体"/>
          <w:b/>
          <w:highlight w:val="none"/>
        </w:rPr>
      </w:pPr>
    </w:p>
    <w:p>
      <w:pPr>
        <w:spacing w:line="640" w:lineRule="exact"/>
        <w:ind w:firstLine="482"/>
        <w:rPr>
          <w:rFonts w:ascii="宋体" w:hAnsi="宋体"/>
          <w:b/>
          <w:highlight w:val="none"/>
        </w:rPr>
      </w:pPr>
    </w:p>
    <w:p>
      <w:pPr>
        <w:spacing w:line="640" w:lineRule="exact"/>
        <w:ind w:firstLine="482"/>
        <w:rPr>
          <w:rFonts w:ascii="宋体" w:hAnsi="宋体"/>
          <w:b/>
          <w:highlight w:val="none"/>
        </w:rPr>
      </w:pPr>
    </w:p>
    <w:p>
      <w:pPr>
        <w:spacing w:line="640" w:lineRule="exact"/>
        <w:ind w:firstLine="482"/>
        <w:rPr>
          <w:rFonts w:ascii="宋体" w:hAnsi="宋体"/>
          <w:b/>
          <w:highlight w:val="none"/>
        </w:rPr>
      </w:pPr>
    </w:p>
    <w:p>
      <w:pPr>
        <w:spacing w:line="640" w:lineRule="exact"/>
        <w:ind w:firstLine="482"/>
        <w:rPr>
          <w:rFonts w:ascii="宋体" w:hAnsi="宋体"/>
          <w:b/>
          <w:highlight w:val="none"/>
        </w:rPr>
      </w:pPr>
    </w:p>
    <w:p>
      <w:pPr>
        <w:ind w:firstLine="480"/>
        <w:rPr>
          <w:rFonts w:ascii="宋体" w:hAnsi="宋体"/>
          <w:highlight w:val="none"/>
        </w:rPr>
      </w:pPr>
    </w:p>
    <w:p>
      <w:pPr>
        <w:ind w:firstLine="480"/>
        <w:rPr>
          <w:rFonts w:ascii="宋体" w:hAnsi="宋体"/>
          <w:highlight w:val="none"/>
        </w:rPr>
      </w:pPr>
    </w:p>
    <w:p>
      <w:pPr>
        <w:spacing w:line="640" w:lineRule="exact"/>
        <w:ind w:firstLine="0" w:firstLineChars="0"/>
        <w:rPr>
          <w:rFonts w:ascii="宋体" w:hAnsi="宋体"/>
          <w:b/>
          <w:highlight w:val="none"/>
        </w:rPr>
      </w:pPr>
    </w:p>
    <w:p>
      <w:pPr>
        <w:spacing w:line="360" w:lineRule="auto"/>
        <w:ind w:firstLine="1751" w:firstLineChars="545"/>
        <w:rPr>
          <w:rFonts w:ascii="宋体" w:hAnsi="宋体"/>
          <w:b/>
          <w:sz w:val="32"/>
          <w:szCs w:val="32"/>
          <w:highlight w:val="none"/>
        </w:rPr>
      </w:pPr>
      <w:r>
        <w:rPr>
          <w:rFonts w:ascii="宋体" w:hAnsi="宋体"/>
          <w:b/>
          <w:sz w:val="32"/>
          <w:szCs w:val="32"/>
          <w:highlight w:val="none"/>
        </w:rPr>
        <w:t>建设单位：</w:t>
      </w:r>
      <w:r>
        <w:rPr>
          <w:rFonts w:ascii="宋体" w:hAnsi="宋体"/>
          <w:b/>
          <w:spacing w:val="22"/>
          <w:sz w:val="32"/>
          <w:szCs w:val="32"/>
          <w:highlight w:val="none"/>
        </w:rPr>
        <w:t>山西省繁峙县垣利铁选厂</w:t>
      </w:r>
    </w:p>
    <w:p>
      <w:pPr>
        <w:spacing w:line="360" w:lineRule="auto"/>
        <w:ind w:firstLine="0" w:firstLineChars="0"/>
        <w:jc w:val="center"/>
        <w:rPr>
          <w:rFonts w:ascii="宋体" w:hAnsi="宋体"/>
          <w:b/>
          <w:sz w:val="32"/>
          <w:szCs w:val="32"/>
          <w:highlight w:val="none"/>
        </w:rPr>
      </w:pPr>
      <w:r>
        <w:rPr>
          <w:rFonts w:hint="eastAsia" w:ascii="宋体" w:hAnsi="宋体"/>
          <w:b/>
          <w:sz w:val="32"/>
          <w:szCs w:val="32"/>
          <w:highlight w:val="none"/>
        </w:rPr>
        <w:t>编制单位：山西纳兰环保科技有限公司</w:t>
      </w:r>
    </w:p>
    <w:p>
      <w:pPr>
        <w:spacing w:line="360" w:lineRule="auto"/>
        <w:ind w:firstLine="0" w:firstLineChars="0"/>
        <w:jc w:val="center"/>
        <w:rPr>
          <w:rFonts w:ascii="宋体" w:hAnsi="宋体"/>
          <w:sz w:val="30"/>
          <w:szCs w:val="30"/>
          <w:highlight w:val="none"/>
        </w:rPr>
      </w:pPr>
      <w:r>
        <w:rPr>
          <w:rFonts w:ascii="宋体" w:hAnsi="宋体"/>
          <w:b/>
          <w:sz w:val="32"/>
          <w:szCs w:val="32"/>
          <w:highlight w:val="none"/>
        </w:rPr>
        <w:t>编制日期：二〇二</w:t>
      </w:r>
      <w:r>
        <w:rPr>
          <w:rFonts w:hint="eastAsia" w:ascii="宋体" w:hAnsi="宋体"/>
          <w:b/>
          <w:sz w:val="32"/>
          <w:szCs w:val="32"/>
          <w:highlight w:val="none"/>
          <w:lang w:val="en-US" w:eastAsia="zh-CN"/>
        </w:rPr>
        <w:t>二年七月</w:t>
      </w:r>
    </w:p>
    <w:p>
      <w:pPr>
        <w:tabs>
          <w:tab w:val="left" w:pos="1830"/>
        </w:tabs>
        <w:ind w:firstLine="602"/>
        <w:rPr>
          <w:rFonts w:ascii="宋体" w:hAnsi="宋体"/>
          <w:b/>
          <w:sz w:val="30"/>
          <w:szCs w:val="30"/>
          <w:highlight w:val="none"/>
        </w:rPr>
      </w:pPr>
      <w:r>
        <w:rPr>
          <w:rFonts w:ascii="宋体" w:hAnsi="宋体"/>
          <w:b/>
          <w:sz w:val="30"/>
          <w:szCs w:val="30"/>
          <w:highlight w:val="none"/>
        </w:rPr>
        <w:tab/>
      </w:r>
    </w:p>
    <w:p>
      <w:pPr>
        <w:tabs>
          <w:tab w:val="left" w:pos="1830"/>
        </w:tabs>
        <w:ind w:firstLine="600"/>
        <w:rPr>
          <w:rFonts w:ascii="宋体" w:hAnsi="宋体"/>
          <w:sz w:val="30"/>
          <w:szCs w:val="3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588" w:right="1418" w:bottom="1418" w:left="1418" w:header="992" w:footer="992" w:gutter="0"/>
          <w:pgBorders>
            <w:top w:val="none" w:sz="0" w:space="0"/>
            <w:left w:val="none" w:sz="0" w:space="0"/>
            <w:bottom w:val="none" w:sz="0" w:space="0"/>
            <w:right w:val="none" w:sz="0" w:space="0"/>
          </w:pgBorders>
          <w:pgNumType w:start="1"/>
          <w:cols w:space="720" w:num="1"/>
          <w:docGrid w:linePitch="312" w:charSpace="0"/>
        </w:sectPr>
      </w:pPr>
    </w:p>
    <w:p>
      <w:pPr>
        <w:spacing w:line="800" w:lineRule="exact"/>
        <w:ind w:firstLine="0" w:firstLineChars="0"/>
        <w:jc w:val="center"/>
        <w:rPr>
          <w:rFonts w:ascii="隶书" w:hAnsi="宋体" w:eastAsia="隶书"/>
          <w:b/>
          <w:sz w:val="44"/>
          <w:szCs w:val="44"/>
          <w:highlight w:val="none"/>
        </w:rPr>
      </w:pPr>
      <w:r>
        <w:rPr>
          <w:rFonts w:ascii="隶书" w:hAnsi="宋体" w:eastAsia="隶书"/>
          <w:b/>
          <w:sz w:val="44"/>
          <w:szCs w:val="44"/>
          <w:highlight w:val="none"/>
        </w:rPr>
        <w:pict>
          <v:shape id="_x0000_s1026" o:spid="_x0000_s1026" o:spt="172" type="#_x0000_t172" style="position:absolute;left:0pt;margin-left:-129.1pt;margin-top:-401.15pt;height:99.55pt;width:671.2pt;rotation:-2671877f;z-index:251660288;mso-width-relative:page;mso-height-relative:page;" fillcolor="#0070C0" filled="t" stroked="t" coordsize="21600,21600">
            <v:path/>
            <v:fill on="t" focussize="0,0"/>
            <v:stroke color="#0070C0"/>
            <v:imagedata o:title=""/>
            <o:lock v:ext="edit"/>
            <v:textpath on="t" fitshape="t" fitpath="t" trim="t" xscale="f" string="此件仅供代县金升铁矿有限公司年产130万吨铁矿石延伸项目盖章有效" style="font-family:宋体;font-size:44pt;v-text-align:center;"/>
          </v:shape>
        </w:pict>
      </w:r>
      <w:bookmarkStart w:id="0" w:name="_Toc12287172"/>
      <w:bookmarkStart w:id="1" w:name="_Toc487302001"/>
      <w:bookmarkStart w:id="2" w:name="_Toc4678360"/>
      <w:bookmarkStart w:id="3" w:name="_Toc1460905"/>
      <w:r>
        <w:rPr>
          <w:rFonts w:hint="eastAsia" w:ascii="隶书" w:hAnsi="宋体" w:eastAsia="隶书"/>
          <w:b/>
          <w:sz w:val="44"/>
          <w:szCs w:val="44"/>
          <w:highlight w:val="none"/>
        </w:rPr>
        <w:t>目  录</w:t>
      </w:r>
      <w:bookmarkEnd w:id="0"/>
    </w:p>
    <w:p>
      <w:pPr>
        <w:pStyle w:val="27"/>
        <w:tabs>
          <w:tab w:val="right" w:leader="dot" w:pos="8720"/>
        </w:tabs>
        <w:rPr>
          <w:rFonts w:hAnsi="宋体" w:cstheme="minorBidi"/>
          <w:sz w:val="21"/>
          <w:szCs w:val="22"/>
          <w:highlight w:val="none"/>
        </w:rPr>
      </w:pPr>
      <w:r>
        <w:rPr>
          <w:rFonts w:hAnsi="宋体"/>
          <w:b/>
          <w:bCs/>
          <w:highlight w:val="none"/>
        </w:rPr>
        <w:fldChar w:fldCharType="begin"/>
      </w:r>
      <w:r>
        <w:rPr>
          <w:rFonts w:hAnsi="宋体"/>
          <w:b/>
          <w:bCs/>
          <w:highlight w:val="none"/>
        </w:rPr>
        <w:instrText xml:space="preserve"> TOC \o "1-2" \h \z \u </w:instrText>
      </w:r>
      <w:r>
        <w:rPr>
          <w:rFonts w:hAnsi="宋体"/>
          <w:b/>
          <w:bCs/>
          <w:highlight w:val="none"/>
        </w:rPr>
        <w:fldChar w:fldCharType="separate"/>
      </w:r>
      <w:r>
        <w:rPr>
          <w:highlight w:val="none"/>
        </w:rPr>
        <w:fldChar w:fldCharType="begin"/>
      </w:r>
      <w:r>
        <w:rPr>
          <w:highlight w:val="none"/>
        </w:rPr>
        <w:instrText xml:space="preserve"> HYPERLINK \l "_Toc70201003" </w:instrText>
      </w:r>
      <w:r>
        <w:rPr>
          <w:highlight w:val="none"/>
        </w:rPr>
        <w:fldChar w:fldCharType="separate"/>
      </w:r>
      <w:r>
        <w:rPr>
          <w:rStyle w:val="49"/>
          <w:rFonts w:hint="eastAsia" w:hAnsi="宋体"/>
          <w:color w:val="auto"/>
          <w:highlight w:val="none"/>
        </w:rPr>
        <w:t>第一章</w:t>
      </w:r>
      <w:r>
        <w:rPr>
          <w:rStyle w:val="49"/>
          <w:rFonts w:hAnsi="宋体"/>
          <w:color w:val="auto"/>
          <w:highlight w:val="none"/>
        </w:rPr>
        <w:t xml:space="preserve">  </w:t>
      </w:r>
      <w:r>
        <w:rPr>
          <w:rStyle w:val="49"/>
          <w:rFonts w:hint="eastAsia" w:hAnsi="宋体"/>
          <w:color w:val="auto"/>
          <w:highlight w:val="none"/>
        </w:rPr>
        <w:t>概</w:t>
      </w:r>
      <w:r>
        <w:rPr>
          <w:rStyle w:val="49"/>
          <w:rFonts w:hAnsi="宋体"/>
          <w:color w:val="auto"/>
          <w:highlight w:val="none"/>
        </w:rPr>
        <w:t xml:space="preserve">  </w:t>
      </w:r>
      <w:r>
        <w:rPr>
          <w:rStyle w:val="49"/>
          <w:rFonts w:hint="eastAsia" w:hAnsi="宋体"/>
          <w:color w:val="auto"/>
          <w:highlight w:val="none"/>
        </w:rPr>
        <w:t>述</w:t>
      </w:r>
      <w:r>
        <w:rPr>
          <w:rFonts w:hAnsi="宋体"/>
          <w:highlight w:val="none"/>
        </w:rPr>
        <w:tab/>
      </w:r>
      <w:r>
        <w:rPr>
          <w:rFonts w:hint="eastAsia" w:hAnsi="宋体"/>
          <w:highlight w:val="none"/>
        </w:rPr>
        <w:t>1-</w:t>
      </w:r>
      <w:r>
        <w:rPr>
          <w:rFonts w:hAnsi="宋体"/>
          <w:highlight w:val="none"/>
        </w:rPr>
        <w:fldChar w:fldCharType="begin"/>
      </w:r>
      <w:r>
        <w:rPr>
          <w:rFonts w:hAnsi="宋体"/>
          <w:highlight w:val="none"/>
        </w:rPr>
        <w:instrText xml:space="preserve"> PAGEREF _Toc70201003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"_Toc70201004" </w:instrText>
      </w:r>
      <w:r>
        <w:rPr>
          <w:highlight w:val="none"/>
        </w:rPr>
        <w:fldChar w:fldCharType="separate"/>
      </w:r>
      <w:r>
        <w:rPr>
          <w:rStyle w:val="49"/>
          <w:rFonts w:hAnsi="宋体"/>
          <w:color w:val="auto"/>
          <w:highlight w:val="none"/>
        </w:rPr>
        <w:t>1.1</w:t>
      </w:r>
      <w:r>
        <w:rPr>
          <w:rStyle w:val="49"/>
          <w:rFonts w:hint="eastAsia" w:hAnsi="宋体"/>
          <w:color w:val="auto"/>
          <w:highlight w:val="none"/>
        </w:rPr>
        <w:t>建设项目由来</w:t>
      </w:r>
      <w:r>
        <w:rPr>
          <w:rFonts w:hAnsi="宋体"/>
          <w:highlight w:val="none"/>
        </w:rPr>
        <w:tab/>
      </w:r>
      <w:r>
        <w:rPr>
          <w:rFonts w:hint="eastAsia" w:hAnsi="宋体"/>
          <w:highlight w:val="none"/>
        </w:rPr>
        <w:t>1-</w:t>
      </w:r>
      <w:r>
        <w:rPr>
          <w:rFonts w:hAnsi="宋体"/>
          <w:highlight w:val="none"/>
        </w:rPr>
        <w:fldChar w:fldCharType="begin"/>
      </w:r>
      <w:r>
        <w:rPr>
          <w:rFonts w:hAnsi="宋体"/>
          <w:highlight w:val="none"/>
        </w:rPr>
        <w:instrText xml:space="preserve"> PAGEREF _Toc70201004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"_Toc70201005" </w:instrText>
      </w:r>
      <w:r>
        <w:rPr>
          <w:highlight w:val="none"/>
        </w:rPr>
        <w:fldChar w:fldCharType="separate"/>
      </w:r>
      <w:r>
        <w:rPr>
          <w:rStyle w:val="49"/>
          <w:rFonts w:hAnsi="宋体"/>
          <w:color w:val="auto"/>
          <w:highlight w:val="none"/>
        </w:rPr>
        <w:t>1.2</w:t>
      </w:r>
      <w:r>
        <w:rPr>
          <w:rStyle w:val="49"/>
          <w:rFonts w:hint="eastAsia" w:hAnsi="宋体"/>
          <w:color w:val="auto"/>
          <w:highlight w:val="none"/>
        </w:rPr>
        <w:t>评价工作过程</w:t>
      </w:r>
      <w:r>
        <w:rPr>
          <w:rFonts w:hAnsi="宋体"/>
          <w:highlight w:val="none"/>
        </w:rPr>
        <w:tab/>
      </w:r>
      <w:r>
        <w:rPr>
          <w:rFonts w:hint="eastAsia" w:hAnsi="宋体"/>
          <w:highlight w:val="none"/>
        </w:rPr>
        <w:t>1-</w:t>
      </w:r>
      <w:r>
        <w:rPr>
          <w:rFonts w:hAnsi="宋体"/>
          <w:highlight w:val="none"/>
        </w:rPr>
        <w:fldChar w:fldCharType="begin"/>
      </w:r>
      <w:r>
        <w:rPr>
          <w:rFonts w:hAnsi="宋体"/>
          <w:highlight w:val="none"/>
        </w:rPr>
        <w:instrText xml:space="preserve"> PAGEREF _Toc70201005 \h </w:instrText>
      </w:r>
      <w:r>
        <w:rPr>
          <w:rFonts w:hAnsi="宋体"/>
          <w:highlight w:val="none"/>
        </w:rPr>
        <w:fldChar w:fldCharType="separate"/>
      </w:r>
      <w:r>
        <w:rPr>
          <w:rFonts w:hAnsi="宋体"/>
          <w:highlight w:val="none"/>
        </w:rPr>
        <w:t>2</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"_Toc70201006" </w:instrText>
      </w:r>
      <w:r>
        <w:rPr>
          <w:highlight w:val="none"/>
        </w:rPr>
        <w:fldChar w:fldCharType="separate"/>
      </w:r>
      <w:r>
        <w:rPr>
          <w:rStyle w:val="49"/>
          <w:rFonts w:hAnsi="宋体"/>
          <w:color w:val="auto"/>
          <w:highlight w:val="none"/>
        </w:rPr>
        <w:t>1.3</w:t>
      </w:r>
      <w:r>
        <w:rPr>
          <w:rStyle w:val="49"/>
          <w:rFonts w:hint="eastAsia" w:hAnsi="宋体"/>
          <w:color w:val="auto"/>
          <w:highlight w:val="none"/>
        </w:rPr>
        <w:t>项目环保政策分析判定情况</w:t>
      </w:r>
      <w:r>
        <w:rPr>
          <w:rFonts w:hAnsi="宋体"/>
          <w:highlight w:val="none"/>
        </w:rPr>
        <w:tab/>
      </w:r>
      <w:r>
        <w:rPr>
          <w:rFonts w:hint="eastAsia" w:hAnsi="宋体"/>
          <w:highlight w:val="none"/>
        </w:rPr>
        <w:t>1-</w:t>
      </w:r>
      <w:r>
        <w:rPr>
          <w:rFonts w:hAnsi="宋体"/>
          <w:highlight w:val="none"/>
        </w:rPr>
        <w:fldChar w:fldCharType="begin"/>
      </w:r>
      <w:r>
        <w:rPr>
          <w:rFonts w:hAnsi="宋体"/>
          <w:highlight w:val="none"/>
        </w:rPr>
        <w:instrText xml:space="preserve"> PAGEREF _Toc70201006 \h </w:instrText>
      </w:r>
      <w:r>
        <w:rPr>
          <w:rFonts w:hAnsi="宋体"/>
          <w:highlight w:val="none"/>
        </w:rPr>
        <w:fldChar w:fldCharType="separate"/>
      </w:r>
      <w:r>
        <w:rPr>
          <w:rFonts w:hAnsi="宋体"/>
          <w:highlight w:val="none"/>
        </w:rPr>
        <w:t>3</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"_Toc70201007" </w:instrText>
      </w:r>
      <w:r>
        <w:rPr>
          <w:highlight w:val="none"/>
        </w:rPr>
        <w:fldChar w:fldCharType="separate"/>
      </w:r>
      <w:r>
        <w:rPr>
          <w:rStyle w:val="49"/>
          <w:rFonts w:hAnsi="宋体"/>
          <w:color w:val="auto"/>
          <w:highlight w:val="none"/>
        </w:rPr>
        <w:t>1.4</w:t>
      </w:r>
      <w:r>
        <w:rPr>
          <w:rStyle w:val="49"/>
          <w:rFonts w:hint="eastAsia" w:hAnsi="宋体"/>
          <w:color w:val="auto"/>
          <w:highlight w:val="none"/>
        </w:rPr>
        <w:t>关注的主要环境问题</w:t>
      </w:r>
      <w:r>
        <w:rPr>
          <w:rFonts w:hAnsi="宋体"/>
          <w:highlight w:val="none"/>
        </w:rPr>
        <w:tab/>
      </w:r>
      <w:r>
        <w:rPr>
          <w:rFonts w:hint="eastAsia" w:hAnsi="宋体"/>
          <w:highlight w:val="none"/>
        </w:rPr>
        <w:t>1-</w:t>
      </w:r>
      <w:r>
        <w:rPr>
          <w:rFonts w:hAnsi="宋体"/>
          <w:highlight w:val="none"/>
        </w:rPr>
        <w:fldChar w:fldCharType="begin"/>
      </w:r>
      <w:r>
        <w:rPr>
          <w:rFonts w:hAnsi="宋体"/>
          <w:highlight w:val="none"/>
        </w:rPr>
        <w:instrText xml:space="preserve"> PAGEREF _Toc70201007 \h </w:instrText>
      </w:r>
      <w:r>
        <w:rPr>
          <w:rFonts w:hAnsi="宋体"/>
          <w:highlight w:val="none"/>
        </w:rPr>
        <w:fldChar w:fldCharType="separate"/>
      </w:r>
      <w:r>
        <w:rPr>
          <w:rFonts w:hAnsi="宋体"/>
          <w:highlight w:val="none"/>
        </w:rPr>
        <w:t>7</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"_Toc70201008" </w:instrText>
      </w:r>
      <w:r>
        <w:rPr>
          <w:highlight w:val="none"/>
        </w:rPr>
        <w:fldChar w:fldCharType="separate"/>
      </w:r>
      <w:r>
        <w:rPr>
          <w:rStyle w:val="49"/>
          <w:rFonts w:hAnsi="宋体"/>
          <w:color w:val="auto"/>
          <w:highlight w:val="none"/>
        </w:rPr>
        <w:t>1.5</w:t>
      </w:r>
      <w:r>
        <w:rPr>
          <w:rStyle w:val="49"/>
          <w:rFonts w:hint="eastAsia" w:hAnsi="宋体"/>
          <w:color w:val="auto"/>
          <w:highlight w:val="none"/>
        </w:rPr>
        <w:t>评价结论</w:t>
      </w:r>
      <w:r>
        <w:rPr>
          <w:rFonts w:hAnsi="宋体"/>
          <w:highlight w:val="none"/>
        </w:rPr>
        <w:tab/>
      </w:r>
      <w:r>
        <w:rPr>
          <w:rFonts w:hint="eastAsia" w:hAnsi="宋体"/>
          <w:highlight w:val="none"/>
        </w:rPr>
        <w:t>1-</w:t>
      </w:r>
      <w:r>
        <w:rPr>
          <w:rFonts w:hAnsi="宋体"/>
          <w:highlight w:val="none"/>
        </w:rPr>
        <w:fldChar w:fldCharType="begin"/>
      </w:r>
      <w:r>
        <w:rPr>
          <w:rFonts w:hAnsi="宋体"/>
          <w:highlight w:val="none"/>
        </w:rPr>
        <w:instrText xml:space="preserve"> PAGEREF _Toc70201008 \h </w:instrText>
      </w:r>
      <w:r>
        <w:rPr>
          <w:rFonts w:hAnsi="宋体"/>
          <w:highlight w:val="none"/>
        </w:rPr>
        <w:fldChar w:fldCharType="separate"/>
      </w:r>
      <w:r>
        <w:rPr>
          <w:rFonts w:hAnsi="宋体"/>
          <w:highlight w:val="none"/>
        </w:rPr>
        <w:t>8</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"_Toc70201009" </w:instrText>
      </w:r>
      <w:r>
        <w:rPr>
          <w:highlight w:val="none"/>
        </w:rPr>
        <w:fldChar w:fldCharType="separate"/>
      </w:r>
      <w:r>
        <w:rPr>
          <w:rStyle w:val="49"/>
          <w:rFonts w:hint="eastAsia" w:hAnsi="宋体"/>
          <w:color w:val="auto"/>
          <w:highlight w:val="none"/>
        </w:rPr>
        <w:t>第二章</w:t>
      </w:r>
      <w:r>
        <w:rPr>
          <w:rStyle w:val="49"/>
          <w:rFonts w:hAnsi="宋体"/>
          <w:color w:val="auto"/>
          <w:highlight w:val="none"/>
        </w:rPr>
        <w:t xml:space="preserve">  </w:t>
      </w:r>
      <w:r>
        <w:rPr>
          <w:rStyle w:val="49"/>
          <w:rFonts w:hint="eastAsia" w:hAnsi="宋体"/>
          <w:color w:val="auto"/>
          <w:highlight w:val="none"/>
        </w:rPr>
        <w:t>总</w:t>
      </w:r>
      <w:r>
        <w:rPr>
          <w:rStyle w:val="49"/>
          <w:rFonts w:hAnsi="宋体"/>
          <w:color w:val="auto"/>
          <w:highlight w:val="none"/>
        </w:rPr>
        <w:t xml:space="preserve">  </w:t>
      </w:r>
      <w:r>
        <w:rPr>
          <w:rStyle w:val="49"/>
          <w:rFonts w:hint="eastAsia" w:hAnsi="宋体"/>
          <w:color w:val="auto"/>
          <w:highlight w:val="none"/>
        </w:rPr>
        <w:t>则</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_Toc70201009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"_Toc70201010" </w:instrText>
      </w:r>
      <w:r>
        <w:rPr>
          <w:highlight w:val="none"/>
        </w:rPr>
        <w:fldChar w:fldCharType="separate"/>
      </w:r>
      <w:r>
        <w:rPr>
          <w:rStyle w:val="49"/>
          <w:rFonts w:hAnsi="宋体"/>
          <w:color w:val="auto"/>
          <w:highlight w:val="none"/>
        </w:rPr>
        <w:t>2.1</w:t>
      </w:r>
      <w:r>
        <w:rPr>
          <w:rStyle w:val="49"/>
          <w:rFonts w:hint="eastAsia" w:hAnsi="宋体"/>
          <w:color w:val="auto"/>
          <w:highlight w:val="none"/>
        </w:rPr>
        <w:t>编制依据</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_Toc70201010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"_Toc70201011" </w:instrText>
      </w:r>
      <w:r>
        <w:rPr>
          <w:highlight w:val="none"/>
        </w:rPr>
        <w:fldChar w:fldCharType="separate"/>
      </w:r>
      <w:r>
        <w:rPr>
          <w:rStyle w:val="49"/>
          <w:rFonts w:hAnsi="宋体"/>
          <w:color w:val="auto"/>
          <w:highlight w:val="none"/>
        </w:rPr>
        <w:t>2.2</w:t>
      </w:r>
      <w:r>
        <w:rPr>
          <w:rStyle w:val="49"/>
          <w:rFonts w:hint="eastAsia" w:hAnsi="宋体"/>
          <w:color w:val="auto"/>
          <w:highlight w:val="none"/>
        </w:rPr>
        <w:t>影响要素识别及评价因子</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_Toc70201011 \h </w:instrText>
      </w:r>
      <w:r>
        <w:rPr>
          <w:rFonts w:hAnsi="宋体"/>
          <w:highlight w:val="none"/>
        </w:rPr>
        <w:fldChar w:fldCharType="separate"/>
      </w:r>
      <w:r>
        <w:rPr>
          <w:rFonts w:hAnsi="宋体"/>
          <w:highlight w:val="none"/>
        </w:rPr>
        <w:t>3</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"_Toc70201012" </w:instrText>
      </w:r>
      <w:r>
        <w:rPr>
          <w:highlight w:val="none"/>
        </w:rPr>
        <w:fldChar w:fldCharType="separate"/>
      </w:r>
      <w:r>
        <w:rPr>
          <w:rStyle w:val="49"/>
          <w:rFonts w:hAnsi="宋体"/>
          <w:color w:val="auto"/>
          <w:highlight w:val="none"/>
        </w:rPr>
        <w:t>2.3</w:t>
      </w:r>
      <w:r>
        <w:rPr>
          <w:rStyle w:val="49"/>
          <w:rFonts w:hint="eastAsia" w:hAnsi="宋体"/>
          <w:color w:val="auto"/>
          <w:highlight w:val="none"/>
        </w:rPr>
        <w:t>评价标准</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_Toc70201012 \h </w:instrText>
      </w:r>
      <w:r>
        <w:rPr>
          <w:rFonts w:hAnsi="宋体"/>
          <w:highlight w:val="none"/>
        </w:rPr>
        <w:fldChar w:fldCharType="separate"/>
      </w:r>
      <w:r>
        <w:rPr>
          <w:rFonts w:hAnsi="宋体"/>
          <w:highlight w:val="none"/>
        </w:rPr>
        <w:t>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"_Toc70201013" </w:instrText>
      </w:r>
      <w:r>
        <w:rPr>
          <w:highlight w:val="none"/>
        </w:rPr>
        <w:fldChar w:fldCharType="separate"/>
      </w:r>
      <w:r>
        <w:rPr>
          <w:rStyle w:val="49"/>
          <w:rFonts w:hAnsi="宋体"/>
          <w:color w:val="auto"/>
          <w:highlight w:val="none"/>
        </w:rPr>
        <w:t>2.4</w:t>
      </w:r>
      <w:r>
        <w:rPr>
          <w:rStyle w:val="49"/>
          <w:rFonts w:hint="eastAsia" w:hAnsi="宋体"/>
          <w:color w:val="auto"/>
          <w:highlight w:val="none"/>
        </w:rPr>
        <w:t>评价等级</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_Toc70201013 \h </w:instrText>
      </w:r>
      <w:r>
        <w:rPr>
          <w:rFonts w:hAnsi="宋体"/>
          <w:highlight w:val="none"/>
        </w:rPr>
        <w:fldChar w:fldCharType="separate"/>
      </w:r>
      <w:r>
        <w:rPr>
          <w:rFonts w:hAnsi="宋体"/>
          <w:highlight w:val="none"/>
        </w:rPr>
        <w:t>9</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"_Toc70201014" </w:instrText>
      </w:r>
      <w:r>
        <w:rPr>
          <w:highlight w:val="none"/>
        </w:rPr>
        <w:fldChar w:fldCharType="separate"/>
      </w:r>
      <w:r>
        <w:rPr>
          <w:rStyle w:val="49"/>
          <w:rFonts w:hAnsi="宋体"/>
          <w:color w:val="auto"/>
          <w:highlight w:val="none"/>
        </w:rPr>
        <w:t>2.5</w:t>
      </w:r>
      <w:r>
        <w:rPr>
          <w:rStyle w:val="49"/>
          <w:rFonts w:hint="eastAsia" w:hAnsi="宋体"/>
          <w:color w:val="auto"/>
          <w:highlight w:val="none"/>
        </w:rPr>
        <w:t>评价范围</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_Toc70201014 \h </w:instrText>
      </w:r>
      <w:r>
        <w:rPr>
          <w:rFonts w:hAnsi="宋体"/>
          <w:highlight w:val="none"/>
        </w:rPr>
        <w:fldChar w:fldCharType="separate"/>
      </w:r>
      <w:r>
        <w:rPr>
          <w:rFonts w:hAnsi="宋体"/>
          <w:highlight w:val="none"/>
        </w:rPr>
        <w:t>14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"_Toc70201015" </w:instrText>
      </w:r>
      <w:r>
        <w:rPr>
          <w:highlight w:val="none"/>
        </w:rPr>
        <w:fldChar w:fldCharType="separate"/>
      </w:r>
      <w:r>
        <w:rPr>
          <w:rStyle w:val="49"/>
          <w:rFonts w:hAnsi="宋体"/>
          <w:color w:val="auto"/>
          <w:highlight w:val="none"/>
        </w:rPr>
        <w:t>2.6</w:t>
      </w:r>
      <w:r>
        <w:rPr>
          <w:rStyle w:val="49"/>
          <w:rFonts w:hint="eastAsia" w:hAnsi="宋体"/>
          <w:color w:val="auto"/>
          <w:highlight w:val="none"/>
        </w:rPr>
        <w:t>相关规划及环境功能区划</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_Toc70201015 \h </w:instrText>
      </w:r>
      <w:r>
        <w:rPr>
          <w:rFonts w:hAnsi="宋体"/>
          <w:highlight w:val="none"/>
        </w:rPr>
        <w:fldChar w:fldCharType="separate"/>
      </w:r>
      <w:r>
        <w:rPr>
          <w:rFonts w:hAnsi="宋体"/>
          <w:highlight w:val="none"/>
        </w:rPr>
        <w:t>15</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"_Toc70201016" </w:instrText>
      </w:r>
      <w:r>
        <w:rPr>
          <w:highlight w:val="none"/>
        </w:rPr>
        <w:fldChar w:fldCharType="separate"/>
      </w:r>
      <w:r>
        <w:rPr>
          <w:rStyle w:val="49"/>
          <w:rFonts w:hAnsi="宋体"/>
          <w:color w:val="auto"/>
          <w:highlight w:val="none"/>
        </w:rPr>
        <w:t>2.7</w:t>
      </w:r>
      <w:r>
        <w:rPr>
          <w:rStyle w:val="49"/>
          <w:rFonts w:hint="eastAsia" w:hAnsi="宋体"/>
          <w:color w:val="auto"/>
          <w:highlight w:val="none"/>
        </w:rPr>
        <w:t>环境保护目标</w:t>
      </w:r>
      <w:r>
        <w:rPr>
          <w:rFonts w:hAnsi="宋体"/>
          <w:highlight w:val="none"/>
        </w:rPr>
        <w:tab/>
      </w:r>
      <w:r>
        <w:rPr>
          <w:rFonts w:hint="eastAsia" w:hAnsi="宋体"/>
          <w:highlight w:val="none"/>
        </w:rPr>
        <w:t>2-</w:t>
      </w:r>
      <w:r>
        <w:rPr>
          <w:rFonts w:hAnsi="宋体"/>
          <w:highlight w:val="none"/>
        </w:rPr>
        <w:fldChar w:fldCharType="begin"/>
      </w:r>
      <w:r>
        <w:rPr>
          <w:rFonts w:hAnsi="宋体"/>
          <w:highlight w:val="none"/>
        </w:rPr>
        <w:instrText xml:space="preserve"> PAGEREF _Toc70201016 \h </w:instrText>
      </w:r>
      <w:r>
        <w:rPr>
          <w:rFonts w:hAnsi="宋体"/>
          <w:highlight w:val="none"/>
        </w:rPr>
        <w:fldChar w:fldCharType="separate"/>
      </w:r>
      <w:r>
        <w:rPr>
          <w:rFonts w:hAnsi="宋体"/>
          <w:highlight w:val="none"/>
        </w:rPr>
        <w:t>18</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"_Toc70201017" </w:instrText>
      </w:r>
      <w:r>
        <w:rPr>
          <w:highlight w:val="none"/>
        </w:rPr>
        <w:fldChar w:fldCharType="separate"/>
      </w:r>
      <w:r>
        <w:rPr>
          <w:rStyle w:val="49"/>
          <w:rFonts w:hint="eastAsia" w:hAnsi="宋体"/>
          <w:color w:val="auto"/>
          <w:highlight w:val="none"/>
        </w:rPr>
        <w:t>第三章</w:t>
      </w:r>
      <w:r>
        <w:rPr>
          <w:rStyle w:val="49"/>
          <w:rFonts w:hAnsi="宋体"/>
          <w:color w:val="auto"/>
          <w:highlight w:val="none"/>
        </w:rPr>
        <w:t xml:space="preserve">  </w:t>
      </w:r>
      <w:r>
        <w:rPr>
          <w:rStyle w:val="49"/>
          <w:rFonts w:hint="eastAsia" w:hAnsi="宋体"/>
          <w:color w:val="auto"/>
          <w:highlight w:val="none"/>
        </w:rPr>
        <w:t>建设项目工程分析</w:t>
      </w:r>
      <w:r>
        <w:rPr>
          <w:rFonts w:hAnsi="宋体"/>
          <w:highlight w:val="none"/>
        </w:rPr>
        <w:tab/>
      </w:r>
      <w:r>
        <w:rPr>
          <w:rFonts w:hint="eastAsia" w:hAnsi="宋体"/>
          <w:highlight w:val="none"/>
        </w:rPr>
        <w:t>3-</w:t>
      </w:r>
      <w:r>
        <w:rPr>
          <w:rFonts w:hAnsi="宋体"/>
          <w:highlight w:val="none"/>
        </w:rPr>
        <w:fldChar w:fldCharType="begin"/>
      </w:r>
      <w:r>
        <w:rPr>
          <w:rFonts w:hAnsi="宋体"/>
          <w:highlight w:val="none"/>
        </w:rPr>
        <w:instrText xml:space="preserve"> PAGEREF _Toc70201017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"_Toc70201018" </w:instrText>
      </w:r>
      <w:r>
        <w:rPr>
          <w:highlight w:val="none"/>
        </w:rPr>
        <w:fldChar w:fldCharType="separate"/>
      </w:r>
      <w:r>
        <w:rPr>
          <w:rStyle w:val="49"/>
          <w:rFonts w:hAnsi="宋体"/>
          <w:color w:val="auto"/>
          <w:highlight w:val="none"/>
        </w:rPr>
        <w:t>3.1</w:t>
      </w:r>
      <w:r>
        <w:rPr>
          <w:rStyle w:val="49"/>
          <w:rFonts w:hint="eastAsia" w:hAnsi="宋体"/>
          <w:color w:val="auto"/>
          <w:highlight w:val="none"/>
        </w:rPr>
        <w:t>项目概况</w:t>
      </w:r>
      <w:r>
        <w:rPr>
          <w:rFonts w:hAnsi="宋体"/>
          <w:highlight w:val="none"/>
        </w:rPr>
        <w:tab/>
      </w:r>
      <w:r>
        <w:rPr>
          <w:rFonts w:hint="eastAsia" w:hAnsi="宋体"/>
          <w:highlight w:val="none"/>
        </w:rPr>
        <w:t>3-</w:t>
      </w:r>
      <w:r>
        <w:rPr>
          <w:rFonts w:hAnsi="宋体"/>
          <w:highlight w:val="none"/>
        </w:rPr>
        <w:fldChar w:fldCharType="begin"/>
      </w:r>
      <w:r>
        <w:rPr>
          <w:rFonts w:hAnsi="宋体"/>
          <w:highlight w:val="none"/>
        </w:rPr>
        <w:instrText xml:space="preserve"> PAGEREF _Toc70201018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"_Toc70201019" </w:instrText>
      </w:r>
      <w:r>
        <w:rPr>
          <w:highlight w:val="none"/>
        </w:rPr>
        <w:fldChar w:fldCharType="separate"/>
      </w:r>
      <w:r>
        <w:rPr>
          <w:rStyle w:val="49"/>
          <w:rFonts w:hAnsi="宋体"/>
          <w:color w:val="auto"/>
          <w:highlight w:val="none"/>
        </w:rPr>
        <w:t>3.2</w:t>
      </w:r>
      <w:r>
        <w:rPr>
          <w:rStyle w:val="49"/>
          <w:rFonts w:hint="eastAsia" w:hAnsi="宋体"/>
          <w:color w:val="auto"/>
          <w:highlight w:val="none"/>
        </w:rPr>
        <w:t>公用工程</w:t>
      </w:r>
      <w:r>
        <w:rPr>
          <w:rFonts w:hAnsi="宋体"/>
          <w:highlight w:val="none"/>
        </w:rPr>
        <w:tab/>
      </w:r>
      <w:r>
        <w:rPr>
          <w:rFonts w:hint="eastAsia" w:hAnsi="宋体"/>
          <w:highlight w:val="none"/>
        </w:rPr>
        <w:t>3-</w:t>
      </w:r>
      <w:r>
        <w:rPr>
          <w:rFonts w:hAnsi="宋体"/>
          <w:highlight w:val="none"/>
        </w:rPr>
        <w:fldChar w:fldCharType="begin"/>
      </w:r>
      <w:r>
        <w:rPr>
          <w:rFonts w:hAnsi="宋体"/>
          <w:highlight w:val="none"/>
        </w:rPr>
        <w:instrText xml:space="preserve"> PAGEREF _Toc70201019 \h </w:instrText>
      </w:r>
      <w:r>
        <w:rPr>
          <w:rFonts w:hAnsi="宋体"/>
          <w:highlight w:val="none"/>
        </w:rPr>
        <w:fldChar w:fldCharType="separate"/>
      </w:r>
      <w:r>
        <w:rPr>
          <w:rFonts w:hAnsi="宋体"/>
          <w:highlight w:val="none"/>
        </w:rPr>
        <w:t>14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"_Toc70201020" </w:instrText>
      </w:r>
      <w:r>
        <w:rPr>
          <w:highlight w:val="none"/>
        </w:rPr>
        <w:fldChar w:fldCharType="separate"/>
      </w:r>
      <w:r>
        <w:rPr>
          <w:rStyle w:val="49"/>
          <w:rFonts w:hAnsi="宋体"/>
          <w:color w:val="auto"/>
          <w:highlight w:val="none"/>
        </w:rPr>
        <w:t>3.3</w:t>
      </w:r>
      <w:r>
        <w:rPr>
          <w:rStyle w:val="49"/>
          <w:rFonts w:hint="eastAsia" w:hAnsi="宋体"/>
          <w:color w:val="auto"/>
          <w:highlight w:val="none"/>
        </w:rPr>
        <w:t>主要技术经济指标</w:t>
      </w:r>
      <w:r>
        <w:rPr>
          <w:rFonts w:hAnsi="宋体"/>
          <w:highlight w:val="none"/>
        </w:rPr>
        <w:tab/>
      </w:r>
      <w:r>
        <w:rPr>
          <w:rFonts w:hint="eastAsia" w:hAnsi="宋体"/>
          <w:highlight w:val="none"/>
        </w:rPr>
        <w:t>3-</w:t>
      </w:r>
      <w:r>
        <w:rPr>
          <w:rFonts w:hAnsi="宋体"/>
          <w:highlight w:val="none"/>
        </w:rPr>
        <w:fldChar w:fldCharType="begin"/>
      </w:r>
      <w:r>
        <w:rPr>
          <w:rFonts w:hAnsi="宋体"/>
          <w:highlight w:val="none"/>
        </w:rPr>
        <w:instrText xml:space="preserve"> PAGEREF _Toc70201020 \h </w:instrText>
      </w:r>
      <w:r>
        <w:rPr>
          <w:rFonts w:hAnsi="宋体"/>
          <w:highlight w:val="none"/>
        </w:rPr>
        <w:fldChar w:fldCharType="separate"/>
      </w:r>
      <w:r>
        <w:rPr>
          <w:rFonts w:hAnsi="宋体"/>
          <w:highlight w:val="none"/>
        </w:rPr>
        <w:t>17</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"_Toc70201021" </w:instrText>
      </w:r>
      <w:r>
        <w:rPr>
          <w:highlight w:val="none"/>
        </w:rPr>
        <w:fldChar w:fldCharType="separate"/>
      </w:r>
      <w:r>
        <w:rPr>
          <w:rStyle w:val="49"/>
          <w:rFonts w:hAnsi="宋体"/>
          <w:color w:val="auto"/>
          <w:highlight w:val="none"/>
        </w:rPr>
        <w:t>3.4</w:t>
      </w:r>
      <w:r>
        <w:rPr>
          <w:rStyle w:val="49"/>
          <w:rFonts w:hint="eastAsia" w:hAnsi="宋体"/>
          <w:color w:val="auto"/>
          <w:highlight w:val="none"/>
        </w:rPr>
        <w:t>运营期环境影响因素分析</w:t>
      </w:r>
      <w:r>
        <w:rPr>
          <w:rFonts w:hAnsi="宋体"/>
          <w:highlight w:val="none"/>
        </w:rPr>
        <w:tab/>
      </w:r>
      <w:r>
        <w:rPr>
          <w:rFonts w:hint="eastAsia" w:hAnsi="宋体"/>
          <w:highlight w:val="none"/>
        </w:rPr>
        <w:t>3-</w:t>
      </w:r>
      <w:r>
        <w:rPr>
          <w:rFonts w:hAnsi="宋体"/>
          <w:highlight w:val="none"/>
        </w:rPr>
        <w:fldChar w:fldCharType="begin"/>
      </w:r>
      <w:r>
        <w:rPr>
          <w:rFonts w:hAnsi="宋体"/>
          <w:highlight w:val="none"/>
        </w:rPr>
        <w:instrText xml:space="preserve"> PAGEREF _Toc70201021 \h </w:instrText>
      </w:r>
      <w:r>
        <w:rPr>
          <w:rFonts w:hAnsi="宋体"/>
          <w:highlight w:val="none"/>
        </w:rPr>
        <w:fldChar w:fldCharType="separate"/>
      </w:r>
      <w:r>
        <w:rPr>
          <w:rFonts w:hAnsi="宋体"/>
          <w:highlight w:val="none"/>
        </w:rPr>
        <w:t>18</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"_Toc70201022" </w:instrText>
      </w:r>
      <w:r>
        <w:rPr>
          <w:highlight w:val="none"/>
        </w:rPr>
        <w:fldChar w:fldCharType="separate"/>
      </w:r>
      <w:r>
        <w:rPr>
          <w:rStyle w:val="49"/>
          <w:rFonts w:hAnsi="宋体"/>
          <w:color w:val="auto"/>
          <w:highlight w:val="none"/>
        </w:rPr>
        <w:t>3.5</w:t>
      </w:r>
      <w:r>
        <w:rPr>
          <w:rStyle w:val="49"/>
          <w:rFonts w:hint="eastAsia" w:hAnsi="宋体"/>
          <w:color w:val="auto"/>
          <w:highlight w:val="none"/>
        </w:rPr>
        <w:t>营运期污染物源强核算</w:t>
      </w:r>
      <w:r>
        <w:rPr>
          <w:rFonts w:hAnsi="宋体"/>
          <w:highlight w:val="none"/>
        </w:rPr>
        <w:tab/>
      </w:r>
      <w:r>
        <w:rPr>
          <w:rFonts w:hint="eastAsia" w:hAnsi="宋体"/>
          <w:highlight w:val="none"/>
        </w:rPr>
        <w:t>3-</w:t>
      </w:r>
      <w:r>
        <w:rPr>
          <w:rFonts w:hAnsi="宋体"/>
          <w:highlight w:val="none"/>
        </w:rPr>
        <w:fldChar w:fldCharType="begin"/>
      </w:r>
      <w:r>
        <w:rPr>
          <w:rFonts w:hAnsi="宋体"/>
          <w:highlight w:val="none"/>
        </w:rPr>
        <w:instrText xml:space="preserve"> PAGEREF _Toc70201022 \h </w:instrText>
      </w:r>
      <w:r>
        <w:rPr>
          <w:rFonts w:hAnsi="宋体"/>
          <w:highlight w:val="none"/>
        </w:rPr>
        <w:fldChar w:fldCharType="separate"/>
      </w:r>
      <w:r>
        <w:rPr>
          <w:rFonts w:hAnsi="宋体"/>
          <w:highlight w:val="none"/>
        </w:rPr>
        <w:t>18</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"_Toc70201023" </w:instrText>
      </w:r>
      <w:r>
        <w:rPr>
          <w:highlight w:val="none"/>
        </w:rPr>
        <w:fldChar w:fldCharType="separate"/>
      </w:r>
      <w:r>
        <w:rPr>
          <w:rStyle w:val="49"/>
          <w:rFonts w:hint="eastAsia" w:hAnsi="宋体"/>
          <w:color w:val="auto"/>
          <w:highlight w:val="none"/>
        </w:rPr>
        <w:t>第四章</w:t>
      </w:r>
      <w:r>
        <w:rPr>
          <w:rStyle w:val="49"/>
          <w:rFonts w:hAnsi="宋体"/>
          <w:color w:val="auto"/>
          <w:highlight w:val="none"/>
        </w:rPr>
        <w:t xml:space="preserve">  </w:t>
      </w:r>
      <w:r>
        <w:rPr>
          <w:rStyle w:val="49"/>
          <w:rFonts w:hint="eastAsia" w:hAnsi="宋体"/>
          <w:color w:val="auto"/>
          <w:highlight w:val="none"/>
        </w:rPr>
        <w:t>环境现状调查与评价</w:t>
      </w:r>
      <w:r>
        <w:rPr>
          <w:rFonts w:hAnsi="宋体"/>
          <w:highlight w:val="none"/>
        </w:rPr>
        <w:tab/>
      </w:r>
      <w:r>
        <w:rPr>
          <w:rFonts w:hint="eastAsia" w:hAnsi="宋体"/>
          <w:highlight w:val="none"/>
        </w:rPr>
        <w:t>4-</w:t>
      </w:r>
      <w:r>
        <w:rPr>
          <w:rFonts w:hAnsi="宋体"/>
          <w:highlight w:val="none"/>
        </w:rPr>
        <w:fldChar w:fldCharType="begin"/>
      </w:r>
      <w:r>
        <w:rPr>
          <w:rFonts w:hAnsi="宋体"/>
          <w:highlight w:val="none"/>
        </w:rPr>
        <w:instrText xml:space="preserve"> PAGEREF _Toc70201023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"_Toc70201024" </w:instrText>
      </w:r>
      <w:r>
        <w:rPr>
          <w:highlight w:val="none"/>
        </w:rPr>
        <w:fldChar w:fldCharType="separate"/>
      </w:r>
      <w:r>
        <w:rPr>
          <w:rStyle w:val="49"/>
          <w:rFonts w:hAnsi="宋体"/>
          <w:color w:val="auto"/>
          <w:highlight w:val="none"/>
        </w:rPr>
        <w:t>4.1</w:t>
      </w:r>
      <w:r>
        <w:rPr>
          <w:rStyle w:val="49"/>
          <w:rFonts w:hint="eastAsia" w:hAnsi="宋体"/>
          <w:color w:val="auto"/>
          <w:highlight w:val="none"/>
        </w:rPr>
        <w:t>项目地理位置</w:t>
      </w:r>
      <w:r>
        <w:rPr>
          <w:rFonts w:hAnsi="宋体"/>
          <w:highlight w:val="none"/>
        </w:rPr>
        <w:tab/>
      </w:r>
      <w:r>
        <w:rPr>
          <w:rFonts w:hint="eastAsia" w:hAnsi="宋体"/>
          <w:highlight w:val="none"/>
        </w:rPr>
        <w:t>4-</w:t>
      </w:r>
      <w:r>
        <w:rPr>
          <w:rFonts w:hAnsi="宋体"/>
          <w:highlight w:val="none"/>
        </w:rPr>
        <w:fldChar w:fldCharType="begin"/>
      </w:r>
      <w:r>
        <w:rPr>
          <w:rFonts w:hAnsi="宋体"/>
          <w:highlight w:val="none"/>
        </w:rPr>
        <w:instrText xml:space="preserve"> PAGEREF _Toc70201024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"_Toc70201025" </w:instrText>
      </w:r>
      <w:r>
        <w:rPr>
          <w:highlight w:val="none"/>
        </w:rPr>
        <w:fldChar w:fldCharType="separate"/>
      </w:r>
      <w:r>
        <w:rPr>
          <w:rStyle w:val="49"/>
          <w:rFonts w:hAnsi="宋体"/>
          <w:color w:val="auto"/>
          <w:highlight w:val="none"/>
        </w:rPr>
        <w:t>4.2</w:t>
      </w:r>
      <w:r>
        <w:rPr>
          <w:rStyle w:val="49"/>
          <w:rFonts w:hint="eastAsia" w:hAnsi="宋体"/>
          <w:color w:val="auto"/>
          <w:highlight w:val="none"/>
        </w:rPr>
        <w:t>自然环境现状调查与评价</w:t>
      </w:r>
      <w:r>
        <w:rPr>
          <w:rFonts w:hAnsi="宋体"/>
          <w:highlight w:val="none"/>
        </w:rPr>
        <w:tab/>
      </w:r>
      <w:r>
        <w:rPr>
          <w:rFonts w:hint="eastAsia" w:hAnsi="宋体"/>
          <w:highlight w:val="none"/>
        </w:rPr>
        <w:t>4-</w:t>
      </w:r>
      <w:r>
        <w:rPr>
          <w:rFonts w:hAnsi="宋体"/>
          <w:highlight w:val="none"/>
        </w:rPr>
        <w:fldChar w:fldCharType="begin"/>
      </w:r>
      <w:r>
        <w:rPr>
          <w:rFonts w:hAnsi="宋体"/>
          <w:highlight w:val="none"/>
        </w:rPr>
        <w:instrText xml:space="preserve"> PAGEREF _Toc70201025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"_Toc70201026" </w:instrText>
      </w:r>
      <w:r>
        <w:rPr>
          <w:highlight w:val="none"/>
        </w:rPr>
        <w:fldChar w:fldCharType="separate"/>
      </w:r>
      <w:r>
        <w:rPr>
          <w:rStyle w:val="49"/>
          <w:rFonts w:hAnsi="宋体"/>
          <w:color w:val="auto"/>
          <w:highlight w:val="none"/>
        </w:rPr>
        <w:t>4.3</w:t>
      </w:r>
      <w:r>
        <w:rPr>
          <w:rStyle w:val="49"/>
          <w:rFonts w:hint="eastAsia" w:hAnsi="宋体"/>
          <w:color w:val="auto"/>
          <w:highlight w:val="none"/>
        </w:rPr>
        <w:t>环境质量现状调查与评价</w:t>
      </w:r>
      <w:r>
        <w:rPr>
          <w:rFonts w:hAnsi="宋体"/>
          <w:highlight w:val="none"/>
        </w:rPr>
        <w:tab/>
      </w:r>
      <w:r>
        <w:rPr>
          <w:rFonts w:hint="eastAsia" w:hAnsi="宋体"/>
          <w:highlight w:val="none"/>
        </w:rPr>
        <w:t>4-</w:t>
      </w:r>
      <w:r>
        <w:rPr>
          <w:rFonts w:hAnsi="宋体"/>
          <w:highlight w:val="none"/>
        </w:rPr>
        <w:fldChar w:fldCharType="begin"/>
      </w:r>
      <w:r>
        <w:rPr>
          <w:rFonts w:hAnsi="宋体"/>
          <w:highlight w:val="none"/>
        </w:rPr>
        <w:instrText xml:space="preserve"> PAGEREF _Toc70201026 \h </w:instrText>
      </w:r>
      <w:r>
        <w:rPr>
          <w:rFonts w:hAnsi="宋体"/>
          <w:highlight w:val="none"/>
        </w:rPr>
        <w:fldChar w:fldCharType="separate"/>
      </w:r>
      <w:r>
        <w:rPr>
          <w:rFonts w:hAnsi="宋体"/>
          <w:highlight w:val="none"/>
        </w:rPr>
        <w:t>8</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"_Toc70201027" </w:instrText>
      </w:r>
      <w:r>
        <w:rPr>
          <w:highlight w:val="none"/>
        </w:rPr>
        <w:fldChar w:fldCharType="separate"/>
      </w:r>
      <w:r>
        <w:rPr>
          <w:rStyle w:val="49"/>
          <w:rFonts w:hAnsi="宋体"/>
          <w:color w:val="auto"/>
          <w:highlight w:val="none"/>
        </w:rPr>
        <w:t>4.4</w:t>
      </w:r>
      <w:r>
        <w:rPr>
          <w:rStyle w:val="49"/>
          <w:rFonts w:hint="eastAsia" w:hAnsi="宋体"/>
          <w:color w:val="auto"/>
          <w:highlight w:val="none"/>
        </w:rPr>
        <w:t>区域污染源调查</w:t>
      </w:r>
      <w:r>
        <w:rPr>
          <w:rFonts w:hAnsi="宋体"/>
          <w:highlight w:val="none"/>
        </w:rPr>
        <w:tab/>
      </w:r>
      <w:r>
        <w:rPr>
          <w:rFonts w:hint="eastAsia" w:hAnsi="宋体"/>
          <w:highlight w:val="none"/>
        </w:rPr>
        <w:t>4-</w:t>
      </w:r>
      <w:r>
        <w:rPr>
          <w:rFonts w:hAnsi="宋体"/>
          <w:highlight w:val="none"/>
        </w:rPr>
        <w:fldChar w:fldCharType="begin"/>
      </w:r>
      <w:r>
        <w:rPr>
          <w:rFonts w:hAnsi="宋体"/>
          <w:highlight w:val="none"/>
        </w:rPr>
        <w:instrText xml:space="preserve"> PAGEREF _Toc70201027 \h </w:instrText>
      </w:r>
      <w:r>
        <w:rPr>
          <w:rFonts w:hAnsi="宋体"/>
          <w:highlight w:val="none"/>
        </w:rPr>
        <w:fldChar w:fldCharType="separate"/>
      </w:r>
      <w:r>
        <w:rPr>
          <w:rFonts w:hAnsi="宋体"/>
          <w:highlight w:val="none"/>
        </w:rPr>
        <w:t>37</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"_Toc70201028" </w:instrText>
      </w:r>
      <w:r>
        <w:rPr>
          <w:highlight w:val="none"/>
        </w:rPr>
        <w:fldChar w:fldCharType="separate"/>
      </w:r>
      <w:r>
        <w:rPr>
          <w:rStyle w:val="49"/>
          <w:rFonts w:hint="eastAsia" w:hAnsi="宋体"/>
          <w:color w:val="auto"/>
          <w:highlight w:val="none"/>
        </w:rPr>
        <w:t>第五章</w:t>
      </w:r>
      <w:r>
        <w:rPr>
          <w:rStyle w:val="49"/>
          <w:rFonts w:hAnsi="宋体"/>
          <w:color w:val="auto"/>
          <w:highlight w:val="none"/>
        </w:rPr>
        <w:t xml:space="preserve">  </w:t>
      </w:r>
      <w:r>
        <w:rPr>
          <w:rStyle w:val="49"/>
          <w:rFonts w:hint="eastAsia" w:hAnsi="宋体"/>
          <w:color w:val="auto"/>
          <w:highlight w:val="none"/>
        </w:rPr>
        <w:t>环境影响预测及评价</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_Toc70201028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"_Toc70201029" </w:instrText>
      </w:r>
      <w:r>
        <w:rPr>
          <w:highlight w:val="none"/>
        </w:rPr>
        <w:fldChar w:fldCharType="separate"/>
      </w:r>
      <w:r>
        <w:rPr>
          <w:rStyle w:val="49"/>
          <w:rFonts w:hAnsi="宋体"/>
          <w:color w:val="auto"/>
          <w:highlight w:val="none"/>
        </w:rPr>
        <w:t>5.1</w:t>
      </w:r>
      <w:r>
        <w:rPr>
          <w:rStyle w:val="49"/>
          <w:rFonts w:hint="eastAsia" w:hAnsi="宋体"/>
          <w:color w:val="auto"/>
          <w:highlight w:val="none"/>
        </w:rPr>
        <w:t>施工期环境影响分析</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_Toc70201029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"_Toc70201030" </w:instrText>
      </w:r>
      <w:r>
        <w:rPr>
          <w:highlight w:val="none"/>
        </w:rPr>
        <w:fldChar w:fldCharType="separate"/>
      </w:r>
      <w:r>
        <w:rPr>
          <w:rStyle w:val="49"/>
          <w:rFonts w:hAnsi="宋体"/>
          <w:color w:val="auto"/>
          <w:highlight w:val="none"/>
        </w:rPr>
        <w:t>5.2</w:t>
      </w:r>
      <w:r>
        <w:rPr>
          <w:rStyle w:val="49"/>
          <w:rFonts w:hint="eastAsia" w:hAnsi="宋体"/>
          <w:color w:val="auto"/>
          <w:highlight w:val="none"/>
        </w:rPr>
        <w:t>运营期大气环境影响预测与评价</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_Toc70201030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"_Toc70201031" </w:instrText>
      </w:r>
      <w:r>
        <w:rPr>
          <w:highlight w:val="none"/>
        </w:rPr>
        <w:fldChar w:fldCharType="separate"/>
      </w:r>
      <w:r>
        <w:rPr>
          <w:rStyle w:val="49"/>
          <w:rFonts w:hAnsi="宋体"/>
          <w:color w:val="auto"/>
          <w:highlight w:val="none"/>
        </w:rPr>
        <w:t>5.3</w:t>
      </w:r>
      <w:r>
        <w:rPr>
          <w:rStyle w:val="49"/>
          <w:rFonts w:hint="eastAsia" w:hAnsi="宋体"/>
          <w:color w:val="auto"/>
          <w:highlight w:val="none"/>
        </w:rPr>
        <w:t>运营期地下水环境影响预测与评价</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_Toc70201031 \h </w:instrText>
      </w:r>
      <w:r>
        <w:rPr>
          <w:rFonts w:hAnsi="宋体"/>
          <w:highlight w:val="none"/>
        </w:rPr>
        <w:fldChar w:fldCharType="separate"/>
      </w:r>
      <w:r>
        <w:rPr>
          <w:rFonts w:hAnsi="宋体"/>
          <w:highlight w:val="none"/>
        </w:rPr>
        <w:t>11</w:t>
      </w:r>
      <w:r>
        <w:rPr>
          <w:rFonts w:hAnsi="宋体"/>
          <w:highlight w:val="none"/>
        </w:rPr>
        <w:fldChar w:fldCharType="end"/>
      </w:r>
      <w:r>
        <w:rPr>
          <w:rFonts w:hAnsi="宋体"/>
          <w:highlight w:val="none"/>
        </w:rPr>
        <w:fldChar w:fldCharType="end"/>
      </w:r>
    </w:p>
    <w:p>
      <w:pPr>
        <w:pStyle w:val="34"/>
        <w:tabs>
          <w:tab w:val="right" w:leader="dot" w:pos="8720"/>
        </w:tabs>
        <w:ind w:firstLine="240"/>
        <w:rPr>
          <w:rFonts w:hint="eastAsia" w:hAnsi="宋体" w:eastAsia="宋体" w:cstheme="minorBidi"/>
          <w:sz w:val="21"/>
          <w:szCs w:val="22"/>
          <w:highlight w:val="none"/>
          <w:lang w:val="en-US" w:eastAsia="zh-CN"/>
        </w:rPr>
      </w:pPr>
      <w:r>
        <w:rPr>
          <w:highlight w:val="none"/>
        </w:rPr>
        <w:fldChar w:fldCharType="begin"/>
      </w:r>
      <w:r>
        <w:rPr>
          <w:highlight w:val="none"/>
        </w:rPr>
        <w:instrText xml:space="preserve"> HYPERLINK \l "_Toc70201032" </w:instrText>
      </w:r>
      <w:r>
        <w:rPr>
          <w:highlight w:val="none"/>
        </w:rPr>
        <w:fldChar w:fldCharType="separate"/>
      </w:r>
      <w:r>
        <w:rPr>
          <w:rStyle w:val="49"/>
          <w:rFonts w:hAnsi="宋体"/>
          <w:color w:val="auto"/>
          <w:highlight w:val="none"/>
        </w:rPr>
        <w:t>5.4</w:t>
      </w:r>
      <w:r>
        <w:rPr>
          <w:rStyle w:val="49"/>
          <w:rFonts w:hint="eastAsia" w:hAnsi="宋体"/>
          <w:color w:val="auto"/>
          <w:highlight w:val="none"/>
        </w:rPr>
        <w:t>运营期声环境影响预测与评价</w:t>
      </w:r>
      <w:r>
        <w:rPr>
          <w:rFonts w:hAnsi="宋体"/>
          <w:highlight w:val="none"/>
        </w:rPr>
        <w:tab/>
      </w:r>
      <w:r>
        <w:rPr>
          <w:rFonts w:hint="eastAsia" w:hAnsi="宋体"/>
          <w:highlight w:val="none"/>
        </w:rPr>
        <w:t>5-</w:t>
      </w:r>
      <w:r>
        <w:rPr>
          <w:rFonts w:hint="eastAsia" w:hAnsi="宋体"/>
          <w:highlight w:val="none"/>
          <w:lang w:val="en-US" w:eastAsia="zh-CN"/>
        </w:rPr>
        <w:t>3</w:t>
      </w:r>
      <w:r>
        <w:rPr>
          <w:rFonts w:hAnsi="宋体"/>
          <w:highlight w:val="none"/>
        </w:rPr>
        <w:fldChar w:fldCharType="end"/>
      </w:r>
      <w:r>
        <w:rPr>
          <w:rFonts w:hint="eastAsia" w:hAnsi="宋体"/>
          <w:highlight w:val="none"/>
          <w:lang w:val="en-US" w:eastAsia="zh-CN"/>
        </w:rPr>
        <w:t>8</w:t>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"_Toc70201033" </w:instrText>
      </w:r>
      <w:r>
        <w:rPr>
          <w:highlight w:val="none"/>
        </w:rPr>
        <w:fldChar w:fldCharType="separate"/>
      </w:r>
      <w:r>
        <w:rPr>
          <w:rStyle w:val="49"/>
          <w:rFonts w:hAnsi="宋体"/>
          <w:color w:val="auto"/>
          <w:highlight w:val="none"/>
        </w:rPr>
        <w:t>5.5</w:t>
      </w:r>
      <w:r>
        <w:rPr>
          <w:rStyle w:val="49"/>
          <w:rFonts w:hint="eastAsia" w:hAnsi="宋体"/>
          <w:color w:val="auto"/>
          <w:highlight w:val="none"/>
        </w:rPr>
        <w:t>运营期固体废物影响分析</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_Toc70201033 \h </w:instrText>
      </w:r>
      <w:r>
        <w:rPr>
          <w:rFonts w:hAnsi="宋体"/>
          <w:highlight w:val="none"/>
        </w:rPr>
        <w:fldChar w:fldCharType="separate"/>
      </w:r>
      <w:r>
        <w:rPr>
          <w:rFonts w:hAnsi="宋体"/>
          <w:highlight w:val="none"/>
        </w:rPr>
        <w:t>40</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"_Toc70201034" </w:instrText>
      </w:r>
      <w:r>
        <w:rPr>
          <w:highlight w:val="none"/>
        </w:rPr>
        <w:fldChar w:fldCharType="separate"/>
      </w:r>
      <w:r>
        <w:rPr>
          <w:rStyle w:val="49"/>
          <w:rFonts w:hAnsi="宋体"/>
          <w:color w:val="auto"/>
          <w:highlight w:val="none"/>
        </w:rPr>
        <w:t>5.6</w:t>
      </w:r>
      <w:r>
        <w:rPr>
          <w:rStyle w:val="49"/>
          <w:rFonts w:hint="eastAsia" w:hAnsi="宋体"/>
          <w:color w:val="auto"/>
          <w:highlight w:val="none"/>
        </w:rPr>
        <w:t>运营期地表水环境影响分析</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_Toc70201034 \h </w:instrText>
      </w:r>
      <w:r>
        <w:rPr>
          <w:rFonts w:hAnsi="宋体"/>
          <w:highlight w:val="none"/>
        </w:rPr>
        <w:fldChar w:fldCharType="separate"/>
      </w:r>
      <w:r>
        <w:rPr>
          <w:rFonts w:hAnsi="宋体"/>
          <w:highlight w:val="none"/>
        </w:rPr>
        <w:t>42</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"_Toc70201035" </w:instrText>
      </w:r>
      <w:r>
        <w:rPr>
          <w:highlight w:val="none"/>
        </w:rPr>
        <w:fldChar w:fldCharType="separate"/>
      </w:r>
      <w:r>
        <w:rPr>
          <w:rStyle w:val="49"/>
          <w:rFonts w:hAnsi="宋体"/>
          <w:color w:val="auto"/>
          <w:highlight w:val="none"/>
        </w:rPr>
        <w:t>5.7</w:t>
      </w:r>
      <w:r>
        <w:rPr>
          <w:rStyle w:val="49"/>
          <w:rFonts w:hint="eastAsia" w:hAnsi="宋体"/>
          <w:color w:val="auto"/>
          <w:highlight w:val="none"/>
        </w:rPr>
        <w:t>运营期环境风险预测与评价</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_Toc70201035 \h </w:instrText>
      </w:r>
      <w:r>
        <w:rPr>
          <w:rFonts w:hAnsi="宋体"/>
          <w:highlight w:val="none"/>
        </w:rPr>
        <w:fldChar w:fldCharType="separate"/>
      </w:r>
      <w:r>
        <w:rPr>
          <w:rFonts w:hAnsi="宋体"/>
          <w:highlight w:val="none"/>
        </w:rPr>
        <w:t>47</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"_Toc70201036" </w:instrText>
      </w:r>
      <w:r>
        <w:rPr>
          <w:highlight w:val="none"/>
        </w:rPr>
        <w:fldChar w:fldCharType="separate"/>
      </w:r>
      <w:r>
        <w:rPr>
          <w:rStyle w:val="49"/>
          <w:rFonts w:hAnsi="宋体"/>
          <w:color w:val="auto"/>
          <w:highlight w:val="none"/>
        </w:rPr>
        <w:t>5.8</w:t>
      </w:r>
      <w:r>
        <w:rPr>
          <w:rStyle w:val="49"/>
          <w:rFonts w:hint="eastAsia" w:hAnsi="宋体"/>
          <w:color w:val="auto"/>
          <w:highlight w:val="none"/>
        </w:rPr>
        <w:t>运营期土壤环境影响分析</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_Toc70201036 \h </w:instrText>
      </w:r>
      <w:r>
        <w:rPr>
          <w:rFonts w:hAnsi="宋体"/>
          <w:highlight w:val="none"/>
        </w:rPr>
        <w:fldChar w:fldCharType="separate"/>
      </w:r>
      <w:r>
        <w:rPr>
          <w:rFonts w:hAnsi="宋体"/>
          <w:highlight w:val="none"/>
        </w:rPr>
        <w:t>71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"_Toc70201037" </w:instrText>
      </w:r>
      <w:r>
        <w:rPr>
          <w:highlight w:val="none"/>
        </w:rPr>
        <w:fldChar w:fldCharType="separate"/>
      </w:r>
      <w:r>
        <w:rPr>
          <w:rStyle w:val="49"/>
          <w:rFonts w:hAnsi="宋体"/>
          <w:color w:val="auto"/>
          <w:highlight w:val="none"/>
        </w:rPr>
        <w:t>5.9</w:t>
      </w:r>
      <w:r>
        <w:rPr>
          <w:rStyle w:val="49"/>
          <w:rFonts w:hint="eastAsia" w:hAnsi="宋体"/>
          <w:color w:val="auto"/>
          <w:highlight w:val="none"/>
        </w:rPr>
        <w:t>运营期生态环境影响分析</w:t>
      </w:r>
      <w:r>
        <w:rPr>
          <w:rFonts w:hAnsi="宋体"/>
          <w:highlight w:val="none"/>
        </w:rPr>
        <w:tab/>
      </w:r>
      <w:r>
        <w:rPr>
          <w:rFonts w:hint="eastAsia" w:hAnsi="宋体"/>
          <w:highlight w:val="none"/>
        </w:rPr>
        <w:t>5-</w:t>
      </w:r>
      <w:r>
        <w:rPr>
          <w:rFonts w:hAnsi="宋体"/>
          <w:highlight w:val="none"/>
        </w:rPr>
        <w:fldChar w:fldCharType="begin"/>
      </w:r>
      <w:r>
        <w:rPr>
          <w:rFonts w:hAnsi="宋体"/>
          <w:highlight w:val="none"/>
        </w:rPr>
        <w:instrText xml:space="preserve"> PAGEREF _Toc70201037 \h </w:instrText>
      </w:r>
      <w:r>
        <w:rPr>
          <w:rFonts w:hAnsi="宋体"/>
          <w:highlight w:val="none"/>
        </w:rPr>
        <w:fldChar w:fldCharType="separate"/>
      </w:r>
      <w:r>
        <w:rPr>
          <w:rFonts w:hAnsi="宋体"/>
          <w:highlight w:val="none"/>
        </w:rPr>
        <w:t>78</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"_Toc70201038" </w:instrText>
      </w:r>
      <w:r>
        <w:rPr>
          <w:highlight w:val="none"/>
        </w:rPr>
        <w:fldChar w:fldCharType="separate"/>
      </w:r>
      <w:r>
        <w:rPr>
          <w:rStyle w:val="49"/>
          <w:rFonts w:hint="eastAsia" w:hAnsi="宋体"/>
          <w:color w:val="auto"/>
          <w:highlight w:val="none"/>
        </w:rPr>
        <w:t>第六章</w:t>
      </w:r>
      <w:r>
        <w:rPr>
          <w:rStyle w:val="49"/>
          <w:rFonts w:hAnsi="宋体"/>
          <w:color w:val="auto"/>
          <w:highlight w:val="none"/>
        </w:rPr>
        <w:t xml:space="preserve">  </w:t>
      </w:r>
      <w:r>
        <w:rPr>
          <w:rStyle w:val="49"/>
          <w:rFonts w:hint="eastAsia" w:hAnsi="宋体"/>
          <w:color w:val="auto"/>
          <w:highlight w:val="none"/>
        </w:rPr>
        <w:t>环境保护措施及可行性论证</w:t>
      </w:r>
      <w:r>
        <w:rPr>
          <w:rFonts w:hAnsi="宋体"/>
          <w:highlight w:val="none"/>
        </w:rPr>
        <w:tab/>
      </w:r>
      <w:r>
        <w:rPr>
          <w:rFonts w:hint="eastAsia" w:hAnsi="宋体"/>
          <w:highlight w:val="none"/>
        </w:rPr>
        <w:t>6-</w:t>
      </w:r>
      <w:r>
        <w:rPr>
          <w:rFonts w:hAnsi="宋体"/>
          <w:highlight w:val="none"/>
        </w:rPr>
        <w:fldChar w:fldCharType="begin"/>
      </w:r>
      <w:r>
        <w:rPr>
          <w:rFonts w:hAnsi="宋体"/>
          <w:highlight w:val="none"/>
        </w:rPr>
        <w:instrText xml:space="preserve"> PAGEREF _Toc70201038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"_Toc70201039" </w:instrText>
      </w:r>
      <w:r>
        <w:rPr>
          <w:highlight w:val="none"/>
        </w:rPr>
        <w:fldChar w:fldCharType="separate"/>
      </w:r>
      <w:r>
        <w:rPr>
          <w:rStyle w:val="49"/>
          <w:rFonts w:hAnsi="宋体"/>
          <w:color w:val="auto"/>
          <w:highlight w:val="none"/>
        </w:rPr>
        <w:t>6.1</w:t>
      </w:r>
      <w:r>
        <w:rPr>
          <w:rStyle w:val="49"/>
          <w:rFonts w:hint="eastAsia" w:hAnsi="宋体"/>
          <w:color w:val="auto"/>
          <w:highlight w:val="none"/>
        </w:rPr>
        <w:t>运营期环境保护措施及可行性论证</w:t>
      </w:r>
      <w:r>
        <w:rPr>
          <w:rFonts w:hAnsi="宋体"/>
          <w:highlight w:val="none"/>
        </w:rPr>
        <w:tab/>
      </w:r>
      <w:r>
        <w:rPr>
          <w:rFonts w:hint="eastAsia" w:hAnsi="宋体"/>
          <w:highlight w:val="none"/>
        </w:rPr>
        <w:t>6-</w:t>
      </w:r>
      <w:r>
        <w:rPr>
          <w:rFonts w:hAnsi="宋体"/>
          <w:highlight w:val="none"/>
        </w:rPr>
        <w:fldChar w:fldCharType="begin"/>
      </w:r>
      <w:r>
        <w:rPr>
          <w:rFonts w:hAnsi="宋体"/>
          <w:highlight w:val="none"/>
        </w:rPr>
        <w:instrText xml:space="preserve"> PAGEREF _Toc70201039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"_Toc70201040" </w:instrText>
      </w:r>
      <w:r>
        <w:rPr>
          <w:highlight w:val="none"/>
        </w:rPr>
        <w:fldChar w:fldCharType="separate"/>
      </w:r>
      <w:r>
        <w:rPr>
          <w:rStyle w:val="49"/>
          <w:rFonts w:hAnsi="宋体"/>
          <w:color w:val="auto"/>
          <w:spacing w:val="-2"/>
          <w:highlight w:val="none"/>
        </w:rPr>
        <w:t>6</w:t>
      </w:r>
      <w:r>
        <w:rPr>
          <w:rStyle w:val="49"/>
          <w:rFonts w:hAnsi="宋体"/>
          <w:color w:val="auto"/>
          <w:spacing w:val="1"/>
          <w:highlight w:val="none"/>
        </w:rPr>
        <w:t>.</w:t>
      </w:r>
      <w:r>
        <w:rPr>
          <w:rStyle w:val="49"/>
          <w:rFonts w:hAnsi="宋体"/>
          <w:color w:val="auto"/>
          <w:highlight w:val="none"/>
        </w:rPr>
        <w:t>2</w:t>
      </w:r>
      <w:r>
        <w:rPr>
          <w:rStyle w:val="49"/>
          <w:rFonts w:hint="eastAsia" w:hAnsi="宋体"/>
          <w:color w:val="auto"/>
          <w:highlight w:val="none"/>
        </w:rPr>
        <w:t>污染防治</w:t>
      </w:r>
      <w:r>
        <w:rPr>
          <w:rStyle w:val="49"/>
          <w:rFonts w:hint="eastAsia" w:hAnsi="宋体"/>
          <w:color w:val="auto"/>
          <w:spacing w:val="2"/>
          <w:highlight w:val="none"/>
        </w:rPr>
        <w:t>环</w:t>
      </w:r>
      <w:r>
        <w:rPr>
          <w:rStyle w:val="49"/>
          <w:rFonts w:hint="eastAsia" w:hAnsi="宋体"/>
          <w:color w:val="auto"/>
          <w:highlight w:val="none"/>
        </w:rPr>
        <w:t>保投资估算</w:t>
      </w:r>
      <w:r>
        <w:rPr>
          <w:rFonts w:hAnsi="宋体"/>
          <w:highlight w:val="none"/>
        </w:rPr>
        <w:tab/>
      </w:r>
      <w:r>
        <w:rPr>
          <w:rFonts w:hint="eastAsia" w:hAnsi="宋体"/>
          <w:highlight w:val="none"/>
        </w:rPr>
        <w:t>6-</w:t>
      </w:r>
      <w:r>
        <w:rPr>
          <w:rFonts w:hAnsi="宋体"/>
          <w:highlight w:val="none"/>
        </w:rPr>
        <w:fldChar w:fldCharType="begin"/>
      </w:r>
      <w:r>
        <w:rPr>
          <w:rFonts w:hAnsi="宋体"/>
          <w:highlight w:val="none"/>
        </w:rPr>
        <w:instrText xml:space="preserve"> PAGEREF _Toc70201040 \h </w:instrText>
      </w:r>
      <w:r>
        <w:rPr>
          <w:rFonts w:hAnsi="宋体"/>
          <w:highlight w:val="none"/>
        </w:rPr>
        <w:fldChar w:fldCharType="separate"/>
      </w:r>
      <w:r>
        <w:rPr>
          <w:rFonts w:hAnsi="宋体"/>
          <w:highlight w:val="none"/>
        </w:rPr>
        <w:t>7</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"_Toc70201041" </w:instrText>
      </w:r>
      <w:r>
        <w:rPr>
          <w:highlight w:val="none"/>
        </w:rPr>
        <w:fldChar w:fldCharType="separate"/>
      </w:r>
      <w:r>
        <w:rPr>
          <w:rStyle w:val="49"/>
          <w:rFonts w:hint="eastAsia" w:hAnsi="宋体"/>
          <w:color w:val="auto"/>
          <w:highlight w:val="none"/>
        </w:rPr>
        <w:t>第七章</w:t>
      </w:r>
      <w:r>
        <w:rPr>
          <w:rStyle w:val="49"/>
          <w:rFonts w:hAnsi="宋体"/>
          <w:color w:val="auto"/>
          <w:highlight w:val="none"/>
        </w:rPr>
        <w:t xml:space="preserve">  </w:t>
      </w:r>
      <w:r>
        <w:rPr>
          <w:rStyle w:val="49"/>
          <w:rFonts w:hint="eastAsia" w:hAnsi="宋体"/>
          <w:color w:val="auto"/>
          <w:highlight w:val="none"/>
        </w:rPr>
        <w:t>环境影响经济损益分析</w:t>
      </w:r>
      <w:r>
        <w:rPr>
          <w:rFonts w:hAnsi="宋体"/>
          <w:highlight w:val="none"/>
        </w:rPr>
        <w:tab/>
      </w:r>
      <w:r>
        <w:rPr>
          <w:rFonts w:hint="eastAsia" w:hAnsi="宋体"/>
          <w:highlight w:val="none"/>
        </w:rPr>
        <w:t>7-</w:t>
      </w:r>
      <w:r>
        <w:rPr>
          <w:rFonts w:hAnsi="宋体"/>
          <w:highlight w:val="none"/>
        </w:rPr>
        <w:fldChar w:fldCharType="begin"/>
      </w:r>
      <w:r>
        <w:rPr>
          <w:rFonts w:hAnsi="宋体"/>
          <w:highlight w:val="none"/>
        </w:rPr>
        <w:instrText xml:space="preserve"> PAGEREF _Toc70201041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"_Toc70201042" </w:instrText>
      </w:r>
      <w:r>
        <w:rPr>
          <w:highlight w:val="none"/>
        </w:rPr>
        <w:fldChar w:fldCharType="separate"/>
      </w:r>
      <w:r>
        <w:rPr>
          <w:rStyle w:val="49"/>
          <w:rFonts w:hAnsi="宋体"/>
          <w:color w:val="auto"/>
          <w:highlight w:val="none"/>
        </w:rPr>
        <w:t>7.1</w:t>
      </w:r>
      <w:r>
        <w:rPr>
          <w:rStyle w:val="49"/>
          <w:rFonts w:hint="eastAsia" w:hAnsi="宋体"/>
          <w:color w:val="auto"/>
          <w:highlight w:val="none"/>
        </w:rPr>
        <w:t>经济效益</w:t>
      </w:r>
      <w:r>
        <w:rPr>
          <w:rFonts w:hAnsi="宋体"/>
          <w:highlight w:val="none"/>
        </w:rPr>
        <w:tab/>
      </w:r>
      <w:r>
        <w:rPr>
          <w:rFonts w:hint="eastAsia" w:hAnsi="宋体"/>
          <w:highlight w:val="none"/>
        </w:rPr>
        <w:t>7-</w:t>
      </w:r>
      <w:r>
        <w:rPr>
          <w:rFonts w:hAnsi="宋体"/>
          <w:highlight w:val="none"/>
        </w:rPr>
        <w:fldChar w:fldCharType="begin"/>
      </w:r>
      <w:r>
        <w:rPr>
          <w:rFonts w:hAnsi="宋体"/>
          <w:highlight w:val="none"/>
        </w:rPr>
        <w:instrText xml:space="preserve"> PAGEREF _Toc70201042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"_Toc70201043" </w:instrText>
      </w:r>
      <w:r>
        <w:rPr>
          <w:highlight w:val="none"/>
        </w:rPr>
        <w:fldChar w:fldCharType="separate"/>
      </w:r>
      <w:r>
        <w:rPr>
          <w:rStyle w:val="49"/>
          <w:rFonts w:hAnsi="宋体"/>
          <w:color w:val="auto"/>
          <w:highlight w:val="none"/>
        </w:rPr>
        <w:t>7.2</w:t>
      </w:r>
      <w:r>
        <w:rPr>
          <w:rStyle w:val="49"/>
          <w:rFonts w:hint="eastAsia" w:hAnsi="宋体"/>
          <w:color w:val="auto"/>
          <w:highlight w:val="none"/>
        </w:rPr>
        <w:t>社会效益</w:t>
      </w:r>
      <w:r>
        <w:rPr>
          <w:rFonts w:hAnsi="宋体"/>
          <w:highlight w:val="none"/>
        </w:rPr>
        <w:tab/>
      </w:r>
      <w:r>
        <w:rPr>
          <w:rFonts w:hint="eastAsia" w:hAnsi="宋体"/>
          <w:highlight w:val="none"/>
        </w:rPr>
        <w:t>7-</w:t>
      </w:r>
      <w:r>
        <w:rPr>
          <w:rFonts w:hAnsi="宋体"/>
          <w:highlight w:val="none"/>
        </w:rPr>
        <w:fldChar w:fldCharType="begin"/>
      </w:r>
      <w:r>
        <w:rPr>
          <w:rFonts w:hAnsi="宋体"/>
          <w:highlight w:val="none"/>
        </w:rPr>
        <w:instrText xml:space="preserve"> PAGEREF _Toc70201043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"_Toc70201044" </w:instrText>
      </w:r>
      <w:r>
        <w:rPr>
          <w:highlight w:val="none"/>
        </w:rPr>
        <w:fldChar w:fldCharType="separate"/>
      </w:r>
      <w:r>
        <w:rPr>
          <w:rStyle w:val="49"/>
          <w:rFonts w:hAnsi="宋体"/>
          <w:color w:val="auto"/>
          <w:highlight w:val="none"/>
        </w:rPr>
        <w:t>7.3</w:t>
      </w:r>
      <w:r>
        <w:rPr>
          <w:rStyle w:val="49"/>
          <w:rFonts w:hint="eastAsia" w:hAnsi="宋体"/>
          <w:color w:val="auto"/>
          <w:highlight w:val="none"/>
        </w:rPr>
        <w:t>建设项目成本分析</w:t>
      </w:r>
      <w:r>
        <w:rPr>
          <w:rFonts w:hAnsi="宋体"/>
          <w:highlight w:val="none"/>
        </w:rPr>
        <w:tab/>
      </w:r>
      <w:r>
        <w:rPr>
          <w:rFonts w:hint="eastAsia" w:hAnsi="宋体"/>
          <w:highlight w:val="none"/>
        </w:rPr>
        <w:t>7-</w:t>
      </w:r>
      <w:r>
        <w:rPr>
          <w:rFonts w:hAnsi="宋体"/>
          <w:highlight w:val="none"/>
        </w:rPr>
        <w:fldChar w:fldCharType="begin"/>
      </w:r>
      <w:r>
        <w:rPr>
          <w:rFonts w:hAnsi="宋体"/>
          <w:highlight w:val="none"/>
        </w:rPr>
        <w:instrText xml:space="preserve"> PAGEREF _Toc70201044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"_Toc70201045" </w:instrText>
      </w:r>
      <w:r>
        <w:rPr>
          <w:highlight w:val="none"/>
        </w:rPr>
        <w:fldChar w:fldCharType="separate"/>
      </w:r>
      <w:r>
        <w:rPr>
          <w:rStyle w:val="49"/>
          <w:rFonts w:hAnsi="宋体"/>
          <w:color w:val="auto"/>
          <w:highlight w:val="none"/>
        </w:rPr>
        <w:t>7.4</w:t>
      </w:r>
      <w:r>
        <w:rPr>
          <w:rStyle w:val="49"/>
          <w:rFonts w:hint="eastAsia" w:hAnsi="宋体"/>
          <w:color w:val="auto"/>
          <w:highlight w:val="none"/>
        </w:rPr>
        <w:t>环境经济损益分析</w:t>
      </w:r>
      <w:r>
        <w:rPr>
          <w:rFonts w:hAnsi="宋体"/>
          <w:highlight w:val="none"/>
        </w:rPr>
        <w:tab/>
      </w:r>
      <w:r>
        <w:rPr>
          <w:rFonts w:hint="eastAsia" w:hAnsi="宋体"/>
          <w:highlight w:val="none"/>
        </w:rPr>
        <w:t>7-</w:t>
      </w:r>
      <w:r>
        <w:rPr>
          <w:rFonts w:hAnsi="宋体"/>
          <w:highlight w:val="none"/>
        </w:rPr>
        <w:fldChar w:fldCharType="begin"/>
      </w:r>
      <w:r>
        <w:rPr>
          <w:rFonts w:hAnsi="宋体"/>
          <w:highlight w:val="none"/>
        </w:rPr>
        <w:instrText xml:space="preserve"> PAGEREF _Toc70201045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"_Toc70201046" </w:instrText>
      </w:r>
      <w:r>
        <w:rPr>
          <w:highlight w:val="none"/>
        </w:rPr>
        <w:fldChar w:fldCharType="separate"/>
      </w:r>
      <w:r>
        <w:rPr>
          <w:rStyle w:val="49"/>
          <w:rFonts w:hAnsi="宋体"/>
          <w:color w:val="auto"/>
          <w:highlight w:val="none"/>
        </w:rPr>
        <w:t>7.5</w:t>
      </w:r>
      <w:r>
        <w:rPr>
          <w:rStyle w:val="49"/>
          <w:rFonts w:hint="eastAsia" w:hAnsi="宋体"/>
          <w:color w:val="auto"/>
          <w:highlight w:val="none"/>
        </w:rPr>
        <w:t>结论</w:t>
      </w:r>
      <w:r>
        <w:rPr>
          <w:rFonts w:hAnsi="宋体"/>
          <w:highlight w:val="none"/>
        </w:rPr>
        <w:tab/>
      </w:r>
      <w:r>
        <w:rPr>
          <w:rFonts w:hint="eastAsia" w:hAnsi="宋体"/>
          <w:highlight w:val="none"/>
        </w:rPr>
        <w:t>7-</w:t>
      </w:r>
      <w:r>
        <w:rPr>
          <w:rFonts w:hAnsi="宋体"/>
          <w:highlight w:val="none"/>
        </w:rPr>
        <w:fldChar w:fldCharType="begin"/>
      </w:r>
      <w:r>
        <w:rPr>
          <w:rFonts w:hAnsi="宋体"/>
          <w:highlight w:val="none"/>
        </w:rPr>
        <w:instrText xml:space="preserve"> PAGEREF _Toc70201046 \h </w:instrText>
      </w:r>
      <w:r>
        <w:rPr>
          <w:rFonts w:hAnsi="宋体"/>
          <w:highlight w:val="none"/>
        </w:rPr>
        <w:fldChar w:fldCharType="separate"/>
      </w:r>
      <w:r>
        <w:rPr>
          <w:rFonts w:hAnsi="宋体"/>
          <w:highlight w:val="none"/>
        </w:rPr>
        <w:t>2</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"_Toc70201047" </w:instrText>
      </w:r>
      <w:r>
        <w:rPr>
          <w:highlight w:val="none"/>
        </w:rPr>
        <w:fldChar w:fldCharType="separate"/>
      </w:r>
      <w:r>
        <w:rPr>
          <w:rStyle w:val="49"/>
          <w:rFonts w:hint="eastAsia" w:hAnsi="宋体"/>
          <w:color w:val="auto"/>
          <w:highlight w:val="none"/>
        </w:rPr>
        <w:t>第八章</w:t>
      </w:r>
      <w:r>
        <w:rPr>
          <w:rStyle w:val="49"/>
          <w:rFonts w:hAnsi="宋体"/>
          <w:color w:val="auto"/>
          <w:highlight w:val="none"/>
        </w:rPr>
        <w:t xml:space="preserve">  </w:t>
      </w:r>
      <w:r>
        <w:rPr>
          <w:rStyle w:val="49"/>
          <w:rFonts w:hint="eastAsia" w:hAnsi="宋体"/>
          <w:color w:val="auto"/>
          <w:highlight w:val="none"/>
        </w:rPr>
        <w:t>环境管理与监测计划</w:t>
      </w:r>
      <w:r>
        <w:rPr>
          <w:rFonts w:hAnsi="宋体"/>
          <w:highlight w:val="none"/>
        </w:rPr>
        <w:tab/>
      </w:r>
      <w:r>
        <w:rPr>
          <w:rFonts w:hint="eastAsia" w:hAnsi="宋体"/>
          <w:highlight w:val="none"/>
        </w:rPr>
        <w:t>8-</w:t>
      </w:r>
      <w:r>
        <w:rPr>
          <w:rFonts w:hAnsi="宋体"/>
          <w:highlight w:val="none"/>
        </w:rPr>
        <w:fldChar w:fldCharType="begin"/>
      </w:r>
      <w:r>
        <w:rPr>
          <w:rFonts w:hAnsi="宋体"/>
          <w:highlight w:val="none"/>
        </w:rPr>
        <w:instrText xml:space="preserve"> PAGEREF _Toc70201047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"_Toc70201048" </w:instrText>
      </w:r>
      <w:r>
        <w:rPr>
          <w:highlight w:val="none"/>
        </w:rPr>
        <w:fldChar w:fldCharType="separate"/>
      </w:r>
      <w:r>
        <w:rPr>
          <w:rStyle w:val="49"/>
          <w:rFonts w:hAnsi="宋体"/>
          <w:color w:val="auto"/>
          <w:highlight w:val="none"/>
        </w:rPr>
        <w:t>8.1</w:t>
      </w:r>
      <w:r>
        <w:rPr>
          <w:rStyle w:val="49"/>
          <w:rFonts w:hint="eastAsia" w:hAnsi="宋体"/>
          <w:color w:val="auto"/>
          <w:highlight w:val="none"/>
        </w:rPr>
        <w:t>环境管理</w:t>
      </w:r>
      <w:r>
        <w:rPr>
          <w:rFonts w:hAnsi="宋体"/>
          <w:highlight w:val="none"/>
        </w:rPr>
        <w:tab/>
      </w:r>
      <w:r>
        <w:rPr>
          <w:rFonts w:hint="eastAsia" w:hAnsi="宋体"/>
          <w:highlight w:val="none"/>
        </w:rPr>
        <w:t>8-</w:t>
      </w:r>
      <w:r>
        <w:rPr>
          <w:rFonts w:hAnsi="宋体"/>
          <w:highlight w:val="none"/>
        </w:rPr>
        <w:fldChar w:fldCharType="begin"/>
      </w:r>
      <w:r>
        <w:rPr>
          <w:rFonts w:hAnsi="宋体"/>
          <w:highlight w:val="none"/>
        </w:rPr>
        <w:instrText xml:space="preserve"> PAGEREF _Toc70201048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"_Toc70201049" </w:instrText>
      </w:r>
      <w:r>
        <w:rPr>
          <w:highlight w:val="none"/>
        </w:rPr>
        <w:fldChar w:fldCharType="separate"/>
      </w:r>
      <w:r>
        <w:rPr>
          <w:rStyle w:val="49"/>
          <w:rFonts w:hAnsi="宋体"/>
          <w:color w:val="auto"/>
          <w:highlight w:val="none"/>
        </w:rPr>
        <w:t>8.2</w:t>
      </w:r>
      <w:r>
        <w:rPr>
          <w:rStyle w:val="49"/>
          <w:rFonts w:hint="eastAsia" w:hAnsi="宋体"/>
          <w:color w:val="auto"/>
          <w:highlight w:val="none"/>
        </w:rPr>
        <w:t>环境管理计划</w:t>
      </w:r>
      <w:r>
        <w:rPr>
          <w:rFonts w:hAnsi="宋体"/>
          <w:highlight w:val="none"/>
        </w:rPr>
        <w:tab/>
      </w:r>
      <w:r>
        <w:rPr>
          <w:rFonts w:hint="eastAsia" w:hAnsi="宋体"/>
          <w:highlight w:val="none"/>
        </w:rPr>
        <w:t>8-</w:t>
      </w:r>
      <w:r>
        <w:rPr>
          <w:rFonts w:hAnsi="宋体"/>
          <w:highlight w:val="none"/>
        </w:rPr>
        <w:fldChar w:fldCharType="begin"/>
      </w:r>
      <w:r>
        <w:rPr>
          <w:rFonts w:hAnsi="宋体"/>
          <w:highlight w:val="none"/>
        </w:rPr>
        <w:instrText xml:space="preserve"> PAGEREF _Toc70201049 \h </w:instrText>
      </w:r>
      <w:r>
        <w:rPr>
          <w:rFonts w:hAnsi="宋体"/>
          <w:highlight w:val="none"/>
        </w:rPr>
        <w:fldChar w:fldCharType="separate"/>
      </w:r>
      <w:r>
        <w:rPr>
          <w:rFonts w:hAnsi="宋体"/>
          <w:highlight w:val="none"/>
        </w:rPr>
        <w:t>2</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"_Toc70201050" </w:instrText>
      </w:r>
      <w:r>
        <w:rPr>
          <w:highlight w:val="none"/>
        </w:rPr>
        <w:fldChar w:fldCharType="separate"/>
      </w:r>
      <w:r>
        <w:rPr>
          <w:rStyle w:val="49"/>
          <w:rFonts w:hAnsi="宋体"/>
          <w:color w:val="auto"/>
          <w:highlight w:val="none"/>
        </w:rPr>
        <w:t>8.3</w:t>
      </w:r>
      <w:r>
        <w:rPr>
          <w:rStyle w:val="49"/>
          <w:rFonts w:hint="eastAsia" w:hAnsi="宋体"/>
          <w:color w:val="auto"/>
          <w:highlight w:val="none"/>
        </w:rPr>
        <w:t>环境监测计划</w:t>
      </w:r>
      <w:r>
        <w:rPr>
          <w:rFonts w:hAnsi="宋体"/>
          <w:highlight w:val="none"/>
        </w:rPr>
        <w:tab/>
      </w:r>
      <w:r>
        <w:rPr>
          <w:rFonts w:hint="eastAsia" w:hAnsi="宋体"/>
          <w:highlight w:val="none"/>
        </w:rPr>
        <w:t>8-</w:t>
      </w:r>
      <w:r>
        <w:rPr>
          <w:rFonts w:hAnsi="宋体"/>
          <w:highlight w:val="none"/>
        </w:rPr>
        <w:fldChar w:fldCharType="begin"/>
      </w:r>
      <w:r>
        <w:rPr>
          <w:rFonts w:hAnsi="宋体"/>
          <w:highlight w:val="none"/>
        </w:rPr>
        <w:instrText xml:space="preserve"> PAGEREF _Toc70201050 \h </w:instrText>
      </w:r>
      <w:r>
        <w:rPr>
          <w:rFonts w:hAnsi="宋体"/>
          <w:highlight w:val="none"/>
        </w:rPr>
        <w:fldChar w:fldCharType="separate"/>
      </w:r>
      <w:r>
        <w:rPr>
          <w:rFonts w:hAnsi="宋体"/>
          <w:highlight w:val="none"/>
        </w:rPr>
        <w:t>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"_Toc70201051" </w:instrText>
      </w:r>
      <w:r>
        <w:rPr>
          <w:highlight w:val="none"/>
        </w:rPr>
        <w:fldChar w:fldCharType="separate"/>
      </w:r>
      <w:r>
        <w:rPr>
          <w:rStyle w:val="49"/>
          <w:rFonts w:hAnsi="宋体"/>
          <w:color w:val="auto"/>
          <w:highlight w:val="none"/>
        </w:rPr>
        <w:t>8.4</w:t>
      </w:r>
      <w:r>
        <w:rPr>
          <w:rStyle w:val="49"/>
          <w:rFonts w:hint="eastAsia" w:hAnsi="宋体"/>
          <w:color w:val="auto"/>
          <w:highlight w:val="none"/>
        </w:rPr>
        <w:t>环境监理</w:t>
      </w:r>
      <w:r>
        <w:rPr>
          <w:rFonts w:hAnsi="宋体"/>
          <w:highlight w:val="none"/>
        </w:rPr>
        <w:tab/>
      </w:r>
      <w:r>
        <w:rPr>
          <w:rFonts w:hint="eastAsia" w:hAnsi="宋体"/>
          <w:highlight w:val="none"/>
        </w:rPr>
        <w:t>8-</w:t>
      </w:r>
      <w:r>
        <w:rPr>
          <w:rFonts w:hAnsi="宋体"/>
          <w:highlight w:val="none"/>
        </w:rPr>
        <w:fldChar w:fldCharType="begin"/>
      </w:r>
      <w:r>
        <w:rPr>
          <w:rFonts w:hAnsi="宋体"/>
          <w:highlight w:val="none"/>
        </w:rPr>
        <w:instrText xml:space="preserve"> PAGEREF _Toc70201051 \h </w:instrText>
      </w:r>
      <w:r>
        <w:rPr>
          <w:rFonts w:hAnsi="宋体"/>
          <w:highlight w:val="none"/>
        </w:rPr>
        <w:fldChar w:fldCharType="separate"/>
      </w:r>
      <w:r>
        <w:rPr>
          <w:rFonts w:hAnsi="宋体"/>
          <w:highlight w:val="none"/>
        </w:rPr>
        <w:t>5</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"_Toc70201052" </w:instrText>
      </w:r>
      <w:r>
        <w:rPr>
          <w:highlight w:val="none"/>
        </w:rPr>
        <w:fldChar w:fldCharType="separate"/>
      </w:r>
      <w:r>
        <w:rPr>
          <w:rStyle w:val="49"/>
          <w:rFonts w:hAnsi="宋体"/>
          <w:color w:val="auto"/>
          <w:highlight w:val="none"/>
        </w:rPr>
        <w:t>8.5</w:t>
      </w:r>
      <w:r>
        <w:rPr>
          <w:rStyle w:val="49"/>
          <w:rFonts w:hint="eastAsia" w:hAnsi="宋体"/>
          <w:color w:val="auto"/>
          <w:highlight w:val="none"/>
        </w:rPr>
        <w:t>污染物排放清单</w:t>
      </w:r>
      <w:r>
        <w:rPr>
          <w:rFonts w:hAnsi="宋体"/>
          <w:highlight w:val="none"/>
        </w:rPr>
        <w:tab/>
      </w:r>
      <w:r>
        <w:rPr>
          <w:rFonts w:hint="eastAsia" w:hAnsi="宋体"/>
          <w:highlight w:val="none"/>
        </w:rPr>
        <w:t>8-</w:t>
      </w:r>
      <w:r>
        <w:rPr>
          <w:rFonts w:hAnsi="宋体"/>
          <w:highlight w:val="none"/>
        </w:rPr>
        <w:fldChar w:fldCharType="begin"/>
      </w:r>
      <w:r>
        <w:rPr>
          <w:rFonts w:hAnsi="宋体"/>
          <w:highlight w:val="none"/>
        </w:rPr>
        <w:instrText xml:space="preserve"> PAGEREF _Toc70201052 \h </w:instrText>
      </w:r>
      <w:r>
        <w:rPr>
          <w:rFonts w:hAnsi="宋体"/>
          <w:highlight w:val="none"/>
        </w:rPr>
        <w:fldChar w:fldCharType="separate"/>
      </w:r>
      <w:r>
        <w:rPr>
          <w:rFonts w:hAnsi="宋体"/>
          <w:highlight w:val="none"/>
        </w:rPr>
        <w:t>5</w:t>
      </w:r>
      <w:r>
        <w:rPr>
          <w:rFonts w:hAnsi="宋体"/>
          <w:highlight w:val="none"/>
        </w:rPr>
        <w:fldChar w:fldCharType="end"/>
      </w:r>
      <w:r>
        <w:rPr>
          <w:rFonts w:hAnsi="宋体"/>
          <w:highlight w:val="none"/>
        </w:rPr>
        <w:fldChar w:fldCharType="end"/>
      </w:r>
    </w:p>
    <w:p>
      <w:pPr>
        <w:pStyle w:val="27"/>
        <w:tabs>
          <w:tab w:val="right" w:leader="dot" w:pos="8720"/>
        </w:tabs>
        <w:rPr>
          <w:rFonts w:hAnsi="宋体" w:cstheme="minorBidi"/>
          <w:sz w:val="21"/>
          <w:szCs w:val="22"/>
          <w:highlight w:val="none"/>
        </w:rPr>
      </w:pPr>
      <w:r>
        <w:rPr>
          <w:highlight w:val="none"/>
        </w:rPr>
        <w:fldChar w:fldCharType="begin"/>
      </w:r>
      <w:r>
        <w:rPr>
          <w:highlight w:val="none"/>
        </w:rPr>
        <w:instrText xml:space="preserve"> HYPERLINK \l "_Toc70201053" </w:instrText>
      </w:r>
      <w:r>
        <w:rPr>
          <w:highlight w:val="none"/>
        </w:rPr>
        <w:fldChar w:fldCharType="separate"/>
      </w:r>
      <w:r>
        <w:rPr>
          <w:rStyle w:val="49"/>
          <w:rFonts w:hint="eastAsia" w:hAnsi="宋体"/>
          <w:color w:val="auto"/>
          <w:highlight w:val="none"/>
        </w:rPr>
        <w:t>第九章</w:t>
      </w:r>
      <w:r>
        <w:rPr>
          <w:rStyle w:val="49"/>
          <w:rFonts w:hAnsi="宋体"/>
          <w:color w:val="auto"/>
          <w:highlight w:val="none"/>
        </w:rPr>
        <w:t xml:space="preserve">  </w:t>
      </w:r>
      <w:r>
        <w:rPr>
          <w:rStyle w:val="49"/>
          <w:rFonts w:hint="eastAsia" w:hAnsi="宋体"/>
          <w:color w:val="auto"/>
          <w:highlight w:val="none"/>
        </w:rPr>
        <w:t>环境影响评价结论</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_Toc70201053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"_Toc70201054" </w:instrText>
      </w:r>
      <w:r>
        <w:rPr>
          <w:highlight w:val="none"/>
        </w:rPr>
        <w:fldChar w:fldCharType="separate"/>
      </w:r>
      <w:r>
        <w:rPr>
          <w:rStyle w:val="49"/>
          <w:rFonts w:hAnsi="宋体"/>
          <w:color w:val="auto"/>
          <w:highlight w:val="none"/>
        </w:rPr>
        <w:t>9.1</w:t>
      </w:r>
      <w:r>
        <w:rPr>
          <w:rStyle w:val="49"/>
          <w:rFonts w:hint="eastAsia" w:hAnsi="宋体"/>
          <w:color w:val="auto"/>
          <w:highlight w:val="none"/>
        </w:rPr>
        <w:t>项目建设概况</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_Toc70201054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"_Toc70201055" </w:instrText>
      </w:r>
      <w:r>
        <w:rPr>
          <w:highlight w:val="none"/>
        </w:rPr>
        <w:fldChar w:fldCharType="separate"/>
      </w:r>
      <w:r>
        <w:rPr>
          <w:rStyle w:val="49"/>
          <w:rFonts w:hAnsi="宋体"/>
          <w:color w:val="auto"/>
          <w:highlight w:val="none"/>
        </w:rPr>
        <w:t>9.2</w:t>
      </w:r>
      <w:r>
        <w:rPr>
          <w:rStyle w:val="49"/>
          <w:rFonts w:hint="eastAsia" w:hAnsi="宋体"/>
          <w:color w:val="auto"/>
          <w:highlight w:val="none"/>
        </w:rPr>
        <w:t>环境质量现状评价</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_Toc70201055 \h </w:instrText>
      </w:r>
      <w:r>
        <w:rPr>
          <w:rFonts w:hAnsi="宋体"/>
          <w:highlight w:val="none"/>
        </w:rPr>
        <w:fldChar w:fldCharType="separate"/>
      </w:r>
      <w:r>
        <w:rPr>
          <w:rFonts w:hAnsi="宋体"/>
          <w:highlight w:val="none"/>
        </w:rPr>
        <w:t>1</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"_Toc70201056" </w:instrText>
      </w:r>
      <w:r>
        <w:rPr>
          <w:highlight w:val="none"/>
        </w:rPr>
        <w:fldChar w:fldCharType="separate"/>
      </w:r>
      <w:r>
        <w:rPr>
          <w:rStyle w:val="49"/>
          <w:rFonts w:hAnsi="宋体"/>
          <w:color w:val="auto"/>
          <w:highlight w:val="none"/>
        </w:rPr>
        <w:t>9.3</w:t>
      </w:r>
      <w:r>
        <w:rPr>
          <w:rStyle w:val="49"/>
          <w:rFonts w:hint="eastAsia" w:hAnsi="宋体"/>
          <w:color w:val="auto"/>
          <w:highlight w:val="none"/>
        </w:rPr>
        <w:t>主要环境影响</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_Toc70201056 \h </w:instrText>
      </w:r>
      <w:r>
        <w:rPr>
          <w:rFonts w:hAnsi="宋体"/>
          <w:highlight w:val="none"/>
        </w:rPr>
        <w:fldChar w:fldCharType="separate"/>
      </w:r>
      <w:r>
        <w:rPr>
          <w:rFonts w:hAnsi="宋体"/>
          <w:highlight w:val="none"/>
        </w:rPr>
        <w:t>2</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"_Toc70201057" </w:instrText>
      </w:r>
      <w:r>
        <w:rPr>
          <w:highlight w:val="none"/>
        </w:rPr>
        <w:fldChar w:fldCharType="separate"/>
      </w:r>
      <w:r>
        <w:rPr>
          <w:rStyle w:val="49"/>
          <w:rFonts w:hAnsi="宋体"/>
          <w:color w:val="auto"/>
          <w:highlight w:val="none"/>
        </w:rPr>
        <w:t>9.4</w:t>
      </w:r>
      <w:r>
        <w:rPr>
          <w:rStyle w:val="49"/>
          <w:rFonts w:hint="eastAsia" w:hAnsi="宋体"/>
          <w:color w:val="auto"/>
          <w:highlight w:val="none"/>
        </w:rPr>
        <w:t>环境保护措施</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_Toc70201057 \h </w:instrText>
      </w:r>
      <w:r>
        <w:rPr>
          <w:rFonts w:hAnsi="宋体"/>
          <w:highlight w:val="none"/>
        </w:rPr>
        <w:fldChar w:fldCharType="separate"/>
      </w:r>
      <w:r>
        <w:rPr>
          <w:rFonts w:hAnsi="宋体"/>
          <w:highlight w:val="none"/>
        </w:rPr>
        <w:t>2</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"_Toc70201058" </w:instrText>
      </w:r>
      <w:r>
        <w:rPr>
          <w:highlight w:val="none"/>
        </w:rPr>
        <w:fldChar w:fldCharType="separate"/>
      </w:r>
      <w:r>
        <w:rPr>
          <w:rStyle w:val="49"/>
          <w:rFonts w:hAnsi="宋体"/>
          <w:color w:val="auto"/>
          <w:highlight w:val="none"/>
        </w:rPr>
        <w:t>9.5</w:t>
      </w:r>
      <w:r>
        <w:rPr>
          <w:rStyle w:val="49"/>
          <w:rFonts w:hint="eastAsia" w:hAnsi="宋体"/>
          <w:color w:val="auto"/>
          <w:highlight w:val="none"/>
        </w:rPr>
        <w:t>总量控制</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_Toc70201058 \h </w:instrText>
      </w:r>
      <w:r>
        <w:rPr>
          <w:rFonts w:hAnsi="宋体"/>
          <w:highlight w:val="none"/>
        </w:rPr>
        <w:fldChar w:fldCharType="separate"/>
      </w:r>
      <w:r>
        <w:rPr>
          <w:rFonts w:hAnsi="宋体"/>
          <w:highlight w:val="none"/>
        </w:rPr>
        <w:t>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"_Toc70201059" </w:instrText>
      </w:r>
      <w:r>
        <w:rPr>
          <w:highlight w:val="none"/>
        </w:rPr>
        <w:fldChar w:fldCharType="separate"/>
      </w:r>
      <w:r>
        <w:rPr>
          <w:rStyle w:val="49"/>
          <w:rFonts w:hAnsi="宋体"/>
          <w:color w:val="auto"/>
          <w:highlight w:val="none"/>
        </w:rPr>
        <w:t>9.6</w:t>
      </w:r>
      <w:r>
        <w:rPr>
          <w:rStyle w:val="49"/>
          <w:rFonts w:hint="eastAsia" w:hAnsi="宋体"/>
          <w:color w:val="auto"/>
          <w:highlight w:val="none"/>
        </w:rPr>
        <w:t>环境损益分析</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_Toc70201059 \h </w:instrText>
      </w:r>
      <w:r>
        <w:rPr>
          <w:rFonts w:hAnsi="宋体"/>
          <w:highlight w:val="none"/>
        </w:rPr>
        <w:fldChar w:fldCharType="separate"/>
      </w:r>
      <w:r>
        <w:rPr>
          <w:rFonts w:hAnsi="宋体"/>
          <w:highlight w:val="none"/>
        </w:rPr>
        <w:t>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"_Toc70201060" </w:instrText>
      </w:r>
      <w:r>
        <w:rPr>
          <w:highlight w:val="none"/>
        </w:rPr>
        <w:fldChar w:fldCharType="separate"/>
      </w:r>
      <w:r>
        <w:rPr>
          <w:rStyle w:val="49"/>
          <w:rFonts w:hAnsi="宋体"/>
          <w:color w:val="auto"/>
          <w:highlight w:val="none"/>
        </w:rPr>
        <w:t>9.7</w:t>
      </w:r>
      <w:r>
        <w:rPr>
          <w:rStyle w:val="49"/>
          <w:rFonts w:hint="eastAsia" w:hAnsi="宋体"/>
          <w:color w:val="auto"/>
          <w:highlight w:val="none"/>
        </w:rPr>
        <w:t>环境管理与监测计划</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_Toc70201060 \h </w:instrText>
      </w:r>
      <w:r>
        <w:rPr>
          <w:rFonts w:hAnsi="宋体"/>
          <w:highlight w:val="none"/>
        </w:rPr>
        <w:fldChar w:fldCharType="separate"/>
      </w:r>
      <w:r>
        <w:rPr>
          <w:rFonts w:hAnsi="宋体"/>
          <w:highlight w:val="none"/>
        </w:rPr>
        <w:t>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"_Toc70201061" </w:instrText>
      </w:r>
      <w:r>
        <w:rPr>
          <w:highlight w:val="none"/>
        </w:rPr>
        <w:fldChar w:fldCharType="separate"/>
      </w:r>
      <w:r>
        <w:rPr>
          <w:rStyle w:val="49"/>
          <w:rFonts w:hAnsi="宋体"/>
          <w:color w:val="auto"/>
          <w:highlight w:val="none"/>
        </w:rPr>
        <w:t>9.8</w:t>
      </w:r>
      <w:r>
        <w:rPr>
          <w:rStyle w:val="49"/>
          <w:rFonts w:hint="eastAsia" w:hAnsi="宋体"/>
          <w:color w:val="auto"/>
          <w:highlight w:val="none"/>
        </w:rPr>
        <w:t>公众调查结论</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_Toc70201061 \h </w:instrText>
      </w:r>
      <w:r>
        <w:rPr>
          <w:rFonts w:hAnsi="宋体"/>
          <w:highlight w:val="none"/>
        </w:rPr>
        <w:fldChar w:fldCharType="separate"/>
      </w:r>
      <w:r>
        <w:rPr>
          <w:rFonts w:hAnsi="宋体"/>
          <w:highlight w:val="none"/>
        </w:rPr>
        <w:t>4</w:t>
      </w:r>
      <w:r>
        <w:rPr>
          <w:rFonts w:hAnsi="宋体"/>
          <w:highlight w:val="none"/>
        </w:rPr>
        <w:fldChar w:fldCharType="end"/>
      </w:r>
      <w:r>
        <w:rPr>
          <w:rFonts w:hAnsi="宋体"/>
          <w:highlight w:val="none"/>
        </w:rPr>
        <w:fldChar w:fldCharType="end"/>
      </w:r>
    </w:p>
    <w:p>
      <w:pPr>
        <w:pStyle w:val="34"/>
        <w:tabs>
          <w:tab w:val="right" w:leader="dot" w:pos="8720"/>
        </w:tabs>
        <w:ind w:firstLine="240"/>
        <w:rPr>
          <w:rFonts w:hAnsi="宋体" w:cstheme="minorBidi"/>
          <w:sz w:val="21"/>
          <w:szCs w:val="22"/>
          <w:highlight w:val="none"/>
        </w:rPr>
      </w:pPr>
      <w:r>
        <w:rPr>
          <w:highlight w:val="none"/>
        </w:rPr>
        <w:fldChar w:fldCharType="begin"/>
      </w:r>
      <w:r>
        <w:rPr>
          <w:highlight w:val="none"/>
        </w:rPr>
        <w:instrText xml:space="preserve"> HYPERLINK \l "_Toc70201062" </w:instrText>
      </w:r>
      <w:r>
        <w:rPr>
          <w:highlight w:val="none"/>
        </w:rPr>
        <w:fldChar w:fldCharType="separate"/>
      </w:r>
      <w:r>
        <w:rPr>
          <w:rStyle w:val="49"/>
          <w:rFonts w:hAnsi="宋体"/>
          <w:color w:val="auto"/>
          <w:highlight w:val="none"/>
        </w:rPr>
        <w:t>9.9</w:t>
      </w:r>
      <w:r>
        <w:rPr>
          <w:rStyle w:val="49"/>
          <w:rFonts w:hint="eastAsia" w:hAnsi="宋体"/>
          <w:color w:val="auto"/>
          <w:highlight w:val="none"/>
        </w:rPr>
        <w:t>总结论</w:t>
      </w:r>
      <w:r>
        <w:rPr>
          <w:rFonts w:hAnsi="宋体"/>
          <w:highlight w:val="none"/>
        </w:rPr>
        <w:tab/>
      </w:r>
      <w:r>
        <w:rPr>
          <w:rFonts w:hint="eastAsia" w:hAnsi="宋体"/>
          <w:highlight w:val="none"/>
        </w:rPr>
        <w:t>9-</w:t>
      </w:r>
      <w:r>
        <w:rPr>
          <w:rFonts w:hAnsi="宋体"/>
          <w:highlight w:val="none"/>
        </w:rPr>
        <w:fldChar w:fldCharType="begin"/>
      </w:r>
      <w:r>
        <w:rPr>
          <w:rFonts w:hAnsi="宋体"/>
          <w:highlight w:val="none"/>
        </w:rPr>
        <w:instrText xml:space="preserve"> PAGEREF _Toc70201062 \h </w:instrText>
      </w:r>
      <w:r>
        <w:rPr>
          <w:rFonts w:hAnsi="宋体"/>
          <w:highlight w:val="none"/>
        </w:rPr>
        <w:fldChar w:fldCharType="separate"/>
      </w:r>
      <w:r>
        <w:rPr>
          <w:rFonts w:hAnsi="宋体"/>
          <w:highlight w:val="none"/>
        </w:rPr>
        <w:t>5</w:t>
      </w:r>
      <w:r>
        <w:rPr>
          <w:rFonts w:hAnsi="宋体"/>
          <w:highlight w:val="none"/>
        </w:rPr>
        <w:fldChar w:fldCharType="end"/>
      </w:r>
      <w:r>
        <w:rPr>
          <w:rFonts w:hAnsi="宋体"/>
          <w:highlight w:val="none"/>
        </w:rPr>
        <w:fldChar w:fldCharType="end"/>
      </w:r>
    </w:p>
    <w:p>
      <w:pPr>
        <w:pStyle w:val="62"/>
        <w:ind w:firstLine="560"/>
        <w:rPr>
          <w:rFonts w:hAnsi="宋体"/>
          <w:bCs/>
          <w:sz w:val="28"/>
          <w:highlight w:val="none"/>
        </w:rPr>
        <w:sectPr>
          <w:headerReference r:id="rId11" w:type="default"/>
          <w:footerReference r:id="rId12" w:type="default"/>
          <w:pgSz w:w="11906" w:h="16838"/>
          <w:pgMar w:top="1588" w:right="1588" w:bottom="1474" w:left="1588" w:header="964" w:footer="850" w:gutter="0"/>
          <w:pgBorders>
            <w:top w:val="none" w:sz="0" w:space="0"/>
            <w:left w:val="none" w:sz="0" w:space="0"/>
            <w:bottom w:val="none" w:sz="0" w:space="0"/>
            <w:right w:val="none" w:sz="0" w:space="0"/>
          </w:pgBorders>
          <w:pgNumType w:fmt="upperRoman" w:start="1"/>
          <w:cols w:space="425" w:num="1"/>
          <w:docGrid w:type="lines" w:linePitch="326" w:charSpace="0"/>
        </w:sectPr>
      </w:pPr>
      <w:r>
        <w:rPr>
          <w:rFonts w:hAnsi="宋体"/>
          <w:bCs/>
          <w:sz w:val="28"/>
          <w:highlight w:val="none"/>
        </w:rPr>
        <w:fldChar w:fldCharType="end"/>
      </w:r>
    </w:p>
    <w:p>
      <w:pPr>
        <w:pStyle w:val="62"/>
        <w:ind w:firstLine="480"/>
        <w:rPr>
          <w:rFonts w:hAnsi="宋体"/>
          <w:highlight w:val="none"/>
        </w:rPr>
      </w:pPr>
      <w:r>
        <w:rPr>
          <w:rFonts w:hAnsi="宋体"/>
          <w:highlight w:val="none"/>
        </w:rPr>
        <w:t>附件</w:t>
      </w:r>
    </w:p>
    <w:p>
      <w:pPr>
        <w:pStyle w:val="62"/>
        <w:ind w:firstLine="480"/>
        <w:rPr>
          <w:rFonts w:hAnsi="宋体"/>
          <w:highlight w:val="none"/>
        </w:rPr>
      </w:pPr>
      <w:r>
        <w:rPr>
          <w:rFonts w:hAnsi="宋体"/>
          <w:highlight w:val="none"/>
        </w:rPr>
        <w:t>附件1委托书；</w:t>
      </w:r>
    </w:p>
    <w:p>
      <w:pPr>
        <w:pStyle w:val="62"/>
        <w:ind w:firstLine="480"/>
        <w:rPr>
          <w:rFonts w:hAnsi="宋体"/>
          <w:highlight w:val="none"/>
        </w:rPr>
      </w:pPr>
      <w:r>
        <w:rPr>
          <w:rFonts w:hAnsi="宋体"/>
          <w:highlight w:val="none"/>
        </w:rPr>
        <w:t>附件2备案证；</w:t>
      </w:r>
    </w:p>
    <w:p>
      <w:pPr>
        <w:pStyle w:val="62"/>
        <w:ind w:firstLine="480"/>
        <w:rPr>
          <w:rFonts w:hAnsi="宋体"/>
          <w:highlight w:val="none"/>
        </w:rPr>
      </w:pPr>
      <w:r>
        <w:rPr>
          <w:rFonts w:hAnsi="宋体"/>
          <w:highlight w:val="none"/>
        </w:rPr>
        <w:t>附件3</w:t>
      </w:r>
      <w:r>
        <w:rPr>
          <w:rFonts w:hint="eastAsia" w:hAnsi="宋体"/>
          <w:highlight w:val="none"/>
        </w:rPr>
        <w:t>繁峙县垣利铁选厂处罚通知书；</w:t>
      </w:r>
    </w:p>
    <w:p>
      <w:pPr>
        <w:pStyle w:val="62"/>
        <w:ind w:firstLine="480"/>
        <w:rPr>
          <w:rFonts w:hAnsi="宋体"/>
          <w:highlight w:val="none"/>
        </w:rPr>
      </w:pPr>
      <w:r>
        <w:rPr>
          <w:rFonts w:hAnsi="宋体"/>
          <w:highlight w:val="none"/>
        </w:rPr>
        <w:t>附件4原料供货协议；</w:t>
      </w:r>
    </w:p>
    <w:p>
      <w:pPr>
        <w:pStyle w:val="62"/>
        <w:ind w:firstLine="480"/>
        <w:rPr>
          <w:rFonts w:hAnsi="宋体"/>
          <w:highlight w:val="none"/>
        </w:rPr>
      </w:pPr>
      <w:r>
        <w:rPr>
          <w:rFonts w:hAnsi="宋体"/>
          <w:highlight w:val="none"/>
        </w:rPr>
        <w:t>附件5</w:t>
      </w:r>
      <w:r>
        <w:rPr>
          <w:rFonts w:hint="eastAsia" w:hAnsi="宋体"/>
          <w:highlight w:val="none"/>
        </w:rPr>
        <w:t>废石处置</w:t>
      </w:r>
      <w:r>
        <w:rPr>
          <w:rFonts w:hAnsi="宋体"/>
          <w:highlight w:val="none"/>
        </w:rPr>
        <w:t>协议；</w:t>
      </w:r>
    </w:p>
    <w:p>
      <w:pPr>
        <w:pStyle w:val="62"/>
        <w:ind w:firstLine="480"/>
        <w:rPr>
          <w:rFonts w:hAnsi="宋体"/>
          <w:highlight w:val="none"/>
        </w:rPr>
      </w:pPr>
      <w:r>
        <w:rPr>
          <w:rFonts w:hAnsi="宋体"/>
          <w:highlight w:val="none"/>
        </w:rPr>
        <w:t>附件6</w:t>
      </w:r>
      <w:r>
        <w:rPr>
          <w:rFonts w:hint="eastAsia" w:hAnsi="宋体"/>
          <w:highlight w:val="none"/>
        </w:rPr>
        <w:t>淋溶数据报告</w:t>
      </w:r>
      <w:r>
        <w:rPr>
          <w:rFonts w:hAnsi="宋体"/>
          <w:highlight w:val="none"/>
        </w:rPr>
        <w:t>；</w:t>
      </w:r>
    </w:p>
    <w:p>
      <w:pPr>
        <w:pStyle w:val="62"/>
        <w:ind w:firstLine="480"/>
        <w:rPr>
          <w:rFonts w:hint="eastAsia" w:hAnsi="宋体" w:eastAsia="宋体"/>
          <w:highlight w:val="none"/>
          <w:lang w:val="en-US" w:eastAsia="zh-CN"/>
        </w:rPr>
      </w:pPr>
      <w:r>
        <w:rPr>
          <w:rFonts w:hint="eastAsia" w:hAnsi="宋体"/>
          <w:highlight w:val="none"/>
          <w:lang w:val="en-US" w:eastAsia="zh-CN"/>
        </w:rPr>
        <w:t>附件7建设用地证明；</w:t>
      </w:r>
    </w:p>
    <w:p>
      <w:pPr>
        <w:pStyle w:val="62"/>
        <w:ind w:firstLine="480"/>
        <w:rPr>
          <w:rFonts w:hint="eastAsia" w:hAnsi="宋体"/>
          <w:highlight w:val="none"/>
        </w:rPr>
      </w:pPr>
      <w:r>
        <w:rPr>
          <w:rFonts w:hAnsi="宋体"/>
          <w:highlight w:val="none"/>
        </w:rPr>
        <w:t>附件</w:t>
      </w:r>
      <w:r>
        <w:rPr>
          <w:rFonts w:hint="eastAsia" w:hAnsi="宋体"/>
          <w:highlight w:val="none"/>
          <w:lang w:val="en-US" w:eastAsia="zh-CN"/>
        </w:rPr>
        <w:t>8</w:t>
      </w:r>
      <w:r>
        <w:rPr>
          <w:rFonts w:hAnsi="宋体"/>
          <w:highlight w:val="none"/>
        </w:rPr>
        <w:t>环境质量现状监测报告</w:t>
      </w:r>
      <w:r>
        <w:rPr>
          <w:rFonts w:hint="eastAsia" w:hAnsi="宋体"/>
          <w:highlight w:val="none"/>
        </w:rPr>
        <w:t>；</w:t>
      </w:r>
    </w:p>
    <w:p>
      <w:pPr>
        <w:pStyle w:val="62"/>
        <w:ind w:firstLine="480"/>
        <w:rPr>
          <w:rFonts w:hint="default" w:hAnsi="宋体" w:eastAsia="宋体"/>
          <w:highlight w:val="none"/>
          <w:lang w:val="en-US" w:eastAsia="zh-CN"/>
        </w:rPr>
      </w:pPr>
      <w:r>
        <w:rPr>
          <w:rFonts w:hint="eastAsia" w:hAnsi="宋体"/>
          <w:highlight w:val="none"/>
          <w:lang w:val="en-US" w:eastAsia="zh-CN"/>
        </w:rPr>
        <w:t>附件9项目原料及尾砂化学成分化验单；</w:t>
      </w:r>
    </w:p>
    <w:p>
      <w:pPr>
        <w:pStyle w:val="62"/>
        <w:ind w:firstLine="480"/>
        <w:rPr>
          <w:rFonts w:hAnsi="宋体"/>
          <w:highlight w:val="none"/>
        </w:rPr>
      </w:pPr>
      <w:r>
        <w:rPr>
          <w:rFonts w:hint="eastAsia" w:hAnsi="宋体"/>
          <w:highlight w:val="none"/>
        </w:rPr>
        <w:t>附件</w:t>
      </w:r>
      <w:r>
        <w:rPr>
          <w:rFonts w:hint="eastAsia" w:hAnsi="宋体"/>
          <w:highlight w:val="none"/>
          <w:lang w:val="en-US" w:eastAsia="zh-CN"/>
        </w:rPr>
        <w:t>10</w:t>
      </w:r>
      <w:r>
        <w:rPr>
          <w:rFonts w:hint="eastAsia" w:hAnsi="宋体"/>
          <w:highlight w:val="none"/>
        </w:rPr>
        <w:t>总量</w:t>
      </w:r>
      <w:r>
        <w:rPr>
          <w:rFonts w:hint="eastAsia" w:hAnsi="宋体"/>
          <w:highlight w:val="none"/>
          <w:lang w:eastAsia="zh-CN"/>
        </w:rPr>
        <w:t>核定</w:t>
      </w:r>
      <w:r>
        <w:rPr>
          <w:rFonts w:hint="eastAsia" w:hAnsi="宋体"/>
          <w:highlight w:val="none"/>
        </w:rPr>
        <w:t>文件；</w:t>
      </w:r>
    </w:p>
    <w:p>
      <w:pPr>
        <w:pStyle w:val="62"/>
        <w:ind w:firstLine="480"/>
        <w:rPr>
          <w:rFonts w:hAnsi="宋体"/>
          <w:highlight w:val="none"/>
        </w:rPr>
      </w:pPr>
      <w:r>
        <w:rPr>
          <w:rFonts w:hint="eastAsia" w:hAnsi="宋体"/>
          <w:highlight w:val="none"/>
        </w:rPr>
        <w:t>附件</w:t>
      </w:r>
      <w:r>
        <w:rPr>
          <w:rFonts w:hint="eastAsia" w:hAnsi="宋体"/>
          <w:highlight w:val="none"/>
          <w:lang w:val="en-US" w:eastAsia="zh-CN"/>
        </w:rPr>
        <w:t>11</w:t>
      </w:r>
      <w:r>
        <w:rPr>
          <w:rFonts w:hint="eastAsia" w:hAnsi="宋体"/>
          <w:highlight w:val="none"/>
        </w:rPr>
        <w:t>技术审查意见。</w:t>
      </w:r>
    </w:p>
    <w:p>
      <w:pPr>
        <w:pStyle w:val="62"/>
        <w:ind w:firstLine="480"/>
        <w:rPr>
          <w:rFonts w:hAnsi="宋体"/>
          <w:highlight w:val="none"/>
        </w:rPr>
      </w:pPr>
      <w:r>
        <w:rPr>
          <w:rFonts w:hAnsi="宋体"/>
          <w:highlight w:val="none"/>
        </w:rPr>
        <w:t>附表</w:t>
      </w:r>
    </w:p>
    <w:p>
      <w:pPr>
        <w:ind w:firstLine="480"/>
        <w:rPr>
          <w:rFonts w:ascii="宋体" w:hAnsi="宋体"/>
          <w:highlight w:val="none"/>
        </w:rPr>
      </w:pPr>
      <w:r>
        <w:rPr>
          <w:rFonts w:ascii="宋体" w:hAnsi="宋体"/>
          <w:highlight w:val="none"/>
        </w:rPr>
        <w:t>建设项目环评审批基础信息表</w:t>
      </w:r>
    </w:p>
    <w:p>
      <w:pPr>
        <w:pStyle w:val="2"/>
        <w:spacing w:before="300" w:line="520" w:lineRule="exact"/>
        <w:ind w:firstLine="723"/>
        <w:rPr>
          <w:rFonts w:ascii="宋体" w:hAnsi="宋体" w:eastAsia="宋体"/>
          <w:bCs w:val="0"/>
          <w:sz w:val="36"/>
          <w:szCs w:val="36"/>
          <w:highlight w:val="none"/>
          <w:lang w:val="en-US"/>
        </w:rPr>
      </w:pPr>
    </w:p>
    <w:p>
      <w:pPr>
        <w:rPr>
          <w:rFonts w:ascii="宋体" w:hAnsi="宋体" w:eastAsia="宋体"/>
          <w:bCs w:val="0"/>
          <w:sz w:val="36"/>
          <w:szCs w:val="36"/>
          <w:highlight w:val="none"/>
          <w:lang w:val="en-US"/>
        </w:rPr>
      </w:pPr>
    </w:p>
    <w:p>
      <w:pPr>
        <w:rPr>
          <w:rFonts w:ascii="宋体" w:hAnsi="宋体" w:eastAsia="宋体"/>
          <w:bCs w:val="0"/>
          <w:sz w:val="36"/>
          <w:szCs w:val="36"/>
          <w:highlight w:val="none"/>
          <w:lang w:val="en-US"/>
        </w:rPr>
      </w:pPr>
    </w:p>
    <w:p>
      <w:pPr>
        <w:rPr>
          <w:rFonts w:ascii="宋体" w:hAnsi="宋体" w:eastAsia="宋体"/>
          <w:bCs w:val="0"/>
          <w:sz w:val="36"/>
          <w:szCs w:val="36"/>
          <w:highlight w:val="none"/>
          <w:lang w:val="en-US"/>
        </w:rPr>
      </w:pPr>
    </w:p>
    <w:p>
      <w:pPr>
        <w:rPr>
          <w:rFonts w:ascii="宋体" w:hAnsi="宋体" w:eastAsia="宋体"/>
          <w:bCs w:val="0"/>
          <w:sz w:val="36"/>
          <w:szCs w:val="36"/>
          <w:highlight w:val="none"/>
          <w:lang w:val="en-US"/>
        </w:rPr>
        <w:sectPr>
          <w:pgSz w:w="11906" w:h="16838"/>
          <w:pgMar w:top="1588" w:right="1588" w:bottom="1474" w:left="1588" w:header="850" w:footer="850" w:gutter="0"/>
          <w:pgBorders>
            <w:top w:val="none" w:sz="0" w:space="0"/>
            <w:left w:val="none" w:sz="0" w:space="0"/>
            <w:bottom w:val="none" w:sz="0" w:space="0"/>
            <w:right w:val="none" w:sz="0" w:space="0"/>
          </w:pgBorders>
          <w:pgNumType w:fmt="upperRoman"/>
          <w:cols w:space="425" w:num="1"/>
          <w:docGrid w:type="lines" w:linePitch="326" w:charSpace="0"/>
        </w:sectPr>
      </w:pPr>
    </w:p>
    <w:p>
      <w:pPr>
        <w:pStyle w:val="2"/>
        <w:ind w:firstLine="883"/>
        <w:rPr>
          <w:highlight w:val="none"/>
        </w:rPr>
      </w:pPr>
      <w:bookmarkStart w:id="4" w:name="_Toc70201003"/>
      <w:r>
        <w:rPr>
          <w:highlight w:val="none"/>
        </w:rPr>
        <w:t>第一章</w:t>
      </w:r>
      <w:r>
        <w:rPr>
          <w:rFonts w:hint="eastAsia"/>
          <w:highlight w:val="none"/>
        </w:rPr>
        <w:t xml:space="preserve">  </w:t>
      </w:r>
      <w:r>
        <w:rPr>
          <w:highlight w:val="none"/>
        </w:rPr>
        <w:t>概</w:t>
      </w:r>
      <w:r>
        <w:rPr>
          <w:rFonts w:hint="eastAsia"/>
          <w:highlight w:val="none"/>
        </w:rPr>
        <w:t xml:space="preserve">  </w:t>
      </w:r>
      <w:r>
        <w:rPr>
          <w:highlight w:val="none"/>
        </w:rPr>
        <w:t>述</w:t>
      </w:r>
      <w:bookmarkEnd w:id="1"/>
      <w:bookmarkEnd w:id="2"/>
      <w:bookmarkEnd w:id="3"/>
      <w:bookmarkEnd w:id="4"/>
    </w:p>
    <w:p>
      <w:pPr>
        <w:pStyle w:val="3"/>
        <w:ind w:firstLine="643"/>
        <w:rPr>
          <w:rFonts w:hAnsi="宋体"/>
          <w:highlight w:val="none"/>
        </w:rPr>
      </w:pPr>
      <w:bookmarkStart w:id="5" w:name="_Toc397692816"/>
      <w:bookmarkStart w:id="6" w:name="_Toc375174249"/>
      <w:bookmarkStart w:id="7" w:name="_Toc372570535"/>
      <w:bookmarkStart w:id="8" w:name="_Toc397072017"/>
      <w:bookmarkStart w:id="9" w:name="_Toc70201004"/>
      <w:bookmarkStart w:id="10" w:name="_Toc487302002"/>
      <w:bookmarkStart w:id="11" w:name="_Toc1460906"/>
      <w:bookmarkStart w:id="12" w:name="_Toc474767017"/>
      <w:bookmarkStart w:id="13" w:name="_Toc374695778"/>
      <w:bookmarkStart w:id="14" w:name="_Toc4678361"/>
      <w:bookmarkStart w:id="15" w:name="_Toc374695568"/>
      <w:bookmarkStart w:id="16" w:name="_Toc355852158"/>
      <w:r>
        <w:rPr>
          <w:rFonts w:hAnsi="宋体"/>
          <w:highlight w:val="none"/>
        </w:rPr>
        <w:t>1.1建设项目由来</w:t>
      </w:r>
      <w:bookmarkEnd w:id="5"/>
      <w:bookmarkEnd w:id="6"/>
      <w:bookmarkEnd w:id="7"/>
      <w:bookmarkEnd w:id="8"/>
      <w:bookmarkEnd w:id="9"/>
      <w:bookmarkEnd w:id="10"/>
      <w:bookmarkEnd w:id="11"/>
      <w:bookmarkEnd w:id="12"/>
      <w:bookmarkEnd w:id="13"/>
      <w:bookmarkEnd w:id="14"/>
      <w:bookmarkEnd w:id="15"/>
      <w:bookmarkEnd w:id="16"/>
    </w:p>
    <w:p>
      <w:pPr>
        <w:adjustRightInd w:val="0"/>
        <w:snapToGrid w:val="0"/>
        <w:ind w:firstLine="480"/>
        <w:rPr>
          <w:rFonts w:ascii="宋体" w:hAnsi="宋体"/>
          <w:bCs/>
          <w:highlight w:val="none"/>
        </w:rPr>
      </w:pPr>
      <w:r>
        <w:rPr>
          <w:rFonts w:ascii="宋体" w:hAnsi="宋体"/>
          <w:bCs/>
          <w:highlight w:val="none"/>
        </w:rPr>
        <w:t>节约和综合利用是今后矿业发展的一个重要方向，也是推进绿色发展的重要要求。“加强矿产资源节约和管理”被写入“十三五”规划纲要，其中特别提到，大力推进绿色矿山和绿色矿业发展示范区建设，实施矿产资源节约与综合利用示范工程、矿产资源保护和储备工程，提高矿产资源开采率、选矿回收率和综合利用率。这意味着，矿产资源综合利用已被列入国家规划层面。</w:t>
      </w:r>
    </w:p>
    <w:p>
      <w:pPr>
        <w:adjustRightInd w:val="0"/>
        <w:snapToGrid w:val="0"/>
        <w:ind w:firstLine="480"/>
        <w:rPr>
          <w:rFonts w:ascii="宋体" w:hAnsi="宋体"/>
          <w:bCs/>
          <w:highlight w:val="none"/>
        </w:rPr>
      </w:pPr>
      <w:r>
        <w:rPr>
          <w:rFonts w:ascii="宋体" w:hAnsi="宋体"/>
          <w:bCs/>
          <w:highlight w:val="none"/>
        </w:rPr>
        <w:t>近年来，国家出台了一系列的政策和法规，鼓励低品位矿石、尾矿、废石、废渣等矿产资源的综合利用，大力推进矿产资源节约与综合利用，已成为矿业领域生态文明建设长期坚持的方向。</w:t>
      </w:r>
      <w:r>
        <w:rPr>
          <w:rFonts w:ascii="宋体" w:hAnsi="宋体"/>
          <w:highlight w:val="none"/>
        </w:rPr>
        <w:t>推进固废综合利用，积极配合有关部门制定政策，对采选产生的废石、废渣、矸石等废弃物，在安全、环保的前提下，采取提取有用组分、制作建材、加工成新型材料、井下充填等多种方式，进行资源化利用，提高资源、经济和生态效益是当前首选。</w:t>
      </w:r>
    </w:p>
    <w:p>
      <w:pPr>
        <w:adjustRightInd w:val="0"/>
        <w:snapToGrid w:val="0"/>
        <w:ind w:firstLine="480"/>
        <w:jc w:val="left"/>
        <w:rPr>
          <w:rFonts w:ascii="宋体" w:hAnsi="宋体"/>
          <w:bCs/>
          <w:highlight w:val="none"/>
        </w:rPr>
      </w:pPr>
      <w:r>
        <w:rPr>
          <w:rFonts w:ascii="宋体" w:hAnsi="宋体"/>
          <w:bCs/>
          <w:highlight w:val="none"/>
        </w:rPr>
        <w:t>繁峙县拥有丰富的铁矿资源，项目所在地有</w:t>
      </w:r>
      <w:r>
        <w:rPr>
          <w:rFonts w:hint="eastAsia" w:ascii="宋体" w:hAnsi="宋体"/>
          <w:bCs/>
          <w:highlight w:val="none"/>
        </w:rPr>
        <w:t>繁峙县兴盛铁矿有限责任公司</w:t>
      </w:r>
      <w:r>
        <w:rPr>
          <w:rFonts w:ascii="宋体" w:hAnsi="宋体"/>
          <w:bCs/>
          <w:highlight w:val="none"/>
        </w:rPr>
        <w:t>、</w:t>
      </w:r>
      <w:r>
        <w:rPr>
          <w:rFonts w:hint="eastAsia" w:ascii="宋体" w:hAnsi="宋体"/>
          <w:bCs/>
          <w:highlight w:val="none"/>
        </w:rPr>
        <w:t>繁峙县宏达铁矿有限责任公司</w:t>
      </w:r>
      <w:r>
        <w:rPr>
          <w:rFonts w:ascii="宋体" w:hAnsi="宋体"/>
          <w:bCs/>
          <w:highlight w:val="none"/>
        </w:rPr>
        <w:t>等多家铁矿采选企业。在多年的采选过程中，废石、废渣的产生量也逐年增加，目前废石、废渣多被送至废石堆场露天堆放，不仅占用大量土地，还会带来安全和环保压力，影响当地景观环境。铁矿废石、废渣经再次加工进行综合利用，提炼精矿粉可用于冶金工业，铁矿石废料经过破碎加工后形成的碎石能被广泛应用于建筑、化工、冶金、水利水电、轻工业等多个领域，不仅可减少对环境的污染，还可提高资源利用率，提高经济和生态效益。</w:t>
      </w:r>
    </w:p>
    <w:p>
      <w:pPr>
        <w:adjustRightInd w:val="0"/>
        <w:snapToGrid w:val="0"/>
        <w:ind w:firstLine="480"/>
        <w:jc w:val="left"/>
        <w:rPr>
          <w:rFonts w:ascii="宋体" w:hAnsi="宋体"/>
          <w:bCs/>
          <w:highlight w:val="none"/>
        </w:rPr>
      </w:pPr>
      <w:r>
        <w:rPr>
          <w:rFonts w:ascii="宋体" w:hAnsi="宋体"/>
          <w:bCs/>
          <w:highlight w:val="none"/>
        </w:rPr>
        <w:t>为了减缓当地采选矿废石、废渣占地对环境造成的影响，提高资源利用效率，山西省繁峙县垣利铁选厂拟投资700万元建设</w:t>
      </w:r>
      <w:r>
        <w:rPr>
          <w:rFonts w:hint="eastAsia" w:ascii="宋体" w:hAnsi="宋体"/>
          <w:bCs/>
          <w:highlight w:val="none"/>
        </w:rPr>
        <w:t>30万吨/年低品位铁矿石综合利用项目，</w:t>
      </w:r>
      <w:r>
        <w:rPr>
          <w:rFonts w:ascii="宋体" w:hAnsi="宋体"/>
          <w:bCs/>
          <w:highlight w:val="none"/>
        </w:rPr>
        <w:t>年处理</w:t>
      </w:r>
      <w:r>
        <w:rPr>
          <w:rFonts w:hint="eastAsia" w:ascii="宋体" w:hAnsi="宋体"/>
          <w:bCs/>
          <w:highlight w:val="none"/>
        </w:rPr>
        <w:t>3</w:t>
      </w:r>
      <w:r>
        <w:rPr>
          <w:rFonts w:ascii="宋体" w:hAnsi="宋体"/>
          <w:bCs/>
          <w:highlight w:val="none"/>
        </w:rPr>
        <w:t>0万吨铁矿废石，以五台县三吉铁矿有限责任公司的选矿废石为原料，采用“破碎——磨矿——磁选”的生产工艺，对废石中的低品位铁矿进行再回收，获得精矿粉，用于冶金行业，其余的石料全部作为建筑材料外售综合利用。</w:t>
      </w:r>
    </w:p>
    <w:p>
      <w:pPr>
        <w:adjustRightInd w:val="0"/>
        <w:snapToGrid w:val="0"/>
        <w:ind w:firstLine="480"/>
        <w:jc w:val="left"/>
        <w:rPr>
          <w:rFonts w:ascii="宋体" w:hAnsi="宋体"/>
          <w:bCs/>
          <w:highlight w:val="none"/>
        </w:rPr>
      </w:pPr>
      <w:r>
        <w:rPr>
          <w:rFonts w:ascii="宋体" w:hAnsi="宋体"/>
          <w:bCs/>
          <w:highlight w:val="none"/>
        </w:rPr>
        <w:t>本项目的建设减少了废石堆积造成的土地资源的浪费，减轻了废石堆场对环境的不良影响，</w:t>
      </w:r>
      <w:r>
        <w:rPr>
          <w:rFonts w:hint="eastAsia" w:ascii="宋体" w:hAnsi="宋体"/>
          <w:bCs/>
          <w:highlight w:val="none"/>
        </w:rPr>
        <w:t>同时又能增加当地的就业率，因此</w:t>
      </w:r>
      <w:r>
        <w:rPr>
          <w:rFonts w:ascii="宋体" w:hAnsi="宋体"/>
          <w:bCs/>
          <w:highlight w:val="none"/>
        </w:rPr>
        <w:t>建设完成</w:t>
      </w:r>
      <w:r>
        <w:rPr>
          <w:rFonts w:hint="eastAsia" w:ascii="宋体" w:hAnsi="宋体"/>
          <w:bCs/>
          <w:highlight w:val="none"/>
        </w:rPr>
        <w:t>将</w:t>
      </w:r>
      <w:r>
        <w:rPr>
          <w:rFonts w:ascii="宋体" w:hAnsi="宋体"/>
          <w:bCs/>
          <w:highlight w:val="none"/>
        </w:rPr>
        <w:t>会产生明显的环境效益、经济效益、社会效益。项目运营过程中产生少量的粉尘，采取了严格的环保措施可做到达标排放，不会恶化区域环境质量。</w:t>
      </w:r>
    </w:p>
    <w:p>
      <w:pPr>
        <w:adjustRightInd w:val="0"/>
        <w:snapToGrid w:val="0"/>
        <w:ind w:firstLine="480"/>
        <w:rPr>
          <w:rFonts w:ascii="宋体" w:hAnsi="宋体"/>
          <w:bCs/>
          <w:highlight w:val="none"/>
        </w:rPr>
      </w:pPr>
      <w:r>
        <w:rPr>
          <w:rFonts w:ascii="宋体" w:hAnsi="宋体"/>
          <w:bCs/>
          <w:highlight w:val="none"/>
        </w:rPr>
        <w:t>2019年12月1</w:t>
      </w:r>
      <w:r>
        <w:rPr>
          <w:rFonts w:hint="eastAsia" w:ascii="宋体" w:hAnsi="宋体"/>
          <w:bCs/>
          <w:highlight w:val="none"/>
        </w:rPr>
        <w:t>9</w:t>
      </w:r>
      <w:r>
        <w:rPr>
          <w:rFonts w:ascii="宋体" w:hAnsi="宋体"/>
          <w:bCs/>
          <w:highlight w:val="none"/>
        </w:rPr>
        <w:t>日，繁峙县</w:t>
      </w:r>
      <w:r>
        <w:rPr>
          <w:rFonts w:hint="eastAsia" w:ascii="宋体" w:hAnsi="宋体"/>
          <w:bCs/>
          <w:highlight w:val="none"/>
        </w:rPr>
        <w:t>发</w:t>
      </w:r>
      <w:r>
        <w:rPr>
          <w:rFonts w:ascii="宋体" w:hAnsi="宋体"/>
          <w:bCs/>
          <w:highlight w:val="none"/>
        </w:rPr>
        <w:t>展和改革局对山西省繁峙县垣利铁选厂申请的</w:t>
      </w:r>
      <w:r>
        <w:rPr>
          <w:rFonts w:hint="eastAsia" w:ascii="宋体" w:hAnsi="宋体"/>
          <w:bCs/>
          <w:highlight w:val="none"/>
        </w:rPr>
        <w:t>“</w:t>
      </w:r>
      <w:r>
        <w:rPr>
          <w:rFonts w:ascii="宋体" w:hAnsi="宋体"/>
          <w:bCs/>
          <w:highlight w:val="none"/>
        </w:rPr>
        <w:t>山西省繁峙县垣利铁选厂30万吨/年低品位铁矿石综合利用项目</w:t>
      </w:r>
      <w:r>
        <w:rPr>
          <w:rFonts w:hint="eastAsia" w:ascii="宋体" w:hAnsi="宋体"/>
          <w:bCs/>
          <w:highlight w:val="none"/>
        </w:rPr>
        <w:t>”</w:t>
      </w:r>
      <w:r>
        <w:rPr>
          <w:rFonts w:ascii="宋体" w:hAnsi="宋体"/>
          <w:bCs/>
          <w:highlight w:val="none"/>
        </w:rPr>
        <w:t>进行了备案，</w:t>
      </w:r>
      <w:r>
        <w:rPr>
          <w:rFonts w:hint="eastAsia" w:ascii="宋体" w:hAnsi="宋体"/>
          <w:bCs/>
          <w:highlight w:val="none"/>
        </w:rPr>
        <w:t>项目</w:t>
      </w:r>
      <w:r>
        <w:rPr>
          <w:rFonts w:ascii="宋体" w:hAnsi="宋体"/>
          <w:bCs/>
          <w:highlight w:val="none"/>
        </w:rPr>
        <w:t>代码：</w:t>
      </w:r>
      <w:r>
        <w:rPr>
          <w:rFonts w:hint="eastAsia" w:ascii="宋体" w:hAnsi="宋体"/>
          <w:bCs/>
          <w:highlight w:val="none"/>
        </w:rPr>
        <w:t>2019-140924-30-03-110317</w:t>
      </w:r>
      <w:r>
        <w:rPr>
          <w:rFonts w:ascii="宋体" w:hAnsi="宋体"/>
          <w:bCs/>
          <w:highlight w:val="none"/>
        </w:rPr>
        <w:t>。</w:t>
      </w:r>
    </w:p>
    <w:p>
      <w:pPr>
        <w:pStyle w:val="3"/>
        <w:ind w:firstLine="643"/>
        <w:rPr>
          <w:rFonts w:hAnsi="宋体"/>
          <w:highlight w:val="none"/>
        </w:rPr>
      </w:pPr>
      <w:bookmarkStart w:id="17" w:name="_Toc70201005"/>
      <w:bookmarkStart w:id="18" w:name="_Toc487302003"/>
      <w:bookmarkStart w:id="19" w:name="_Toc355852159"/>
      <w:bookmarkStart w:id="20" w:name="_Toc374695569"/>
      <w:bookmarkStart w:id="21" w:name="_Toc397692817"/>
      <w:bookmarkStart w:id="22" w:name="_Toc397072018"/>
      <w:bookmarkStart w:id="23" w:name="_Toc474767018"/>
      <w:bookmarkStart w:id="24" w:name="_Toc372570536"/>
      <w:bookmarkStart w:id="25" w:name="_Toc374695779"/>
      <w:bookmarkStart w:id="26" w:name="_Toc4678362"/>
      <w:bookmarkStart w:id="27" w:name="_Toc1460907"/>
      <w:bookmarkStart w:id="28" w:name="_Toc375174250"/>
      <w:r>
        <w:rPr>
          <w:rFonts w:hAnsi="宋体"/>
          <w:highlight w:val="none"/>
        </w:rPr>
        <w:t>1.2评价工作过程</w:t>
      </w:r>
      <w:bookmarkEnd w:id="17"/>
      <w:bookmarkEnd w:id="18"/>
      <w:bookmarkEnd w:id="19"/>
      <w:bookmarkEnd w:id="20"/>
      <w:bookmarkEnd w:id="21"/>
      <w:bookmarkEnd w:id="22"/>
      <w:bookmarkEnd w:id="23"/>
      <w:bookmarkEnd w:id="24"/>
      <w:bookmarkEnd w:id="25"/>
      <w:bookmarkEnd w:id="26"/>
      <w:bookmarkEnd w:id="27"/>
      <w:bookmarkEnd w:id="28"/>
    </w:p>
    <w:p>
      <w:pPr>
        <w:pStyle w:val="62"/>
        <w:ind w:firstLine="480"/>
        <w:rPr>
          <w:rFonts w:hAnsi="宋体"/>
          <w:highlight w:val="none"/>
        </w:rPr>
      </w:pPr>
      <w:r>
        <w:rPr>
          <w:rFonts w:hAnsi="宋体"/>
          <w:highlight w:val="none"/>
        </w:rPr>
        <w:t>根据《中华人民共和国环境保护法》、《中华人民共和国环境影响评价法》和《建设项目环境保护管理条例》、《建设项目环境影响评价分类管理名录》等有关法律、法规以及山西省有关法规要求，该项目属于“</w:t>
      </w:r>
      <w:r>
        <w:rPr>
          <w:rFonts w:hint="eastAsia" w:hAnsi="宋体"/>
          <w:highlight w:val="none"/>
        </w:rPr>
        <w:t>六</w:t>
      </w:r>
      <w:r>
        <w:rPr>
          <w:rFonts w:hAnsi="宋体"/>
          <w:highlight w:val="none"/>
        </w:rPr>
        <w:t>、黑色金属矿采选业/</w:t>
      </w:r>
      <w:r>
        <w:rPr>
          <w:rFonts w:hint="eastAsia" w:hAnsi="宋体"/>
          <w:highlight w:val="none"/>
        </w:rPr>
        <w:t>9铁矿采选；锰矿、铬矿采选；其他黑色金属矿采选</w:t>
      </w:r>
      <w:r>
        <w:rPr>
          <w:rFonts w:hAnsi="宋体"/>
          <w:highlight w:val="none"/>
        </w:rPr>
        <w:t>”应进行环境影响评价。本项目属于</w:t>
      </w:r>
      <w:r>
        <w:rPr>
          <w:rFonts w:hint="eastAsia" w:hAnsi="宋体"/>
          <w:highlight w:val="none"/>
        </w:rPr>
        <w:t>“含新建或扩建的独立尾矿库”，应</w:t>
      </w:r>
      <w:r>
        <w:rPr>
          <w:rFonts w:hAnsi="宋体"/>
          <w:highlight w:val="none"/>
        </w:rPr>
        <w:t>编制环境影响报告书。</w:t>
      </w:r>
    </w:p>
    <w:p>
      <w:pPr>
        <w:pStyle w:val="62"/>
        <w:ind w:firstLine="480"/>
        <w:rPr>
          <w:rFonts w:hAnsi="宋体"/>
          <w:highlight w:val="none"/>
        </w:rPr>
      </w:pPr>
      <w:r>
        <w:rPr>
          <w:rFonts w:hAnsi="宋体"/>
          <w:highlight w:val="none"/>
        </w:rPr>
        <w:t>为此，山西省繁峙县垣利铁选厂于202</w:t>
      </w:r>
      <w:r>
        <w:rPr>
          <w:rFonts w:hint="eastAsia" w:hAnsi="宋体"/>
          <w:highlight w:val="none"/>
        </w:rPr>
        <w:t>0</w:t>
      </w:r>
      <w:r>
        <w:rPr>
          <w:rFonts w:hAnsi="宋体"/>
          <w:highlight w:val="none"/>
        </w:rPr>
        <w:t>年</w:t>
      </w:r>
      <w:r>
        <w:rPr>
          <w:rFonts w:hint="eastAsia" w:hAnsi="宋体"/>
          <w:highlight w:val="none"/>
        </w:rPr>
        <w:t>12</w:t>
      </w:r>
      <w:r>
        <w:rPr>
          <w:rFonts w:hAnsi="宋体"/>
          <w:highlight w:val="none"/>
        </w:rPr>
        <w:t>月</w:t>
      </w:r>
      <w:r>
        <w:rPr>
          <w:rFonts w:hint="eastAsia" w:hAnsi="宋体"/>
          <w:highlight w:val="none"/>
        </w:rPr>
        <w:t>18</w:t>
      </w:r>
      <w:r>
        <w:rPr>
          <w:rFonts w:hAnsi="宋体"/>
          <w:highlight w:val="none"/>
        </w:rPr>
        <w:t>日正式委托</w:t>
      </w:r>
      <w:r>
        <w:rPr>
          <w:rFonts w:hint="eastAsia" w:hAnsi="宋体"/>
          <w:highlight w:val="none"/>
        </w:rPr>
        <w:t>山西纳兰环保科技有限公司</w:t>
      </w:r>
      <w:r>
        <w:rPr>
          <w:rFonts w:hAnsi="宋体"/>
          <w:highlight w:val="none"/>
        </w:rPr>
        <w:t>进行该项目的环境影响评价工作。</w:t>
      </w:r>
    </w:p>
    <w:p>
      <w:pPr>
        <w:adjustRightInd w:val="0"/>
        <w:snapToGrid w:val="0"/>
        <w:ind w:firstLine="480"/>
        <w:rPr>
          <w:rFonts w:ascii="宋体" w:hAnsi="宋体"/>
          <w:highlight w:val="none"/>
        </w:rPr>
      </w:pPr>
      <w:r>
        <w:rPr>
          <w:rFonts w:ascii="宋体" w:hAnsi="宋体"/>
          <w:highlight w:val="none"/>
        </w:rPr>
        <w:t>接受委托后，评价单位专门成立了评价小组对现场进行了踏勘。评价小组对评价区域进行了调查分析，搜集了基础资料。在了解项目周边环境概况的基础上，走访了当地有关单位，咨询了项目所在区域污染源、生态敏感等规划情况及相关进展，收集了与项目有关的资料文件。</w:t>
      </w:r>
    </w:p>
    <w:p>
      <w:pPr>
        <w:adjustRightInd w:val="0"/>
        <w:snapToGrid w:val="0"/>
        <w:ind w:firstLine="480"/>
        <w:rPr>
          <w:rFonts w:ascii="宋体" w:hAnsi="宋体"/>
          <w:highlight w:val="none"/>
        </w:rPr>
      </w:pPr>
      <w:r>
        <w:rPr>
          <w:rFonts w:ascii="宋体" w:hAnsi="宋体"/>
          <w:highlight w:val="none"/>
        </w:rPr>
        <w:t>通过现场调查、相关部门咨询及分析，结合项目排污特征及周边环境敏感点、污染源分布及相关规划情况，确定了环境影响评价工作等级，在此基础上制订环境质量现状监测方案，环境空气、地下水、土壤和声环境质量现状委托</w:t>
      </w:r>
      <w:r>
        <w:rPr>
          <w:rFonts w:hint="eastAsia" w:ascii="宋体" w:hAnsi="宋体"/>
          <w:highlight w:val="none"/>
        </w:rPr>
        <w:t>有资质单位</w:t>
      </w:r>
      <w:r>
        <w:rPr>
          <w:rFonts w:ascii="宋体" w:hAnsi="宋体"/>
          <w:highlight w:val="none"/>
        </w:rPr>
        <w:t>进行了现场监测，获得区域环境质量现状数据。</w:t>
      </w:r>
    </w:p>
    <w:p>
      <w:pPr>
        <w:adjustRightInd w:val="0"/>
        <w:snapToGrid w:val="0"/>
        <w:ind w:firstLine="480"/>
        <w:rPr>
          <w:rFonts w:ascii="宋体" w:hAnsi="宋体"/>
          <w:highlight w:val="none"/>
        </w:rPr>
      </w:pPr>
      <w:r>
        <w:rPr>
          <w:rFonts w:ascii="宋体" w:hAnsi="宋体"/>
          <w:highlight w:val="none"/>
        </w:rPr>
        <w:t>评价小组依据现状数据和有关资料，结合项目特点，经过深入地调查、分析和预测，根据环境影响评价有关技术导则、规范的要求，编制完成了《山西省繁峙县垣利铁选厂30万吨/年低品位铁矿石综合利用项目环境影响报告书》（</w:t>
      </w:r>
      <w:r>
        <w:rPr>
          <w:rFonts w:hint="eastAsia" w:ascii="宋体" w:hAnsi="宋体"/>
          <w:highlight w:val="none"/>
        </w:rPr>
        <w:t>送</w:t>
      </w:r>
      <w:r>
        <w:rPr>
          <w:rFonts w:ascii="宋体" w:hAnsi="宋体"/>
          <w:highlight w:val="none"/>
        </w:rPr>
        <w:t>审本）。</w:t>
      </w:r>
    </w:p>
    <w:p>
      <w:pPr>
        <w:adjustRightInd w:val="0"/>
        <w:snapToGrid w:val="0"/>
        <w:ind w:firstLine="480"/>
        <w:rPr>
          <w:rFonts w:ascii="宋体" w:hAnsi="宋体"/>
          <w:highlight w:val="none"/>
        </w:rPr>
      </w:pPr>
      <w:r>
        <w:rPr>
          <w:rFonts w:hint="eastAsia" w:ascii="宋体" w:hAnsi="宋体"/>
          <w:highlight w:val="none"/>
        </w:rPr>
        <w:t>2021年11月18日忻州市生态环境局繁峙分局主持召开了“山西省繁峙县垣利铁选厂30万吨/年低品位铁矿石综合利用项目环境影响报告书”技术审查会，形成技术审查意见。环评单位根据审查意见对报告进行了认真修改，形成了</w:t>
      </w:r>
      <w:r>
        <w:rPr>
          <w:rFonts w:ascii="宋体" w:hAnsi="宋体"/>
          <w:highlight w:val="none"/>
        </w:rPr>
        <w:t>《山西省繁峙县垣利铁选厂30万吨/年低品位铁矿石综合利用项目环境影响报告书》（</w:t>
      </w:r>
      <w:r>
        <w:rPr>
          <w:rFonts w:hint="eastAsia" w:ascii="宋体" w:hAnsi="宋体"/>
          <w:highlight w:val="none"/>
        </w:rPr>
        <w:t>报批</w:t>
      </w:r>
      <w:r>
        <w:rPr>
          <w:rFonts w:ascii="宋体" w:hAnsi="宋体"/>
          <w:highlight w:val="none"/>
        </w:rPr>
        <w:t>本），</w:t>
      </w:r>
      <w:r>
        <w:rPr>
          <w:rFonts w:hint="eastAsia" w:ascii="宋体" w:hAnsi="宋体"/>
          <w:highlight w:val="none"/>
        </w:rPr>
        <w:t>提交建设单位，报请相关主管部门审批。</w:t>
      </w:r>
    </w:p>
    <w:p>
      <w:pPr>
        <w:adjustRightInd w:val="0"/>
        <w:snapToGrid w:val="0"/>
        <w:ind w:firstLine="480"/>
        <w:rPr>
          <w:rFonts w:ascii="宋体" w:hAnsi="宋体"/>
          <w:highlight w:val="none"/>
        </w:rPr>
      </w:pPr>
      <w:r>
        <w:rPr>
          <w:rFonts w:hint="eastAsia" w:ascii="宋体" w:hAnsi="宋体"/>
          <w:highlight w:val="none"/>
        </w:rPr>
        <w:t>根据现场踏勘，本项目已经于2019年6月建设完成并投入运行。2020年1月7日忻州市生态环境局繁峙分局以繁环法告【2020】03号文对本项目下达了行政处罚告知书，并处以罚款七万元的行政处罚。</w:t>
      </w:r>
    </w:p>
    <w:p>
      <w:pPr>
        <w:adjustRightInd w:val="0"/>
        <w:snapToGrid w:val="0"/>
        <w:ind w:firstLine="480"/>
        <w:rPr>
          <w:rFonts w:ascii="宋体" w:hAnsi="宋体"/>
          <w:highlight w:val="none"/>
        </w:rPr>
      </w:pPr>
      <w:r>
        <w:rPr>
          <w:rFonts w:hint="eastAsia" w:ascii="宋体" w:hAnsi="宋体"/>
          <w:highlight w:val="none"/>
        </w:rPr>
        <w:t>山西省繁峙县垣利铁选厂认可行政处罚，并于2020年3月25日上缴了行政罚款。</w:t>
      </w:r>
    </w:p>
    <w:p>
      <w:pPr>
        <w:autoSpaceDE w:val="0"/>
        <w:autoSpaceDN w:val="0"/>
        <w:ind w:firstLine="480"/>
        <w:rPr>
          <w:rFonts w:ascii="宋体" w:hAnsi="宋体" w:cs="宋体"/>
          <w:kern w:val="0"/>
          <w:szCs w:val="22"/>
          <w:highlight w:val="none"/>
          <w:lang w:val="zh-CN" w:bidi="zh-CN"/>
        </w:rPr>
      </w:pPr>
      <w:r>
        <w:rPr>
          <w:rFonts w:ascii="宋体" w:hAnsi="宋体" w:cs="宋体"/>
          <w:kern w:val="0"/>
          <w:szCs w:val="22"/>
          <w:highlight w:val="none"/>
          <w:lang w:val="zh-CN" w:bidi="zh-CN"/>
        </w:rPr>
        <w:t>根据《建设项目环境影响评价技术导则-总纲》（HJ2.1-2016）等相关技术规范的要求，本项目环境影响评价的工作过程及程序见图1-1。</w:t>
      </w:r>
    </w:p>
    <w:p>
      <w:pPr>
        <w:autoSpaceDE w:val="0"/>
        <w:autoSpaceDN w:val="0"/>
        <w:spacing w:line="240" w:lineRule="auto"/>
        <w:ind w:firstLine="0" w:firstLineChars="0"/>
        <w:jc w:val="center"/>
        <w:rPr>
          <w:rFonts w:ascii="宋体" w:hAnsi="宋体" w:cs="宋体"/>
          <w:kern w:val="0"/>
          <w:szCs w:val="22"/>
          <w:highlight w:val="none"/>
          <w:lang w:val="zh-CN" w:bidi="zh-CN"/>
        </w:rPr>
      </w:pPr>
      <w:r>
        <w:rPr>
          <w:rFonts w:ascii="宋体" w:hAnsi="宋体" w:cs="宋体"/>
          <w:kern w:val="0"/>
          <w:szCs w:val="22"/>
          <w:highlight w:val="none"/>
        </w:rPr>
        <w:drawing>
          <wp:inline distT="0" distB="0" distL="0" distR="0">
            <wp:extent cx="5888990" cy="6788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92031" cy="6792604"/>
                    </a:xfrm>
                    <a:prstGeom prst="rect">
                      <a:avLst/>
                    </a:prstGeom>
                    <a:noFill/>
                  </pic:spPr>
                </pic:pic>
              </a:graphicData>
            </a:graphic>
          </wp:inline>
        </w:drawing>
      </w:r>
    </w:p>
    <w:p>
      <w:pPr>
        <w:autoSpaceDE w:val="0"/>
        <w:autoSpaceDN w:val="0"/>
        <w:ind w:firstLine="0" w:firstLineChars="0"/>
        <w:jc w:val="center"/>
        <w:rPr>
          <w:rFonts w:ascii="宋体" w:hAnsi="宋体"/>
          <w:highlight w:val="none"/>
        </w:rPr>
      </w:pPr>
      <w:r>
        <w:rPr>
          <w:rFonts w:ascii="宋体" w:hAnsi="宋体" w:cs="宋体"/>
          <w:kern w:val="0"/>
          <w:highlight w:val="none"/>
          <w:lang w:val="zh-CN" w:bidi="zh-CN"/>
        </w:rPr>
        <w:t>图1-1</w:t>
      </w:r>
      <w:r>
        <w:rPr>
          <w:rFonts w:hint="eastAsia" w:ascii="宋体" w:hAnsi="宋体" w:cs="宋体"/>
          <w:kern w:val="0"/>
          <w:highlight w:val="none"/>
          <w:lang w:val="zh-CN" w:bidi="zh-CN"/>
        </w:rPr>
        <w:t xml:space="preserve">  </w:t>
      </w:r>
      <w:r>
        <w:rPr>
          <w:rFonts w:ascii="宋体" w:hAnsi="宋体" w:cs="宋体"/>
          <w:kern w:val="0"/>
          <w:highlight w:val="none"/>
          <w:lang w:val="zh-CN" w:bidi="zh-CN"/>
        </w:rPr>
        <w:t>环境影响评价程序</w:t>
      </w:r>
    </w:p>
    <w:p>
      <w:pPr>
        <w:pStyle w:val="3"/>
        <w:ind w:firstLine="643"/>
        <w:rPr>
          <w:rFonts w:hAnsi="宋体"/>
          <w:highlight w:val="none"/>
        </w:rPr>
      </w:pPr>
      <w:bookmarkStart w:id="29" w:name="_Toc4678363"/>
      <w:bookmarkStart w:id="30" w:name="_Toc70201006"/>
      <w:bookmarkStart w:id="31" w:name="_Toc1460908"/>
      <w:r>
        <w:rPr>
          <w:rFonts w:hAnsi="宋体"/>
          <w:highlight w:val="none"/>
        </w:rPr>
        <w:t>1.3项目环保政策分析判定情况</w:t>
      </w:r>
      <w:bookmarkEnd w:id="29"/>
      <w:bookmarkEnd w:id="30"/>
      <w:bookmarkEnd w:id="31"/>
    </w:p>
    <w:p>
      <w:pPr>
        <w:pStyle w:val="4"/>
        <w:ind w:firstLine="562"/>
        <w:rPr>
          <w:rFonts w:hAnsi="宋体"/>
          <w:highlight w:val="none"/>
        </w:rPr>
      </w:pPr>
      <w:bookmarkStart w:id="32" w:name="_Toc487302005"/>
      <w:bookmarkStart w:id="33" w:name="_Toc4678364"/>
      <w:r>
        <w:rPr>
          <w:rFonts w:hAnsi="宋体"/>
          <w:highlight w:val="none"/>
        </w:rPr>
        <w:t>1.3.1</w:t>
      </w:r>
      <w:bookmarkEnd w:id="32"/>
      <w:r>
        <w:rPr>
          <w:rFonts w:hAnsi="宋体"/>
          <w:highlight w:val="none"/>
        </w:rPr>
        <w:t>产业政策符合性</w:t>
      </w:r>
      <w:bookmarkEnd w:id="33"/>
    </w:p>
    <w:p>
      <w:pPr>
        <w:ind w:firstLine="480"/>
        <w:rPr>
          <w:rFonts w:ascii="宋体" w:hAnsi="宋体"/>
          <w:highlight w:val="none"/>
        </w:rPr>
      </w:pPr>
      <w:r>
        <w:rPr>
          <w:rFonts w:ascii="宋体" w:hAnsi="宋体"/>
          <w:highlight w:val="none"/>
        </w:rPr>
        <w:t>本项目利用五台县三吉铁矿有限责任公司选矿废石(低品位铁矿石)进行铁矿品位提升，属于《产业结构调整指导目录(2019年本)》中的“第一类鼓励类/四十三、环境保护与资源节约综合利用/25、尾矿、废渣等资源综合利用及配套装备制造”，项目建设符合国家产业政策。</w:t>
      </w:r>
    </w:p>
    <w:p>
      <w:pPr>
        <w:pStyle w:val="4"/>
        <w:ind w:firstLine="562"/>
        <w:rPr>
          <w:rFonts w:hAnsi="宋体"/>
          <w:highlight w:val="none"/>
        </w:rPr>
      </w:pPr>
      <w:bookmarkStart w:id="34" w:name="_Toc4678365"/>
      <w:r>
        <w:rPr>
          <w:rFonts w:hAnsi="宋体"/>
          <w:highlight w:val="none"/>
        </w:rPr>
        <w:t>1.3.2选址可行性分析</w:t>
      </w:r>
    </w:p>
    <w:p>
      <w:pPr>
        <w:pStyle w:val="62"/>
        <w:ind w:firstLine="480"/>
        <w:rPr>
          <w:rFonts w:hAnsi="宋体"/>
          <w:highlight w:val="none"/>
        </w:rPr>
      </w:pPr>
      <w:r>
        <w:rPr>
          <w:rFonts w:hAnsi="宋体"/>
          <w:highlight w:val="none"/>
        </w:rPr>
        <w:t>1.3.2.1规划符合性</w:t>
      </w:r>
      <w:bookmarkEnd w:id="34"/>
    </w:p>
    <w:p>
      <w:pPr>
        <w:adjustRightInd w:val="0"/>
        <w:snapToGrid w:val="0"/>
        <w:ind w:firstLine="480"/>
        <w:rPr>
          <w:rFonts w:ascii="宋体" w:hAnsi="宋体"/>
          <w:highlight w:val="none"/>
        </w:rPr>
      </w:pPr>
      <w:r>
        <w:rPr>
          <w:rFonts w:ascii="宋体" w:hAnsi="宋体"/>
          <w:highlight w:val="none"/>
        </w:rPr>
        <w:t>1</w:t>
      </w:r>
      <w:r>
        <w:rPr>
          <w:rFonts w:hint="eastAsia" w:ascii="宋体" w:hAnsi="宋体"/>
          <w:highlight w:val="none"/>
        </w:rPr>
        <w:t>、</w:t>
      </w:r>
      <w:r>
        <w:rPr>
          <w:rFonts w:ascii="宋体" w:hAnsi="宋体"/>
          <w:highlight w:val="none"/>
        </w:rPr>
        <w:t>繁峙县城规划符合性分析</w:t>
      </w:r>
    </w:p>
    <w:p>
      <w:pPr>
        <w:ind w:firstLine="480"/>
        <w:rPr>
          <w:rFonts w:ascii="宋体" w:hAnsi="宋体"/>
          <w:highlight w:val="none"/>
        </w:rPr>
      </w:pPr>
      <w:r>
        <w:rPr>
          <w:rFonts w:hint="eastAsia" w:ascii="宋体" w:hAnsi="宋体"/>
          <w:highlight w:val="none"/>
        </w:rPr>
        <w:t>本项目位于光裕堡乡富家庄村东南1.52km处，选厂和尾矿库占地与三调图核对后地类属于建设用地</w:t>
      </w:r>
      <w:r>
        <w:rPr>
          <w:rFonts w:hint="eastAsia" w:ascii="宋体" w:hAnsi="宋体"/>
          <w:highlight w:val="none"/>
          <w:lang w:eastAsia="zh-CN"/>
        </w:rPr>
        <w:t>，</w:t>
      </w:r>
      <w:r>
        <w:rPr>
          <w:rFonts w:hint="eastAsia" w:ascii="宋体" w:hAnsi="宋体"/>
          <w:highlight w:val="none"/>
        </w:rPr>
        <w:t>项目西边界距离中心城区规划边界13.2km，本项目不在繁峙县城市总体规划范围内，因此，本项目的建设不违背繁峙县城市总体规划。</w:t>
      </w:r>
    </w:p>
    <w:p>
      <w:pPr>
        <w:adjustRightInd w:val="0"/>
        <w:snapToGrid w:val="0"/>
        <w:ind w:firstLine="480"/>
        <w:rPr>
          <w:rFonts w:ascii="宋体" w:hAnsi="宋体"/>
          <w:highlight w:val="none"/>
        </w:rPr>
      </w:pPr>
      <w:r>
        <w:rPr>
          <w:rFonts w:ascii="宋体" w:hAnsi="宋体"/>
          <w:highlight w:val="none"/>
        </w:rPr>
        <w:t>2</w:t>
      </w:r>
      <w:r>
        <w:rPr>
          <w:rFonts w:hint="eastAsia" w:ascii="宋体" w:hAnsi="宋体"/>
          <w:highlight w:val="none"/>
        </w:rPr>
        <w:t>、</w:t>
      </w:r>
      <w:r>
        <w:rPr>
          <w:rFonts w:ascii="宋体" w:hAnsi="宋体"/>
          <w:highlight w:val="none"/>
        </w:rPr>
        <w:t>山西省主体功能区划</w:t>
      </w:r>
    </w:p>
    <w:p>
      <w:pPr>
        <w:adjustRightInd w:val="0"/>
        <w:snapToGrid w:val="0"/>
        <w:ind w:firstLine="496"/>
        <w:rPr>
          <w:rFonts w:ascii="宋体" w:hAnsi="宋体"/>
          <w:bCs/>
          <w:spacing w:val="4"/>
          <w:highlight w:val="none"/>
        </w:rPr>
      </w:pPr>
      <w:r>
        <w:rPr>
          <w:rFonts w:ascii="宋体" w:hAnsi="宋体"/>
          <w:bCs/>
          <w:spacing w:val="4"/>
          <w:highlight w:val="none"/>
        </w:rPr>
        <w:t>根据《山西省主体功能区划》，项目厂址位于繁峙县，</w:t>
      </w:r>
      <w:r>
        <w:rPr>
          <w:rFonts w:hint="eastAsia" w:ascii="宋体" w:hAnsi="宋体"/>
          <w:bCs/>
          <w:spacing w:val="4"/>
          <w:highlight w:val="none"/>
        </w:rPr>
        <w:t>本项目位于“ⅢA-1滹沱河上游农林牧业及风沙控制生态功能区”</w:t>
      </w:r>
      <w:r>
        <w:rPr>
          <w:rFonts w:ascii="宋体" w:hAnsi="宋体"/>
          <w:bCs/>
          <w:spacing w:val="4"/>
          <w:highlight w:val="none"/>
        </w:rPr>
        <w:t>。</w:t>
      </w:r>
      <w:r>
        <w:rPr>
          <w:rFonts w:hint="eastAsia" w:ascii="宋体" w:hAnsi="宋体"/>
          <w:bCs/>
          <w:spacing w:val="4"/>
          <w:highlight w:val="none"/>
        </w:rPr>
        <w:t>本项目施工期严格控制施工范围，并做好生态保护措施，减缓对四周的破坏；项目建设后加强硬化和绿化，大气污染物达标排放，生产废水全部回用不外排，减少水土流失。因此项目建设不违背《山西省主体功能区划》的发展方向要求。</w:t>
      </w:r>
    </w:p>
    <w:p>
      <w:pPr>
        <w:adjustRightInd w:val="0"/>
        <w:snapToGrid w:val="0"/>
        <w:ind w:firstLine="480"/>
        <w:rPr>
          <w:rFonts w:ascii="宋体" w:hAnsi="宋体"/>
          <w:highlight w:val="none"/>
        </w:rPr>
      </w:pPr>
      <w:r>
        <w:rPr>
          <w:rFonts w:ascii="宋体" w:hAnsi="宋体"/>
          <w:highlight w:val="none"/>
        </w:rPr>
        <w:t>3</w:t>
      </w:r>
      <w:r>
        <w:rPr>
          <w:rFonts w:hint="eastAsia" w:ascii="宋体" w:hAnsi="宋体"/>
          <w:highlight w:val="none"/>
        </w:rPr>
        <w:t>、</w:t>
      </w:r>
      <w:r>
        <w:rPr>
          <w:rFonts w:ascii="宋体" w:hAnsi="宋体"/>
          <w:highlight w:val="none"/>
        </w:rPr>
        <w:t>生态功能区划符合性分析</w:t>
      </w:r>
    </w:p>
    <w:p>
      <w:pPr>
        <w:ind w:firstLine="496"/>
        <w:rPr>
          <w:rFonts w:ascii="宋体" w:hAnsi="宋体"/>
          <w:bCs/>
          <w:spacing w:val="4"/>
          <w:highlight w:val="none"/>
        </w:rPr>
      </w:pPr>
      <w:r>
        <w:rPr>
          <w:rFonts w:ascii="宋体" w:hAnsi="宋体"/>
          <w:bCs/>
          <w:spacing w:val="4"/>
          <w:highlight w:val="none"/>
        </w:rPr>
        <w:t>根据《繁峙县生态功能区划报告》，本项目处于“</w:t>
      </w:r>
      <w:r>
        <w:rPr>
          <w:rFonts w:hint="eastAsia" w:ascii="宋体" w:hAnsi="宋体"/>
          <w:bCs/>
          <w:spacing w:val="4"/>
          <w:highlight w:val="none"/>
        </w:rPr>
        <w:t>IV2滹沱河上游丘陵区水土保持生态功能小区</w:t>
      </w:r>
      <w:r>
        <w:rPr>
          <w:rFonts w:ascii="宋体" w:hAnsi="宋体"/>
          <w:bCs/>
          <w:spacing w:val="4"/>
          <w:highlight w:val="none"/>
        </w:rPr>
        <w:t>”</w:t>
      </w:r>
      <w:r>
        <w:rPr>
          <w:rFonts w:hint="eastAsia" w:ascii="宋体" w:hAnsi="宋体"/>
          <w:bCs/>
          <w:spacing w:val="4"/>
          <w:highlight w:val="none"/>
        </w:rPr>
        <w:t>。</w:t>
      </w:r>
      <w:r>
        <w:rPr>
          <w:rFonts w:ascii="宋体" w:hAnsi="宋体"/>
          <w:bCs/>
          <w:spacing w:val="4"/>
          <w:highlight w:val="none"/>
        </w:rPr>
        <w:t xml:space="preserve"> 本项目运营过程中制定并实施生态保护措施，减缓对植被的破坏和水土流失，污染物达标排放，生产废水全部回用不外排，固废均得到合理处置</w:t>
      </w:r>
      <w:r>
        <w:rPr>
          <w:rFonts w:hint="eastAsia" w:ascii="宋体" w:hAnsi="宋体"/>
          <w:bCs/>
          <w:spacing w:val="4"/>
          <w:highlight w:val="none"/>
        </w:rPr>
        <w:t>，</w:t>
      </w:r>
      <w:r>
        <w:rPr>
          <w:rFonts w:ascii="宋体" w:hAnsi="宋体"/>
          <w:bCs/>
          <w:spacing w:val="4"/>
          <w:highlight w:val="none"/>
        </w:rPr>
        <w:t>符合</w:t>
      </w:r>
      <w:r>
        <w:rPr>
          <w:rFonts w:hint="eastAsia" w:ascii="宋体" w:hAnsi="宋体"/>
          <w:bCs/>
          <w:spacing w:val="4"/>
          <w:highlight w:val="none"/>
        </w:rPr>
        <w:t>保护措施中铁矿加工业应完善环保设施的建设与监管，控制废气、废水、固废等对周围环境的影响的要求。</w:t>
      </w:r>
      <w:r>
        <w:rPr>
          <w:rFonts w:ascii="宋体" w:hAnsi="宋体"/>
          <w:bCs/>
          <w:spacing w:val="4"/>
          <w:highlight w:val="none"/>
        </w:rPr>
        <w:t>因此，本项目的建设不违背繁峙县生态功能区划要求。</w:t>
      </w:r>
    </w:p>
    <w:p>
      <w:pPr>
        <w:adjustRightInd w:val="0"/>
        <w:snapToGrid w:val="0"/>
        <w:ind w:firstLine="480"/>
        <w:rPr>
          <w:rFonts w:ascii="宋体" w:hAnsi="宋体"/>
          <w:highlight w:val="none"/>
        </w:rPr>
      </w:pPr>
      <w:r>
        <w:rPr>
          <w:rFonts w:ascii="宋体" w:hAnsi="宋体"/>
          <w:highlight w:val="none"/>
        </w:rPr>
        <w:t>4</w:t>
      </w:r>
      <w:r>
        <w:rPr>
          <w:rFonts w:hint="eastAsia" w:ascii="宋体" w:hAnsi="宋体"/>
          <w:highlight w:val="none"/>
        </w:rPr>
        <w:t>、</w:t>
      </w:r>
      <w:r>
        <w:rPr>
          <w:rFonts w:ascii="宋体" w:hAnsi="宋体"/>
          <w:highlight w:val="none"/>
        </w:rPr>
        <w:t>生态经济区划符合性分析</w:t>
      </w:r>
    </w:p>
    <w:p>
      <w:pPr>
        <w:ind w:firstLine="496"/>
        <w:rPr>
          <w:rFonts w:ascii="宋体" w:hAnsi="宋体"/>
          <w:spacing w:val="4"/>
          <w:highlight w:val="none"/>
        </w:rPr>
      </w:pPr>
      <w:bookmarkStart w:id="35" w:name="_Toc4678366"/>
      <w:r>
        <w:rPr>
          <w:rFonts w:hint="eastAsia" w:ascii="宋体" w:hAnsi="宋体"/>
          <w:spacing w:val="4"/>
          <w:highlight w:val="none"/>
        </w:rPr>
        <w:t>根据《繁峙县生态经济区划》，本项目位于Ⅱ6繁峙县五台山山地生态林牧业经济区。该区域主要生态服务功能为生物多样性保护。</w:t>
      </w:r>
      <w:bookmarkEnd w:id="35"/>
      <w:r>
        <w:rPr>
          <w:rFonts w:ascii="宋体" w:hAnsi="宋体"/>
          <w:spacing w:val="4"/>
          <w:highlight w:val="none"/>
        </w:rPr>
        <w:t>本项目</w:t>
      </w:r>
      <w:r>
        <w:rPr>
          <w:rFonts w:hint="eastAsia" w:ascii="宋体" w:hAnsi="宋体"/>
          <w:spacing w:val="4"/>
          <w:highlight w:val="none"/>
        </w:rPr>
        <w:t>为</w:t>
      </w:r>
      <w:r>
        <w:rPr>
          <w:rFonts w:ascii="宋体" w:hAnsi="宋体"/>
          <w:spacing w:val="4"/>
          <w:highlight w:val="none"/>
        </w:rPr>
        <w:t>低品位铁矿选矿项目，原料为铁矿采选废弃的低品位矿石</w:t>
      </w:r>
      <w:r>
        <w:rPr>
          <w:rFonts w:hint="eastAsia" w:ascii="宋体" w:hAnsi="宋体"/>
          <w:spacing w:val="4"/>
          <w:highlight w:val="none"/>
        </w:rPr>
        <w:t>。项目固废得到合理处置，减小了水土流失的可能性，本项目符合</w:t>
      </w:r>
      <w:r>
        <w:rPr>
          <w:rFonts w:ascii="宋体" w:hAnsi="宋体"/>
          <w:spacing w:val="4"/>
          <w:highlight w:val="none"/>
        </w:rPr>
        <w:t>生态功能小区的</w:t>
      </w:r>
      <w:r>
        <w:rPr>
          <w:rFonts w:hint="eastAsia" w:ascii="宋体" w:hAnsi="宋体"/>
          <w:spacing w:val="4"/>
          <w:highlight w:val="none"/>
        </w:rPr>
        <w:t>保护要求</w:t>
      </w:r>
      <w:r>
        <w:rPr>
          <w:rFonts w:ascii="宋体" w:hAnsi="宋体"/>
          <w:spacing w:val="4"/>
          <w:highlight w:val="none"/>
        </w:rPr>
        <w:t>。</w:t>
      </w:r>
    </w:p>
    <w:p>
      <w:pPr>
        <w:pStyle w:val="62"/>
        <w:ind w:firstLine="480"/>
        <w:rPr>
          <w:rFonts w:hAnsi="宋体"/>
          <w:highlight w:val="none"/>
        </w:rPr>
      </w:pPr>
      <w:r>
        <w:rPr>
          <w:rFonts w:hAnsi="宋体"/>
          <w:highlight w:val="none"/>
        </w:rPr>
        <w:t>1.3.2.2敏感性分析</w:t>
      </w:r>
    </w:p>
    <w:p>
      <w:pPr>
        <w:adjustRightInd w:val="0"/>
        <w:snapToGrid w:val="0"/>
        <w:ind w:firstLine="480"/>
        <w:rPr>
          <w:rFonts w:ascii="宋体" w:hAnsi="宋体"/>
          <w:highlight w:val="none"/>
        </w:rPr>
      </w:pPr>
      <w:r>
        <w:rPr>
          <w:rFonts w:hint="eastAsia" w:ascii="宋体" w:hAnsi="宋体"/>
          <w:highlight w:val="none"/>
        </w:rPr>
        <w:t>1、</w:t>
      </w:r>
      <w:r>
        <w:rPr>
          <w:rFonts w:ascii="宋体" w:hAnsi="宋体"/>
          <w:highlight w:val="none"/>
        </w:rPr>
        <w:t>水源地</w:t>
      </w:r>
    </w:p>
    <w:p>
      <w:pPr>
        <w:adjustRightInd w:val="0"/>
        <w:snapToGrid w:val="0"/>
        <w:ind w:firstLine="480"/>
        <w:rPr>
          <w:rFonts w:ascii="宋体" w:hAnsi="宋体"/>
          <w:highlight w:val="none"/>
        </w:rPr>
      </w:pPr>
      <w:r>
        <w:rPr>
          <w:rFonts w:hint="eastAsia" w:ascii="宋体" w:hAnsi="宋体"/>
          <w:highlight w:val="none"/>
        </w:rPr>
        <w:t>本项目距离光裕堡集中供水水源保护区3.9km。本项目不在水源地保护区范围内。</w:t>
      </w:r>
    </w:p>
    <w:p>
      <w:pPr>
        <w:adjustRightInd w:val="0"/>
        <w:snapToGrid w:val="0"/>
        <w:ind w:firstLine="480"/>
        <w:rPr>
          <w:rFonts w:ascii="宋体" w:hAnsi="宋体"/>
          <w:highlight w:val="none"/>
        </w:rPr>
      </w:pPr>
      <w:r>
        <w:rPr>
          <w:rFonts w:hint="eastAsia" w:ascii="宋体" w:hAnsi="宋体"/>
          <w:highlight w:val="none"/>
        </w:rPr>
        <w:t>1.3.2.3大气防护距离</w:t>
      </w:r>
    </w:p>
    <w:p>
      <w:pPr>
        <w:adjustRightInd w:val="0"/>
        <w:snapToGrid w:val="0"/>
        <w:ind w:firstLine="480"/>
        <w:rPr>
          <w:rFonts w:ascii="宋体" w:hAnsi="宋体"/>
          <w:highlight w:val="none"/>
        </w:rPr>
      </w:pPr>
      <w:r>
        <w:rPr>
          <w:rFonts w:ascii="宋体" w:hAnsi="宋体"/>
          <w:highlight w:val="none"/>
        </w:rPr>
        <w:t>本项目不需要设置大气防护距离。</w:t>
      </w:r>
    </w:p>
    <w:p>
      <w:pPr>
        <w:pStyle w:val="4"/>
        <w:ind w:firstLine="562"/>
        <w:rPr>
          <w:rFonts w:hAnsi="宋体"/>
          <w:highlight w:val="none"/>
        </w:rPr>
      </w:pPr>
      <w:bookmarkStart w:id="36" w:name="_Toc4678367"/>
      <w:r>
        <w:rPr>
          <w:rFonts w:hAnsi="宋体"/>
          <w:highlight w:val="none"/>
        </w:rPr>
        <w:t>1.3.3“三线一单”符合性</w:t>
      </w:r>
      <w:bookmarkEnd w:id="36"/>
    </w:p>
    <w:p>
      <w:pPr>
        <w:pStyle w:val="62"/>
        <w:ind w:firstLine="480"/>
        <w:rPr>
          <w:rFonts w:hAnsi="宋体"/>
          <w:highlight w:val="none"/>
        </w:rPr>
      </w:pPr>
      <w:r>
        <w:rPr>
          <w:rFonts w:hAnsi="宋体"/>
          <w:highlight w:val="none"/>
        </w:rPr>
        <w:t>1.3.3.1生态保护红线</w:t>
      </w:r>
    </w:p>
    <w:p>
      <w:pPr>
        <w:ind w:firstLine="480"/>
        <w:rPr>
          <w:rFonts w:ascii="宋体" w:hAnsi="宋体"/>
          <w:bCs/>
          <w:highlight w:val="none"/>
        </w:rPr>
      </w:pPr>
      <w:r>
        <w:rPr>
          <w:rFonts w:ascii="宋体" w:hAnsi="宋体"/>
          <w:bCs/>
          <w:highlight w:val="none"/>
        </w:rPr>
        <w:t>根据《环境保护法》规定，应在事关国家和区域生态安全的重点生态功能、生态环境敏感区和脆弱区以及其他重要的生态区域内，规定生态保护红线，实施严格保护。生态红线规定依据主要包括《全国主体功能区规划》《全国生态脆弱区保护规划纲要》《全国海洋功能区划》《中国生物多样性保护战略与行动计划》《繁峙县生态功能区划》等国家文件和地方相关空间规划。</w:t>
      </w:r>
    </w:p>
    <w:p>
      <w:pPr>
        <w:ind w:firstLine="480"/>
        <w:rPr>
          <w:rFonts w:ascii="宋体" w:hAnsi="宋体"/>
          <w:bCs/>
          <w:highlight w:val="none"/>
        </w:rPr>
      </w:pPr>
      <w:r>
        <w:rPr>
          <w:rFonts w:ascii="宋体" w:hAnsi="宋体"/>
          <w:bCs/>
          <w:highlight w:val="none"/>
        </w:rPr>
        <w:t>繁峙县目前尚未划定生态保护红线。本次环评对照区域水源保护区、自然保护区、生态功能区划和生态经济区划资料等进行分析。项目选址不位于自然保护区、风景名胜区、森林公园、地质公园等，重要生态功能区、生态敏感区和脆弱区等环境敏感区内。本项目为</w:t>
      </w:r>
      <w:r>
        <w:rPr>
          <w:rFonts w:hint="eastAsia" w:ascii="宋体" w:hAnsi="宋体"/>
          <w:bCs/>
          <w:highlight w:val="none"/>
        </w:rPr>
        <w:t>新</w:t>
      </w:r>
      <w:r>
        <w:rPr>
          <w:rFonts w:ascii="宋体" w:hAnsi="宋体"/>
          <w:bCs/>
          <w:highlight w:val="none"/>
        </w:rPr>
        <w:t>建项目，在现有厂区进行，不新增占地，项目建设不违背当地生态功能区划和生态经济区划的发展要求，不违背生态红线划定原则。</w:t>
      </w:r>
    </w:p>
    <w:p>
      <w:pPr>
        <w:pStyle w:val="62"/>
        <w:ind w:firstLine="480"/>
        <w:rPr>
          <w:rFonts w:hAnsi="宋体"/>
          <w:highlight w:val="none"/>
        </w:rPr>
      </w:pPr>
      <w:r>
        <w:rPr>
          <w:rFonts w:hAnsi="宋体"/>
          <w:highlight w:val="none"/>
        </w:rPr>
        <w:t>1.3.3.2环境质量底线</w:t>
      </w:r>
    </w:p>
    <w:p>
      <w:pPr>
        <w:pStyle w:val="62"/>
        <w:ind w:firstLine="480"/>
        <w:rPr>
          <w:rFonts w:hAnsi="宋体"/>
          <w:highlight w:val="none"/>
        </w:rPr>
      </w:pPr>
      <w:r>
        <w:rPr>
          <w:rFonts w:hint="eastAsia" w:hAnsi="宋体"/>
          <w:highlight w:val="none"/>
        </w:rPr>
        <w:t>1、环境空气</w:t>
      </w:r>
    </w:p>
    <w:p>
      <w:pPr>
        <w:pStyle w:val="62"/>
        <w:ind w:firstLine="480"/>
        <w:rPr>
          <w:rFonts w:hAnsi="宋体" w:cstheme="minorBidi"/>
          <w:bCs/>
          <w:highlight w:val="none"/>
        </w:rPr>
      </w:pPr>
      <w:r>
        <w:rPr>
          <w:rFonts w:hint="eastAsia" w:hAnsi="宋体"/>
          <w:highlight w:val="none"/>
        </w:rPr>
        <w:t>本项目环境空气质量例行监测资料引用忻州市2021年1月1日-2021年12月31日环境空气质量主要污染物浓度分析表。</w:t>
      </w:r>
      <w:r>
        <w:rPr>
          <w:rFonts w:hAnsi="宋体"/>
          <w:snapToGrid w:val="0"/>
          <w:kern w:val="0"/>
          <w:highlight w:val="none"/>
        </w:rPr>
        <w:t>由监测数据可以看出，繁峙县20</w:t>
      </w:r>
      <w:r>
        <w:rPr>
          <w:rFonts w:hint="eastAsia" w:hAnsi="宋体"/>
          <w:snapToGrid w:val="0"/>
          <w:kern w:val="0"/>
          <w:highlight w:val="none"/>
        </w:rPr>
        <w:t>2</w:t>
      </w:r>
      <w:r>
        <w:rPr>
          <w:rFonts w:hint="eastAsia" w:hAnsi="宋体"/>
          <w:snapToGrid w:val="0"/>
          <w:kern w:val="0"/>
          <w:highlight w:val="none"/>
          <w:lang w:val="en-US" w:eastAsia="zh-CN"/>
        </w:rPr>
        <w:t>1</w:t>
      </w:r>
      <w:r>
        <w:rPr>
          <w:rFonts w:hAnsi="宋体"/>
          <w:snapToGrid w:val="0"/>
          <w:kern w:val="0"/>
          <w:highlight w:val="none"/>
        </w:rPr>
        <w:t>年全年环境空气</w:t>
      </w:r>
      <w:r>
        <w:rPr>
          <w:rFonts w:hAnsi="宋体" w:cstheme="minorBidi"/>
          <w:bCs/>
          <w:highlight w:val="none"/>
        </w:rPr>
        <w:t>例行监测因子NO</w:t>
      </w:r>
      <w:r>
        <w:rPr>
          <w:rFonts w:hAnsi="宋体" w:cstheme="minorBidi"/>
          <w:bCs/>
          <w:highlight w:val="none"/>
          <w:vertAlign w:val="subscript"/>
        </w:rPr>
        <w:t>2</w:t>
      </w:r>
      <w:r>
        <w:rPr>
          <w:rFonts w:hAnsi="宋体" w:cstheme="minorBidi"/>
          <w:bCs/>
          <w:highlight w:val="none"/>
        </w:rPr>
        <w:t>、CO、PM</w:t>
      </w:r>
      <w:r>
        <w:rPr>
          <w:rFonts w:hAnsi="宋体" w:cstheme="minorBidi"/>
          <w:bCs/>
          <w:highlight w:val="none"/>
          <w:vertAlign w:val="subscript"/>
        </w:rPr>
        <w:t>2.5</w:t>
      </w:r>
      <w:r>
        <w:rPr>
          <w:rFonts w:hAnsi="宋体" w:cstheme="minorBidi"/>
          <w:bCs/>
          <w:highlight w:val="none"/>
        </w:rPr>
        <w:t>、SO</w:t>
      </w:r>
      <w:r>
        <w:rPr>
          <w:rFonts w:hAnsi="宋体" w:cstheme="minorBidi"/>
          <w:bCs/>
          <w:highlight w:val="none"/>
          <w:vertAlign w:val="subscript"/>
        </w:rPr>
        <w:t>2</w:t>
      </w:r>
      <w:r>
        <w:rPr>
          <w:rFonts w:hAnsi="宋体" w:cstheme="minorBidi"/>
          <w:bCs/>
          <w:highlight w:val="none"/>
        </w:rPr>
        <w:t>、O</w:t>
      </w:r>
      <w:r>
        <w:rPr>
          <w:rFonts w:hAnsi="宋体" w:cstheme="minorBidi"/>
          <w:bCs/>
          <w:highlight w:val="none"/>
          <w:vertAlign w:val="subscript"/>
        </w:rPr>
        <w:t>3</w:t>
      </w:r>
      <w:r>
        <w:rPr>
          <w:rFonts w:hAnsi="宋体" w:cstheme="minorBidi"/>
          <w:bCs/>
          <w:highlight w:val="none"/>
        </w:rPr>
        <w:t>年均值</w:t>
      </w:r>
      <w:r>
        <w:rPr>
          <w:rFonts w:hint="eastAsia" w:hAnsi="宋体" w:cstheme="minorBidi"/>
          <w:bCs/>
          <w:highlight w:val="none"/>
          <w:lang w:val="en-US" w:eastAsia="zh-CN"/>
        </w:rPr>
        <w:t>未</w:t>
      </w:r>
      <w:r>
        <w:rPr>
          <w:rFonts w:hAnsi="宋体" w:cstheme="minorBidi"/>
          <w:bCs/>
          <w:highlight w:val="none"/>
        </w:rPr>
        <w:t>超过《环境空气质量标准》中的二级标准，PM</w:t>
      </w:r>
      <w:r>
        <w:rPr>
          <w:rFonts w:hAnsi="宋体" w:cstheme="minorBidi"/>
          <w:bCs/>
          <w:highlight w:val="none"/>
          <w:vertAlign w:val="subscript"/>
        </w:rPr>
        <w:t>10</w:t>
      </w:r>
      <w:r>
        <w:rPr>
          <w:rFonts w:hAnsi="宋体" w:cstheme="minorBidi"/>
          <w:bCs/>
          <w:highlight w:val="none"/>
        </w:rPr>
        <w:t>年均值超过《环境空气质量标准》中的二级标准，监测结果表明，项目所在地为不达标区。</w:t>
      </w:r>
    </w:p>
    <w:p>
      <w:pPr>
        <w:ind w:firstLine="480"/>
        <w:rPr>
          <w:rFonts w:ascii="宋体" w:hAnsi="宋体"/>
          <w:bCs/>
          <w:highlight w:val="none"/>
        </w:rPr>
      </w:pPr>
      <w:r>
        <w:rPr>
          <w:rFonts w:ascii="宋体" w:hAnsi="宋体"/>
          <w:bCs/>
          <w:highlight w:val="none"/>
        </w:rPr>
        <w:t>为了了解环境现状，建设单位委托北京京畿分析测试中心有限公司对项目的特征污染物TSP进行了现状监测，监测结果表明，项目厂址和光裕堡村两个监测点位处TSP的24h平均浓度值均达到《环境空气质量标准》（GB3095-2012）中二级标准限值。</w:t>
      </w:r>
    </w:p>
    <w:p>
      <w:pPr>
        <w:ind w:firstLine="480"/>
        <w:rPr>
          <w:rFonts w:ascii="宋体" w:hAnsi="宋体"/>
          <w:bCs/>
          <w:highlight w:val="none"/>
        </w:rPr>
      </w:pPr>
      <w:r>
        <w:rPr>
          <w:rFonts w:hint="eastAsia" w:ascii="宋体" w:hAnsi="宋体"/>
          <w:bCs/>
          <w:highlight w:val="none"/>
        </w:rPr>
        <w:t>2、</w:t>
      </w:r>
      <w:r>
        <w:rPr>
          <w:rFonts w:ascii="宋体" w:hAnsi="宋体"/>
          <w:bCs/>
          <w:highlight w:val="none"/>
        </w:rPr>
        <w:t>地下水</w:t>
      </w:r>
    </w:p>
    <w:p>
      <w:pPr>
        <w:ind w:firstLine="480"/>
        <w:rPr>
          <w:rFonts w:ascii="宋体" w:hAnsi="宋体"/>
          <w:bCs/>
          <w:highlight w:val="none"/>
        </w:rPr>
      </w:pPr>
      <w:r>
        <w:rPr>
          <w:rFonts w:hint="eastAsia" w:ascii="宋体" w:hAnsi="宋体"/>
          <w:bCs/>
          <w:highlight w:val="none"/>
        </w:rPr>
        <w:t>各监测点监测因子均可满足《地下水质量标准》（GB/T 14848-2017）中的Ⅲ类水质标准要求。总体来讲，区域地下水环境质量现状良好。</w:t>
      </w:r>
    </w:p>
    <w:p>
      <w:pPr>
        <w:ind w:firstLine="480"/>
        <w:rPr>
          <w:rFonts w:ascii="宋体" w:hAnsi="宋体"/>
          <w:bCs/>
          <w:highlight w:val="none"/>
        </w:rPr>
      </w:pPr>
      <w:r>
        <w:rPr>
          <w:rFonts w:hint="eastAsia" w:ascii="宋体" w:hAnsi="宋体"/>
          <w:bCs/>
          <w:highlight w:val="none"/>
        </w:rPr>
        <w:t>3、</w:t>
      </w:r>
      <w:r>
        <w:rPr>
          <w:rFonts w:ascii="宋体" w:hAnsi="宋体"/>
          <w:bCs/>
          <w:highlight w:val="none"/>
        </w:rPr>
        <w:t>地表水：</w:t>
      </w:r>
    </w:p>
    <w:p>
      <w:pPr>
        <w:ind w:firstLine="480"/>
        <w:rPr>
          <w:rFonts w:ascii="宋体" w:hAnsi="宋体"/>
          <w:bCs/>
          <w:highlight w:val="none"/>
        </w:rPr>
      </w:pPr>
      <w:r>
        <w:rPr>
          <w:rFonts w:hint="eastAsia" w:ascii="宋体" w:hAnsi="宋体"/>
          <w:bCs/>
          <w:highlight w:val="none"/>
        </w:rPr>
        <w:t>本次评价收集到忻州市水防办2021年3月10日《2021年1月忻州市地表水监测断面水质情况月报》。从监测可以看出，滹沱河2021年1月水质不能满足III类水质要求。</w:t>
      </w:r>
    </w:p>
    <w:p>
      <w:pPr>
        <w:ind w:firstLine="480"/>
        <w:rPr>
          <w:rFonts w:ascii="宋体" w:hAnsi="宋体"/>
          <w:bCs/>
          <w:highlight w:val="none"/>
        </w:rPr>
      </w:pPr>
      <w:r>
        <w:rPr>
          <w:rFonts w:hint="eastAsia" w:ascii="宋体" w:hAnsi="宋体"/>
          <w:bCs/>
          <w:highlight w:val="none"/>
        </w:rPr>
        <w:t>4、</w:t>
      </w:r>
      <w:r>
        <w:rPr>
          <w:rFonts w:ascii="宋体" w:hAnsi="宋体"/>
          <w:bCs/>
          <w:highlight w:val="none"/>
        </w:rPr>
        <w:t>噪声</w:t>
      </w:r>
    </w:p>
    <w:p>
      <w:pPr>
        <w:ind w:firstLine="480"/>
        <w:rPr>
          <w:rFonts w:ascii="宋体" w:hAnsi="宋体"/>
          <w:bCs/>
          <w:highlight w:val="none"/>
        </w:rPr>
      </w:pPr>
      <w:r>
        <w:rPr>
          <w:rFonts w:ascii="宋体" w:hAnsi="宋体"/>
          <w:bCs/>
          <w:highlight w:val="none"/>
        </w:rPr>
        <w:t>监测结果表明：</w:t>
      </w:r>
      <w:r>
        <w:rPr>
          <w:rFonts w:hint="eastAsia" w:ascii="宋体" w:hAnsi="宋体"/>
          <w:bCs/>
          <w:highlight w:val="none"/>
        </w:rPr>
        <w:t>厂界各测点昼间等效声级值范围在48.3~51.6dB（A）之间，夜间等效声级值范围在42.7~44.1（A）之间，均符合《声环境质量标准》（GB3096-2008）2类标准限值要求。尾矿库各测点昼间等效声级值范围在49.8~52.3dB（A）之间，夜间等效声级值范围在41.6~43.2（A）之间，均符合《声环境质量标准》（GB3096-2008）2类标准限值要求。</w:t>
      </w:r>
    </w:p>
    <w:p>
      <w:pPr>
        <w:ind w:firstLine="480"/>
        <w:rPr>
          <w:rFonts w:ascii="宋体" w:hAnsi="宋体"/>
          <w:bCs/>
          <w:highlight w:val="none"/>
        </w:rPr>
      </w:pPr>
      <w:r>
        <w:rPr>
          <w:rFonts w:hint="eastAsia" w:ascii="宋体" w:hAnsi="宋体"/>
          <w:bCs/>
          <w:highlight w:val="none"/>
        </w:rPr>
        <w:t>5、</w:t>
      </w:r>
      <w:r>
        <w:rPr>
          <w:rFonts w:ascii="宋体" w:hAnsi="宋体"/>
          <w:bCs/>
          <w:highlight w:val="none"/>
        </w:rPr>
        <w:t>土壤</w:t>
      </w:r>
    </w:p>
    <w:p>
      <w:pPr>
        <w:ind w:firstLine="480"/>
        <w:rPr>
          <w:rFonts w:ascii="宋体" w:hAnsi="宋体"/>
          <w:bCs/>
          <w:highlight w:val="none"/>
        </w:rPr>
      </w:pPr>
      <w:r>
        <w:rPr>
          <w:rFonts w:ascii="宋体" w:hAnsi="宋体"/>
          <w:bCs/>
          <w:highlight w:val="none"/>
        </w:rPr>
        <w:t>监测结果表明：</w:t>
      </w:r>
      <w:r>
        <w:rPr>
          <w:rFonts w:hint="eastAsia" w:ascii="宋体" w:hAnsi="宋体"/>
          <w:bCs/>
          <w:highlight w:val="none"/>
        </w:rPr>
        <w:t>厂址土壤各监测点位检出物质中的镉、汞、六介铬、砷、铜、铅和镍均低于《土壤环境质量建设用地土壤污染风险管控标准（试行）》（GB36600-2018）表1建设用地土壤污染风险中第二类用地筛选值；尾矿库各监测点位检出物质中的镉、汞、砷、铜、铬、铅、镍和锌均低于《土壤环境质量农用地土壤污染风险管控标准》（GB15618-2018）（试行）中表1农用地土壤污染风险筛选值。总体来讲，项目所在场地土壤环境质量良好。</w:t>
      </w:r>
    </w:p>
    <w:p>
      <w:pPr>
        <w:ind w:firstLine="480"/>
        <w:rPr>
          <w:rFonts w:ascii="宋体" w:hAnsi="宋体"/>
          <w:bCs/>
          <w:highlight w:val="none"/>
        </w:rPr>
      </w:pPr>
      <w:r>
        <w:rPr>
          <w:rFonts w:ascii="宋体" w:hAnsi="宋体"/>
          <w:bCs/>
          <w:highlight w:val="none"/>
        </w:rPr>
        <w:t>项目生产废水循环利用不外排；生活污水经管道排入旱厕，定期清掏用于农田施肥；固体废物均得到合理处置。因此可以避免对、地表水、地下水和土壤造成污染；项目建成后周围环境质量符合环境功能区划要求，可以达到环境质量目标，符合环境质量底线的原则。</w:t>
      </w:r>
    </w:p>
    <w:p>
      <w:pPr>
        <w:pStyle w:val="62"/>
        <w:ind w:firstLine="480"/>
        <w:rPr>
          <w:rFonts w:hAnsi="宋体"/>
          <w:highlight w:val="none"/>
        </w:rPr>
      </w:pPr>
      <w:r>
        <w:rPr>
          <w:rFonts w:hAnsi="宋体"/>
          <w:highlight w:val="none"/>
        </w:rPr>
        <w:t>1.3.3.3资源利用上线</w:t>
      </w:r>
    </w:p>
    <w:p>
      <w:pPr>
        <w:ind w:firstLine="480"/>
        <w:rPr>
          <w:rFonts w:ascii="宋体" w:hAnsi="宋体"/>
          <w:bCs/>
          <w:highlight w:val="none"/>
        </w:rPr>
      </w:pPr>
      <w:r>
        <w:rPr>
          <w:rFonts w:ascii="宋体" w:hAnsi="宋体"/>
          <w:bCs/>
          <w:highlight w:val="none"/>
        </w:rPr>
        <w:t>本项目不属于高能耗、高污染项目，生产过程消耗一定量的电和水，资源消耗量相对区域资源利用总量较少，未突破资源利用上线的要求。</w:t>
      </w:r>
    </w:p>
    <w:p>
      <w:pPr>
        <w:pStyle w:val="62"/>
        <w:ind w:firstLine="480"/>
        <w:rPr>
          <w:rFonts w:hAnsi="宋体"/>
          <w:highlight w:val="none"/>
        </w:rPr>
      </w:pPr>
      <w:r>
        <w:rPr>
          <w:rFonts w:hAnsi="宋体"/>
          <w:highlight w:val="none"/>
        </w:rPr>
        <w:t>1.3.3.4环境准入负面清单</w:t>
      </w:r>
    </w:p>
    <w:p>
      <w:pPr>
        <w:adjustRightInd w:val="0"/>
        <w:snapToGrid w:val="0"/>
        <w:ind w:firstLine="480"/>
        <w:rPr>
          <w:rFonts w:ascii="宋体" w:hAnsi="宋体"/>
          <w:szCs w:val="22"/>
          <w:highlight w:val="none"/>
        </w:rPr>
      </w:pPr>
      <w:bookmarkStart w:id="37" w:name="_Toc1460909"/>
      <w:bookmarkStart w:id="38" w:name="_Toc4678368"/>
      <w:r>
        <w:rPr>
          <w:rFonts w:hint="eastAsia" w:ascii="宋体" w:hAnsi="宋体"/>
          <w:bCs/>
          <w:szCs w:val="22"/>
          <w:highlight w:val="none"/>
        </w:rPr>
        <w:t>环境准入负面清单是基于生态保护红线、环境质量底线和资源利用上线，以保护清单的方式列出的禁止、限制等差别化环境准入条件和要求。根据要求，在《全国生态功能区划》国家重点生态功能区以及工业园区范围内需编制环境准入负面清单。本项目</w:t>
      </w:r>
      <w:r>
        <w:rPr>
          <w:rFonts w:ascii="宋体" w:hAnsi="宋体"/>
          <w:bCs/>
          <w:szCs w:val="22"/>
          <w:highlight w:val="none"/>
        </w:rPr>
        <w:t>属于《产业结构调整指导目录</w:t>
      </w:r>
      <w:r>
        <w:rPr>
          <w:rFonts w:hint="eastAsia" w:ascii="宋体" w:hAnsi="宋体"/>
          <w:bCs/>
          <w:szCs w:val="22"/>
          <w:highlight w:val="none"/>
        </w:rPr>
        <w:t>》</w:t>
      </w:r>
      <w:r>
        <w:rPr>
          <w:rFonts w:ascii="宋体" w:hAnsi="宋体"/>
          <w:bCs/>
          <w:szCs w:val="22"/>
          <w:highlight w:val="none"/>
        </w:rPr>
        <w:t>（201</w:t>
      </w:r>
      <w:r>
        <w:rPr>
          <w:rFonts w:hint="eastAsia" w:ascii="宋体" w:hAnsi="宋体"/>
          <w:bCs/>
          <w:szCs w:val="22"/>
          <w:highlight w:val="none"/>
        </w:rPr>
        <w:t>9</w:t>
      </w:r>
      <w:r>
        <w:rPr>
          <w:rFonts w:ascii="宋体" w:hAnsi="宋体"/>
          <w:bCs/>
          <w:szCs w:val="22"/>
          <w:highlight w:val="none"/>
        </w:rPr>
        <w:t>年本）中</w:t>
      </w:r>
      <w:r>
        <w:rPr>
          <w:rFonts w:hint="eastAsia" w:ascii="宋体" w:hAnsi="宋体"/>
          <w:bCs/>
          <w:szCs w:val="22"/>
          <w:highlight w:val="none"/>
          <w:lang w:eastAsia="zh-CN"/>
        </w:rPr>
        <w:t>“</w:t>
      </w:r>
      <w:r>
        <w:rPr>
          <w:rFonts w:hint="eastAsia" w:ascii="宋体" w:hAnsi="宋体"/>
          <w:bCs/>
          <w:szCs w:val="22"/>
          <w:highlight w:val="none"/>
        </w:rPr>
        <w:t>第一类鼓励类/四十三、环境保护与资源节约综合利用/25、尾矿、废渣等资源综合利用及配套装备制造”，项目建设符合国家产业政策。</w:t>
      </w:r>
      <w:r>
        <w:rPr>
          <w:rFonts w:ascii="宋体" w:hAnsi="宋体"/>
          <w:szCs w:val="22"/>
          <w:highlight w:val="none"/>
        </w:rPr>
        <w:t>不违背环境准入负面清单的原则要求。</w:t>
      </w:r>
    </w:p>
    <w:p>
      <w:pPr>
        <w:pStyle w:val="62"/>
        <w:ind w:firstLine="480"/>
        <w:rPr>
          <w:rFonts w:hAnsi="宋体"/>
          <w:highlight w:val="none"/>
        </w:rPr>
      </w:pPr>
      <w:r>
        <w:rPr>
          <w:rFonts w:hAnsi="宋体"/>
          <w:highlight w:val="none"/>
        </w:rPr>
        <w:t>1.3.3.</w:t>
      </w:r>
      <w:r>
        <w:rPr>
          <w:rFonts w:hint="eastAsia" w:hAnsi="宋体"/>
          <w:highlight w:val="none"/>
        </w:rPr>
        <w:t>5忻州市“三线一单”生态环境分区管控实施方案</w:t>
      </w:r>
    </w:p>
    <w:p>
      <w:pPr>
        <w:ind w:firstLine="480"/>
        <w:rPr>
          <w:rFonts w:ascii="宋体" w:hAnsi="宋体"/>
          <w:highlight w:val="none"/>
        </w:rPr>
      </w:pPr>
      <w:r>
        <w:rPr>
          <w:rFonts w:hint="eastAsia" w:ascii="宋体" w:hAnsi="宋体"/>
          <w:highlight w:val="none"/>
        </w:rPr>
        <w:t>根据《忻州市“三线一单”生态环境分区管控实施方案》（忻政发【2021】12号）文划分生态环境管控单元为：</w:t>
      </w:r>
    </w:p>
    <w:p>
      <w:pPr>
        <w:ind w:firstLine="480"/>
        <w:rPr>
          <w:rFonts w:ascii="宋体" w:hAnsi="宋体"/>
          <w:highlight w:val="none"/>
        </w:rPr>
      </w:pPr>
      <w:r>
        <w:rPr>
          <w:rFonts w:hint="eastAsia" w:ascii="宋体" w:hAnsi="宋体"/>
          <w:highlight w:val="none"/>
        </w:rPr>
        <w:t>优先保护单元：依法禁止或限制大规模、高强度的工业和城镇开发建设，在功能受损的优先保护单元优先开展生态保护修复活动，恢复生态系统服务功能。生态保护红线管控原则上按照禁止开发区域的要求进行管理。严禁不符合主体功能定位的各类开发活动，严禁任意改变用途。</w:t>
      </w:r>
    </w:p>
    <w:p>
      <w:pPr>
        <w:ind w:firstLine="480"/>
        <w:rPr>
          <w:rFonts w:ascii="宋体" w:hAnsi="宋体"/>
          <w:highlight w:val="none"/>
        </w:rPr>
      </w:pPr>
      <w:r>
        <w:rPr>
          <w:rFonts w:hint="eastAsia" w:ascii="宋体" w:hAnsi="宋体"/>
          <w:highlight w:val="none"/>
        </w:rPr>
        <w:t>重点管控单元：重点管控单元既是产业高质量发展的承载区，也是环境污染治理和风险防范的重点区域。重点管控单元以生态修复和环境污染治理为主，进一步优化空间布局，加强污染物排放控制和环境风险防控，不断提升资源能源利用效率，解决生态环境质量不达标、生态环境风险高等问题，实现减污降碳协同效应。</w:t>
      </w:r>
    </w:p>
    <w:p>
      <w:pPr>
        <w:ind w:firstLine="480"/>
        <w:rPr>
          <w:rFonts w:ascii="宋体" w:hAnsi="宋体"/>
          <w:highlight w:val="none"/>
        </w:rPr>
      </w:pPr>
      <w:r>
        <w:rPr>
          <w:rFonts w:hint="eastAsia" w:ascii="宋体" w:hAnsi="宋体"/>
          <w:highlight w:val="none"/>
        </w:rPr>
        <w:t>一般管控单元：以生态环境保护与适度开发相结合为主执行国家、主要落实生态环境保护基本要省、市相关产业准入、总量控制排放标准等管理规定，推动区域生态环境质量持续改善。</w:t>
      </w:r>
    </w:p>
    <w:p>
      <w:pPr>
        <w:ind w:firstLine="480"/>
        <w:rPr>
          <w:rFonts w:ascii="宋体" w:hAnsi="宋体"/>
          <w:highlight w:val="none"/>
        </w:rPr>
      </w:pPr>
      <w:r>
        <w:rPr>
          <w:rFonts w:hint="eastAsia" w:ascii="宋体" w:hAnsi="宋体"/>
          <w:highlight w:val="none"/>
        </w:rPr>
        <w:t>优先保护单元：全市共计114个，主要包括生态保护红线、自然保护地、饮用水水源保护区、泉域重点保护区，以及生态功能重要和生态环境敏感脆弱的区域等。</w:t>
      </w:r>
    </w:p>
    <w:p>
      <w:pPr>
        <w:ind w:firstLine="480"/>
        <w:rPr>
          <w:rFonts w:ascii="宋体" w:hAnsi="宋体"/>
          <w:highlight w:val="none"/>
        </w:rPr>
      </w:pPr>
      <w:r>
        <w:rPr>
          <w:rFonts w:hint="eastAsia" w:ascii="宋体" w:hAnsi="宋体"/>
          <w:highlight w:val="none"/>
        </w:rPr>
        <w:t>重点管控单元：全市共计70个，主要包括城市建成区、省级以上经济技术开发区和产业园区（聚集区）、大气环境布局敏感区和弱扩散区，以及开发强度高、污染物排放量大、环境问题相对集中的区域等。</w:t>
      </w:r>
    </w:p>
    <w:p>
      <w:pPr>
        <w:ind w:firstLine="480"/>
        <w:rPr>
          <w:rFonts w:ascii="宋体" w:hAnsi="宋体"/>
          <w:highlight w:val="none"/>
        </w:rPr>
      </w:pPr>
      <w:r>
        <w:rPr>
          <w:rFonts w:hint="eastAsia" w:ascii="宋体" w:hAnsi="宋体"/>
          <w:highlight w:val="none"/>
        </w:rPr>
        <w:t>一般管控单元：全市共计14个，指优先保护单元和重点管控单元之外的其他区域。</w:t>
      </w:r>
    </w:p>
    <w:p>
      <w:pPr>
        <w:ind w:firstLine="480"/>
        <w:rPr>
          <w:rFonts w:ascii="宋体" w:hAnsi="宋体"/>
          <w:highlight w:val="none"/>
        </w:rPr>
      </w:pPr>
      <w:r>
        <w:rPr>
          <w:rFonts w:ascii="宋体" w:hAnsi="宋体"/>
          <w:highlight w:val="none"/>
        </w:rPr>
        <w:t>本项目位于</w:t>
      </w:r>
      <w:r>
        <w:rPr>
          <w:rFonts w:hint="eastAsia" w:ascii="宋体" w:hAnsi="宋体"/>
          <w:highlight w:val="none"/>
        </w:rPr>
        <w:t>繁峙县</w:t>
      </w:r>
      <w:r>
        <w:rPr>
          <w:rFonts w:ascii="宋体" w:hAnsi="宋体"/>
          <w:highlight w:val="none"/>
        </w:rPr>
        <w:t>光裕堡乡富家庄村东南1.52km处</w:t>
      </w:r>
      <w:r>
        <w:rPr>
          <w:rFonts w:hint="eastAsia" w:ascii="宋体" w:hAnsi="宋体"/>
          <w:highlight w:val="none"/>
        </w:rPr>
        <w:t>，选址不在生态保护红线、自然保护地、饮用水水源保护区、泉域重点保护区，以及生态功能重要和生态环境敏感脆弱的区域等；不在太行山、吕梁山等生态屏障带，以及沿黄水土流失生态脆弱区域，因此本项目不在优先保护单元。</w:t>
      </w:r>
    </w:p>
    <w:p>
      <w:pPr>
        <w:ind w:firstLine="480"/>
        <w:rPr>
          <w:rFonts w:ascii="宋体" w:hAnsi="宋体"/>
          <w:highlight w:val="none"/>
        </w:rPr>
      </w:pPr>
      <w:r>
        <w:rPr>
          <w:rFonts w:hint="eastAsia" w:ascii="宋体" w:hAnsi="宋体"/>
          <w:highlight w:val="none"/>
        </w:rPr>
        <w:t>本项目场址不在繁峙县县城规划范围内，因此本项目不在重点管控单元。</w:t>
      </w:r>
    </w:p>
    <w:p>
      <w:pPr>
        <w:ind w:firstLine="480"/>
        <w:rPr>
          <w:rFonts w:ascii="宋体" w:hAnsi="宋体"/>
          <w:highlight w:val="none"/>
        </w:rPr>
      </w:pPr>
      <w:r>
        <w:rPr>
          <w:rFonts w:hint="eastAsia" w:ascii="宋体" w:hAnsi="宋体"/>
          <w:highlight w:val="none"/>
        </w:rPr>
        <w:t>本项目位于一般管控单元。一般管控单元：以生态环境保护与适度开发相结合为主，主要落实生态环境保护基本要求，执行国家、省、市相关产业准入、总量控制、排放标准等管理规定，推动区域生态环境质量持续改善。</w:t>
      </w:r>
    </w:p>
    <w:p>
      <w:pPr>
        <w:ind w:firstLine="480"/>
        <w:rPr>
          <w:rFonts w:ascii="宋体" w:hAnsi="宋体"/>
          <w:highlight w:val="none"/>
        </w:rPr>
      </w:pPr>
      <w:r>
        <w:rPr>
          <w:rFonts w:hint="eastAsia" w:ascii="宋体" w:hAnsi="宋体"/>
          <w:highlight w:val="none"/>
        </w:rPr>
        <w:t>本项目符合产业政策，符合国家、省、市相关产业准入政策；污染物达标排放，总量控制、排放标准等管理规定，因此满足一般管控单元管控要求。</w:t>
      </w:r>
    </w:p>
    <w:p>
      <w:pPr>
        <w:adjustRightInd w:val="0"/>
        <w:snapToGrid w:val="0"/>
        <w:ind w:firstLine="480"/>
        <w:rPr>
          <w:rFonts w:ascii="宋体" w:hAnsi="宋体"/>
          <w:szCs w:val="22"/>
          <w:highlight w:val="none"/>
        </w:rPr>
      </w:pPr>
      <w:r>
        <w:rPr>
          <w:rFonts w:hint="eastAsia" w:ascii="宋体" w:hAnsi="宋体"/>
          <w:szCs w:val="22"/>
          <w:highlight w:val="none"/>
        </w:rPr>
        <w:t>本项目与忻州市生态环境管控单元分布图见附图1-1。</w:t>
      </w:r>
    </w:p>
    <w:p>
      <w:pPr>
        <w:adjustRightInd w:val="0"/>
        <w:snapToGrid w:val="0"/>
        <w:ind w:firstLine="480"/>
        <w:rPr>
          <w:rFonts w:ascii="宋体" w:hAnsi="宋体"/>
          <w:szCs w:val="22"/>
          <w:highlight w:val="none"/>
        </w:rPr>
      </w:pPr>
      <w:r>
        <w:rPr>
          <w:rFonts w:ascii="宋体" w:hAnsi="宋体"/>
          <w:szCs w:val="22"/>
          <w:highlight w:val="none"/>
        </w:rPr>
        <w:t>综上所述，本项目选址、规模、性质和工艺路线符合国家和山西省有关环境保护法律法规、标准、政策、规范，不违背繁峙县城市总体规划，符合生态保护红线、环境质量底线、资源利用上线和环境准入负面清单的管控原则。本项目的建设符合国家“三线一单”的管控原则。</w:t>
      </w:r>
    </w:p>
    <w:p>
      <w:pPr>
        <w:pStyle w:val="3"/>
        <w:ind w:firstLine="643"/>
        <w:rPr>
          <w:rFonts w:hAnsi="宋体"/>
          <w:highlight w:val="none"/>
        </w:rPr>
      </w:pPr>
      <w:bookmarkStart w:id="39" w:name="_Toc70201007"/>
      <w:r>
        <w:rPr>
          <w:rFonts w:hAnsi="宋体"/>
          <w:highlight w:val="none"/>
        </w:rPr>
        <w:t>1.4关注的主要环境问题</w:t>
      </w:r>
      <w:bookmarkEnd w:id="37"/>
      <w:bookmarkEnd w:id="38"/>
      <w:bookmarkEnd w:id="39"/>
    </w:p>
    <w:p>
      <w:pPr>
        <w:ind w:firstLine="480"/>
        <w:rPr>
          <w:rFonts w:ascii="宋体" w:hAnsi="宋体"/>
          <w:highlight w:val="none"/>
        </w:rPr>
      </w:pPr>
      <w:r>
        <w:rPr>
          <w:rFonts w:ascii="宋体" w:hAnsi="宋体"/>
          <w:highlight w:val="none"/>
        </w:rPr>
        <w:t>结合区域环境特点及项目特点，本项目重点关注的主要环境问题及环境影响具体如下：</w:t>
      </w:r>
      <w:bookmarkStart w:id="40" w:name="_Toc1460910"/>
    </w:p>
    <w:p>
      <w:pPr>
        <w:ind w:firstLine="480"/>
        <w:rPr>
          <w:rFonts w:ascii="宋体" w:hAnsi="宋体"/>
          <w:highlight w:val="none"/>
        </w:rPr>
      </w:pPr>
      <w:r>
        <w:rPr>
          <w:rFonts w:hint="eastAsia" w:ascii="宋体" w:hAnsi="宋体"/>
          <w:highlight w:val="none"/>
        </w:rPr>
        <w:t>1、</w:t>
      </w:r>
      <w:r>
        <w:rPr>
          <w:rFonts w:ascii="宋体" w:hAnsi="宋体"/>
          <w:highlight w:val="none"/>
        </w:rPr>
        <w:t>项目施工期对环境空气、地表水、地下水、声环境、生态环境产生的影响；</w:t>
      </w:r>
    </w:p>
    <w:p>
      <w:pPr>
        <w:ind w:firstLine="480"/>
        <w:rPr>
          <w:rFonts w:ascii="宋体" w:hAnsi="宋体"/>
          <w:highlight w:val="none"/>
        </w:rPr>
      </w:pPr>
      <w:r>
        <w:rPr>
          <w:rFonts w:hint="eastAsia" w:ascii="宋体" w:hAnsi="宋体"/>
          <w:highlight w:val="none"/>
        </w:rPr>
        <w:t>2、</w:t>
      </w:r>
      <w:r>
        <w:rPr>
          <w:rFonts w:ascii="宋体" w:hAnsi="宋体"/>
          <w:highlight w:val="none"/>
        </w:rPr>
        <w:t>项目运营期产生的粉尘对环境空气产生的影响；</w:t>
      </w:r>
    </w:p>
    <w:p>
      <w:pPr>
        <w:ind w:firstLine="480"/>
        <w:rPr>
          <w:rFonts w:ascii="宋体" w:hAnsi="宋体"/>
          <w:highlight w:val="none"/>
        </w:rPr>
      </w:pPr>
      <w:r>
        <w:rPr>
          <w:rFonts w:hint="eastAsia" w:ascii="宋体" w:hAnsi="宋体"/>
          <w:highlight w:val="none"/>
        </w:rPr>
        <w:t>3、</w:t>
      </w:r>
      <w:r>
        <w:rPr>
          <w:rFonts w:ascii="宋体" w:hAnsi="宋体"/>
          <w:highlight w:val="none"/>
        </w:rPr>
        <w:t>项目运营期产生的生产废水对地表水、地下水环境产生的影响；</w:t>
      </w:r>
    </w:p>
    <w:p>
      <w:pPr>
        <w:ind w:firstLine="480"/>
        <w:rPr>
          <w:rFonts w:ascii="宋体" w:hAnsi="宋体"/>
          <w:highlight w:val="none"/>
        </w:rPr>
      </w:pPr>
      <w:r>
        <w:rPr>
          <w:rFonts w:hint="eastAsia" w:ascii="宋体" w:hAnsi="宋体"/>
          <w:highlight w:val="none"/>
        </w:rPr>
        <w:t>4、</w:t>
      </w:r>
      <w:r>
        <w:rPr>
          <w:rFonts w:ascii="宋体" w:hAnsi="宋体"/>
          <w:highlight w:val="none"/>
        </w:rPr>
        <w:t>项目运营期产生的噪声对</w:t>
      </w:r>
      <w:r>
        <w:rPr>
          <w:rFonts w:hint="eastAsia" w:ascii="宋体" w:hAnsi="宋体"/>
          <w:highlight w:val="none"/>
        </w:rPr>
        <w:t>周围</w:t>
      </w:r>
      <w:r>
        <w:rPr>
          <w:rFonts w:ascii="宋体" w:hAnsi="宋体"/>
          <w:highlight w:val="none"/>
        </w:rPr>
        <w:t>环境产生的影响；</w:t>
      </w:r>
    </w:p>
    <w:p>
      <w:pPr>
        <w:ind w:firstLine="480"/>
        <w:rPr>
          <w:rFonts w:ascii="宋体" w:hAnsi="宋体"/>
          <w:highlight w:val="none"/>
        </w:rPr>
      </w:pPr>
      <w:r>
        <w:rPr>
          <w:rFonts w:hint="eastAsia" w:ascii="宋体" w:hAnsi="宋体"/>
          <w:highlight w:val="none"/>
        </w:rPr>
        <w:t>5、</w:t>
      </w:r>
      <w:r>
        <w:rPr>
          <w:rFonts w:ascii="宋体" w:hAnsi="宋体"/>
          <w:highlight w:val="none"/>
        </w:rPr>
        <w:t>项目运营期产生固体废物对地下水、土壤环境产生的影响；</w:t>
      </w:r>
    </w:p>
    <w:p>
      <w:pPr>
        <w:ind w:firstLine="480"/>
        <w:rPr>
          <w:rFonts w:ascii="宋体" w:hAnsi="宋体"/>
          <w:highlight w:val="none"/>
        </w:rPr>
      </w:pPr>
      <w:r>
        <w:rPr>
          <w:rFonts w:hint="eastAsia" w:ascii="宋体" w:hAnsi="宋体"/>
          <w:highlight w:val="none"/>
        </w:rPr>
        <w:t>6、</w:t>
      </w:r>
      <w:r>
        <w:rPr>
          <w:rFonts w:ascii="宋体" w:hAnsi="宋体"/>
          <w:highlight w:val="none"/>
        </w:rPr>
        <w:t>项目运营期尾矿库的环境风险影响；</w:t>
      </w:r>
    </w:p>
    <w:p>
      <w:pPr>
        <w:pStyle w:val="3"/>
        <w:ind w:firstLine="643"/>
        <w:rPr>
          <w:rFonts w:hAnsi="宋体"/>
          <w:highlight w:val="none"/>
        </w:rPr>
      </w:pPr>
      <w:bookmarkStart w:id="41" w:name="_Toc70201008"/>
      <w:bookmarkStart w:id="42" w:name="_Toc4678369"/>
      <w:r>
        <w:rPr>
          <w:rFonts w:hAnsi="宋体"/>
          <w:highlight w:val="none"/>
        </w:rPr>
        <w:t>1.5评价结论</w:t>
      </w:r>
      <w:bookmarkEnd w:id="40"/>
      <w:bookmarkEnd w:id="41"/>
      <w:bookmarkEnd w:id="42"/>
    </w:p>
    <w:p>
      <w:pPr>
        <w:ind w:firstLine="482"/>
        <w:rPr>
          <w:rFonts w:ascii="宋体" w:hAnsi="宋体"/>
          <w:b/>
          <w:highlight w:val="none"/>
        </w:rPr>
      </w:pPr>
      <w:r>
        <w:rPr>
          <w:rFonts w:ascii="宋体" w:hAnsi="宋体"/>
          <w:b/>
          <w:highlight w:val="none"/>
        </w:rPr>
        <w:t>山西省繁峙县垣利铁选厂30万吨/年低品位铁矿石综合利用项目符合国家产业政策，符合当地相关规划要求，项目选址可行。建设单位认真落实环评报告提出的污染防治措施及生态恢复措施后，各项污染物均能做到达标排放，不会对区域环境空气、地下水、声环境和生态环境产生明显不利影响；公众参与期间未收到反馈意见。从环境保护角度看，本项目的建设是可行的。</w:t>
      </w:r>
    </w:p>
    <w:p>
      <w:pPr>
        <w:ind w:firstLine="482"/>
        <w:rPr>
          <w:rFonts w:ascii="宋体" w:hAnsi="宋体"/>
          <w:b/>
          <w:highlight w:val="none"/>
        </w:rPr>
      </w:pPr>
    </w:p>
    <w:p>
      <w:pPr>
        <w:ind w:firstLine="482"/>
        <w:rPr>
          <w:rFonts w:ascii="宋体" w:hAnsi="宋体"/>
          <w:b/>
          <w:highlight w:val="none"/>
        </w:rPr>
        <w:sectPr>
          <w:footerReference r:id="rId13" w:type="default"/>
          <w:pgSz w:w="11906" w:h="16838"/>
          <w:pgMar w:top="1588" w:right="1588" w:bottom="1474" w:left="1588" w:header="964" w:footer="850" w:gutter="0"/>
          <w:pgBorders>
            <w:top w:val="none" w:sz="0" w:space="0"/>
            <w:left w:val="none" w:sz="0" w:space="0"/>
            <w:bottom w:val="none" w:sz="0" w:space="0"/>
            <w:right w:val="none" w:sz="0" w:space="0"/>
          </w:pgBorders>
          <w:pgNumType w:start="1"/>
          <w:cols w:space="425" w:num="1"/>
          <w:docGrid w:type="lines" w:linePitch="326" w:charSpace="0"/>
        </w:sectPr>
      </w:pPr>
    </w:p>
    <w:p>
      <w:pPr>
        <w:pStyle w:val="2"/>
        <w:ind w:firstLine="883"/>
        <w:rPr>
          <w:highlight w:val="none"/>
        </w:rPr>
      </w:pPr>
      <w:bookmarkStart w:id="43" w:name="_Toc474767025"/>
      <w:bookmarkStart w:id="44" w:name="_Toc487302018"/>
      <w:bookmarkStart w:id="45" w:name="_Toc70201009"/>
      <w:bookmarkStart w:id="46" w:name="_Toc1460911"/>
      <w:bookmarkStart w:id="47" w:name="_Toc4678370"/>
      <w:r>
        <w:rPr>
          <w:highlight w:val="none"/>
        </w:rPr>
        <w:t>第二章</w:t>
      </w:r>
      <w:r>
        <w:rPr>
          <w:rFonts w:hint="eastAsia"/>
          <w:highlight w:val="none"/>
        </w:rPr>
        <w:t xml:space="preserve">  </w:t>
      </w:r>
      <w:r>
        <w:rPr>
          <w:highlight w:val="none"/>
        </w:rPr>
        <w:t>总</w:t>
      </w:r>
      <w:bookmarkEnd w:id="43"/>
      <w:r>
        <w:rPr>
          <w:rFonts w:hint="eastAsia"/>
          <w:highlight w:val="none"/>
        </w:rPr>
        <w:t xml:space="preserve">  </w:t>
      </w:r>
      <w:r>
        <w:rPr>
          <w:highlight w:val="none"/>
        </w:rPr>
        <w:t>则</w:t>
      </w:r>
      <w:bookmarkEnd w:id="44"/>
      <w:bookmarkEnd w:id="45"/>
      <w:bookmarkEnd w:id="46"/>
      <w:bookmarkEnd w:id="47"/>
    </w:p>
    <w:p>
      <w:pPr>
        <w:pStyle w:val="3"/>
        <w:ind w:firstLine="643"/>
        <w:rPr>
          <w:rFonts w:hAnsi="宋体"/>
          <w:highlight w:val="none"/>
        </w:rPr>
      </w:pPr>
      <w:bookmarkStart w:id="48" w:name="_Toc4678371"/>
      <w:bookmarkStart w:id="49" w:name="_Toc70201010"/>
      <w:bookmarkStart w:id="50" w:name="_Toc474767026"/>
      <w:bookmarkStart w:id="51" w:name="_Toc487302019"/>
      <w:bookmarkStart w:id="52" w:name="_Toc1460912"/>
      <w:r>
        <w:rPr>
          <w:rFonts w:hAnsi="宋体"/>
          <w:highlight w:val="none"/>
        </w:rPr>
        <w:t>2.1编制依据</w:t>
      </w:r>
      <w:bookmarkEnd w:id="48"/>
      <w:bookmarkEnd w:id="49"/>
      <w:bookmarkEnd w:id="50"/>
      <w:bookmarkEnd w:id="51"/>
      <w:bookmarkEnd w:id="52"/>
    </w:p>
    <w:p>
      <w:pPr>
        <w:pStyle w:val="4"/>
        <w:ind w:firstLine="562"/>
        <w:rPr>
          <w:rFonts w:hAnsi="宋体"/>
          <w:highlight w:val="none"/>
        </w:rPr>
      </w:pPr>
      <w:bookmarkStart w:id="53" w:name="_Toc4678372"/>
      <w:r>
        <w:rPr>
          <w:rFonts w:hAnsi="宋体"/>
          <w:highlight w:val="none"/>
        </w:rPr>
        <w:t>2.1.1任务依据</w:t>
      </w:r>
      <w:bookmarkEnd w:id="53"/>
    </w:p>
    <w:p>
      <w:pPr>
        <w:ind w:firstLine="480"/>
        <w:rPr>
          <w:rFonts w:ascii="宋体" w:hAnsi="宋体"/>
          <w:highlight w:val="none"/>
        </w:rPr>
      </w:pPr>
      <w:r>
        <w:rPr>
          <w:rFonts w:ascii="宋体" w:hAnsi="宋体"/>
          <w:highlight w:val="none"/>
        </w:rPr>
        <w:t>2.1.1.1山西省繁峙县垣利铁选厂30万吨/年低品位铁矿石综合利用项目环境影响评价委托书；</w:t>
      </w:r>
    </w:p>
    <w:p>
      <w:pPr>
        <w:ind w:firstLine="480"/>
        <w:rPr>
          <w:rFonts w:ascii="宋体" w:hAnsi="宋体"/>
          <w:highlight w:val="none"/>
        </w:rPr>
      </w:pPr>
      <w:r>
        <w:rPr>
          <w:rFonts w:ascii="宋体" w:hAnsi="宋体"/>
          <w:highlight w:val="none"/>
        </w:rPr>
        <w:t>2.1.1.2山西省繁峙县垣利铁选厂30万吨/年低品位铁矿石综合利用项目备案</w:t>
      </w:r>
      <w:r>
        <w:rPr>
          <w:rFonts w:hint="eastAsia" w:ascii="宋体" w:hAnsi="宋体"/>
          <w:highlight w:val="none"/>
        </w:rPr>
        <w:t>证</w:t>
      </w:r>
      <w:r>
        <w:rPr>
          <w:rFonts w:ascii="宋体" w:hAnsi="宋体"/>
          <w:highlight w:val="none"/>
        </w:rPr>
        <w:t>。</w:t>
      </w:r>
    </w:p>
    <w:p>
      <w:pPr>
        <w:pStyle w:val="4"/>
        <w:ind w:firstLine="562"/>
        <w:rPr>
          <w:rFonts w:hAnsi="宋体"/>
          <w:highlight w:val="none"/>
        </w:rPr>
      </w:pPr>
      <w:bookmarkStart w:id="54" w:name="_Toc4678373"/>
      <w:r>
        <w:rPr>
          <w:rFonts w:hAnsi="宋体"/>
          <w:highlight w:val="none"/>
        </w:rPr>
        <w:t>2.1.2法律法规</w:t>
      </w:r>
      <w:bookmarkEnd w:id="54"/>
      <w:r>
        <w:rPr>
          <w:rFonts w:hAnsi="宋体"/>
          <w:highlight w:val="none"/>
        </w:rPr>
        <w:t>、行业政策、规章</w:t>
      </w:r>
    </w:p>
    <w:p>
      <w:pPr>
        <w:ind w:firstLine="480"/>
        <w:rPr>
          <w:rFonts w:ascii="宋体" w:hAnsi="宋体"/>
          <w:highlight w:val="none"/>
          <w:lang w:val="zh-CN"/>
        </w:rPr>
      </w:pPr>
      <w:r>
        <w:rPr>
          <w:rFonts w:ascii="宋体" w:hAnsi="宋体"/>
          <w:highlight w:val="none"/>
        </w:rPr>
        <w:t>2.1.2.1</w:t>
      </w:r>
      <w:r>
        <w:rPr>
          <w:rFonts w:ascii="宋体" w:hAnsi="宋体"/>
          <w:highlight w:val="none"/>
          <w:lang w:val="zh-CN"/>
        </w:rPr>
        <w:t>《中华人民共和国环境保护法》，2015年1月1日起实施；</w:t>
      </w:r>
    </w:p>
    <w:p>
      <w:pPr>
        <w:ind w:firstLine="480"/>
        <w:rPr>
          <w:rFonts w:ascii="宋体" w:hAnsi="宋体"/>
          <w:highlight w:val="none"/>
          <w:lang w:val="zh-CN"/>
        </w:rPr>
      </w:pPr>
      <w:r>
        <w:rPr>
          <w:rFonts w:ascii="宋体" w:hAnsi="宋体"/>
          <w:highlight w:val="none"/>
        </w:rPr>
        <w:t>2.1.2.2</w:t>
      </w:r>
      <w:r>
        <w:rPr>
          <w:rFonts w:ascii="宋体" w:hAnsi="宋体"/>
          <w:highlight w:val="none"/>
          <w:lang w:val="zh-CN"/>
        </w:rPr>
        <w:t>《中华人民共和国环境影响评价法》，2018年12月29日起实施；</w:t>
      </w:r>
    </w:p>
    <w:p>
      <w:pPr>
        <w:ind w:firstLine="480"/>
        <w:rPr>
          <w:rFonts w:ascii="宋体" w:hAnsi="宋体"/>
          <w:highlight w:val="none"/>
          <w:lang w:val="zh-CN"/>
        </w:rPr>
      </w:pPr>
      <w:r>
        <w:rPr>
          <w:rFonts w:ascii="宋体" w:hAnsi="宋体"/>
          <w:highlight w:val="none"/>
        </w:rPr>
        <w:t>2.1.2.3</w:t>
      </w:r>
      <w:r>
        <w:rPr>
          <w:rFonts w:ascii="宋体" w:hAnsi="宋体"/>
          <w:highlight w:val="none"/>
          <w:lang w:val="zh-CN"/>
        </w:rPr>
        <w:t>《中华人民共和国大气污染防治法》，2018年10月26日起实施；</w:t>
      </w:r>
    </w:p>
    <w:p>
      <w:pPr>
        <w:ind w:firstLine="480"/>
        <w:rPr>
          <w:rFonts w:ascii="宋体" w:hAnsi="宋体"/>
          <w:highlight w:val="none"/>
          <w:lang w:val="zh-CN"/>
        </w:rPr>
      </w:pPr>
      <w:r>
        <w:rPr>
          <w:rFonts w:ascii="宋体" w:hAnsi="宋体"/>
          <w:highlight w:val="none"/>
        </w:rPr>
        <w:t>2.1.2.4</w:t>
      </w:r>
      <w:r>
        <w:rPr>
          <w:rFonts w:ascii="宋体" w:hAnsi="宋体"/>
          <w:highlight w:val="none"/>
          <w:lang w:val="zh-CN"/>
        </w:rPr>
        <w:t>《中华人民共和国水污染防治法》，2018年1月1日起实施；</w:t>
      </w:r>
    </w:p>
    <w:p>
      <w:pPr>
        <w:ind w:firstLine="480"/>
        <w:rPr>
          <w:rFonts w:ascii="宋体" w:hAnsi="宋体"/>
          <w:highlight w:val="none"/>
          <w:lang w:val="zh-CN"/>
        </w:rPr>
      </w:pPr>
      <w:r>
        <w:rPr>
          <w:rFonts w:ascii="宋体" w:hAnsi="宋体"/>
          <w:highlight w:val="none"/>
        </w:rPr>
        <w:t>2.1.2.5</w:t>
      </w:r>
      <w:r>
        <w:rPr>
          <w:rFonts w:ascii="宋体" w:hAnsi="宋体"/>
          <w:highlight w:val="none"/>
          <w:lang w:val="zh-CN"/>
        </w:rPr>
        <w:t>《中华人民共和国环境噪声污染防治法》，2018年12月29日起实施；</w:t>
      </w:r>
    </w:p>
    <w:p>
      <w:pPr>
        <w:ind w:firstLine="480"/>
        <w:rPr>
          <w:rFonts w:ascii="宋体" w:hAnsi="宋体"/>
          <w:highlight w:val="none"/>
          <w:lang w:val="zh-CN"/>
        </w:rPr>
      </w:pPr>
      <w:r>
        <w:rPr>
          <w:rFonts w:ascii="宋体" w:hAnsi="宋体"/>
          <w:highlight w:val="none"/>
        </w:rPr>
        <w:t>2.1.2.6</w:t>
      </w:r>
      <w:r>
        <w:rPr>
          <w:rFonts w:ascii="宋体" w:hAnsi="宋体"/>
          <w:highlight w:val="none"/>
          <w:lang w:val="zh-CN"/>
        </w:rPr>
        <w:t>《中华人民共和国固体废物污染环境防治法》（2020年修订），2020年9月1日起实施；</w:t>
      </w:r>
    </w:p>
    <w:p>
      <w:pPr>
        <w:ind w:firstLine="480"/>
        <w:rPr>
          <w:rFonts w:ascii="宋体" w:hAnsi="宋体"/>
          <w:highlight w:val="none"/>
          <w:lang w:val="zh-CN"/>
        </w:rPr>
      </w:pPr>
      <w:r>
        <w:rPr>
          <w:rFonts w:ascii="宋体" w:hAnsi="宋体"/>
          <w:highlight w:val="none"/>
        </w:rPr>
        <w:t>2.1.2.7</w:t>
      </w:r>
      <w:r>
        <w:rPr>
          <w:rFonts w:ascii="宋体" w:hAnsi="宋体"/>
          <w:highlight w:val="none"/>
          <w:lang w:val="zh-CN"/>
        </w:rPr>
        <w:t>《中华人民共和国土壤污染防治法》，2018年8月31日起实施；</w:t>
      </w:r>
    </w:p>
    <w:p>
      <w:pPr>
        <w:ind w:firstLine="480"/>
        <w:rPr>
          <w:rFonts w:ascii="宋体" w:hAnsi="宋体"/>
          <w:highlight w:val="none"/>
          <w:lang w:val="zh-CN"/>
        </w:rPr>
      </w:pPr>
      <w:r>
        <w:rPr>
          <w:rFonts w:ascii="宋体" w:hAnsi="宋体"/>
          <w:highlight w:val="none"/>
        </w:rPr>
        <w:t>2.1.2.8</w:t>
      </w:r>
      <w:r>
        <w:rPr>
          <w:rFonts w:ascii="宋体" w:hAnsi="宋体"/>
          <w:highlight w:val="none"/>
          <w:lang w:val="zh-CN"/>
        </w:rPr>
        <w:t>《中华人民共和国水土保持法》，2011年3月1日起实施；</w:t>
      </w:r>
    </w:p>
    <w:p>
      <w:pPr>
        <w:ind w:firstLine="480"/>
        <w:rPr>
          <w:rFonts w:ascii="宋体" w:hAnsi="宋体"/>
          <w:highlight w:val="none"/>
          <w:lang w:val="zh-CN"/>
        </w:rPr>
      </w:pPr>
      <w:r>
        <w:rPr>
          <w:rFonts w:ascii="宋体" w:hAnsi="宋体"/>
          <w:highlight w:val="none"/>
        </w:rPr>
        <w:t>2.1.2.9</w:t>
      </w:r>
      <w:r>
        <w:rPr>
          <w:rFonts w:ascii="宋体" w:hAnsi="宋体"/>
          <w:highlight w:val="none"/>
          <w:lang w:val="zh-CN"/>
        </w:rPr>
        <w:t>《中华人民共和国土地管理法》，2020年1月1日起实施；</w:t>
      </w:r>
    </w:p>
    <w:p>
      <w:pPr>
        <w:ind w:firstLine="480"/>
        <w:rPr>
          <w:rFonts w:ascii="宋体" w:hAnsi="宋体"/>
          <w:highlight w:val="none"/>
          <w:lang w:val="zh-CN"/>
        </w:rPr>
      </w:pPr>
      <w:r>
        <w:rPr>
          <w:rFonts w:ascii="宋体" w:hAnsi="宋体"/>
          <w:highlight w:val="none"/>
        </w:rPr>
        <w:t>2.1.2.10</w:t>
      </w:r>
      <w:r>
        <w:rPr>
          <w:rFonts w:ascii="宋体" w:hAnsi="宋体"/>
          <w:highlight w:val="none"/>
          <w:lang w:val="zh-CN"/>
        </w:rPr>
        <w:t>中华人民共和国国务院令第682号《建设项目环境保护管理条例》，2017年10月1日；</w:t>
      </w:r>
    </w:p>
    <w:p>
      <w:pPr>
        <w:ind w:firstLine="480"/>
        <w:rPr>
          <w:rFonts w:ascii="宋体" w:hAnsi="宋体"/>
          <w:highlight w:val="none"/>
        </w:rPr>
      </w:pPr>
      <w:r>
        <w:rPr>
          <w:rFonts w:ascii="宋体" w:hAnsi="宋体"/>
          <w:highlight w:val="none"/>
        </w:rPr>
        <w:t>2.1.2.11</w:t>
      </w:r>
      <w:r>
        <w:rPr>
          <w:rFonts w:ascii="宋体" w:hAnsi="宋体"/>
          <w:highlight w:val="none"/>
          <w:lang w:val="zh-CN"/>
        </w:rPr>
        <w:t>《建设项目环境影响评价分类管理名录》</w:t>
      </w:r>
      <w:r>
        <w:rPr>
          <w:rFonts w:hint="eastAsia" w:ascii="宋体" w:hAnsi="宋体"/>
          <w:highlight w:val="none"/>
          <w:lang w:val="zh-CN"/>
        </w:rPr>
        <w:t>（2021版）</w:t>
      </w:r>
      <w:r>
        <w:rPr>
          <w:rFonts w:ascii="宋体" w:hAnsi="宋体"/>
          <w:highlight w:val="none"/>
          <w:lang w:val="zh-CN"/>
        </w:rPr>
        <w:t>，</w:t>
      </w:r>
      <w:r>
        <w:rPr>
          <w:rFonts w:hint="eastAsia" w:ascii="宋体" w:hAnsi="宋体"/>
          <w:highlight w:val="none"/>
          <w:lang w:val="zh-CN"/>
        </w:rPr>
        <w:t>2021年1月1日起施行</w:t>
      </w:r>
      <w:r>
        <w:rPr>
          <w:rFonts w:ascii="宋体" w:hAnsi="宋体"/>
          <w:highlight w:val="none"/>
          <w:lang w:val="zh-CN"/>
        </w:rPr>
        <w:t>；</w:t>
      </w:r>
    </w:p>
    <w:p>
      <w:pPr>
        <w:ind w:firstLine="480"/>
        <w:rPr>
          <w:rFonts w:ascii="宋体" w:hAnsi="宋体"/>
          <w:highlight w:val="none"/>
          <w:lang w:val="zh-CN"/>
        </w:rPr>
      </w:pPr>
      <w:r>
        <w:rPr>
          <w:rFonts w:ascii="宋体" w:hAnsi="宋体"/>
          <w:highlight w:val="none"/>
        </w:rPr>
        <w:t>2.1.2.12</w:t>
      </w:r>
      <w:r>
        <w:rPr>
          <w:rFonts w:ascii="宋体" w:hAnsi="宋体"/>
          <w:highlight w:val="none"/>
          <w:lang w:val="zh-CN"/>
        </w:rPr>
        <w:t>《国家危险废物名录》</w:t>
      </w:r>
      <w:r>
        <w:rPr>
          <w:rFonts w:hint="eastAsia" w:ascii="宋体" w:hAnsi="宋体"/>
          <w:highlight w:val="none"/>
          <w:lang w:val="zh-CN"/>
        </w:rPr>
        <w:t>（2021版）</w:t>
      </w:r>
      <w:r>
        <w:rPr>
          <w:rFonts w:ascii="宋体" w:hAnsi="宋体"/>
          <w:highlight w:val="none"/>
          <w:lang w:val="zh-CN"/>
        </w:rPr>
        <w:t>，</w:t>
      </w:r>
      <w:r>
        <w:rPr>
          <w:rFonts w:hint="eastAsia" w:ascii="宋体" w:hAnsi="宋体"/>
          <w:highlight w:val="none"/>
          <w:lang w:val="zh-CN"/>
        </w:rPr>
        <w:t>2021年1月1日起施行</w:t>
      </w:r>
      <w:r>
        <w:rPr>
          <w:rFonts w:ascii="宋体" w:hAnsi="宋体"/>
          <w:highlight w:val="none"/>
          <w:lang w:val="zh-CN"/>
        </w:rPr>
        <w:t>；</w:t>
      </w:r>
    </w:p>
    <w:p>
      <w:pPr>
        <w:ind w:firstLine="480"/>
        <w:rPr>
          <w:rFonts w:ascii="宋体" w:hAnsi="宋体"/>
          <w:highlight w:val="none"/>
          <w:lang w:val="zh-CN"/>
        </w:rPr>
      </w:pPr>
      <w:r>
        <w:rPr>
          <w:rFonts w:ascii="宋体" w:hAnsi="宋体"/>
          <w:highlight w:val="none"/>
        </w:rPr>
        <w:t>2.1.2.13</w:t>
      </w:r>
      <w:r>
        <w:rPr>
          <w:rFonts w:ascii="宋体" w:hAnsi="宋体"/>
          <w:highlight w:val="none"/>
          <w:lang w:val="zh-CN"/>
        </w:rPr>
        <w:t>国家发展和改革委员第29号令《产业结构调整指导目录（2019年本）》，2020年1月1日实施；</w:t>
      </w:r>
    </w:p>
    <w:p>
      <w:pPr>
        <w:ind w:firstLine="480"/>
        <w:rPr>
          <w:rFonts w:ascii="宋体" w:hAnsi="宋体"/>
          <w:highlight w:val="none"/>
          <w:lang w:val="zh-CN"/>
        </w:rPr>
      </w:pPr>
      <w:r>
        <w:rPr>
          <w:rFonts w:ascii="宋体" w:hAnsi="宋体"/>
          <w:highlight w:val="none"/>
        </w:rPr>
        <w:t>2.1.2.14</w:t>
      </w:r>
      <w:r>
        <w:rPr>
          <w:rFonts w:ascii="宋体" w:hAnsi="宋体"/>
          <w:highlight w:val="none"/>
          <w:lang w:val="zh-CN"/>
        </w:rPr>
        <w:t>《土地复垦条例》，中华人民共和国国务院令第592号，2011年2月22日；</w:t>
      </w:r>
    </w:p>
    <w:p>
      <w:pPr>
        <w:ind w:firstLine="480"/>
        <w:rPr>
          <w:rFonts w:ascii="宋体" w:hAnsi="宋体"/>
          <w:highlight w:val="none"/>
          <w:lang w:val="zh-CN"/>
        </w:rPr>
      </w:pPr>
      <w:r>
        <w:rPr>
          <w:rFonts w:ascii="宋体" w:hAnsi="宋体"/>
          <w:highlight w:val="none"/>
        </w:rPr>
        <w:t>2.1.2.15</w:t>
      </w:r>
      <w:r>
        <w:rPr>
          <w:rFonts w:ascii="宋体" w:hAnsi="宋体"/>
          <w:highlight w:val="none"/>
          <w:lang w:val="zh-CN"/>
        </w:rPr>
        <w:t>生态环境部令第4号《环境影响评价公众参与办法》，2019年1月1日；</w:t>
      </w:r>
    </w:p>
    <w:p>
      <w:pPr>
        <w:ind w:firstLine="480"/>
        <w:rPr>
          <w:rFonts w:ascii="宋体" w:hAnsi="宋体"/>
          <w:highlight w:val="none"/>
          <w:lang w:val="zh-CN"/>
        </w:rPr>
      </w:pPr>
      <w:r>
        <w:rPr>
          <w:rFonts w:ascii="宋体" w:hAnsi="宋体"/>
          <w:highlight w:val="none"/>
        </w:rPr>
        <w:t>2.1.2.16</w:t>
      </w:r>
      <w:r>
        <w:rPr>
          <w:rFonts w:ascii="宋体" w:hAnsi="宋体"/>
          <w:highlight w:val="none"/>
          <w:lang w:val="zh-CN"/>
        </w:rPr>
        <w:t>《中华人民共和国野生动物保护法》（2017年1月1日）；</w:t>
      </w:r>
    </w:p>
    <w:p>
      <w:pPr>
        <w:ind w:firstLine="480"/>
        <w:rPr>
          <w:rFonts w:ascii="宋体" w:hAnsi="宋体"/>
          <w:highlight w:val="none"/>
          <w:lang w:val="zh-CN"/>
        </w:rPr>
      </w:pPr>
      <w:bookmarkStart w:id="55" w:name="_Toc487302020"/>
      <w:bookmarkStart w:id="56" w:name="_Toc478404416"/>
      <w:r>
        <w:rPr>
          <w:rFonts w:ascii="宋体" w:hAnsi="宋体"/>
          <w:highlight w:val="none"/>
        </w:rPr>
        <w:t>2.1.2.18</w:t>
      </w:r>
      <w:r>
        <w:rPr>
          <w:rFonts w:ascii="宋体" w:hAnsi="宋体"/>
          <w:highlight w:val="none"/>
          <w:lang w:val="zh-CN"/>
        </w:rPr>
        <w:t>《关于进一步加强环境影响评价管理防范环境风险的通知》，环发[2012]77号；</w:t>
      </w:r>
    </w:p>
    <w:p>
      <w:pPr>
        <w:ind w:firstLine="480"/>
        <w:rPr>
          <w:rFonts w:ascii="宋体" w:hAnsi="宋体"/>
          <w:highlight w:val="none"/>
          <w:lang w:val="zh-CN"/>
        </w:rPr>
      </w:pPr>
      <w:r>
        <w:rPr>
          <w:rFonts w:ascii="宋体" w:hAnsi="宋体"/>
          <w:highlight w:val="none"/>
        </w:rPr>
        <w:t>2.1.2.19</w:t>
      </w:r>
      <w:r>
        <w:rPr>
          <w:rFonts w:ascii="宋体" w:hAnsi="宋体"/>
          <w:highlight w:val="none"/>
          <w:lang w:val="zh-CN"/>
        </w:rPr>
        <w:t>《国务院关于印发大气污染防治行动计划的通知》（国发[2013]37号，2013年9月10日；</w:t>
      </w:r>
    </w:p>
    <w:p>
      <w:pPr>
        <w:ind w:firstLine="480"/>
        <w:rPr>
          <w:rFonts w:ascii="宋体" w:hAnsi="宋体"/>
          <w:highlight w:val="none"/>
          <w:lang w:val="zh-CN"/>
        </w:rPr>
      </w:pPr>
      <w:r>
        <w:rPr>
          <w:rFonts w:ascii="宋体" w:hAnsi="宋体"/>
          <w:highlight w:val="none"/>
        </w:rPr>
        <w:t>2.1.2.20</w:t>
      </w:r>
      <w:r>
        <w:rPr>
          <w:rFonts w:ascii="宋体" w:hAnsi="宋体"/>
          <w:highlight w:val="none"/>
          <w:lang w:val="zh-CN"/>
        </w:rPr>
        <w:t>《关于落实大气污染防治行动计划严格环境影响评价准入的通知》，环办[2014]30号）；</w:t>
      </w:r>
    </w:p>
    <w:p>
      <w:pPr>
        <w:ind w:firstLine="480"/>
        <w:rPr>
          <w:rFonts w:ascii="宋体" w:hAnsi="宋体"/>
          <w:highlight w:val="none"/>
          <w:lang w:val="zh-CN"/>
        </w:rPr>
      </w:pPr>
      <w:r>
        <w:rPr>
          <w:rFonts w:ascii="宋体" w:hAnsi="宋体"/>
          <w:highlight w:val="none"/>
        </w:rPr>
        <w:t>2.1.2.21</w:t>
      </w:r>
      <w:r>
        <w:rPr>
          <w:rFonts w:ascii="宋体" w:hAnsi="宋体"/>
          <w:highlight w:val="none"/>
          <w:lang w:val="zh-CN"/>
        </w:rPr>
        <w:t>《国务院关于印发水污染防治行动计划的通知》，国发[2015]17号，2015年4月16日发布；</w:t>
      </w:r>
    </w:p>
    <w:bookmarkEnd w:id="55"/>
    <w:bookmarkEnd w:id="56"/>
    <w:p>
      <w:pPr>
        <w:ind w:firstLine="480"/>
        <w:rPr>
          <w:rFonts w:ascii="宋体" w:hAnsi="宋体"/>
          <w:highlight w:val="none"/>
          <w:lang w:val="zh-CN"/>
        </w:rPr>
      </w:pPr>
      <w:r>
        <w:rPr>
          <w:rFonts w:ascii="宋体" w:hAnsi="宋体"/>
          <w:highlight w:val="none"/>
        </w:rPr>
        <w:t>2.1.2.22</w:t>
      </w:r>
      <w:r>
        <w:rPr>
          <w:rFonts w:ascii="宋体" w:hAnsi="宋体"/>
          <w:highlight w:val="none"/>
          <w:lang w:val="zh-CN"/>
        </w:rPr>
        <w:t>国务院关于印发土壤污染防治行动计划的通知，国发〔2016〕31号，2016年5月28日；</w:t>
      </w:r>
    </w:p>
    <w:p>
      <w:pPr>
        <w:ind w:firstLine="480"/>
        <w:rPr>
          <w:rFonts w:ascii="宋体" w:hAnsi="宋体"/>
          <w:highlight w:val="none"/>
          <w:lang w:val="zh-CN"/>
        </w:rPr>
      </w:pPr>
      <w:r>
        <w:rPr>
          <w:rFonts w:ascii="宋体" w:hAnsi="宋体"/>
          <w:highlight w:val="none"/>
        </w:rPr>
        <w:t>2.1.2.23</w:t>
      </w:r>
      <w:r>
        <w:rPr>
          <w:rFonts w:ascii="宋体" w:hAnsi="宋体"/>
          <w:highlight w:val="none"/>
          <w:lang w:val="zh-CN"/>
        </w:rPr>
        <w:t>《山西省环境保护条例》，2020年3月15日施行；</w:t>
      </w:r>
    </w:p>
    <w:p>
      <w:pPr>
        <w:ind w:firstLine="480"/>
        <w:rPr>
          <w:rFonts w:ascii="宋体" w:hAnsi="宋体"/>
          <w:highlight w:val="none"/>
          <w:lang w:val="zh-CN"/>
        </w:rPr>
      </w:pPr>
      <w:r>
        <w:rPr>
          <w:rFonts w:ascii="宋体" w:hAnsi="宋体"/>
          <w:highlight w:val="none"/>
        </w:rPr>
        <w:t>2.1.2.24《</w:t>
      </w:r>
      <w:r>
        <w:rPr>
          <w:rFonts w:ascii="宋体" w:hAnsi="宋体"/>
          <w:highlight w:val="none"/>
          <w:lang w:val="zh-CN"/>
        </w:rPr>
        <w:t>山西省地表水水环境功能区划》（DB14/67-2019）；</w:t>
      </w:r>
    </w:p>
    <w:p>
      <w:pPr>
        <w:ind w:firstLine="480"/>
        <w:rPr>
          <w:rFonts w:ascii="宋体" w:hAnsi="宋体"/>
          <w:highlight w:val="none"/>
          <w:lang w:val="zh-CN"/>
        </w:rPr>
      </w:pPr>
      <w:r>
        <w:rPr>
          <w:rFonts w:ascii="宋体" w:hAnsi="宋体"/>
          <w:highlight w:val="none"/>
        </w:rPr>
        <w:t>2.1.2.25</w:t>
      </w:r>
      <w:r>
        <w:rPr>
          <w:rFonts w:ascii="宋体" w:hAnsi="宋体"/>
          <w:highlight w:val="none"/>
          <w:lang w:val="zh-CN"/>
        </w:rPr>
        <w:t>《山西省节约用水条例》，2013年3月1日</w:t>
      </w:r>
      <w:r>
        <w:rPr>
          <w:rFonts w:hint="eastAsia" w:ascii="宋体" w:hAnsi="宋体"/>
          <w:highlight w:val="none"/>
          <w:lang w:val="zh-CN"/>
        </w:rPr>
        <w:t>；</w:t>
      </w:r>
    </w:p>
    <w:p>
      <w:pPr>
        <w:ind w:firstLine="480"/>
        <w:rPr>
          <w:rFonts w:ascii="宋体" w:hAnsi="宋体"/>
          <w:highlight w:val="none"/>
        </w:rPr>
      </w:pPr>
      <w:r>
        <w:rPr>
          <w:rFonts w:ascii="宋体" w:hAnsi="宋体"/>
          <w:highlight w:val="none"/>
        </w:rPr>
        <w:t>2.1.2.26《山西省大气污染防治条例》，2019年1月1日；</w:t>
      </w:r>
    </w:p>
    <w:p>
      <w:pPr>
        <w:ind w:firstLine="480"/>
        <w:rPr>
          <w:rFonts w:ascii="宋体" w:hAnsi="宋体"/>
          <w:highlight w:val="none"/>
        </w:rPr>
      </w:pPr>
      <w:r>
        <w:rPr>
          <w:rFonts w:ascii="宋体" w:hAnsi="宋体"/>
          <w:highlight w:val="none"/>
        </w:rPr>
        <w:t>2.1.2.27《山西省水污染防治条例》，2019年10月1日；</w:t>
      </w:r>
    </w:p>
    <w:p>
      <w:pPr>
        <w:ind w:firstLine="480"/>
        <w:rPr>
          <w:rFonts w:ascii="宋体" w:hAnsi="宋体"/>
          <w:highlight w:val="none"/>
        </w:rPr>
      </w:pPr>
      <w:r>
        <w:rPr>
          <w:rFonts w:ascii="宋体" w:hAnsi="宋体"/>
          <w:highlight w:val="none"/>
        </w:rPr>
        <w:t>2.1.2.28《山西省土壤污染防治条例》，2020年1月1日；</w:t>
      </w:r>
    </w:p>
    <w:p>
      <w:pPr>
        <w:ind w:firstLine="480"/>
        <w:rPr>
          <w:rFonts w:ascii="宋体" w:hAnsi="宋体"/>
          <w:highlight w:val="none"/>
          <w:lang w:val="zh-CN"/>
        </w:rPr>
      </w:pPr>
      <w:r>
        <w:rPr>
          <w:rFonts w:ascii="宋体" w:hAnsi="宋体"/>
          <w:highlight w:val="none"/>
        </w:rPr>
        <w:t>2.1.2.29</w:t>
      </w:r>
      <w:r>
        <w:rPr>
          <w:rFonts w:hint="eastAsia" w:ascii="宋体" w:hAnsi="宋体"/>
          <w:highlight w:val="none"/>
          <w:lang w:val="zh-CN"/>
        </w:rPr>
        <w:t>《山西省固体废物污染环境防治条例》</w:t>
      </w:r>
      <w:r>
        <w:rPr>
          <w:rFonts w:ascii="宋体" w:hAnsi="宋体"/>
          <w:highlight w:val="none"/>
          <w:lang w:val="zh-CN"/>
        </w:rPr>
        <w:t>，20</w:t>
      </w:r>
      <w:r>
        <w:rPr>
          <w:rFonts w:hint="eastAsia" w:ascii="宋体" w:hAnsi="宋体"/>
          <w:highlight w:val="none"/>
          <w:lang w:val="zh-CN"/>
        </w:rPr>
        <w:t>2</w:t>
      </w:r>
      <w:r>
        <w:rPr>
          <w:rFonts w:ascii="宋体" w:hAnsi="宋体"/>
          <w:highlight w:val="none"/>
          <w:lang w:val="zh-CN"/>
        </w:rPr>
        <w:t>1年</w:t>
      </w:r>
      <w:r>
        <w:rPr>
          <w:rFonts w:hint="eastAsia" w:ascii="宋体" w:hAnsi="宋体"/>
          <w:highlight w:val="none"/>
          <w:lang w:val="zh-CN"/>
        </w:rPr>
        <w:t>5</w:t>
      </w:r>
      <w:r>
        <w:rPr>
          <w:rFonts w:ascii="宋体" w:hAnsi="宋体"/>
          <w:highlight w:val="none"/>
          <w:lang w:val="zh-CN"/>
        </w:rPr>
        <w:t>月1日；</w:t>
      </w:r>
    </w:p>
    <w:p>
      <w:pPr>
        <w:ind w:firstLine="480"/>
        <w:rPr>
          <w:rFonts w:ascii="宋体" w:hAnsi="宋体"/>
          <w:highlight w:val="none"/>
          <w:lang w:val="zh-CN"/>
        </w:rPr>
      </w:pPr>
      <w:r>
        <w:rPr>
          <w:rFonts w:ascii="宋体" w:hAnsi="宋体"/>
          <w:highlight w:val="none"/>
        </w:rPr>
        <w:t>2.1.2.30</w:t>
      </w:r>
      <w:r>
        <w:rPr>
          <w:rFonts w:ascii="宋体" w:hAnsi="宋体"/>
          <w:highlight w:val="none"/>
          <w:lang w:val="zh-CN"/>
        </w:rPr>
        <w:t>关于印发《山西省环境保护厅建设项目主要污染物排放总量核定办法》的通知，晋环发［2015］25号；</w:t>
      </w:r>
    </w:p>
    <w:p>
      <w:pPr>
        <w:ind w:firstLine="480"/>
        <w:rPr>
          <w:rFonts w:ascii="宋体" w:hAnsi="宋体"/>
          <w:highlight w:val="none"/>
          <w:lang w:val="zh-CN"/>
        </w:rPr>
      </w:pPr>
      <w:r>
        <w:rPr>
          <w:rFonts w:ascii="宋体" w:hAnsi="宋体"/>
          <w:highlight w:val="none"/>
        </w:rPr>
        <w:t>2.1.2.31</w:t>
      </w:r>
      <w:r>
        <w:rPr>
          <w:rFonts w:ascii="宋体" w:hAnsi="宋体"/>
          <w:highlight w:val="none"/>
          <w:lang w:val="zh-CN"/>
        </w:rPr>
        <w:t>《</w:t>
      </w:r>
      <w:r>
        <w:rPr>
          <w:rFonts w:ascii="宋体" w:hAnsi="宋体"/>
          <w:highlight w:val="none"/>
        </w:rPr>
        <w:t>关于印发山西省打赢蓝天保卫战2020年决战计划的通知</w:t>
      </w:r>
      <w:r>
        <w:rPr>
          <w:rFonts w:ascii="宋体" w:hAnsi="宋体"/>
          <w:highlight w:val="none"/>
          <w:lang w:val="zh-CN"/>
        </w:rPr>
        <w:t>》，山西省人民政府办公厅文件晋政办发【2020】17号，2020年3月12日；</w:t>
      </w:r>
    </w:p>
    <w:p>
      <w:pPr>
        <w:ind w:firstLine="480"/>
        <w:rPr>
          <w:rFonts w:ascii="宋体" w:hAnsi="宋体"/>
          <w:highlight w:val="none"/>
          <w:lang w:val="zh-CN"/>
        </w:rPr>
      </w:pPr>
      <w:r>
        <w:rPr>
          <w:rFonts w:ascii="宋体" w:hAnsi="宋体"/>
          <w:highlight w:val="none"/>
        </w:rPr>
        <w:t>2.1.2.32</w:t>
      </w:r>
      <w:r>
        <w:rPr>
          <w:rFonts w:ascii="宋体" w:hAnsi="宋体"/>
          <w:highlight w:val="none"/>
          <w:lang w:val="zh-CN"/>
        </w:rPr>
        <w:t xml:space="preserve">《关于在全省范围执行大气污染物特别排放限值的公告》，山西省环境保护厅、山西省质量技术监督局公告2018年第1号； </w:t>
      </w:r>
    </w:p>
    <w:p>
      <w:pPr>
        <w:ind w:firstLine="480"/>
        <w:rPr>
          <w:rFonts w:ascii="宋体" w:hAnsi="宋体"/>
          <w:highlight w:val="none"/>
          <w:lang w:val="zh-CN"/>
        </w:rPr>
      </w:pPr>
      <w:r>
        <w:rPr>
          <w:rFonts w:ascii="宋体" w:hAnsi="宋体"/>
          <w:highlight w:val="none"/>
        </w:rPr>
        <w:t>2.1.2.33</w:t>
      </w:r>
      <w:r>
        <w:rPr>
          <w:rFonts w:hint="eastAsia" w:ascii="宋体" w:hAnsi="宋体"/>
          <w:highlight w:val="none"/>
          <w:lang w:val="zh-CN"/>
        </w:rPr>
        <w:t>《忻州市空气质量巩固提升2021年行动计划》，忻政办发[2021]50号，2021年5月27日；</w:t>
      </w:r>
    </w:p>
    <w:p>
      <w:pPr>
        <w:ind w:firstLine="480"/>
        <w:rPr>
          <w:rFonts w:ascii="宋体" w:hAnsi="宋体"/>
          <w:highlight w:val="none"/>
          <w:lang w:val="zh-CN"/>
        </w:rPr>
      </w:pPr>
      <w:r>
        <w:rPr>
          <w:rFonts w:ascii="宋体" w:hAnsi="宋体"/>
          <w:highlight w:val="none"/>
        </w:rPr>
        <w:t>2.1.2.34</w:t>
      </w:r>
      <w:r>
        <w:rPr>
          <w:rFonts w:hint="eastAsia" w:ascii="宋体" w:hAnsi="宋体"/>
          <w:highlight w:val="none"/>
        </w:rPr>
        <w:t>《忻州市滹沱河流域生态修复与保护条例》，2019年5月1日起施行。</w:t>
      </w:r>
    </w:p>
    <w:p>
      <w:pPr>
        <w:pStyle w:val="4"/>
        <w:ind w:firstLine="562"/>
        <w:rPr>
          <w:rFonts w:hAnsi="宋体"/>
          <w:highlight w:val="none"/>
        </w:rPr>
      </w:pPr>
      <w:bookmarkStart w:id="57" w:name="_Toc4678376"/>
      <w:bookmarkStart w:id="58" w:name="_Toc487302024"/>
      <w:bookmarkStart w:id="59" w:name="_Toc478404420"/>
      <w:r>
        <w:rPr>
          <w:rFonts w:hAnsi="宋体"/>
          <w:highlight w:val="none"/>
        </w:rPr>
        <w:t>2.1.3技术依据</w:t>
      </w:r>
      <w:bookmarkEnd w:id="57"/>
      <w:bookmarkEnd w:id="58"/>
      <w:bookmarkEnd w:id="59"/>
    </w:p>
    <w:p>
      <w:pPr>
        <w:pStyle w:val="62"/>
        <w:ind w:firstLine="480"/>
        <w:rPr>
          <w:rFonts w:hAnsi="宋体"/>
          <w:highlight w:val="none"/>
        </w:rPr>
      </w:pPr>
      <w:r>
        <w:rPr>
          <w:rFonts w:hAnsi="宋体"/>
          <w:highlight w:val="none"/>
        </w:rPr>
        <w:t>2.1.3.1《建设项目环境影响评价技术导则</w:t>
      </w:r>
      <w:r>
        <w:rPr>
          <w:rFonts w:hint="eastAsia" w:hAnsi="宋体"/>
          <w:highlight w:val="none"/>
        </w:rPr>
        <w:t xml:space="preserve">  </w:t>
      </w:r>
      <w:r>
        <w:rPr>
          <w:rFonts w:hAnsi="宋体"/>
          <w:highlight w:val="none"/>
        </w:rPr>
        <w:t>总纲》（HJ2.1-2016）；</w:t>
      </w:r>
    </w:p>
    <w:p>
      <w:pPr>
        <w:pStyle w:val="62"/>
        <w:ind w:firstLine="480"/>
        <w:rPr>
          <w:rFonts w:hAnsi="宋体"/>
          <w:highlight w:val="none"/>
        </w:rPr>
      </w:pPr>
      <w:r>
        <w:rPr>
          <w:rFonts w:hAnsi="宋体"/>
          <w:highlight w:val="none"/>
        </w:rPr>
        <w:t>2.1.3.2《环境影响评价技术导则</w:t>
      </w:r>
      <w:r>
        <w:rPr>
          <w:rFonts w:hint="eastAsia" w:hAnsi="宋体"/>
          <w:highlight w:val="none"/>
        </w:rPr>
        <w:t xml:space="preserve">  </w:t>
      </w:r>
      <w:r>
        <w:rPr>
          <w:rFonts w:hAnsi="宋体"/>
          <w:highlight w:val="none"/>
        </w:rPr>
        <w:t>大气环境》(HJ2.2-2018)；</w:t>
      </w:r>
    </w:p>
    <w:p>
      <w:pPr>
        <w:pStyle w:val="62"/>
        <w:ind w:firstLine="480"/>
        <w:rPr>
          <w:rFonts w:hAnsi="宋体"/>
          <w:highlight w:val="none"/>
        </w:rPr>
      </w:pPr>
      <w:r>
        <w:rPr>
          <w:rFonts w:hAnsi="宋体"/>
          <w:highlight w:val="none"/>
        </w:rPr>
        <w:t>2.1.3.3《环境影响评价技术导则</w:t>
      </w:r>
      <w:r>
        <w:rPr>
          <w:rFonts w:hint="eastAsia" w:hAnsi="宋体"/>
          <w:highlight w:val="none"/>
        </w:rPr>
        <w:t xml:space="preserve">  </w:t>
      </w:r>
      <w:r>
        <w:rPr>
          <w:rFonts w:hAnsi="宋体"/>
          <w:highlight w:val="none"/>
        </w:rPr>
        <w:t>地表水环境》(HJ2.3-2018)；</w:t>
      </w:r>
    </w:p>
    <w:p>
      <w:pPr>
        <w:pStyle w:val="62"/>
        <w:ind w:firstLine="480"/>
        <w:rPr>
          <w:rFonts w:hAnsi="宋体"/>
          <w:highlight w:val="none"/>
        </w:rPr>
      </w:pPr>
      <w:r>
        <w:rPr>
          <w:rFonts w:hAnsi="宋体"/>
          <w:highlight w:val="none"/>
        </w:rPr>
        <w:t>2.1.3.4《环境影响评价技术导则</w:t>
      </w:r>
      <w:r>
        <w:rPr>
          <w:rFonts w:hint="eastAsia" w:hAnsi="宋体"/>
          <w:highlight w:val="none"/>
        </w:rPr>
        <w:t xml:space="preserve">  </w:t>
      </w:r>
      <w:r>
        <w:rPr>
          <w:rFonts w:hAnsi="宋体"/>
          <w:highlight w:val="none"/>
        </w:rPr>
        <w:t>地下水环境》（HJ610-2016）；</w:t>
      </w:r>
    </w:p>
    <w:p>
      <w:pPr>
        <w:ind w:firstLine="480"/>
        <w:rPr>
          <w:rFonts w:ascii="宋体" w:hAnsi="宋体"/>
          <w:highlight w:val="none"/>
        </w:rPr>
      </w:pPr>
      <w:r>
        <w:rPr>
          <w:rFonts w:ascii="宋体" w:hAnsi="宋体"/>
          <w:highlight w:val="none"/>
        </w:rPr>
        <w:t>2.1.3.5《环境影响评价技术导则</w:t>
      </w:r>
      <w:r>
        <w:rPr>
          <w:rFonts w:hint="eastAsia" w:ascii="宋体" w:hAnsi="宋体"/>
          <w:highlight w:val="none"/>
        </w:rPr>
        <w:t xml:space="preserve">  </w:t>
      </w:r>
      <w:r>
        <w:rPr>
          <w:rFonts w:ascii="宋体" w:hAnsi="宋体"/>
          <w:highlight w:val="none"/>
        </w:rPr>
        <w:t>声环境》（HJ2.4-20</w:t>
      </w:r>
      <w:r>
        <w:rPr>
          <w:rFonts w:hint="eastAsia" w:ascii="宋体" w:hAnsi="宋体"/>
          <w:highlight w:val="none"/>
          <w:lang w:val="en-US" w:eastAsia="zh-CN"/>
        </w:rPr>
        <w:t>21</w:t>
      </w:r>
      <w:r>
        <w:rPr>
          <w:rFonts w:ascii="宋体" w:hAnsi="宋体"/>
          <w:highlight w:val="none"/>
        </w:rPr>
        <w:t>）；</w:t>
      </w:r>
    </w:p>
    <w:p>
      <w:pPr>
        <w:ind w:firstLine="480"/>
        <w:rPr>
          <w:rFonts w:ascii="宋体" w:hAnsi="宋体"/>
          <w:highlight w:val="none"/>
        </w:rPr>
      </w:pPr>
      <w:r>
        <w:rPr>
          <w:rFonts w:ascii="宋体" w:hAnsi="宋体"/>
          <w:highlight w:val="none"/>
        </w:rPr>
        <w:t>2.1.3.6《环境影响评价技术导则</w:t>
      </w:r>
      <w:r>
        <w:rPr>
          <w:rFonts w:hint="eastAsia" w:ascii="宋体" w:hAnsi="宋体"/>
          <w:highlight w:val="none"/>
        </w:rPr>
        <w:t xml:space="preserve">  </w:t>
      </w:r>
      <w:r>
        <w:rPr>
          <w:rFonts w:ascii="宋体" w:hAnsi="宋体"/>
          <w:highlight w:val="none"/>
        </w:rPr>
        <w:t>生态影响》（HJ19-20</w:t>
      </w:r>
      <w:r>
        <w:rPr>
          <w:rFonts w:hint="eastAsia" w:ascii="宋体" w:hAnsi="宋体"/>
          <w:highlight w:val="none"/>
          <w:lang w:val="en-US" w:eastAsia="zh-CN"/>
        </w:rPr>
        <w:t>22</w:t>
      </w:r>
      <w:r>
        <w:rPr>
          <w:rFonts w:ascii="宋体" w:hAnsi="宋体"/>
          <w:highlight w:val="none"/>
        </w:rPr>
        <w:t>）；</w:t>
      </w:r>
    </w:p>
    <w:p>
      <w:pPr>
        <w:ind w:firstLine="480"/>
        <w:rPr>
          <w:rFonts w:ascii="宋体" w:hAnsi="宋体"/>
          <w:highlight w:val="none"/>
        </w:rPr>
      </w:pPr>
      <w:r>
        <w:rPr>
          <w:rFonts w:ascii="宋体" w:hAnsi="宋体"/>
          <w:highlight w:val="none"/>
        </w:rPr>
        <w:t>2.1.3.7《环境影响评价技术导则</w:t>
      </w:r>
      <w:r>
        <w:rPr>
          <w:rFonts w:hint="eastAsia" w:ascii="宋体" w:hAnsi="宋体"/>
          <w:highlight w:val="none"/>
        </w:rPr>
        <w:t xml:space="preserve">  </w:t>
      </w:r>
      <w:r>
        <w:rPr>
          <w:rFonts w:ascii="宋体" w:hAnsi="宋体"/>
          <w:highlight w:val="none"/>
        </w:rPr>
        <w:t>土壤环境（试行）》（HJ964-2018）；</w:t>
      </w:r>
    </w:p>
    <w:p>
      <w:pPr>
        <w:ind w:firstLine="480"/>
        <w:rPr>
          <w:rFonts w:ascii="宋体" w:hAnsi="宋体"/>
          <w:highlight w:val="none"/>
        </w:rPr>
      </w:pPr>
      <w:r>
        <w:rPr>
          <w:rFonts w:ascii="宋体" w:hAnsi="宋体"/>
          <w:highlight w:val="none"/>
        </w:rPr>
        <w:t>2.1.3.8《建设项目环境风险评价技术导则》（HJ169-2018）；</w:t>
      </w:r>
    </w:p>
    <w:p>
      <w:pPr>
        <w:ind w:firstLine="480"/>
        <w:rPr>
          <w:rFonts w:ascii="宋体" w:hAnsi="宋体"/>
          <w:highlight w:val="none"/>
        </w:rPr>
      </w:pPr>
      <w:r>
        <w:rPr>
          <w:rFonts w:ascii="宋体" w:hAnsi="宋体"/>
          <w:highlight w:val="none"/>
        </w:rPr>
        <w:t>2.1.3.9关于发布《建设项目危险废物环境影响评价指南》的公告，2017年8月29日。</w:t>
      </w:r>
    </w:p>
    <w:p>
      <w:pPr>
        <w:pStyle w:val="4"/>
        <w:ind w:firstLine="562"/>
        <w:rPr>
          <w:rFonts w:hAnsi="宋体"/>
          <w:highlight w:val="none"/>
        </w:rPr>
      </w:pPr>
      <w:bookmarkStart w:id="60" w:name="_Toc4678377"/>
      <w:r>
        <w:rPr>
          <w:rFonts w:hAnsi="宋体"/>
          <w:highlight w:val="none"/>
        </w:rPr>
        <w:t>2.1.4参考资料</w:t>
      </w:r>
      <w:bookmarkEnd w:id="60"/>
    </w:p>
    <w:p>
      <w:pPr>
        <w:ind w:firstLine="480"/>
        <w:rPr>
          <w:rFonts w:ascii="宋体" w:hAnsi="宋体"/>
          <w:highlight w:val="none"/>
        </w:rPr>
      </w:pPr>
      <w:r>
        <w:rPr>
          <w:rFonts w:ascii="宋体" w:hAnsi="宋体"/>
          <w:highlight w:val="none"/>
        </w:rPr>
        <w:t>2.1.4.</w:t>
      </w:r>
      <w:r>
        <w:rPr>
          <w:rFonts w:hint="eastAsia" w:ascii="宋体" w:hAnsi="宋体"/>
          <w:highlight w:val="none"/>
        </w:rPr>
        <w:t>1</w:t>
      </w:r>
      <w:r>
        <w:rPr>
          <w:rFonts w:ascii="宋体" w:hAnsi="宋体"/>
          <w:highlight w:val="none"/>
        </w:rPr>
        <w:t>《繁峙县乡镇集中式饮用水水源地保护区划分技术报告》；</w:t>
      </w:r>
    </w:p>
    <w:p>
      <w:pPr>
        <w:ind w:firstLine="480"/>
        <w:rPr>
          <w:rFonts w:ascii="宋体" w:hAnsi="宋体"/>
          <w:highlight w:val="none"/>
        </w:rPr>
      </w:pPr>
      <w:r>
        <w:rPr>
          <w:rFonts w:ascii="宋体" w:hAnsi="宋体"/>
          <w:highlight w:val="none"/>
        </w:rPr>
        <w:t>2.1.4.</w:t>
      </w:r>
      <w:r>
        <w:rPr>
          <w:rFonts w:hint="eastAsia" w:ascii="宋体" w:hAnsi="宋体"/>
          <w:highlight w:val="none"/>
        </w:rPr>
        <w:t>2</w:t>
      </w:r>
      <w:r>
        <w:rPr>
          <w:rFonts w:ascii="宋体" w:hAnsi="宋体"/>
          <w:highlight w:val="none"/>
        </w:rPr>
        <w:t>《繁峙县生态功能区划》和《繁峙县生态经济区划》；</w:t>
      </w:r>
    </w:p>
    <w:p>
      <w:pPr>
        <w:ind w:firstLine="480"/>
        <w:rPr>
          <w:rFonts w:ascii="宋体" w:hAnsi="宋体"/>
          <w:highlight w:val="none"/>
        </w:rPr>
      </w:pPr>
      <w:r>
        <w:rPr>
          <w:rFonts w:ascii="宋体" w:hAnsi="宋体"/>
          <w:highlight w:val="none"/>
        </w:rPr>
        <w:t>2.1.4.</w:t>
      </w:r>
      <w:r>
        <w:rPr>
          <w:rFonts w:hint="eastAsia" w:ascii="宋体" w:hAnsi="宋体"/>
          <w:highlight w:val="none"/>
        </w:rPr>
        <w:t>3</w:t>
      </w:r>
      <w:r>
        <w:rPr>
          <w:rFonts w:ascii="宋体" w:hAnsi="宋体"/>
          <w:highlight w:val="none"/>
        </w:rPr>
        <w:t>建设单位提供的其他资料。</w:t>
      </w:r>
    </w:p>
    <w:p>
      <w:pPr>
        <w:pStyle w:val="3"/>
        <w:ind w:firstLine="643"/>
        <w:rPr>
          <w:rFonts w:hAnsi="宋体"/>
          <w:highlight w:val="none"/>
        </w:rPr>
      </w:pPr>
      <w:bookmarkStart w:id="61" w:name="_Toc1460913"/>
      <w:bookmarkStart w:id="62" w:name="_Toc4678378"/>
      <w:bookmarkStart w:id="63" w:name="_Toc70201011"/>
      <w:r>
        <w:rPr>
          <w:rFonts w:hAnsi="宋体"/>
          <w:highlight w:val="none"/>
        </w:rPr>
        <w:t>2.2影响要素识别及评价因子</w:t>
      </w:r>
      <w:bookmarkEnd w:id="61"/>
      <w:bookmarkEnd w:id="62"/>
      <w:bookmarkEnd w:id="63"/>
    </w:p>
    <w:p>
      <w:pPr>
        <w:pStyle w:val="4"/>
        <w:ind w:firstLine="562"/>
        <w:rPr>
          <w:rFonts w:hAnsi="宋体"/>
          <w:highlight w:val="none"/>
        </w:rPr>
      </w:pPr>
      <w:bookmarkStart w:id="64" w:name="_Toc487302027"/>
      <w:bookmarkStart w:id="65" w:name="_Toc478404423"/>
      <w:bookmarkStart w:id="66" w:name="_Toc4678379"/>
      <w:r>
        <w:rPr>
          <w:rFonts w:hAnsi="宋体"/>
          <w:highlight w:val="none"/>
        </w:rPr>
        <w:t>2.2.1</w:t>
      </w:r>
      <w:bookmarkEnd w:id="64"/>
      <w:bookmarkEnd w:id="65"/>
      <w:r>
        <w:rPr>
          <w:rFonts w:hAnsi="宋体"/>
          <w:highlight w:val="none"/>
        </w:rPr>
        <w:t>环境影响要素识别</w:t>
      </w:r>
      <w:bookmarkEnd w:id="66"/>
    </w:p>
    <w:p>
      <w:pPr>
        <w:ind w:firstLine="496"/>
        <w:rPr>
          <w:rFonts w:ascii="宋体" w:hAnsi="宋体"/>
          <w:spacing w:val="4"/>
          <w:highlight w:val="none"/>
        </w:rPr>
      </w:pPr>
      <w:r>
        <w:rPr>
          <w:rFonts w:ascii="宋体" w:hAnsi="宋体"/>
          <w:spacing w:val="4"/>
          <w:highlight w:val="none"/>
        </w:rPr>
        <w:t>选矿厂运营期各主要生产环节对个环境要素的影响类型和影响程度识别情况见表2.2-1。</w:t>
      </w:r>
    </w:p>
    <w:p>
      <w:pPr>
        <w:pStyle w:val="65"/>
        <w:rPr>
          <w:rFonts w:hAnsi="宋体"/>
          <w:highlight w:val="none"/>
        </w:rPr>
      </w:pPr>
      <w:r>
        <w:rPr>
          <w:rFonts w:hAnsi="宋体"/>
          <w:highlight w:val="none"/>
        </w:rPr>
        <w:t>表2.2-1</w:t>
      </w:r>
      <w:r>
        <w:rPr>
          <w:rFonts w:hint="eastAsia" w:hAnsi="宋体"/>
          <w:highlight w:val="none"/>
        </w:rPr>
        <w:t xml:space="preserve">  </w:t>
      </w:r>
      <w:r>
        <w:rPr>
          <w:rFonts w:hAnsi="宋体"/>
          <w:highlight w:val="none"/>
        </w:rPr>
        <w:t>项目工程影响环境要素与影响程度识别表</w:t>
      </w:r>
    </w:p>
    <w:tbl>
      <w:tblPr>
        <w:tblStyle w:val="44"/>
        <w:tblW w:w="903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23"/>
        <w:gridCol w:w="1181"/>
        <w:gridCol w:w="946"/>
        <w:gridCol w:w="994"/>
        <w:gridCol w:w="992"/>
        <w:gridCol w:w="1133"/>
        <w:gridCol w:w="1133"/>
        <w:gridCol w:w="113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环境因素</w:t>
            </w:r>
          </w:p>
          <w:p>
            <w:pPr>
              <w:pStyle w:val="64"/>
              <w:rPr>
                <w:rFonts w:hAnsi="宋体"/>
                <w:highlight w:val="none"/>
              </w:rPr>
            </w:pPr>
            <w:r>
              <w:rPr>
                <w:rFonts w:hAnsi="宋体"/>
                <w:highlight w:val="none"/>
              </w:rPr>
              <w:t>生产环节</w:t>
            </w:r>
          </w:p>
        </w:tc>
        <w:tc>
          <w:tcPr>
            <w:tcW w:w="1181" w:type="dxa"/>
            <w:vAlign w:val="center"/>
          </w:tcPr>
          <w:p>
            <w:pPr>
              <w:pStyle w:val="64"/>
              <w:rPr>
                <w:rFonts w:hAnsi="宋体"/>
                <w:highlight w:val="none"/>
              </w:rPr>
            </w:pPr>
            <w:r>
              <w:rPr>
                <w:rFonts w:hAnsi="宋体"/>
                <w:highlight w:val="none"/>
              </w:rPr>
              <w:t>环境空气</w:t>
            </w:r>
            <w:r>
              <w:rPr>
                <w:rFonts w:hint="eastAsia" w:hAnsi="宋体" w:cs="宋体"/>
                <w:highlight w:val="none"/>
              </w:rPr>
              <w:t>★</w:t>
            </w:r>
          </w:p>
        </w:tc>
        <w:tc>
          <w:tcPr>
            <w:tcW w:w="946" w:type="dxa"/>
            <w:vAlign w:val="center"/>
          </w:tcPr>
          <w:p>
            <w:pPr>
              <w:pStyle w:val="64"/>
              <w:rPr>
                <w:rFonts w:hAnsi="宋体"/>
                <w:highlight w:val="none"/>
              </w:rPr>
            </w:pPr>
            <w:r>
              <w:rPr>
                <w:rFonts w:hAnsi="宋体"/>
                <w:highlight w:val="none"/>
              </w:rPr>
              <w:t>地表水</w:t>
            </w:r>
          </w:p>
          <w:p>
            <w:pPr>
              <w:pStyle w:val="64"/>
              <w:rPr>
                <w:rFonts w:hAnsi="宋体"/>
                <w:highlight w:val="none"/>
              </w:rPr>
            </w:pPr>
            <w:r>
              <w:rPr>
                <w:rFonts w:hint="eastAsia" w:hAnsi="宋体" w:cs="宋体"/>
                <w:highlight w:val="none"/>
              </w:rPr>
              <w:t>★</w:t>
            </w:r>
          </w:p>
        </w:tc>
        <w:tc>
          <w:tcPr>
            <w:tcW w:w="994" w:type="dxa"/>
            <w:vAlign w:val="center"/>
          </w:tcPr>
          <w:p>
            <w:pPr>
              <w:pStyle w:val="64"/>
              <w:rPr>
                <w:rFonts w:hAnsi="宋体"/>
                <w:highlight w:val="none"/>
              </w:rPr>
            </w:pPr>
            <w:r>
              <w:rPr>
                <w:rFonts w:hAnsi="宋体"/>
                <w:highlight w:val="none"/>
              </w:rPr>
              <w:t>地下水</w:t>
            </w:r>
          </w:p>
          <w:p>
            <w:pPr>
              <w:pStyle w:val="64"/>
              <w:rPr>
                <w:rFonts w:hAnsi="宋体"/>
                <w:highlight w:val="none"/>
              </w:rPr>
            </w:pPr>
            <w:r>
              <w:rPr>
                <w:rFonts w:hint="eastAsia" w:hAnsi="宋体" w:cs="宋体"/>
                <w:highlight w:val="none"/>
              </w:rPr>
              <w:t>★</w:t>
            </w:r>
          </w:p>
        </w:tc>
        <w:tc>
          <w:tcPr>
            <w:tcW w:w="992" w:type="dxa"/>
            <w:vAlign w:val="center"/>
          </w:tcPr>
          <w:p>
            <w:pPr>
              <w:pStyle w:val="64"/>
              <w:rPr>
                <w:rFonts w:hAnsi="宋体"/>
                <w:highlight w:val="none"/>
              </w:rPr>
            </w:pPr>
            <w:r>
              <w:rPr>
                <w:rFonts w:hAnsi="宋体"/>
                <w:highlight w:val="none"/>
              </w:rPr>
              <w:t>声环境</w:t>
            </w:r>
          </w:p>
          <w:p>
            <w:pPr>
              <w:pStyle w:val="64"/>
              <w:rPr>
                <w:rFonts w:hAnsi="宋体"/>
                <w:highlight w:val="none"/>
              </w:rPr>
            </w:pPr>
            <w:r>
              <w:rPr>
                <w:rFonts w:hint="eastAsia" w:hAnsi="宋体" w:cs="宋体"/>
                <w:highlight w:val="none"/>
              </w:rPr>
              <w:t>★</w:t>
            </w:r>
          </w:p>
        </w:tc>
        <w:tc>
          <w:tcPr>
            <w:tcW w:w="1133" w:type="dxa"/>
            <w:vAlign w:val="center"/>
          </w:tcPr>
          <w:p>
            <w:pPr>
              <w:pStyle w:val="64"/>
              <w:rPr>
                <w:rFonts w:hAnsi="宋体"/>
                <w:highlight w:val="none"/>
              </w:rPr>
            </w:pPr>
            <w:r>
              <w:rPr>
                <w:rFonts w:hAnsi="宋体"/>
                <w:highlight w:val="none"/>
              </w:rPr>
              <w:t>土壤环境</w:t>
            </w:r>
          </w:p>
          <w:p>
            <w:pPr>
              <w:pStyle w:val="64"/>
              <w:rPr>
                <w:rFonts w:hAnsi="宋体"/>
                <w:highlight w:val="none"/>
              </w:rPr>
            </w:pPr>
            <w:r>
              <w:rPr>
                <w:rFonts w:hint="eastAsia" w:hAnsi="宋体" w:cs="宋体"/>
                <w:highlight w:val="none"/>
              </w:rPr>
              <w:t>★</w:t>
            </w:r>
          </w:p>
        </w:tc>
        <w:tc>
          <w:tcPr>
            <w:tcW w:w="1133" w:type="dxa"/>
            <w:vAlign w:val="center"/>
          </w:tcPr>
          <w:p>
            <w:pPr>
              <w:pStyle w:val="64"/>
              <w:rPr>
                <w:rFonts w:hAnsi="宋体"/>
                <w:highlight w:val="none"/>
              </w:rPr>
            </w:pPr>
            <w:r>
              <w:rPr>
                <w:rFonts w:hAnsi="宋体"/>
                <w:highlight w:val="none"/>
              </w:rPr>
              <w:t>生态环境</w:t>
            </w:r>
          </w:p>
          <w:p>
            <w:pPr>
              <w:pStyle w:val="64"/>
              <w:rPr>
                <w:rFonts w:hAnsi="宋体"/>
                <w:highlight w:val="none"/>
              </w:rPr>
            </w:pPr>
            <w:r>
              <w:rPr>
                <w:rFonts w:hAnsi="宋体"/>
                <w:highlight w:val="none"/>
              </w:rPr>
              <w:t>〇</w:t>
            </w:r>
          </w:p>
        </w:tc>
        <w:tc>
          <w:tcPr>
            <w:tcW w:w="1137" w:type="dxa"/>
          </w:tcPr>
          <w:p>
            <w:pPr>
              <w:pStyle w:val="64"/>
              <w:rPr>
                <w:rFonts w:hAnsi="宋体"/>
                <w:highlight w:val="none"/>
              </w:rPr>
            </w:pPr>
            <w:r>
              <w:rPr>
                <w:rFonts w:hAnsi="宋体"/>
                <w:highlight w:val="none"/>
              </w:rPr>
              <w:t>经济发展</w:t>
            </w:r>
          </w:p>
          <w:p>
            <w:pPr>
              <w:pStyle w:val="64"/>
              <w:rPr>
                <w:rFonts w:hAnsi="宋体"/>
                <w:highlight w:val="none"/>
              </w:rPr>
            </w:pPr>
            <w:r>
              <w:rPr>
                <w:rFonts w:hAnsi="宋体"/>
                <w:highlight w:val="none"/>
              </w:rPr>
              <w:t>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废气</w:t>
            </w:r>
          </w:p>
        </w:tc>
        <w:tc>
          <w:tcPr>
            <w:tcW w:w="1181"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1312" behindDoc="0" locked="0" layoutInCell="1" allowOverlap="1">
                      <wp:simplePos x="0" y="0"/>
                      <wp:positionH relativeFrom="column">
                        <wp:posOffset>482600</wp:posOffset>
                      </wp:positionH>
                      <wp:positionV relativeFrom="paragraph">
                        <wp:posOffset>8255</wp:posOffset>
                      </wp:positionV>
                      <wp:extent cx="0" cy="184150"/>
                      <wp:effectExtent l="76200" t="0" r="57150" b="63500"/>
                      <wp:wrapNone/>
                      <wp:docPr id="1119" name="直接箭头连接符 1"/>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1" o:spid="_x0000_s1026" o:spt="32" type="#_x0000_t32" style="position:absolute;left:0pt;margin-left:38pt;margin-top:0.65pt;height:14.5pt;width:0pt;z-index:251661312;mso-width-relative:page;mso-height-relative:page;" filled="f" stroked="t" coordsize="21600,21600" o:gfxdata="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DWB9MAAAAGAQAADwAA&#10;AAAAAAABACAAAAAiAAAAZHJzL2Rvd25yZXYueG1sUEsBAhQAFAAAAAgAh07iQJdzQpYbAgAAIAQA&#10;AA4AAAAAAAAAAQAgAAAAIgEAAGRycy9lMm9Eb2MueG1sUEsFBgAAAAAGAAYAWQEAAK8FAAAAAA==&#10;">
                      <v:fill on="f" focussize="0,0"/>
                      <v:stroke weight="1pt" color="#000000" miterlimit="8" joinstyle="miter" endarrow="block"/>
                      <v:imagedata o:title=""/>
                      <o:lock v:ext="edit" aspectratio="f"/>
                    </v:shape>
                  </w:pict>
                </mc:Fallback>
              </mc:AlternateContent>
            </w:r>
            <w:r>
              <w:rPr>
                <w:rFonts w:hAnsi="宋体"/>
                <w:highlight w:val="none"/>
              </w:rPr>
              <w:t>-2L</w:t>
            </w:r>
          </w:p>
        </w:tc>
        <w:tc>
          <w:tcPr>
            <w:tcW w:w="946" w:type="dxa"/>
            <w:vAlign w:val="center"/>
          </w:tcPr>
          <w:p>
            <w:pPr>
              <w:pStyle w:val="64"/>
              <w:rPr>
                <w:rFonts w:hAnsi="宋体"/>
                <w:highlight w:val="none"/>
              </w:rPr>
            </w:pPr>
          </w:p>
        </w:tc>
        <w:tc>
          <w:tcPr>
            <w:tcW w:w="994" w:type="dxa"/>
            <w:vAlign w:val="center"/>
          </w:tcPr>
          <w:p>
            <w:pPr>
              <w:pStyle w:val="64"/>
              <w:rPr>
                <w:rFonts w:hAnsi="宋体"/>
                <w:highlight w:val="none"/>
              </w:rPr>
            </w:pPr>
          </w:p>
        </w:tc>
        <w:tc>
          <w:tcPr>
            <w:tcW w:w="992"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3"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2336" behindDoc="0" locked="0" layoutInCell="1" allowOverlap="1">
                      <wp:simplePos x="0" y="0"/>
                      <wp:positionH relativeFrom="column">
                        <wp:posOffset>410845</wp:posOffset>
                      </wp:positionH>
                      <wp:positionV relativeFrom="paragraph">
                        <wp:posOffset>31750</wp:posOffset>
                      </wp:positionV>
                      <wp:extent cx="0" cy="146050"/>
                      <wp:effectExtent l="76200" t="0" r="57150" b="63500"/>
                      <wp:wrapNone/>
                      <wp:docPr id="1118" name="直接箭头连接符 18"/>
                      <wp:cNvGraphicFramePr/>
                      <a:graphic xmlns:a="http://schemas.openxmlformats.org/drawingml/2006/main">
                        <a:graphicData uri="http://schemas.microsoft.com/office/word/2010/wordprocessingShape">
                          <wps:wsp>
                            <wps:cNvCnPr/>
                            <wps:spPr>
                              <a:xfrm>
                                <a:off x="0" y="0"/>
                                <a:ext cx="0" cy="1460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18" o:spid="_x0000_s1026" o:spt="32" type="#_x0000_t32" style="position:absolute;left:0pt;margin-left:32.35pt;margin-top:2.5pt;height:11.5pt;width:0pt;z-index:251662336;mso-width-relative:page;mso-height-relative:page;" filled="f" stroked="t" coordsize="21600,21600" o:gfxdata="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d/rS1AAAAAYBAAAP&#10;AAAAAAAAAAEAIAAAACIAAABkcnMvZG93bnJldi54bWxQSwECFAAUAAAACACHTuJAuCAU0xwCAAAh&#10;BAAADgAAAAAAAAABACAAAAAjAQAAZHJzL2Uyb0RvYy54bWxQSwUGAAAAAAYABgBZAQAAsQU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1137"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废水</w:t>
            </w:r>
          </w:p>
        </w:tc>
        <w:tc>
          <w:tcPr>
            <w:tcW w:w="1181" w:type="dxa"/>
            <w:vAlign w:val="center"/>
          </w:tcPr>
          <w:p>
            <w:pPr>
              <w:pStyle w:val="64"/>
              <w:rPr>
                <w:rFonts w:hAnsi="宋体"/>
                <w:highlight w:val="none"/>
              </w:rPr>
            </w:pPr>
          </w:p>
        </w:tc>
        <w:tc>
          <w:tcPr>
            <w:tcW w:w="946"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89984" behindDoc="0" locked="0" layoutInCell="1" allowOverlap="1">
                      <wp:simplePos x="0" y="0"/>
                      <wp:positionH relativeFrom="column">
                        <wp:posOffset>363220</wp:posOffset>
                      </wp:positionH>
                      <wp:positionV relativeFrom="paragraph">
                        <wp:posOffset>8255</wp:posOffset>
                      </wp:positionV>
                      <wp:extent cx="0" cy="190500"/>
                      <wp:effectExtent l="76200" t="0" r="57150" b="57150"/>
                      <wp:wrapNone/>
                      <wp:docPr id="4" name="直接箭头连接符 897"/>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97" o:spid="_x0000_s1026" o:spt="32" type="#_x0000_t32" style="position:absolute;left:0pt;margin-left:28.6pt;margin-top:0.65pt;height:15pt;width:0pt;z-index:251689984;mso-width-relative:page;mso-height-relative:page;" filled="f" stroked="t" coordsize="21600,21600" o:gfxdata="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CtS8tMAAAAGAQAADwAA&#10;AAAAAAABACAAAAAiAAAAZHJzL2Rvd25yZXYueG1sUEsBAhQAFAAAAAgAh07iQEZTX54bAgAAHwQA&#10;AA4AAAAAAAAAAQAgAAAAIgEAAGRycy9lMm9Eb2MueG1sUEsFBgAAAAAGAAYAWQEAAK8FAAAAAA==&#10;">
                      <v:fill on="f" focussize="0,0"/>
                      <v:stroke weight="1pt" color="#000000" miterlimit="8" joinstyle="miter" endarrow="block"/>
                      <v:imagedata o:title=""/>
                      <o:lock v:ext="edit" aspectratio="f"/>
                    </v:shape>
                  </w:pict>
                </mc:Fallback>
              </mc:AlternateContent>
            </w:r>
            <w:r>
              <w:rPr>
                <w:rFonts w:hAnsi="宋体"/>
                <w:highlight w:val="none"/>
              </w:rPr>
              <w:t>-</w:t>
            </w:r>
            <w:r>
              <w:rPr>
                <w:rFonts w:hint="eastAsia" w:hAnsi="宋体"/>
                <w:highlight w:val="none"/>
              </w:rPr>
              <w:t>2</w:t>
            </w:r>
            <w:r>
              <w:rPr>
                <w:rFonts w:hAnsi="宋体"/>
                <w:highlight w:val="none"/>
              </w:rPr>
              <w:t>L</w:t>
            </w:r>
          </w:p>
        </w:tc>
        <w:tc>
          <w:tcPr>
            <w:tcW w:w="994"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88960" behindDoc="0" locked="0" layoutInCell="1" allowOverlap="1">
                      <wp:simplePos x="0" y="0"/>
                      <wp:positionH relativeFrom="column">
                        <wp:posOffset>414655</wp:posOffset>
                      </wp:positionH>
                      <wp:positionV relativeFrom="paragraph">
                        <wp:posOffset>43180</wp:posOffset>
                      </wp:positionV>
                      <wp:extent cx="0" cy="190500"/>
                      <wp:effectExtent l="76200" t="0" r="57150" b="57150"/>
                      <wp:wrapNone/>
                      <wp:docPr id="3" name="直接箭头连接符 897"/>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97" o:spid="_x0000_s1026" o:spt="32" type="#_x0000_t32" style="position:absolute;left:0pt;margin-left:32.65pt;margin-top:3.4pt;height:15pt;width:0pt;z-index:251688960;mso-width-relative:page;mso-height-relative:page;" filled="f" stroked="t" coordsize="21600,21600" o:gfxdata="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FOPdMAAAAGAQAADwAA&#10;AAAAAAABACAAAAAiAAAAZHJzL2Rvd25yZXYueG1sUEsBAhQAFAAAAAgAh07iQMlWuokbAgAAHwQA&#10;AA4AAAAAAAAAAQAgAAAAIgEAAGRycy9lMm9Eb2MueG1sUEsFBgAAAAAGAAYAWQEAAK8FAAAAAA==&#10;">
                      <v:fill on="f" focussize="0,0"/>
                      <v:stroke weight="1pt" color="#000000" miterlimit="8" joinstyle="miter" endarrow="block"/>
                      <v:imagedata o:title=""/>
                      <o:lock v:ext="edit" aspectratio="f"/>
                    </v:shape>
                  </w:pict>
                </mc:Fallback>
              </mc:AlternateContent>
            </w:r>
            <w:r>
              <w:rPr>
                <w:rFonts w:hAnsi="宋体"/>
                <w:highlight w:val="none"/>
              </w:rPr>
              <w:t>-</w:t>
            </w:r>
            <w:r>
              <w:rPr>
                <w:rFonts w:hint="eastAsia" w:hAnsi="宋体"/>
                <w:highlight w:val="none"/>
              </w:rPr>
              <w:t>2</w:t>
            </w:r>
            <w:r>
              <w:rPr>
                <w:rFonts w:hAnsi="宋体"/>
                <w:highlight w:val="none"/>
              </w:rPr>
              <w:t>L</w:t>
            </w:r>
          </w:p>
        </w:tc>
        <w:tc>
          <w:tcPr>
            <w:tcW w:w="992"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7"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固废</w:t>
            </w:r>
          </w:p>
        </w:tc>
        <w:tc>
          <w:tcPr>
            <w:tcW w:w="1181" w:type="dxa"/>
            <w:vAlign w:val="center"/>
          </w:tcPr>
          <w:p>
            <w:pPr>
              <w:pStyle w:val="64"/>
              <w:rPr>
                <w:rFonts w:hAnsi="宋体"/>
                <w:highlight w:val="none"/>
              </w:rPr>
            </w:pPr>
          </w:p>
        </w:tc>
        <w:tc>
          <w:tcPr>
            <w:tcW w:w="946" w:type="dxa"/>
            <w:vAlign w:val="center"/>
          </w:tcPr>
          <w:p>
            <w:pPr>
              <w:pStyle w:val="64"/>
              <w:rPr>
                <w:rFonts w:hAnsi="宋体"/>
                <w:highlight w:val="none"/>
              </w:rPr>
            </w:pPr>
          </w:p>
        </w:tc>
        <w:tc>
          <w:tcPr>
            <w:tcW w:w="994"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5408" behindDoc="0" locked="0" layoutInCell="1" allowOverlap="1">
                      <wp:simplePos x="0" y="0"/>
                      <wp:positionH relativeFrom="column">
                        <wp:posOffset>402590</wp:posOffset>
                      </wp:positionH>
                      <wp:positionV relativeFrom="paragraph">
                        <wp:posOffset>12700</wp:posOffset>
                      </wp:positionV>
                      <wp:extent cx="0" cy="190500"/>
                      <wp:effectExtent l="76200" t="0" r="57150" b="57150"/>
                      <wp:wrapNone/>
                      <wp:docPr id="1117" name="直接箭头连接符 897"/>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97" o:spid="_x0000_s1026" o:spt="32" type="#_x0000_t32" style="position:absolute;left:0pt;margin-left:31.7pt;margin-top:1pt;height:15pt;width:0pt;z-index:251665408;mso-width-relative:page;mso-height-relative:page;" filled="f" stroked="t" coordsize="21600,21600" o:gfxdata="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5CnH0wAAAAYBAAAP&#10;AAAAAAAAAAEAIAAAACIAAABkcnMvZG93bnJldi54bWxQSwECFAAUAAAACACHTuJA/35pDR0CAAAi&#10;BAAADgAAAAAAAAABACAAAAAiAQAAZHJzL2Uyb0RvYy54bWxQSwUGAAAAAAYABgBZAQAAsQU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992"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6432" behindDoc="0" locked="0" layoutInCell="1" allowOverlap="1">
                      <wp:simplePos x="0" y="0"/>
                      <wp:positionH relativeFrom="column">
                        <wp:posOffset>392430</wp:posOffset>
                      </wp:positionH>
                      <wp:positionV relativeFrom="paragraph">
                        <wp:posOffset>203200</wp:posOffset>
                      </wp:positionV>
                      <wp:extent cx="0" cy="219075"/>
                      <wp:effectExtent l="76200" t="0" r="76200" b="47625"/>
                      <wp:wrapNone/>
                      <wp:docPr id="1116" name="直接箭头连接符 7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78" o:spid="_x0000_s1026" o:spt="32" type="#_x0000_t32" style="position:absolute;left:0pt;margin-left:30.9pt;margin-top:16pt;height:17.25pt;width:0pt;z-index:251666432;mso-width-relative:page;mso-height-relative:page;" filled="f" stroked="t" coordsize="21600,21600" o:gfxdata="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jZqhNUAAAAHAQAA&#10;DwAAAAAAAAABACAAAAAiAAAAZHJzL2Rvd25yZXYueG1sUEsBAhQAFAAAAAgAh07iQA3qZ3AcAgAA&#10;IQQAAA4AAAAAAAAAAQAgAAAAJAEAAGRycy9lMm9Eb2MueG1sUEsFBgAAAAAGAAYAWQEAALIFAAAA&#10;AA==&#10;">
                      <v:fill on="f" focussize="0,0"/>
                      <v:stroke weight="1pt" color="#000000" miterlimit="8" joinstyle="miter" endarrow="block"/>
                      <v:imagedata o:title=""/>
                      <o:lock v:ext="edit" aspectratio="f"/>
                    </v:shape>
                  </w:pict>
                </mc:Fallback>
              </mc:AlternateContent>
            </w:r>
          </w:p>
        </w:tc>
        <w:tc>
          <w:tcPr>
            <w:tcW w:w="1133"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4384" behindDoc="0" locked="0" layoutInCell="1" allowOverlap="1">
                      <wp:simplePos x="0" y="0"/>
                      <wp:positionH relativeFrom="column">
                        <wp:posOffset>415925</wp:posOffset>
                      </wp:positionH>
                      <wp:positionV relativeFrom="paragraph">
                        <wp:posOffset>20955</wp:posOffset>
                      </wp:positionV>
                      <wp:extent cx="0" cy="190500"/>
                      <wp:effectExtent l="76200" t="0" r="57150" b="57150"/>
                      <wp:wrapNone/>
                      <wp:docPr id="1115" name="直接箭头连接符 20"/>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20" o:spid="_x0000_s1026" o:spt="32" type="#_x0000_t32" style="position:absolute;left:0pt;margin-left:32.75pt;margin-top:1.65pt;height:15pt;width:0pt;z-index:251664384;mso-width-relative:page;mso-height-relative:page;" filled="f" stroked="t" coordsize="21600,21600" o:gfxdata="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Equc0wAAAAYBAAAPAAAA&#10;AAAAAAEAIAAAACIAAABkcnMvZG93bnJldi54bWxQSwECFAAUAAAACACHTuJAgMTrtBoCAAAhBAAA&#10;DgAAAAAAAAABACAAAAAiAQAAZHJzL2Uyb0RvYy54bWxQSwUGAAAAAAYABgBZAQAArgU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1133"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3360" behindDoc="0" locked="0" layoutInCell="1" allowOverlap="1">
                      <wp:simplePos x="0" y="0"/>
                      <wp:positionH relativeFrom="column">
                        <wp:posOffset>424815</wp:posOffset>
                      </wp:positionH>
                      <wp:positionV relativeFrom="paragraph">
                        <wp:posOffset>13335</wp:posOffset>
                      </wp:positionV>
                      <wp:extent cx="0" cy="190500"/>
                      <wp:effectExtent l="76200" t="0" r="57150" b="57150"/>
                      <wp:wrapNone/>
                      <wp:docPr id="1110" name="直接箭头连接符 19"/>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19" o:spid="_x0000_s1026" o:spt="32" type="#_x0000_t32" style="position:absolute;left:0pt;margin-left:33.45pt;margin-top:1.05pt;height:15pt;width:0pt;z-index:251663360;mso-width-relative:page;mso-height-relative:page;" filled="f" stroked="t" coordsize="21600,21600" o:gfxdata="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XoLU0gAAAAYBAAAPAAAA&#10;AAAAAAEAIAAAACIAAABkcnMvZG93bnJldi54bWxQSwECFAAUAAAACACHTuJA0lzxyxsCAAAhBAAA&#10;DgAAAAAAAAABACAAAAAhAQAAZHJzL2Uyb0RvYy54bWxQSwUGAAAAAAYABgBZAQAArgU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1137"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噪声</w:t>
            </w:r>
          </w:p>
        </w:tc>
        <w:tc>
          <w:tcPr>
            <w:tcW w:w="1181" w:type="dxa"/>
            <w:vAlign w:val="center"/>
          </w:tcPr>
          <w:p>
            <w:pPr>
              <w:pStyle w:val="64"/>
              <w:rPr>
                <w:rFonts w:hAnsi="宋体"/>
                <w:highlight w:val="none"/>
              </w:rPr>
            </w:pPr>
          </w:p>
        </w:tc>
        <w:tc>
          <w:tcPr>
            <w:tcW w:w="946" w:type="dxa"/>
            <w:vAlign w:val="center"/>
          </w:tcPr>
          <w:p>
            <w:pPr>
              <w:pStyle w:val="64"/>
              <w:rPr>
                <w:rFonts w:hAnsi="宋体"/>
                <w:highlight w:val="none"/>
              </w:rPr>
            </w:pPr>
          </w:p>
        </w:tc>
        <w:tc>
          <w:tcPr>
            <w:tcW w:w="994" w:type="dxa"/>
            <w:vAlign w:val="center"/>
          </w:tcPr>
          <w:p>
            <w:pPr>
              <w:pStyle w:val="64"/>
              <w:rPr>
                <w:rFonts w:hAnsi="宋体"/>
                <w:highlight w:val="none"/>
              </w:rPr>
            </w:pPr>
          </w:p>
        </w:tc>
        <w:tc>
          <w:tcPr>
            <w:tcW w:w="992" w:type="dxa"/>
            <w:vAlign w:val="center"/>
          </w:tcPr>
          <w:p>
            <w:pPr>
              <w:pStyle w:val="64"/>
              <w:rPr>
                <w:rFonts w:hAnsi="宋体"/>
                <w:highlight w:val="none"/>
              </w:rPr>
            </w:pPr>
            <w:r>
              <w:rPr>
                <w:rFonts w:hAnsi="宋体"/>
                <w:highlight w:val="none"/>
              </w:rPr>
              <w:t>-1L</w:t>
            </w:r>
          </w:p>
        </w:tc>
        <w:tc>
          <w:tcPr>
            <w:tcW w:w="1133"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7"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原料运输</w:t>
            </w:r>
          </w:p>
        </w:tc>
        <w:tc>
          <w:tcPr>
            <w:tcW w:w="1181"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7456" behindDoc="0" locked="0" layoutInCell="1" allowOverlap="1">
                      <wp:simplePos x="0" y="0"/>
                      <wp:positionH relativeFrom="column">
                        <wp:posOffset>481330</wp:posOffset>
                      </wp:positionH>
                      <wp:positionV relativeFrom="paragraph">
                        <wp:posOffset>19685</wp:posOffset>
                      </wp:positionV>
                      <wp:extent cx="0" cy="184150"/>
                      <wp:effectExtent l="76200" t="38100" r="57150" b="25400"/>
                      <wp:wrapNone/>
                      <wp:docPr id="1109" name="直接箭头连接符 79"/>
                      <wp:cNvGraphicFramePr/>
                      <a:graphic xmlns:a="http://schemas.openxmlformats.org/drawingml/2006/main">
                        <a:graphicData uri="http://schemas.microsoft.com/office/word/2010/wordprocessingShape">
                          <wps:wsp>
                            <wps:cNvCnPr/>
                            <wps:spPr>
                              <a:xfrm flipV="1">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79" o:spid="_x0000_s1026" o:spt="32" type="#_x0000_t32" style="position:absolute;left:0pt;flip:y;margin-left:37.9pt;margin-top:1.55pt;height:14.5pt;width:0pt;z-index:251667456;mso-width-relative:page;mso-height-relative:page;" filled="f" stroked="t" coordsize="21600,21600" o:gfxdata="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ScIAdAAAAAG&#10;AQAADwAAAAAAAAABACAAAAAiAAAAZHJzL2Rvd25yZXYueG1sUEsBAhQAFAAAAAgAh07iQFizsMUk&#10;AgAAKwQAAA4AAAAAAAAAAQAgAAAAHwEAAGRycy9lMm9Eb2MueG1sUEsFBgAAAAAGAAYAWQEAALUF&#10;AAAAAA==&#10;">
                      <v:fill on="f" focussize="0,0"/>
                      <v:stroke weight="1pt" color="#000000" miterlimit="8" joinstyle="miter" endarrow="block"/>
                      <v:imagedata o:title=""/>
                      <o:lock v:ext="edit" aspectratio="f"/>
                    </v:shape>
                  </w:pict>
                </mc:Fallback>
              </mc:AlternateContent>
            </w:r>
            <w:r>
              <w:rPr>
                <w:rFonts w:hAnsi="宋体"/>
                <w:highlight w:val="none"/>
              </w:rPr>
              <w:t>-2L</w:t>
            </w:r>
          </w:p>
        </w:tc>
        <w:tc>
          <w:tcPr>
            <w:tcW w:w="946"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71552" behindDoc="0" locked="0" layoutInCell="1" allowOverlap="1">
                      <wp:simplePos x="0" y="0"/>
                      <wp:positionH relativeFrom="column">
                        <wp:posOffset>408940</wp:posOffset>
                      </wp:positionH>
                      <wp:positionV relativeFrom="paragraph">
                        <wp:posOffset>193675</wp:posOffset>
                      </wp:positionV>
                      <wp:extent cx="0" cy="184150"/>
                      <wp:effectExtent l="76200" t="0" r="57150" b="63500"/>
                      <wp:wrapNone/>
                      <wp:docPr id="1108" name="直接箭头连接符 87"/>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7" o:spid="_x0000_s1026" o:spt="32" type="#_x0000_t32" style="position:absolute;left:0pt;margin-left:32.2pt;margin-top:15.25pt;height:14.5pt;width:0pt;z-index:251671552;mso-width-relative:page;mso-height-relative:page;" filled="f" stroked="t" coordsize="21600,21600" o:gfxdata="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yJkgdUAAAAHAQAA&#10;DwAAAAAAAAABACAAAAAiAAAAZHJzL2Rvd25yZXYueG1sUEsBAhQAFAAAAAgAh07iQKPaDakcAgAA&#10;IQQAAA4AAAAAAAAAAQAgAAAAJAEAAGRycy9lMm9Eb2MueG1sUEsFBgAAAAAGAAYAWQEAALIFAAAA&#10;AA==&#10;">
                      <v:fill on="f" focussize="0,0"/>
                      <v:stroke weight="1pt" color="#000000" miterlimit="8" joinstyle="miter" endarrow="block"/>
                      <v:imagedata o:title=""/>
                      <o:lock v:ext="edit" aspectratio="f"/>
                    </v:shape>
                  </w:pict>
                </mc:Fallback>
              </mc:AlternateContent>
            </w:r>
          </w:p>
        </w:tc>
        <w:tc>
          <w:tcPr>
            <w:tcW w:w="994" w:type="dxa"/>
            <w:vAlign w:val="center"/>
          </w:tcPr>
          <w:p>
            <w:pPr>
              <w:pStyle w:val="64"/>
              <w:rPr>
                <w:rFonts w:hAnsi="宋体"/>
                <w:highlight w:val="none"/>
              </w:rPr>
            </w:pPr>
          </w:p>
        </w:tc>
        <w:tc>
          <w:tcPr>
            <w:tcW w:w="992"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8480" behindDoc="0" locked="0" layoutInCell="1" allowOverlap="1">
                      <wp:simplePos x="0" y="0"/>
                      <wp:positionH relativeFrom="column">
                        <wp:posOffset>395605</wp:posOffset>
                      </wp:positionH>
                      <wp:positionV relativeFrom="paragraph">
                        <wp:posOffset>18415</wp:posOffset>
                      </wp:positionV>
                      <wp:extent cx="0" cy="184150"/>
                      <wp:effectExtent l="76200" t="38100" r="57150" b="25400"/>
                      <wp:wrapNone/>
                      <wp:docPr id="1107" name="直接箭头连接符 84"/>
                      <wp:cNvGraphicFramePr/>
                      <a:graphic xmlns:a="http://schemas.openxmlformats.org/drawingml/2006/main">
                        <a:graphicData uri="http://schemas.microsoft.com/office/word/2010/wordprocessingShape">
                          <wps:wsp>
                            <wps:cNvCnPr/>
                            <wps:spPr>
                              <a:xfrm flipV="1">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4" o:spid="_x0000_s1026" o:spt="32" type="#_x0000_t32" style="position:absolute;left:0pt;flip:y;margin-left:31.15pt;margin-top:1.45pt;height:14.5pt;width:0pt;z-index:251668480;mso-width-relative:page;mso-height-relative:page;" filled="f" stroked="t" coordsize="21600,21600" o:gfxdata="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aSr/vRAAAA&#10;BgEAAA8AAAAAAAAAAQAgAAAAIgAAAGRycy9kb3ducmV2LnhtbFBLAQIUABQAAAAIAIdO4kD2nF24&#10;JAIAACsEAAAOAAAAAAAAAAEAIAAAACABAABkcnMvZTJvRG9jLnhtbFBLBQYAAAAABgAGAFkBAAC2&#10;BQ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1133"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7"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69504" behindDoc="0" locked="0" layoutInCell="1" allowOverlap="1">
                      <wp:simplePos x="0" y="0"/>
                      <wp:positionH relativeFrom="column">
                        <wp:posOffset>412115</wp:posOffset>
                      </wp:positionH>
                      <wp:positionV relativeFrom="paragraph">
                        <wp:posOffset>7620</wp:posOffset>
                      </wp:positionV>
                      <wp:extent cx="0" cy="184150"/>
                      <wp:effectExtent l="76200" t="38100" r="57150" b="25400"/>
                      <wp:wrapNone/>
                      <wp:docPr id="1106" name="直接箭头连接符 85"/>
                      <wp:cNvGraphicFramePr/>
                      <a:graphic xmlns:a="http://schemas.openxmlformats.org/drawingml/2006/main">
                        <a:graphicData uri="http://schemas.microsoft.com/office/word/2010/wordprocessingShape">
                          <wps:wsp>
                            <wps:cNvCnPr/>
                            <wps:spPr>
                              <a:xfrm flipV="1">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5" o:spid="_x0000_s1026" o:spt="32" type="#_x0000_t32" style="position:absolute;left:0pt;flip:y;margin-left:32.45pt;margin-top:0.6pt;height:14.5pt;width:0pt;z-index:251669504;mso-width-relative:page;mso-height-relative:page;" filled="f" stroked="t" coordsize="21600,21600" o:gfxdata="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TPv0tAAAAAG&#10;AQAADwAAAAAAAAABACAAAAAiAAAAZHJzL2Rvd25yZXYueG1sUEsBAhQAFAAAAAgAh07iQK1lfU8k&#10;AgAAKwQAAA4AAAAAAAAAAQAgAAAAHwEAAGRycy9lMm9Eb2MueG1sUEsFBgAAAAAGAAYAWQEAALUF&#10;AAAAAA==&#10;">
                      <v:fill on="f" focussize="0,0"/>
                      <v:stroke weight="1pt" color="#000000" miterlimit="8" joinstyle="miter" endarrow="block"/>
                      <v:imagedata o:title=""/>
                      <o:lock v:ext="edit" aspectratio="f"/>
                    </v:shape>
                  </w:pict>
                </mc:Fallback>
              </mc:AlternateContent>
            </w:r>
            <w:r>
              <w:rPr>
                <w:rFonts w:hAnsi="宋体"/>
                <w:highlight w:val="none"/>
              </w:rPr>
              <w:t>+1L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职工生活</w:t>
            </w:r>
          </w:p>
        </w:tc>
        <w:tc>
          <w:tcPr>
            <w:tcW w:w="1181"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70528" behindDoc="0" locked="0" layoutInCell="1" allowOverlap="1">
                      <wp:simplePos x="0" y="0"/>
                      <wp:positionH relativeFrom="column">
                        <wp:posOffset>530225</wp:posOffset>
                      </wp:positionH>
                      <wp:positionV relativeFrom="paragraph">
                        <wp:posOffset>15875</wp:posOffset>
                      </wp:positionV>
                      <wp:extent cx="0" cy="184150"/>
                      <wp:effectExtent l="76200" t="0" r="57150" b="63500"/>
                      <wp:wrapNone/>
                      <wp:docPr id="1105" name="直接箭头连接符 86"/>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6" o:spid="_x0000_s1026" o:spt="32" type="#_x0000_t32" style="position:absolute;left:0pt;margin-left:41.75pt;margin-top:1.25pt;height:14.5pt;width:0pt;z-index:251670528;mso-width-relative:page;mso-height-relative:page;" filled="f" stroked="t" coordsize="21600,21600" o:gfxdata="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b7Gl9QAAAAGAQAA&#10;DwAAAAAAAAABACAAAAAiAAAAZHJzL2Rvd25yZXYueG1sUEsBAhQAFAAAAAgAh07iQF307IQdAgAA&#10;IQQAAA4AAAAAAAAAAQAgAAAAIwEAAGRycy9lMm9Eb2MueG1sUEsFBgAAAAAGAAYAWQEAALIFAAAA&#10;AA==&#10;">
                      <v:fill on="f" focussize="0,0"/>
                      <v:stroke weight="1pt" color="#000000" miterlimit="8" joinstyle="miter" endarrow="block"/>
                      <v:imagedata o:title=""/>
                      <o:lock v:ext="edit" aspectratio="f"/>
                    </v:shape>
                  </w:pict>
                </mc:Fallback>
              </mc:AlternateContent>
            </w:r>
            <w:r>
              <w:rPr>
                <w:rFonts w:hAnsi="宋体"/>
                <w:highlight w:val="none"/>
              </w:rPr>
              <w:t>-1L</w:t>
            </w:r>
          </w:p>
        </w:tc>
        <w:tc>
          <w:tcPr>
            <w:tcW w:w="946" w:type="dxa"/>
            <w:vAlign w:val="center"/>
          </w:tcPr>
          <w:p>
            <w:pPr>
              <w:pStyle w:val="64"/>
              <w:rPr>
                <w:rFonts w:hAnsi="宋体"/>
                <w:highlight w:val="none"/>
              </w:rPr>
            </w:pPr>
            <w:r>
              <w:rPr>
                <w:rFonts w:hAnsi="宋体"/>
                <w:highlight w:val="none"/>
              </w:rPr>
              <w:t>-1L</w:t>
            </w:r>
          </w:p>
        </w:tc>
        <w:tc>
          <w:tcPr>
            <w:tcW w:w="994"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72576" behindDoc="0" locked="0" layoutInCell="1" allowOverlap="1">
                      <wp:simplePos x="0" y="0"/>
                      <wp:positionH relativeFrom="column">
                        <wp:posOffset>417195</wp:posOffset>
                      </wp:positionH>
                      <wp:positionV relativeFrom="paragraph">
                        <wp:posOffset>19050</wp:posOffset>
                      </wp:positionV>
                      <wp:extent cx="0" cy="184150"/>
                      <wp:effectExtent l="76200" t="0" r="57150" b="63500"/>
                      <wp:wrapNone/>
                      <wp:docPr id="1104" name="直接箭头连接符 88"/>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8" o:spid="_x0000_s1026" o:spt="32" type="#_x0000_t32" style="position:absolute;left:0pt;margin-left:32.85pt;margin-top:1.5pt;height:14.5pt;width:0pt;z-index:251672576;mso-width-relative:page;mso-height-relative:page;" filled="f" stroked="t" coordsize="21600,21600" o:gfxdata="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oU5XTAAAABgEAAA8A&#10;AAAAAAAAAQAgAAAAIgAAAGRycy9kb3ducmV2LnhtbFBLAQIUABQAAAAIAIdO4kDyulC3HAIAACEE&#10;AAAOAAAAAAAAAAEAIAAAACIBAABkcnMvZTJvRG9jLnhtbFBLBQYAAAAABgAGAFkBAACwBQ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992"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73600" behindDoc="0" locked="0" layoutInCell="1" allowOverlap="1">
                      <wp:simplePos x="0" y="0"/>
                      <wp:positionH relativeFrom="column">
                        <wp:posOffset>397510</wp:posOffset>
                      </wp:positionH>
                      <wp:positionV relativeFrom="paragraph">
                        <wp:posOffset>20320</wp:posOffset>
                      </wp:positionV>
                      <wp:extent cx="0" cy="184150"/>
                      <wp:effectExtent l="76200" t="0" r="57150" b="63500"/>
                      <wp:wrapNone/>
                      <wp:docPr id="1103" name="直接箭头连接符 89"/>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89" o:spid="_x0000_s1026" o:spt="32" type="#_x0000_t32" style="position:absolute;left:0pt;margin-left:31.3pt;margin-top:1.6pt;height:14.5pt;width:0pt;z-index:251673600;mso-width-relative:page;mso-height-relative:page;" filled="f" stroked="t" coordsize="21600,21600" o:gfxdata="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i0cYNIAAAAGAQAADwAA&#10;AAAAAAABACAAAAAiAAAAZHJzL2Rvd25yZXYueG1sUEsBAhQAFAAAAAgAh07iQPjdiUocAgAAIQQA&#10;AA4AAAAAAAAAAQAgAAAAIQEAAGRycy9lMm9Eb2MueG1sUEsFBgAAAAAGAAYAWQEAAK8FA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1133" w:type="dxa"/>
            <w:vAlign w:val="center"/>
          </w:tcPr>
          <w:p>
            <w:pPr>
              <w:pStyle w:val="64"/>
              <w:rPr>
                <w:rFonts w:hAnsi="宋体"/>
                <w:highlight w:val="none"/>
              </w:rPr>
            </w:pPr>
            <w:r>
              <w:rPr>
                <w:rFonts w:hAnsi="宋体"/>
                <w:highlight w:val="none"/>
              </w:rPr>
              <mc:AlternateContent>
                <mc:Choice Requires="wps">
                  <w:drawing>
                    <wp:anchor distT="0" distB="0" distL="113665" distR="113665" simplePos="0" relativeHeight="251674624" behindDoc="0" locked="0" layoutInCell="1" allowOverlap="1">
                      <wp:simplePos x="0" y="0"/>
                      <wp:positionH relativeFrom="column">
                        <wp:posOffset>401320</wp:posOffset>
                      </wp:positionH>
                      <wp:positionV relativeFrom="paragraph">
                        <wp:posOffset>11430</wp:posOffset>
                      </wp:positionV>
                      <wp:extent cx="0" cy="184150"/>
                      <wp:effectExtent l="76200" t="0" r="57150" b="63500"/>
                      <wp:wrapNone/>
                      <wp:docPr id="1102" name="直接箭头连接符 90"/>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90" o:spid="_x0000_s1026" o:spt="32" type="#_x0000_t32" style="position:absolute;left:0pt;margin-left:31.6pt;margin-top:0.9pt;height:14.5pt;width:0pt;z-index:251674624;mso-width-relative:page;mso-height-relative:page;" filled="f" stroked="t" coordsize="21600,21600" o:gfxdata="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R7NZtMAAAAGAQAADwAA&#10;AAAAAAABACAAAAAiAAAAZHJzL2Rvd25yZXYueG1sUEsBAhQAFAAAAAgAh07iQM/4N3QbAgAAIQQA&#10;AA4AAAAAAAAAAQAgAAAAIgEAAGRycy9lMm9Eb2MueG1sUEsFBgAAAAAGAAYAWQEAAK8FAAAAAA==&#10;">
                      <v:fill on="f" focussize="0,0"/>
                      <v:stroke weight="1pt" color="#000000" miterlimit="8" joinstyle="miter" endarrow="block"/>
                      <v:imagedata o:title=""/>
                      <o:lock v:ext="edit" aspectratio="f"/>
                    </v:shape>
                  </w:pict>
                </mc:Fallback>
              </mc:AlternateContent>
            </w:r>
            <w:r>
              <w:rPr>
                <w:rFonts w:hAnsi="宋体"/>
                <w:highlight w:val="none"/>
              </w:rPr>
              <w:t>-1L</w:t>
            </w:r>
          </w:p>
        </w:tc>
        <w:tc>
          <w:tcPr>
            <w:tcW w:w="1133" w:type="dxa"/>
            <w:vAlign w:val="center"/>
          </w:tcPr>
          <w:p>
            <w:pPr>
              <w:pStyle w:val="64"/>
              <w:rPr>
                <w:rFonts w:hAnsi="宋体"/>
                <w:highlight w:val="none"/>
              </w:rPr>
            </w:pPr>
          </w:p>
        </w:tc>
        <w:tc>
          <w:tcPr>
            <w:tcW w:w="1137"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523" w:type="dxa"/>
            <w:vAlign w:val="center"/>
          </w:tcPr>
          <w:p>
            <w:pPr>
              <w:pStyle w:val="64"/>
              <w:rPr>
                <w:rFonts w:hAnsi="宋体"/>
                <w:highlight w:val="none"/>
              </w:rPr>
            </w:pPr>
            <w:r>
              <w:rPr>
                <w:rFonts w:hAnsi="宋体"/>
                <w:highlight w:val="none"/>
              </w:rPr>
              <w:t>产品销售</w:t>
            </w:r>
          </w:p>
        </w:tc>
        <w:tc>
          <w:tcPr>
            <w:tcW w:w="1181" w:type="dxa"/>
            <w:vAlign w:val="center"/>
          </w:tcPr>
          <w:p>
            <w:pPr>
              <w:pStyle w:val="64"/>
              <w:rPr>
                <w:rFonts w:hAnsi="宋体"/>
                <w:highlight w:val="none"/>
              </w:rPr>
            </w:pPr>
          </w:p>
        </w:tc>
        <w:tc>
          <w:tcPr>
            <w:tcW w:w="946" w:type="dxa"/>
            <w:vAlign w:val="center"/>
          </w:tcPr>
          <w:p>
            <w:pPr>
              <w:pStyle w:val="64"/>
              <w:rPr>
                <w:rFonts w:hAnsi="宋体"/>
                <w:highlight w:val="none"/>
              </w:rPr>
            </w:pPr>
          </w:p>
        </w:tc>
        <w:tc>
          <w:tcPr>
            <w:tcW w:w="994" w:type="dxa"/>
            <w:vAlign w:val="center"/>
          </w:tcPr>
          <w:p>
            <w:pPr>
              <w:pStyle w:val="64"/>
              <w:rPr>
                <w:rFonts w:hAnsi="宋体"/>
                <w:highlight w:val="none"/>
              </w:rPr>
            </w:pPr>
          </w:p>
        </w:tc>
        <w:tc>
          <w:tcPr>
            <w:tcW w:w="992"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3" w:type="dxa"/>
            <w:vAlign w:val="center"/>
          </w:tcPr>
          <w:p>
            <w:pPr>
              <w:pStyle w:val="64"/>
              <w:rPr>
                <w:rFonts w:hAnsi="宋体"/>
                <w:highlight w:val="none"/>
              </w:rPr>
            </w:pPr>
          </w:p>
        </w:tc>
        <w:tc>
          <w:tcPr>
            <w:tcW w:w="1137" w:type="dxa"/>
          </w:tcPr>
          <w:p>
            <w:pPr>
              <w:pStyle w:val="64"/>
              <w:rPr>
                <w:rFonts w:hAnsi="宋体"/>
                <w:highlight w:val="none"/>
              </w:rPr>
            </w:pPr>
            <w:r>
              <w:rPr>
                <w:rFonts w:hAnsi="宋体"/>
                <w:highlight w:val="none"/>
              </w:rPr>
              <mc:AlternateContent>
                <mc:Choice Requires="wps">
                  <w:drawing>
                    <wp:anchor distT="0" distB="0" distL="113665" distR="113665" simplePos="0" relativeHeight="251675648" behindDoc="0" locked="0" layoutInCell="1" allowOverlap="1">
                      <wp:simplePos x="0" y="0"/>
                      <wp:positionH relativeFrom="column">
                        <wp:posOffset>417195</wp:posOffset>
                      </wp:positionH>
                      <wp:positionV relativeFrom="paragraph">
                        <wp:posOffset>-1270</wp:posOffset>
                      </wp:positionV>
                      <wp:extent cx="0" cy="184150"/>
                      <wp:effectExtent l="76200" t="38100" r="57150" b="25400"/>
                      <wp:wrapNone/>
                      <wp:docPr id="1101" name="直接箭头连接符 91"/>
                      <wp:cNvGraphicFramePr/>
                      <a:graphic xmlns:a="http://schemas.openxmlformats.org/drawingml/2006/main">
                        <a:graphicData uri="http://schemas.microsoft.com/office/word/2010/wordprocessingShape">
                          <wps:wsp>
                            <wps:cNvCnPr/>
                            <wps:spPr>
                              <a:xfrm flipV="1">
                                <a:off x="0" y="0"/>
                                <a:ext cx="0" cy="184150"/>
                              </a:xfrm>
                              <a:prstGeom prst="straightConnector1">
                                <a:avLst/>
                              </a:prstGeom>
                              <a:noFill/>
                              <a:ln w="12700" cap="flat" cmpd="sng" algn="ctr">
                                <a:solidFill>
                                  <a:srgbClr val="000000"/>
                                </a:solidFill>
                                <a:prstDash val="solid"/>
                                <a:miter lim="800000"/>
                                <a:headEnd type="none" w="med" len="med"/>
                                <a:tailEnd type="triangle" w="med" len="med"/>
                              </a:ln>
                            </wps:spPr>
                            <wps:bodyPr/>
                          </wps:wsp>
                        </a:graphicData>
                      </a:graphic>
                    </wp:anchor>
                  </w:drawing>
                </mc:Choice>
                <mc:Fallback>
                  <w:pict>
                    <v:shape id="直接箭头连接符 91" o:spid="_x0000_s1026" o:spt="32" type="#_x0000_t32" style="position:absolute;left:0pt;flip:y;margin-left:32.85pt;margin-top:-0.1pt;height:14.5pt;width:0pt;z-index:251675648;mso-width-relative:page;mso-height-relative:page;" filled="f" stroked="t" coordsize="21600,21600" o:gfxdata="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5U20XRAAAA&#10;BgEAAA8AAAAAAAAAAQAgAAAAIgAAAGRycy9kb3ducmV2LnhtbFBLAQIUABQAAAAIAIdO4kB5+VeT&#10;JAIAACsEAAAOAAAAAAAAAAEAIAAAACABAABkcnMvZTJvRG9jLnhtbFBLBQYAAAAABgAGAFkBAAC2&#10;BQAAAAA=&#10;">
                      <v:fill on="f" focussize="0,0"/>
                      <v:stroke weight="1pt" color="#000000" miterlimit="8" joinstyle="miter" endarrow="block"/>
                      <v:imagedata o:title=""/>
                      <o:lock v:ext="edit" aspectratio="f"/>
                    </v:shape>
                  </w:pict>
                </mc:Fallback>
              </mc:AlternateContent>
            </w:r>
            <w:r>
              <w:rPr>
                <w:rFonts w:hAnsi="宋体"/>
                <w:highlight w:val="none"/>
              </w:rPr>
              <w:t>+2S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9039" w:type="dxa"/>
            <w:gridSpan w:val="8"/>
            <w:vAlign w:val="center"/>
          </w:tcPr>
          <w:p>
            <w:pPr>
              <w:pStyle w:val="64"/>
              <w:jc w:val="left"/>
              <w:rPr>
                <w:rFonts w:hAnsi="宋体"/>
                <w:highlight w:val="none"/>
              </w:rPr>
            </w:pPr>
            <w:r>
              <w:rPr>
                <w:rFonts w:hAnsi="宋体"/>
                <w:highlight w:val="none"/>
              </w:rPr>
              <w:t>注：+正效应、-负效应；3、2、1影响程度由大到小；L长期影响、S短期影响、↑可逆影响；↓不可逆影响；</w:t>
            </w:r>
            <w:r>
              <w:rPr>
                <w:rFonts w:hint="eastAsia" w:hAnsi="宋体" w:cs="宋体"/>
                <w:highlight w:val="none"/>
              </w:rPr>
              <w:t>★</w:t>
            </w:r>
            <w:r>
              <w:rPr>
                <w:rFonts w:hAnsi="宋体"/>
                <w:highlight w:val="none"/>
              </w:rPr>
              <w:t>较关心的环境要素；〇一般关心的环境要素。</w:t>
            </w:r>
          </w:p>
        </w:tc>
      </w:tr>
    </w:tbl>
    <w:p>
      <w:pPr>
        <w:ind w:firstLine="496"/>
        <w:rPr>
          <w:rFonts w:ascii="宋体" w:hAnsi="宋体"/>
          <w:spacing w:val="4"/>
          <w:highlight w:val="none"/>
        </w:rPr>
      </w:pPr>
      <w:r>
        <w:rPr>
          <w:rFonts w:ascii="宋体" w:hAnsi="宋体"/>
          <w:spacing w:val="4"/>
          <w:highlight w:val="none"/>
        </w:rPr>
        <w:t>结合工程分析结果和表2.2-1的分析结论可以看出，各生产环节产生的主要污染物或环境影响因素分别为：</w:t>
      </w:r>
    </w:p>
    <w:p>
      <w:pPr>
        <w:ind w:firstLine="496"/>
        <w:rPr>
          <w:rFonts w:ascii="宋体" w:hAnsi="宋体"/>
          <w:spacing w:val="4"/>
          <w:highlight w:val="none"/>
        </w:rPr>
      </w:pPr>
      <w:r>
        <w:rPr>
          <w:rFonts w:ascii="宋体" w:hAnsi="宋体"/>
          <w:spacing w:val="4"/>
          <w:highlight w:val="none"/>
        </w:rPr>
        <w:t>环境空气主要污染因子为颗粒物；</w:t>
      </w:r>
    </w:p>
    <w:p>
      <w:pPr>
        <w:ind w:firstLine="496"/>
        <w:rPr>
          <w:rFonts w:ascii="宋体" w:hAnsi="宋体"/>
          <w:spacing w:val="4"/>
          <w:highlight w:val="none"/>
        </w:rPr>
      </w:pPr>
      <w:r>
        <w:rPr>
          <w:rFonts w:ascii="宋体" w:hAnsi="宋体"/>
          <w:spacing w:val="4"/>
          <w:highlight w:val="none"/>
        </w:rPr>
        <w:t>地下水环境主要污染因子为pH、总硬度、氟化物、氨氮、砷、耗氧量、六价铬、硝酸盐氮、亚硝酸盐氮、硫酸盐、溶解性总固体、挥发酚、汞、铁、锰、铅、氰化物、氯化物、镉、菌落总数、总大肠菌群共计21项；</w:t>
      </w:r>
    </w:p>
    <w:p>
      <w:pPr>
        <w:ind w:firstLine="496"/>
        <w:rPr>
          <w:rFonts w:ascii="宋体" w:hAnsi="宋体"/>
          <w:spacing w:val="4"/>
          <w:highlight w:val="none"/>
        </w:rPr>
      </w:pPr>
      <w:r>
        <w:rPr>
          <w:rFonts w:ascii="宋体" w:hAnsi="宋体"/>
          <w:spacing w:val="4"/>
          <w:highlight w:val="none"/>
        </w:rPr>
        <w:t>固体废物主要污染因子为生活垃圾、除尘灰、废石、废机油；</w:t>
      </w:r>
    </w:p>
    <w:p>
      <w:pPr>
        <w:ind w:firstLine="496"/>
        <w:rPr>
          <w:rFonts w:ascii="宋体" w:hAnsi="宋体"/>
          <w:spacing w:val="4"/>
          <w:highlight w:val="none"/>
        </w:rPr>
      </w:pPr>
      <w:r>
        <w:rPr>
          <w:rFonts w:ascii="宋体" w:hAnsi="宋体"/>
          <w:spacing w:val="4"/>
          <w:highlight w:val="none"/>
        </w:rPr>
        <w:t>声环境主要污染因子为设备噪声及运输噪声。</w:t>
      </w:r>
    </w:p>
    <w:p>
      <w:pPr>
        <w:pStyle w:val="4"/>
        <w:ind w:firstLine="562"/>
        <w:rPr>
          <w:rFonts w:hAnsi="宋体"/>
          <w:highlight w:val="none"/>
        </w:rPr>
      </w:pPr>
      <w:bookmarkStart w:id="67" w:name="_Toc487302029"/>
      <w:bookmarkStart w:id="68" w:name="_Toc4678380"/>
      <w:bookmarkStart w:id="69" w:name="_Toc478404425"/>
      <w:r>
        <w:rPr>
          <w:rFonts w:hAnsi="宋体"/>
          <w:highlight w:val="none"/>
        </w:rPr>
        <w:t>2.2.2评价因子的筛选</w:t>
      </w:r>
      <w:bookmarkEnd w:id="67"/>
      <w:bookmarkEnd w:id="68"/>
      <w:bookmarkEnd w:id="69"/>
    </w:p>
    <w:p>
      <w:pPr>
        <w:adjustRightInd w:val="0"/>
        <w:snapToGrid w:val="0"/>
        <w:ind w:firstLine="496"/>
        <w:rPr>
          <w:rFonts w:ascii="宋体" w:hAnsi="宋体"/>
          <w:spacing w:val="4"/>
          <w:highlight w:val="none"/>
        </w:rPr>
      </w:pPr>
      <w:r>
        <w:rPr>
          <w:rFonts w:ascii="宋体" w:hAnsi="宋体"/>
          <w:spacing w:val="4"/>
          <w:highlight w:val="none"/>
        </w:rPr>
        <w:t>根据环境影响评价技术导则中的有关规定，并结合铁矿采选行业对环境影响的特征，筛选出主要的环境影响评价因子如下：</w:t>
      </w:r>
    </w:p>
    <w:p>
      <w:pPr>
        <w:adjustRightInd w:val="0"/>
        <w:snapToGrid w:val="0"/>
        <w:ind w:firstLine="496"/>
        <w:rPr>
          <w:rFonts w:ascii="宋体" w:hAnsi="宋体"/>
          <w:spacing w:val="4"/>
          <w:highlight w:val="none"/>
        </w:rPr>
      </w:pPr>
      <w:r>
        <w:rPr>
          <w:rFonts w:ascii="宋体" w:hAnsi="宋体"/>
          <w:spacing w:val="4"/>
          <w:highlight w:val="none"/>
        </w:rPr>
        <w:t>1、环境空气</w:t>
      </w:r>
    </w:p>
    <w:p>
      <w:pPr>
        <w:adjustRightInd w:val="0"/>
        <w:snapToGrid w:val="0"/>
        <w:ind w:firstLine="496"/>
        <w:rPr>
          <w:rFonts w:ascii="宋体" w:hAnsi="宋体"/>
          <w:spacing w:val="4"/>
          <w:highlight w:val="none"/>
        </w:rPr>
      </w:pPr>
      <w:r>
        <w:rPr>
          <w:rFonts w:ascii="宋体" w:hAnsi="宋体"/>
          <w:spacing w:val="4"/>
          <w:highlight w:val="none"/>
        </w:rPr>
        <w:t>现状评价因子：PM</w:t>
      </w:r>
      <w:r>
        <w:rPr>
          <w:rFonts w:ascii="宋体" w:hAnsi="宋体"/>
          <w:spacing w:val="4"/>
          <w:highlight w:val="none"/>
          <w:vertAlign w:val="subscript"/>
        </w:rPr>
        <w:t>10</w:t>
      </w:r>
      <w:r>
        <w:rPr>
          <w:rFonts w:ascii="宋体" w:hAnsi="宋体"/>
          <w:spacing w:val="4"/>
          <w:highlight w:val="none"/>
        </w:rPr>
        <w:t>、PM</w:t>
      </w:r>
      <w:r>
        <w:rPr>
          <w:rFonts w:ascii="宋体" w:hAnsi="宋体"/>
          <w:spacing w:val="4"/>
          <w:highlight w:val="none"/>
          <w:vertAlign w:val="subscript"/>
        </w:rPr>
        <w:t>2.5</w:t>
      </w:r>
      <w:r>
        <w:rPr>
          <w:rFonts w:ascii="宋体" w:hAnsi="宋体"/>
          <w:spacing w:val="4"/>
          <w:highlight w:val="none"/>
        </w:rPr>
        <w:t>、SO</w:t>
      </w:r>
      <w:r>
        <w:rPr>
          <w:rFonts w:ascii="宋体" w:hAnsi="宋体"/>
          <w:spacing w:val="4"/>
          <w:highlight w:val="none"/>
          <w:vertAlign w:val="subscript"/>
        </w:rPr>
        <w:t>2</w:t>
      </w:r>
      <w:r>
        <w:rPr>
          <w:rFonts w:ascii="宋体" w:hAnsi="宋体"/>
          <w:spacing w:val="4"/>
          <w:highlight w:val="none"/>
        </w:rPr>
        <w:t>、NO</w:t>
      </w:r>
      <w:r>
        <w:rPr>
          <w:rFonts w:ascii="宋体" w:hAnsi="宋体"/>
          <w:spacing w:val="4"/>
          <w:highlight w:val="none"/>
          <w:vertAlign w:val="subscript"/>
        </w:rPr>
        <w:t>2</w:t>
      </w:r>
      <w:r>
        <w:rPr>
          <w:rFonts w:ascii="宋体" w:hAnsi="宋体"/>
          <w:spacing w:val="4"/>
          <w:highlight w:val="none"/>
        </w:rPr>
        <w:t>、CO、O</w:t>
      </w:r>
      <w:r>
        <w:rPr>
          <w:rFonts w:ascii="宋体" w:hAnsi="宋体"/>
          <w:spacing w:val="4"/>
          <w:highlight w:val="none"/>
          <w:vertAlign w:val="subscript"/>
        </w:rPr>
        <w:t>3</w:t>
      </w:r>
      <w:r>
        <w:rPr>
          <w:rFonts w:ascii="宋体" w:hAnsi="宋体"/>
          <w:spacing w:val="4"/>
          <w:highlight w:val="none"/>
        </w:rPr>
        <w:t>、TSP；</w:t>
      </w:r>
    </w:p>
    <w:p>
      <w:pPr>
        <w:ind w:firstLine="480"/>
        <w:rPr>
          <w:rFonts w:ascii="宋体" w:hAnsi="宋体"/>
          <w:highlight w:val="none"/>
        </w:rPr>
      </w:pPr>
      <w:r>
        <w:rPr>
          <w:rFonts w:ascii="宋体" w:hAnsi="宋体"/>
          <w:highlight w:val="none"/>
        </w:rPr>
        <w:t>预测因子：TSP、</w:t>
      </w:r>
      <w:r>
        <w:rPr>
          <w:rFonts w:ascii="宋体" w:hAnsi="宋体"/>
          <w:spacing w:val="4"/>
          <w:highlight w:val="none"/>
        </w:rPr>
        <w:t>PM</w:t>
      </w:r>
      <w:r>
        <w:rPr>
          <w:rFonts w:ascii="宋体" w:hAnsi="宋体"/>
          <w:spacing w:val="4"/>
          <w:highlight w:val="none"/>
          <w:vertAlign w:val="subscript"/>
        </w:rPr>
        <w:t>10</w:t>
      </w:r>
      <w:r>
        <w:rPr>
          <w:rFonts w:ascii="宋体" w:hAnsi="宋体"/>
          <w:highlight w:val="none"/>
        </w:rPr>
        <w:t>。</w:t>
      </w:r>
    </w:p>
    <w:p>
      <w:pPr>
        <w:ind w:firstLine="480"/>
        <w:rPr>
          <w:rFonts w:ascii="宋体" w:hAnsi="宋体"/>
          <w:highlight w:val="none"/>
        </w:rPr>
      </w:pPr>
      <w:r>
        <w:rPr>
          <w:rFonts w:ascii="宋体" w:hAnsi="宋体"/>
          <w:highlight w:val="none"/>
        </w:rPr>
        <w:t>2、地下水</w:t>
      </w:r>
    </w:p>
    <w:p>
      <w:pPr>
        <w:ind w:firstLine="480"/>
        <w:rPr>
          <w:rFonts w:ascii="宋体" w:hAnsi="宋体"/>
          <w:highlight w:val="none"/>
        </w:rPr>
      </w:pPr>
      <w:r>
        <w:rPr>
          <w:rFonts w:ascii="宋体" w:hAnsi="宋体"/>
          <w:highlight w:val="none"/>
        </w:rPr>
        <w:t>现状评价因子：K</w:t>
      </w:r>
      <w:r>
        <w:rPr>
          <w:rFonts w:ascii="宋体" w:hAnsi="宋体"/>
          <w:highlight w:val="none"/>
          <w:vertAlign w:val="superscript"/>
        </w:rPr>
        <w:t>+</w:t>
      </w:r>
      <w:r>
        <w:rPr>
          <w:rFonts w:ascii="宋体" w:hAnsi="宋体"/>
          <w:highlight w:val="none"/>
        </w:rPr>
        <w:t>、Na</w:t>
      </w:r>
      <w:r>
        <w:rPr>
          <w:rFonts w:ascii="宋体" w:hAnsi="宋体"/>
          <w:highlight w:val="none"/>
          <w:vertAlign w:val="superscript"/>
        </w:rPr>
        <w:t>+</w:t>
      </w:r>
      <w:r>
        <w:rPr>
          <w:rFonts w:ascii="宋体" w:hAnsi="宋体"/>
          <w:highlight w:val="none"/>
        </w:rPr>
        <w:t>、Ca</w:t>
      </w:r>
      <w:r>
        <w:rPr>
          <w:rFonts w:ascii="宋体" w:hAnsi="宋体"/>
          <w:highlight w:val="none"/>
          <w:vertAlign w:val="superscript"/>
        </w:rPr>
        <w:t>2+</w:t>
      </w:r>
      <w:r>
        <w:rPr>
          <w:rFonts w:ascii="宋体" w:hAnsi="宋体"/>
          <w:highlight w:val="none"/>
        </w:rPr>
        <w:t>、Mg</w:t>
      </w:r>
      <w:r>
        <w:rPr>
          <w:rFonts w:ascii="宋体" w:hAnsi="宋体"/>
          <w:highlight w:val="none"/>
          <w:vertAlign w:val="superscript"/>
        </w:rPr>
        <w:t>2+</w:t>
      </w:r>
      <w:r>
        <w:rPr>
          <w:rFonts w:ascii="宋体" w:hAnsi="宋体"/>
          <w:highlight w:val="none"/>
        </w:rPr>
        <w:t>、CO</w:t>
      </w:r>
      <w:r>
        <w:rPr>
          <w:rFonts w:ascii="宋体" w:hAnsi="宋体"/>
          <w:highlight w:val="none"/>
          <w:vertAlign w:val="subscript"/>
        </w:rPr>
        <w:t>3</w:t>
      </w:r>
      <w:r>
        <w:rPr>
          <w:rFonts w:ascii="宋体" w:hAnsi="宋体"/>
          <w:highlight w:val="none"/>
          <w:vertAlign w:val="superscript"/>
        </w:rPr>
        <w:t>2-</w:t>
      </w:r>
      <w:r>
        <w:rPr>
          <w:rFonts w:ascii="宋体" w:hAnsi="宋体"/>
          <w:highlight w:val="none"/>
        </w:rPr>
        <w:t>、HCO</w:t>
      </w:r>
      <w:r>
        <w:rPr>
          <w:rFonts w:ascii="宋体" w:hAnsi="宋体"/>
          <w:highlight w:val="none"/>
          <w:vertAlign w:val="subscript"/>
        </w:rPr>
        <w:t>3</w:t>
      </w:r>
      <w:r>
        <w:rPr>
          <w:rFonts w:ascii="宋体" w:hAnsi="宋体"/>
          <w:highlight w:val="none"/>
          <w:vertAlign w:val="superscript"/>
        </w:rPr>
        <w:t>-</w:t>
      </w:r>
      <w:r>
        <w:rPr>
          <w:rFonts w:ascii="宋体" w:hAnsi="宋体"/>
          <w:highlight w:val="none"/>
        </w:rPr>
        <w:t>、Cl</w:t>
      </w:r>
      <w:r>
        <w:rPr>
          <w:rFonts w:ascii="宋体" w:hAnsi="宋体"/>
          <w:highlight w:val="none"/>
          <w:vertAlign w:val="superscript"/>
        </w:rPr>
        <w:t>-</w:t>
      </w:r>
      <w:r>
        <w:rPr>
          <w:rFonts w:ascii="宋体" w:hAnsi="宋体"/>
          <w:highlight w:val="none"/>
        </w:rPr>
        <w:t>、SO</w:t>
      </w:r>
      <w:r>
        <w:rPr>
          <w:rFonts w:ascii="宋体" w:hAnsi="宋体"/>
          <w:highlight w:val="none"/>
          <w:vertAlign w:val="subscript"/>
        </w:rPr>
        <w:t>4</w:t>
      </w:r>
      <w:r>
        <w:rPr>
          <w:rFonts w:ascii="宋体" w:hAnsi="宋体"/>
          <w:highlight w:val="none"/>
          <w:vertAlign w:val="superscript"/>
        </w:rPr>
        <w:t>2-</w:t>
      </w:r>
      <w:r>
        <w:rPr>
          <w:rFonts w:ascii="宋体" w:hAnsi="宋体"/>
          <w:highlight w:val="none"/>
        </w:rPr>
        <w:t>、pH、氨氮、硝酸盐、亚硝酸盐、挥发性酚类、氰化物、砷、汞、铬（六价）、总硬度、铅、氟、镉、铁、锰、溶解性总固体、耗氧量、硫酸盐、氯化物、总大肠菌群、菌落总数，石油类、水位；</w:t>
      </w:r>
    </w:p>
    <w:p>
      <w:pPr>
        <w:ind w:firstLine="480"/>
        <w:rPr>
          <w:rFonts w:ascii="宋体" w:hAnsi="宋体"/>
          <w:highlight w:val="none"/>
        </w:rPr>
      </w:pPr>
      <w:r>
        <w:rPr>
          <w:rFonts w:ascii="宋体" w:hAnsi="宋体"/>
          <w:highlight w:val="none"/>
        </w:rPr>
        <w:t>预测因子：</w:t>
      </w:r>
      <w:r>
        <w:rPr>
          <w:rFonts w:hint="eastAsia" w:ascii="宋体" w:hAnsi="宋体"/>
          <w:highlight w:val="none"/>
        </w:rPr>
        <w:t>硒、Cu、Zn、Pb、石油烃</w:t>
      </w:r>
      <w:r>
        <w:rPr>
          <w:rFonts w:ascii="宋体" w:hAnsi="宋体"/>
          <w:highlight w:val="none"/>
        </w:rPr>
        <w:t>。</w:t>
      </w:r>
    </w:p>
    <w:p>
      <w:pPr>
        <w:ind w:firstLine="480"/>
        <w:rPr>
          <w:rFonts w:ascii="宋体" w:hAnsi="宋体"/>
          <w:highlight w:val="none"/>
        </w:rPr>
      </w:pPr>
      <w:r>
        <w:rPr>
          <w:rFonts w:ascii="宋体" w:hAnsi="宋体"/>
          <w:highlight w:val="none"/>
        </w:rPr>
        <w:t>3、噪声</w:t>
      </w:r>
    </w:p>
    <w:p>
      <w:pPr>
        <w:ind w:firstLine="480"/>
        <w:rPr>
          <w:rFonts w:ascii="宋体" w:hAnsi="宋体"/>
          <w:highlight w:val="none"/>
        </w:rPr>
      </w:pPr>
      <w:r>
        <w:rPr>
          <w:rFonts w:ascii="宋体" w:hAnsi="宋体"/>
          <w:highlight w:val="none"/>
        </w:rPr>
        <w:t>噪声评价因子：厂界四周等效A声级。</w:t>
      </w:r>
    </w:p>
    <w:p>
      <w:pPr>
        <w:ind w:firstLine="480"/>
        <w:rPr>
          <w:rFonts w:ascii="宋体" w:hAnsi="宋体"/>
          <w:highlight w:val="none"/>
        </w:rPr>
      </w:pPr>
      <w:r>
        <w:rPr>
          <w:rFonts w:ascii="宋体" w:hAnsi="宋体"/>
          <w:highlight w:val="none"/>
        </w:rPr>
        <w:t>4、固体废物</w:t>
      </w:r>
    </w:p>
    <w:p>
      <w:pPr>
        <w:ind w:firstLine="480"/>
        <w:rPr>
          <w:rFonts w:ascii="宋体" w:hAnsi="宋体"/>
          <w:highlight w:val="none"/>
        </w:rPr>
      </w:pPr>
      <w:r>
        <w:rPr>
          <w:rFonts w:ascii="宋体" w:hAnsi="宋体"/>
          <w:highlight w:val="none"/>
        </w:rPr>
        <w:t>固体废物评价因子：生活垃圾、除尘灰、废石、废机油。</w:t>
      </w:r>
    </w:p>
    <w:p>
      <w:pPr>
        <w:ind w:firstLine="480"/>
        <w:rPr>
          <w:rFonts w:ascii="宋体" w:hAnsi="宋体"/>
          <w:highlight w:val="none"/>
        </w:rPr>
      </w:pPr>
      <w:r>
        <w:rPr>
          <w:rFonts w:ascii="宋体" w:hAnsi="宋体"/>
          <w:highlight w:val="none"/>
        </w:rPr>
        <w:t>5、土壤环境</w:t>
      </w:r>
    </w:p>
    <w:p>
      <w:pPr>
        <w:ind w:firstLine="480"/>
        <w:rPr>
          <w:rFonts w:ascii="宋体" w:hAnsi="宋体"/>
          <w:highlight w:val="none"/>
        </w:rPr>
      </w:pPr>
      <w:r>
        <w:rPr>
          <w:rFonts w:ascii="宋体" w:hAnsi="宋体"/>
          <w:highlight w:val="none"/>
        </w:rPr>
        <w:t>现状评价因子：</w:t>
      </w:r>
    </w:p>
    <w:p>
      <w:pPr>
        <w:ind w:firstLine="480"/>
        <w:rPr>
          <w:rFonts w:ascii="宋体" w:hAnsi="宋体"/>
          <w:highlight w:val="none"/>
        </w:rPr>
      </w:pPr>
      <w:r>
        <w:rPr>
          <w:rFonts w:hint="eastAsia" w:ascii="宋体" w:hAnsi="宋体"/>
          <w:highlight w:val="none"/>
        </w:rPr>
        <w:t>砷、镉、铬、铜、铅、汞、镍、锌8项；</w:t>
      </w:r>
    </w:p>
    <w:p>
      <w:pPr>
        <w:ind w:firstLine="480"/>
        <w:rPr>
          <w:rFonts w:ascii="宋体" w:hAnsi="宋体"/>
          <w:highlight w:val="none"/>
        </w:rPr>
      </w:pPr>
      <w:r>
        <w:rPr>
          <w:rFonts w:ascii="宋体" w:hAnsi="宋体"/>
          <w:highlight w:val="none"/>
        </w:rPr>
        <w:t>砷、镉、铬（六价）、铜、铅、汞、镍、四氯化碳、氯仿、氯甲烷、1,1-二氯乙烷、1,2-二氯乙烷、1,1-二氯乙烯、顺-1,2-二氯乙烯、反-1,2-二氯乙烯、二氯甲烷、1,2-二氯丙烷、l,l,l,2-四氯乙烷、l,1,2,2-四氯乙烷、四氯乙烯、1,1,1-三氯乙烷、1,1,2-三氯乙烷、三氯乙烯、1,2,3-三氯丙烷、氯乙烯、苯、氯苯、1,2-二氯苯、1,4-二氯苯、乙苯、苯乙烯、甲苯、间二甲苯＋对二甲苯、邻二甲苯、硝基苯、苯胺、2-氯酚、苯并[a]蒽、苯并[a]芘、苯并[b]荧蒽、苯并[k]荧蒽、䓛、二苯并[a,h］蒽、茚并［l,2,3-cd］芘、萘45项基本项目。特征项：石油烃。</w:t>
      </w:r>
    </w:p>
    <w:p>
      <w:pPr>
        <w:pStyle w:val="3"/>
        <w:ind w:firstLine="643"/>
        <w:rPr>
          <w:rFonts w:hAnsi="宋体"/>
          <w:highlight w:val="none"/>
        </w:rPr>
      </w:pPr>
      <w:bookmarkStart w:id="70" w:name="_Toc4678381"/>
      <w:bookmarkStart w:id="71" w:name="_Toc1460914"/>
      <w:bookmarkStart w:id="72" w:name="_Toc70201012"/>
      <w:r>
        <w:rPr>
          <w:rFonts w:hAnsi="宋体"/>
          <w:highlight w:val="none"/>
        </w:rPr>
        <w:t>2.3评价标准</w:t>
      </w:r>
      <w:bookmarkEnd w:id="70"/>
      <w:bookmarkEnd w:id="71"/>
      <w:bookmarkEnd w:id="72"/>
    </w:p>
    <w:p>
      <w:pPr>
        <w:pStyle w:val="4"/>
        <w:ind w:firstLine="562"/>
        <w:rPr>
          <w:rFonts w:hAnsi="宋体"/>
          <w:highlight w:val="none"/>
        </w:rPr>
      </w:pPr>
      <w:bookmarkStart w:id="73" w:name="_Toc487302031"/>
      <w:bookmarkStart w:id="74" w:name="_Toc478404427"/>
      <w:bookmarkStart w:id="75" w:name="_Toc4678382"/>
      <w:bookmarkStart w:id="76" w:name="_Toc323737986"/>
      <w:r>
        <w:rPr>
          <w:rFonts w:hAnsi="宋体"/>
          <w:highlight w:val="none"/>
        </w:rPr>
        <w:t>2.3.1环境质量标准</w:t>
      </w:r>
      <w:bookmarkEnd w:id="73"/>
      <w:bookmarkEnd w:id="74"/>
      <w:bookmarkEnd w:id="75"/>
      <w:bookmarkEnd w:id="76"/>
    </w:p>
    <w:p>
      <w:pPr>
        <w:pStyle w:val="62"/>
        <w:ind w:firstLine="480"/>
        <w:rPr>
          <w:rFonts w:hAnsi="宋体"/>
          <w:highlight w:val="none"/>
        </w:rPr>
      </w:pPr>
      <w:r>
        <w:rPr>
          <w:rFonts w:hAnsi="宋体"/>
          <w:highlight w:val="none"/>
        </w:rPr>
        <w:t>2.3.1.1环境空气</w:t>
      </w:r>
    </w:p>
    <w:p>
      <w:pPr>
        <w:pStyle w:val="62"/>
        <w:ind w:firstLine="480"/>
        <w:rPr>
          <w:rFonts w:hAnsi="宋体"/>
          <w:highlight w:val="none"/>
        </w:rPr>
      </w:pPr>
      <w:r>
        <w:rPr>
          <w:rFonts w:hAnsi="宋体"/>
          <w:highlight w:val="none"/>
        </w:rPr>
        <w:t>项目所在区域属环境空气质量二类区，环境空气执行《环境空气质量标准》（GB3095-2012）中二级标准。详见表2.3-1。</w:t>
      </w:r>
    </w:p>
    <w:p>
      <w:pPr>
        <w:pStyle w:val="65"/>
        <w:rPr>
          <w:rFonts w:hAnsi="宋体"/>
          <w:highlight w:val="none"/>
        </w:rPr>
      </w:pPr>
      <w:r>
        <w:rPr>
          <w:rFonts w:hAnsi="宋体"/>
          <w:highlight w:val="none"/>
        </w:rPr>
        <w:t>表2.3-1</w:t>
      </w:r>
      <w:r>
        <w:rPr>
          <w:rFonts w:hint="eastAsia" w:hAnsi="宋体"/>
          <w:highlight w:val="none"/>
        </w:rPr>
        <w:t xml:space="preserve">  </w:t>
      </w:r>
      <w:r>
        <w:rPr>
          <w:rFonts w:hAnsi="宋体"/>
          <w:highlight w:val="none"/>
        </w:rPr>
        <w:t>《环境空气质量标准》（GB3095-2012）单位：μg/m</w:t>
      </w:r>
      <w:r>
        <w:rPr>
          <w:rFonts w:hAnsi="宋体"/>
          <w:highlight w:val="none"/>
          <w:vertAlign w:val="superscript"/>
        </w:rPr>
        <w:t>3</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2551"/>
        <w:gridCol w:w="2269"/>
        <w:gridCol w:w="23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rPr>
            </w:pPr>
            <w:r>
              <w:rPr>
                <w:rFonts w:hAnsi="宋体"/>
                <w:highlight w:val="none"/>
              </w:rPr>
              <w:t>污染物名称</w:t>
            </w:r>
          </w:p>
        </w:tc>
        <w:tc>
          <w:tcPr>
            <w:tcW w:w="2551" w:type="dxa"/>
            <w:vMerge w:val="restart"/>
            <w:vAlign w:val="center"/>
          </w:tcPr>
          <w:p>
            <w:pPr>
              <w:pStyle w:val="64"/>
              <w:rPr>
                <w:rFonts w:hAnsi="宋体"/>
                <w:highlight w:val="none"/>
              </w:rPr>
            </w:pPr>
            <w:r>
              <w:rPr>
                <w:rFonts w:hAnsi="宋体"/>
                <w:highlight w:val="none"/>
              </w:rPr>
              <w:t>平均时间</w:t>
            </w:r>
          </w:p>
        </w:tc>
        <w:tc>
          <w:tcPr>
            <w:tcW w:w="4586" w:type="dxa"/>
            <w:gridSpan w:val="2"/>
          </w:tcPr>
          <w:p>
            <w:pPr>
              <w:pStyle w:val="64"/>
              <w:rPr>
                <w:rFonts w:hAnsi="宋体"/>
                <w:highlight w:val="none"/>
              </w:rPr>
            </w:pPr>
            <w:r>
              <w:rPr>
                <w:rFonts w:hAnsi="宋体"/>
                <w:highlight w:val="none"/>
              </w:rPr>
              <w:t>标准浓度限值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rPr>
            </w:pPr>
          </w:p>
        </w:tc>
        <w:tc>
          <w:tcPr>
            <w:tcW w:w="2551" w:type="dxa"/>
            <w:vMerge w:val="continue"/>
            <w:vAlign w:val="center"/>
          </w:tcPr>
          <w:p>
            <w:pPr>
              <w:pStyle w:val="64"/>
              <w:rPr>
                <w:rFonts w:hAnsi="宋体"/>
                <w:highlight w:val="none"/>
              </w:rPr>
            </w:pPr>
          </w:p>
        </w:tc>
        <w:tc>
          <w:tcPr>
            <w:tcW w:w="2269" w:type="dxa"/>
          </w:tcPr>
          <w:p>
            <w:pPr>
              <w:pStyle w:val="64"/>
              <w:rPr>
                <w:rFonts w:hAnsi="宋体"/>
                <w:highlight w:val="none"/>
              </w:rPr>
            </w:pPr>
            <w:r>
              <w:rPr>
                <w:rFonts w:hAnsi="宋体"/>
                <w:highlight w:val="none"/>
              </w:rPr>
              <w:t>一级</w:t>
            </w:r>
          </w:p>
        </w:tc>
        <w:tc>
          <w:tcPr>
            <w:tcW w:w="2317" w:type="dxa"/>
            <w:vAlign w:val="center"/>
          </w:tcPr>
          <w:p>
            <w:pPr>
              <w:pStyle w:val="64"/>
              <w:rPr>
                <w:rFonts w:hAnsi="宋体"/>
                <w:highlight w:val="none"/>
              </w:rPr>
            </w:pPr>
            <w:r>
              <w:rPr>
                <w:rFonts w:hAnsi="宋体"/>
                <w:highlight w:val="none"/>
              </w:rPr>
              <w:t>二级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rPr>
            </w:pPr>
            <w:r>
              <w:rPr>
                <w:rFonts w:hAnsi="宋体"/>
                <w:highlight w:val="none"/>
              </w:rPr>
              <w:t>SO</w:t>
            </w:r>
            <w:r>
              <w:rPr>
                <w:rFonts w:hAnsi="宋体"/>
                <w:highlight w:val="none"/>
                <w:vertAlign w:val="subscript"/>
              </w:rPr>
              <w:t>2</w:t>
            </w:r>
          </w:p>
        </w:tc>
        <w:tc>
          <w:tcPr>
            <w:tcW w:w="2551" w:type="dxa"/>
            <w:vAlign w:val="center"/>
          </w:tcPr>
          <w:p>
            <w:pPr>
              <w:pStyle w:val="64"/>
              <w:rPr>
                <w:rFonts w:hAnsi="宋体"/>
                <w:highlight w:val="none"/>
              </w:rPr>
            </w:pPr>
            <w:r>
              <w:rPr>
                <w:rFonts w:hAnsi="宋体"/>
                <w:highlight w:val="none"/>
              </w:rPr>
              <w:t>年平均</w:t>
            </w:r>
          </w:p>
        </w:tc>
        <w:tc>
          <w:tcPr>
            <w:tcW w:w="2269" w:type="dxa"/>
          </w:tcPr>
          <w:p>
            <w:pPr>
              <w:pStyle w:val="64"/>
              <w:rPr>
                <w:rFonts w:hAnsi="宋体"/>
                <w:highlight w:val="none"/>
              </w:rPr>
            </w:pPr>
            <w:r>
              <w:rPr>
                <w:rFonts w:hAnsi="宋体"/>
                <w:highlight w:val="none"/>
              </w:rPr>
              <w:t>20</w:t>
            </w:r>
          </w:p>
        </w:tc>
        <w:tc>
          <w:tcPr>
            <w:tcW w:w="2317" w:type="dxa"/>
            <w:vAlign w:val="center"/>
          </w:tcPr>
          <w:p>
            <w:pPr>
              <w:pStyle w:val="64"/>
              <w:rPr>
                <w:rFonts w:hAnsi="宋体"/>
                <w:highlight w:val="none"/>
              </w:rPr>
            </w:pPr>
            <w:r>
              <w:rPr>
                <w:rFonts w:hAnsi="宋体"/>
                <w:highlight w:val="none"/>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rPr>
            </w:pPr>
          </w:p>
        </w:tc>
        <w:tc>
          <w:tcPr>
            <w:tcW w:w="2551" w:type="dxa"/>
            <w:vAlign w:val="center"/>
          </w:tcPr>
          <w:p>
            <w:pPr>
              <w:pStyle w:val="64"/>
              <w:rPr>
                <w:rFonts w:hAnsi="宋体"/>
                <w:highlight w:val="none"/>
              </w:rPr>
            </w:pPr>
            <w:r>
              <w:rPr>
                <w:rFonts w:hAnsi="宋体"/>
                <w:highlight w:val="none"/>
              </w:rPr>
              <w:t>24小时平均</w:t>
            </w:r>
          </w:p>
        </w:tc>
        <w:tc>
          <w:tcPr>
            <w:tcW w:w="2269" w:type="dxa"/>
          </w:tcPr>
          <w:p>
            <w:pPr>
              <w:pStyle w:val="64"/>
              <w:rPr>
                <w:rFonts w:hAnsi="宋体"/>
                <w:highlight w:val="none"/>
              </w:rPr>
            </w:pPr>
            <w:r>
              <w:rPr>
                <w:rFonts w:hAnsi="宋体"/>
                <w:highlight w:val="none"/>
              </w:rPr>
              <w:t>50</w:t>
            </w:r>
          </w:p>
        </w:tc>
        <w:tc>
          <w:tcPr>
            <w:tcW w:w="2317" w:type="dxa"/>
            <w:vAlign w:val="center"/>
          </w:tcPr>
          <w:p>
            <w:pPr>
              <w:pStyle w:val="64"/>
              <w:rPr>
                <w:rFonts w:hAnsi="宋体"/>
                <w:highlight w:val="none"/>
              </w:rPr>
            </w:pPr>
            <w:r>
              <w:rPr>
                <w:rFonts w:hAnsi="宋体"/>
                <w:highlight w:val="none"/>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rPr>
            </w:pPr>
          </w:p>
        </w:tc>
        <w:tc>
          <w:tcPr>
            <w:tcW w:w="2551" w:type="dxa"/>
            <w:vAlign w:val="center"/>
          </w:tcPr>
          <w:p>
            <w:pPr>
              <w:pStyle w:val="64"/>
              <w:rPr>
                <w:rFonts w:hAnsi="宋体"/>
                <w:highlight w:val="none"/>
              </w:rPr>
            </w:pPr>
            <w:r>
              <w:rPr>
                <w:rFonts w:hAnsi="宋体"/>
                <w:highlight w:val="none"/>
              </w:rPr>
              <w:t>小时平均</w:t>
            </w:r>
          </w:p>
        </w:tc>
        <w:tc>
          <w:tcPr>
            <w:tcW w:w="2269" w:type="dxa"/>
          </w:tcPr>
          <w:p>
            <w:pPr>
              <w:pStyle w:val="64"/>
              <w:rPr>
                <w:rFonts w:hAnsi="宋体"/>
                <w:highlight w:val="none"/>
              </w:rPr>
            </w:pPr>
            <w:r>
              <w:rPr>
                <w:rFonts w:hAnsi="宋体"/>
                <w:highlight w:val="none"/>
              </w:rPr>
              <w:t>150</w:t>
            </w:r>
          </w:p>
        </w:tc>
        <w:tc>
          <w:tcPr>
            <w:tcW w:w="2317" w:type="dxa"/>
            <w:vAlign w:val="center"/>
          </w:tcPr>
          <w:p>
            <w:pPr>
              <w:pStyle w:val="64"/>
              <w:rPr>
                <w:rFonts w:hAnsi="宋体"/>
                <w:highlight w:val="none"/>
              </w:rPr>
            </w:pPr>
            <w:r>
              <w:rPr>
                <w:rFonts w:hAnsi="宋体"/>
                <w:highlight w:val="none"/>
              </w:rPr>
              <w:t>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rPr>
            </w:pPr>
            <w:r>
              <w:rPr>
                <w:rFonts w:hAnsi="宋体"/>
                <w:highlight w:val="none"/>
              </w:rPr>
              <w:t>NO</w:t>
            </w:r>
            <w:r>
              <w:rPr>
                <w:rFonts w:hAnsi="宋体"/>
                <w:highlight w:val="none"/>
                <w:vertAlign w:val="subscript"/>
              </w:rPr>
              <w:t>2</w:t>
            </w:r>
          </w:p>
        </w:tc>
        <w:tc>
          <w:tcPr>
            <w:tcW w:w="2551" w:type="dxa"/>
            <w:vAlign w:val="center"/>
          </w:tcPr>
          <w:p>
            <w:pPr>
              <w:pStyle w:val="64"/>
              <w:rPr>
                <w:rFonts w:hAnsi="宋体"/>
                <w:highlight w:val="none"/>
              </w:rPr>
            </w:pPr>
            <w:r>
              <w:rPr>
                <w:rFonts w:hAnsi="宋体"/>
                <w:highlight w:val="none"/>
              </w:rPr>
              <w:t>年平均</w:t>
            </w:r>
          </w:p>
        </w:tc>
        <w:tc>
          <w:tcPr>
            <w:tcW w:w="2269" w:type="dxa"/>
          </w:tcPr>
          <w:p>
            <w:pPr>
              <w:pStyle w:val="64"/>
              <w:rPr>
                <w:rFonts w:hAnsi="宋体"/>
                <w:highlight w:val="none"/>
              </w:rPr>
            </w:pPr>
            <w:r>
              <w:rPr>
                <w:rFonts w:hAnsi="宋体"/>
                <w:highlight w:val="none"/>
              </w:rPr>
              <w:t>40</w:t>
            </w:r>
          </w:p>
        </w:tc>
        <w:tc>
          <w:tcPr>
            <w:tcW w:w="2317" w:type="dxa"/>
            <w:vAlign w:val="center"/>
          </w:tcPr>
          <w:p>
            <w:pPr>
              <w:pStyle w:val="64"/>
              <w:rPr>
                <w:rFonts w:hAnsi="宋体"/>
                <w:highlight w:val="none"/>
              </w:rPr>
            </w:pPr>
            <w:r>
              <w:rPr>
                <w:rFonts w:hAnsi="宋体"/>
                <w:highlight w:val="none"/>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rPr>
            </w:pPr>
          </w:p>
        </w:tc>
        <w:tc>
          <w:tcPr>
            <w:tcW w:w="2551" w:type="dxa"/>
            <w:vAlign w:val="center"/>
          </w:tcPr>
          <w:p>
            <w:pPr>
              <w:pStyle w:val="64"/>
              <w:rPr>
                <w:rFonts w:hAnsi="宋体"/>
                <w:highlight w:val="none"/>
              </w:rPr>
            </w:pPr>
            <w:r>
              <w:rPr>
                <w:rFonts w:hAnsi="宋体"/>
                <w:highlight w:val="none"/>
              </w:rPr>
              <w:t>24小时平均</w:t>
            </w:r>
          </w:p>
        </w:tc>
        <w:tc>
          <w:tcPr>
            <w:tcW w:w="2269" w:type="dxa"/>
          </w:tcPr>
          <w:p>
            <w:pPr>
              <w:pStyle w:val="64"/>
              <w:rPr>
                <w:rFonts w:hAnsi="宋体"/>
                <w:highlight w:val="none"/>
              </w:rPr>
            </w:pPr>
            <w:r>
              <w:rPr>
                <w:rFonts w:hAnsi="宋体"/>
                <w:highlight w:val="none"/>
              </w:rPr>
              <w:t>80</w:t>
            </w:r>
          </w:p>
        </w:tc>
        <w:tc>
          <w:tcPr>
            <w:tcW w:w="2317" w:type="dxa"/>
            <w:vAlign w:val="center"/>
          </w:tcPr>
          <w:p>
            <w:pPr>
              <w:pStyle w:val="64"/>
              <w:rPr>
                <w:rFonts w:hAnsi="宋体"/>
                <w:highlight w:val="none"/>
              </w:rPr>
            </w:pPr>
            <w:r>
              <w:rPr>
                <w:rFonts w:hAnsi="宋体"/>
                <w:highlight w:val="none"/>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rPr>
            </w:pPr>
          </w:p>
        </w:tc>
        <w:tc>
          <w:tcPr>
            <w:tcW w:w="2551" w:type="dxa"/>
            <w:vAlign w:val="center"/>
          </w:tcPr>
          <w:p>
            <w:pPr>
              <w:pStyle w:val="64"/>
              <w:rPr>
                <w:rFonts w:hAnsi="宋体"/>
                <w:highlight w:val="none"/>
              </w:rPr>
            </w:pPr>
            <w:r>
              <w:rPr>
                <w:rFonts w:hAnsi="宋体"/>
                <w:highlight w:val="none"/>
              </w:rPr>
              <w:t>小时平均</w:t>
            </w:r>
          </w:p>
        </w:tc>
        <w:tc>
          <w:tcPr>
            <w:tcW w:w="2269" w:type="dxa"/>
          </w:tcPr>
          <w:p>
            <w:pPr>
              <w:pStyle w:val="64"/>
              <w:rPr>
                <w:rFonts w:hAnsi="宋体"/>
                <w:highlight w:val="none"/>
              </w:rPr>
            </w:pPr>
            <w:r>
              <w:rPr>
                <w:rFonts w:hAnsi="宋体"/>
                <w:highlight w:val="none"/>
              </w:rPr>
              <w:t>200</w:t>
            </w:r>
          </w:p>
        </w:tc>
        <w:tc>
          <w:tcPr>
            <w:tcW w:w="2317" w:type="dxa"/>
            <w:vAlign w:val="center"/>
          </w:tcPr>
          <w:p>
            <w:pPr>
              <w:pStyle w:val="64"/>
              <w:rPr>
                <w:rFonts w:hAnsi="宋体"/>
                <w:highlight w:val="none"/>
              </w:rPr>
            </w:pPr>
            <w:r>
              <w:rPr>
                <w:rFonts w:hAnsi="宋体"/>
                <w:highlight w:val="none"/>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lang w:val="zh-CN"/>
              </w:rPr>
            </w:pPr>
            <w:r>
              <w:rPr>
                <w:rFonts w:hAnsi="宋体"/>
                <w:highlight w:val="none"/>
                <w:lang w:val="zh-CN"/>
              </w:rPr>
              <w:t>CO</w:t>
            </w:r>
          </w:p>
        </w:tc>
        <w:tc>
          <w:tcPr>
            <w:tcW w:w="2551" w:type="dxa"/>
            <w:vAlign w:val="center"/>
          </w:tcPr>
          <w:p>
            <w:pPr>
              <w:pStyle w:val="64"/>
              <w:rPr>
                <w:rFonts w:hAnsi="宋体"/>
                <w:highlight w:val="none"/>
              </w:rPr>
            </w:pPr>
            <w:r>
              <w:rPr>
                <w:rFonts w:hAnsi="宋体"/>
                <w:highlight w:val="none"/>
              </w:rPr>
              <w:t>24小时平均</w:t>
            </w:r>
          </w:p>
        </w:tc>
        <w:tc>
          <w:tcPr>
            <w:tcW w:w="2269" w:type="dxa"/>
          </w:tcPr>
          <w:p>
            <w:pPr>
              <w:pStyle w:val="64"/>
              <w:rPr>
                <w:rFonts w:hAnsi="宋体"/>
                <w:highlight w:val="none"/>
              </w:rPr>
            </w:pPr>
            <w:r>
              <w:rPr>
                <w:rFonts w:hAnsi="宋体"/>
                <w:highlight w:val="none"/>
              </w:rPr>
              <w:t>4000</w:t>
            </w:r>
          </w:p>
        </w:tc>
        <w:tc>
          <w:tcPr>
            <w:tcW w:w="2317" w:type="dxa"/>
            <w:vAlign w:val="center"/>
          </w:tcPr>
          <w:p>
            <w:pPr>
              <w:pStyle w:val="64"/>
              <w:rPr>
                <w:rFonts w:hAnsi="宋体"/>
                <w:highlight w:val="none"/>
              </w:rPr>
            </w:pPr>
            <w:r>
              <w:rPr>
                <w:rFonts w:hAnsi="宋体"/>
                <w:highlight w:val="none"/>
              </w:rPr>
              <w:t>4000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lang w:val="zh-CN"/>
              </w:rPr>
            </w:pPr>
          </w:p>
        </w:tc>
        <w:tc>
          <w:tcPr>
            <w:tcW w:w="2551" w:type="dxa"/>
            <w:vAlign w:val="center"/>
          </w:tcPr>
          <w:p>
            <w:pPr>
              <w:pStyle w:val="64"/>
              <w:rPr>
                <w:rFonts w:hAnsi="宋体"/>
                <w:highlight w:val="none"/>
              </w:rPr>
            </w:pPr>
            <w:r>
              <w:rPr>
                <w:rFonts w:hAnsi="宋体"/>
                <w:highlight w:val="none"/>
              </w:rPr>
              <w:t>1小时平均</w:t>
            </w:r>
          </w:p>
        </w:tc>
        <w:tc>
          <w:tcPr>
            <w:tcW w:w="2269" w:type="dxa"/>
          </w:tcPr>
          <w:p>
            <w:pPr>
              <w:pStyle w:val="64"/>
              <w:rPr>
                <w:rFonts w:hAnsi="宋体"/>
                <w:highlight w:val="none"/>
              </w:rPr>
            </w:pPr>
            <w:r>
              <w:rPr>
                <w:rFonts w:hAnsi="宋体"/>
                <w:highlight w:val="none"/>
              </w:rPr>
              <w:t>10000</w:t>
            </w:r>
          </w:p>
        </w:tc>
        <w:tc>
          <w:tcPr>
            <w:tcW w:w="2317" w:type="dxa"/>
            <w:vAlign w:val="center"/>
          </w:tcPr>
          <w:p>
            <w:pPr>
              <w:pStyle w:val="64"/>
              <w:rPr>
                <w:rFonts w:hAnsi="宋体"/>
                <w:highlight w:val="none"/>
              </w:rPr>
            </w:pPr>
            <w:r>
              <w:rPr>
                <w:rFonts w:hAnsi="宋体"/>
                <w:highlight w:val="none"/>
              </w:rPr>
              <w:t>10000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lang w:val="zh-CN"/>
              </w:rPr>
            </w:pPr>
            <w:r>
              <w:rPr>
                <w:rFonts w:hAnsi="宋体"/>
                <w:highlight w:val="none"/>
                <w:lang w:val="zh-CN"/>
              </w:rPr>
              <w:t>O</w:t>
            </w:r>
            <w:r>
              <w:rPr>
                <w:rFonts w:hAnsi="宋体"/>
                <w:highlight w:val="none"/>
                <w:vertAlign w:val="subscript"/>
                <w:lang w:val="zh-CN"/>
              </w:rPr>
              <w:t>3</w:t>
            </w:r>
          </w:p>
        </w:tc>
        <w:tc>
          <w:tcPr>
            <w:tcW w:w="2551" w:type="dxa"/>
            <w:vAlign w:val="center"/>
          </w:tcPr>
          <w:p>
            <w:pPr>
              <w:pStyle w:val="64"/>
              <w:rPr>
                <w:rFonts w:hAnsi="宋体"/>
                <w:highlight w:val="none"/>
              </w:rPr>
            </w:pPr>
            <w:r>
              <w:rPr>
                <w:rFonts w:hAnsi="宋体"/>
                <w:highlight w:val="none"/>
              </w:rPr>
              <w:t>日最大8小时平均</w:t>
            </w:r>
          </w:p>
        </w:tc>
        <w:tc>
          <w:tcPr>
            <w:tcW w:w="2269" w:type="dxa"/>
          </w:tcPr>
          <w:p>
            <w:pPr>
              <w:pStyle w:val="64"/>
              <w:rPr>
                <w:rFonts w:hAnsi="宋体"/>
                <w:highlight w:val="none"/>
              </w:rPr>
            </w:pPr>
            <w:r>
              <w:rPr>
                <w:rFonts w:hAnsi="宋体"/>
                <w:highlight w:val="none"/>
              </w:rPr>
              <w:t>100</w:t>
            </w:r>
          </w:p>
        </w:tc>
        <w:tc>
          <w:tcPr>
            <w:tcW w:w="2317" w:type="dxa"/>
            <w:vAlign w:val="center"/>
          </w:tcPr>
          <w:p>
            <w:pPr>
              <w:pStyle w:val="64"/>
              <w:rPr>
                <w:rFonts w:hAnsi="宋体"/>
                <w:highlight w:val="none"/>
              </w:rPr>
            </w:pPr>
            <w:r>
              <w:rPr>
                <w:rFonts w:hAnsi="宋体"/>
                <w:highlight w:val="none"/>
              </w:rPr>
              <w:t>160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lang w:val="zh-CN"/>
              </w:rPr>
            </w:pPr>
          </w:p>
        </w:tc>
        <w:tc>
          <w:tcPr>
            <w:tcW w:w="2551" w:type="dxa"/>
            <w:vAlign w:val="center"/>
          </w:tcPr>
          <w:p>
            <w:pPr>
              <w:pStyle w:val="64"/>
              <w:rPr>
                <w:rFonts w:hAnsi="宋体"/>
                <w:highlight w:val="none"/>
              </w:rPr>
            </w:pPr>
            <w:r>
              <w:rPr>
                <w:rFonts w:hAnsi="宋体"/>
                <w:highlight w:val="none"/>
              </w:rPr>
              <w:t>1小时平均</w:t>
            </w:r>
          </w:p>
        </w:tc>
        <w:tc>
          <w:tcPr>
            <w:tcW w:w="2269" w:type="dxa"/>
          </w:tcPr>
          <w:p>
            <w:pPr>
              <w:pStyle w:val="64"/>
              <w:rPr>
                <w:rFonts w:hAnsi="宋体"/>
                <w:highlight w:val="none"/>
              </w:rPr>
            </w:pPr>
            <w:r>
              <w:rPr>
                <w:rFonts w:hAnsi="宋体"/>
                <w:highlight w:val="none"/>
              </w:rPr>
              <w:t>160</w:t>
            </w:r>
          </w:p>
        </w:tc>
        <w:tc>
          <w:tcPr>
            <w:tcW w:w="2317" w:type="dxa"/>
            <w:vAlign w:val="center"/>
          </w:tcPr>
          <w:p>
            <w:pPr>
              <w:pStyle w:val="64"/>
              <w:rPr>
                <w:rFonts w:hAnsi="宋体"/>
                <w:highlight w:val="none"/>
              </w:rPr>
            </w:pPr>
            <w:r>
              <w:rPr>
                <w:rFonts w:hAnsi="宋体"/>
                <w:highlight w:val="none"/>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lang w:val="zh-CN"/>
              </w:rPr>
            </w:pPr>
            <w:r>
              <w:rPr>
                <w:rFonts w:hAnsi="宋体"/>
                <w:highlight w:val="none"/>
                <w:lang w:val="zh-CN"/>
              </w:rPr>
              <w:t>PM</w:t>
            </w:r>
            <w:r>
              <w:rPr>
                <w:rFonts w:hAnsi="宋体"/>
                <w:highlight w:val="none"/>
                <w:vertAlign w:val="subscript"/>
                <w:lang w:val="zh-CN"/>
              </w:rPr>
              <w:t>10</w:t>
            </w:r>
          </w:p>
        </w:tc>
        <w:tc>
          <w:tcPr>
            <w:tcW w:w="2551" w:type="dxa"/>
            <w:vAlign w:val="center"/>
          </w:tcPr>
          <w:p>
            <w:pPr>
              <w:pStyle w:val="64"/>
              <w:rPr>
                <w:rFonts w:hAnsi="宋体"/>
                <w:highlight w:val="none"/>
              </w:rPr>
            </w:pPr>
            <w:r>
              <w:rPr>
                <w:rFonts w:hAnsi="宋体"/>
                <w:highlight w:val="none"/>
              </w:rPr>
              <w:t>年平均</w:t>
            </w:r>
          </w:p>
        </w:tc>
        <w:tc>
          <w:tcPr>
            <w:tcW w:w="2269" w:type="dxa"/>
          </w:tcPr>
          <w:p>
            <w:pPr>
              <w:pStyle w:val="64"/>
              <w:rPr>
                <w:rFonts w:hAnsi="宋体"/>
                <w:highlight w:val="none"/>
              </w:rPr>
            </w:pPr>
            <w:r>
              <w:rPr>
                <w:rFonts w:hAnsi="宋体"/>
                <w:highlight w:val="none"/>
              </w:rPr>
              <w:t>40</w:t>
            </w:r>
          </w:p>
        </w:tc>
        <w:tc>
          <w:tcPr>
            <w:tcW w:w="2317" w:type="dxa"/>
            <w:vAlign w:val="center"/>
          </w:tcPr>
          <w:p>
            <w:pPr>
              <w:pStyle w:val="64"/>
              <w:rPr>
                <w:rFonts w:hAnsi="宋体"/>
                <w:highlight w:val="none"/>
              </w:rPr>
            </w:pPr>
            <w:r>
              <w:rPr>
                <w:rFonts w:hAnsi="宋体"/>
                <w:highlight w:val="none"/>
              </w:rPr>
              <w:t>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lang w:val="zh-CN"/>
              </w:rPr>
            </w:pPr>
          </w:p>
        </w:tc>
        <w:tc>
          <w:tcPr>
            <w:tcW w:w="2551" w:type="dxa"/>
            <w:vAlign w:val="center"/>
          </w:tcPr>
          <w:p>
            <w:pPr>
              <w:pStyle w:val="64"/>
              <w:rPr>
                <w:rFonts w:hAnsi="宋体"/>
                <w:highlight w:val="none"/>
              </w:rPr>
            </w:pPr>
            <w:r>
              <w:rPr>
                <w:rFonts w:hAnsi="宋体"/>
                <w:highlight w:val="none"/>
              </w:rPr>
              <w:t>24小时平均</w:t>
            </w:r>
          </w:p>
        </w:tc>
        <w:tc>
          <w:tcPr>
            <w:tcW w:w="2269" w:type="dxa"/>
          </w:tcPr>
          <w:p>
            <w:pPr>
              <w:pStyle w:val="64"/>
              <w:rPr>
                <w:rFonts w:hAnsi="宋体"/>
                <w:highlight w:val="none"/>
              </w:rPr>
            </w:pPr>
            <w:r>
              <w:rPr>
                <w:rFonts w:hAnsi="宋体"/>
                <w:highlight w:val="none"/>
              </w:rPr>
              <w:t>50</w:t>
            </w:r>
          </w:p>
        </w:tc>
        <w:tc>
          <w:tcPr>
            <w:tcW w:w="2317" w:type="dxa"/>
            <w:vAlign w:val="center"/>
          </w:tcPr>
          <w:p>
            <w:pPr>
              <w:pStyle w:val="64"/>
              <w:rPr>
                <w:rFonts w:hAnsi="宋体"/>
                <w:highlight w:val="none"/>
              </w:rPr>
            </w:pPr>
            <w:r>
              <w:rPr>
                <w:rFonts w:hAnsi="宋体"/>
                <w:highlight w:val="none"/>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lang w:val="zh-CN"/>
              </w:rPr>
            </w:pPr>
            <w:r>
              <w:rPr>
                <w:rFonts w:hAnsi="宋体"/>
                <w:highlight w:val="none"/>
                <w:lang w:val="zh-CN"/>
              </w:rPr>
              <w:t>PM</w:t>
            </w:r>
            <w:r>
              <w:rPr>
                <w:rFonts w:hAnsi="宋体"/>
                <w:highlight w:val="none"/>
                <w:vertAlign w:val="subscript"/>
                <w:lang w:val="zh-CN"/>
              </w:rPr>
              <w:t>2.5</w:t>
            </w:r>
          </w:p>
        </w:tc>
        <w:tc>
          <w:tcPr>
            <w:tcW w:w="2551" w:type="dxa"/>
            <w:vAlign w:val="center"/>
          </w:tcPr>
          <w:p>
            <w:pPr>
              <w:pStyle w:val="64"/>
              <w:rPr>
                <w:rFonts w:hAnsi="宋体"/>
                <w:highlight w:val="none"/>
              </w:rPr>
            </w:pPr>
            <w:r>
              <w:rPr>
                <w:rFonts w:hAnsi="宋体"/>
                <w:highlight w:val="none"/>
              </w:rPr>
              <w:t>年平均</w:t>
            </w:r>
          </w:p>
        </w:tc>
        <w:tc>
          <w:tcPr>
            <w:tcW w:w="2269" w:type="dxa"/>
          </w:tcPr>
          <w:p>
            <w:pPr>
              <w:pStyle w:val="64"/>
              <w:rPr>
                <w:rFonts w:hAnsi="宋体"/>
                <w:highlight w:val="none"/>
              </w:rPr>
            </w:pPr>
            <w:r>
              <w:rPr>
                <w:rFonts w:hAnsi="宋体"/>
                <w:highlight w:val="none"/>
              </w:rPr>
              <w:t>15</w:t>
            </w:r>
          </w:p>
        </w:tc>
        <w:tc>
          <w:tcPr>
            <w:tcW w:w="2317" w:type="dxa"/>
            <w:vAlign w:val="center"/>
          </w:tcPr>
          <w:p>
            <w:pPr>
              <w:pStyle w:val="64"/>
              <w:rPr>
                <w:rFonts w:hAnsi="宋体"/>
                <w:highlight w:val="none"/>
              </w:rPr>
            </w:pPr>
            <w:r>
              <w:rPr>
                <w:rFonts w:hAnsi="宋体"/>
                <w:highlight w:val="none"/>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lang w:val="zh-CN"/>
              </w:rPr>
            </w:pPr>
          </w:p>
        </w:tc>
        <w:tc>
          <w:tcPr>
            <w:tcW w:w="2551" w:type="dxa"/>
            <w:vAlign w:val="center"/>
          </w:tcPr>
          <w:p>
            <w:pPr>
              <w:pStyle w:val="64"/>
              <w:rPr>
                <w:rFonts w:hAnsi="宋体"/>
                <w:highlight w:val="none"/>
              </w:rPr>
            </w:pPr>
            <w:r>
              <w:rPr>
                <w:rFonts w:hAnsi="宋体"/>
                <w:highlight w:val="none"/>
              </w:rPr>
              <w:t>24小时平均</w:t>
            </w:r>
          </w:p>
        </w:tc>
        <w:tc>
          <w:tcPr>
            <w:tcW w:w="2269" w:type="dxa"/>
          </w:tcPr>
          <w:p>
            <w:pPr>
              <w:pStyle w:val="64"/>
              <w:rPr>
                <w:rFonts w:hAnsi="宋体"/>
                <w:highlight w:val="none"/>
              </w:rPr>
            </w:pPr>
            <w:r>
              <w:rPr>
                <w:rFonts w:hAnsi="宋体"/>
                <w:highlight w:val="none"/>
              </w:rPr>
              <w:t>35</w:t>
            </w:r>
          </w:p>
        </w:tc>
        <w:tc>
          <w:tcPr>
            <w:tcW w:w="2317" w:type="dxa"/>
            <w:vAlign w:val="center"/>
          </w:tcPr>
          <w:p>
            <w:pPr>
              <w:pStyle w:val="64"/>
              <w:rPr>
                <w:rFonts w:hAnsi="宋体"/>
                <w:highlight w:val="none"/>
              </w:rPr>
            </w:pPr>
            <w:r>
              <w:rPr>
                <w:rFonts w:hAnsi="宋体"/>
                <w:highlight w:val="none"/>
              </w:rPr>
              <w:t>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restart"/>
            <w:vAlign w:val="center"/>
          </w:tcPr>
          <w:p>
            <w:pPr>
              <w:pStyle w:val="64"/>
              <w:rPr>
                <w:rFonts w:hAnsi="宋体"/>
                <w:highlight w:val="none"/>
                <w:lang w:val="zh-CN"/>
              </w:rPr>
            </w:pPr>
            <w:r>
              <w:rPr>
                <w:rFonts w:hAnsi="宋体"/>
                <w:highlight w:val="none"/>
                <w:lang w:val="zh-CN"/>
              </w:rPr>
              <w:t>TSP</w:t>
            </w:r>
          </w:p>
        </w:tc>
        <w:tc>
          <w:tcPr>
            <w:tcW w:w="2551" w:type="dxa"/>
            <w:vAlign w:val="center"/>
          </w:tcPr>
          <w:p>
            <w:pPr>
              <w:pStyle w:val="64"/>
              <w:rPr>
                <w:rFonts w:hAnsi="宋体"/>
                <w:highlight w:val="none"/>
              </w:rPr>
            </w:pPr>
            <w:r>
              <w:rPr>
                <w:rFonts w:hAnsi="宋体"/>
                <w:highlight w:val="none"/>
              </w:rPr>
              <w:t>年平均</w:t>
            </w:r>
          </w:p>
        </w:tc>
        <w:tc>
          <w:tcPr>
            <w:tcW w:w="2269" w:type="dxa"/>
          </w:tcPr>
          <w:p>
            <w:pPr>
              <w:pStyle w:val="64"/>
              <w:rPr>
                <w:rFonts w:hAnsi="宋体"/>
                <w:highlight w:val="none"/>
              </w:rPr>
            </w:pPr>
            <w:r>
              <w:rPr>
                <w:rFonts w:hAnsi="宋体"/>
                <w:highlight w:val="none"/>
              </w:rPr>
              <w:t>80</w:t>
            </w:r>
          </w:p>
        </w:tc>
        <w:tc>
          <w:tcPr>
            <w:tcW w:w="2317" w:type="dxa"/>
            <w:vAlign w:val="center"/>
          </w:tcPr>
          <w:p>
            <w:pPr>
              <w:pStyle w:val="64"/>
              <w:rPr>
                <w:rFonts w:hAnsi="宋体"/>
                <w:highlight w:val="none"/>
              </w:rPr>
            </w:pPr>
            <w:r>
              <w:rPr>
                <w:rFonts w:hAnsi="宋体"/>
                <w:highlight w:val="none"/>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809" w:type="dxa"/>
            <w:vMerge w:val="continue"/>
            <w:vAlign w:val="center"/>
          </w:tcPr>
          <w:p>
            <w:pPr>
              <w:pStyle w:val="64"/>
              <w:rPr>
                <w:rFonts w:hAnsi="宋体"/>
                <w:highlight w:val="none"/>
                <w:lang w:val="zh-CN"/>
              </w:rPr>
            </w:pPr>
          </w:p>
        </w:tc>
        <w:tc>
          <w:tcPr>
            <w:tcW w:w="2551" w:type="dxa"/>
            <w:vAlign w:val="center"/>
          </w:tcPr>
          <w:p>
            <w:pPr>
              <w:pStyle w:val="64"/>
              <w:rPr>
                <w:rFonts w:hAnsi="宋体"/>
                <w:highlight w:val="none"/>
              </w:rPr>
            </w:pPr>
            <w:r>
              <w:rPr>
                <w:rFonts w:hAnsi="宋体"/>
                <w:highlight w:val="none"/>
              </w:rPr>
              <w:t>24小时平均</w:t>
            </w:r>
          </w:p>
        </w:tc>
        <w:tc>
          <w:tcPr>
            <w:tcW w:w="2269" w:type="dxa"/>
          </w:tcPr>
          <w:p>
            <w:pPr>
              <w:pStyle w:val="64"/>
              <w:rPr>
                <w:rFonts w:hAnsi="宋体"/>
                <w:highlight w:val="none"/>
              </w:rPr>
            </w:pPr>
            <w:r>
              <w:rPr>
                <w:rFonts w:hAnsi="宋体"/>
                <w:highlight w:val="none"/>
              </w:rPr>
              <w:t>120</w:t>
            </w:r>
          </w:p>
        </w:tc>
        <w:tc>
          <w:tcPr>
            <w:tcW w:w="2317" w:type="dxa"/>
            <w:vAlign w:val="center"/>
          </w:tcPr>
          <w:p>
            <w:pPr>
              <w:pStyle w:val="64"/>
              <w:rPr>
                <w:rFonts w:hAnsi="宋体"/>
                <w:highlight w:val="none"/>
              </w:rPr>
            </w:pPr>
            <w:r>
              <w:rPr>
                <w:rFonts w:hAnsi="宋体"/>
                <w:highlight w:val="none"/>
              </w:rPr>
              <w:t>300</w:t>
            </w:r>
          </w:p>
        </w:tc>
      </w:tr>
    </w:tbl>
    <w:p>
      <w:pPr>
        <w:pStyle w:val="62"/>
        <w:ind w:firstLine="480"/>
        <w:rPr>
          <w:rFonts w:hAnsi="宋体"/>
          <w:highlight w:val="none"/>
        </w:rPr>
      </w:pPr>
      <w:r>
        <w:rPr>
          <w:rFonts w:hAnsi="宋体"/>
          <w:highlight w:val="none"/>
        </w:rPr>
        <w:t>2.3.1.2地表水环境</w:t>
      </w:r>
    </w:p>
    <w:p>
      <w:pPr>
        <w:ind w:firstLine="470" w:firstLineChars="196"/>
        <w:rPr>
          <w:rFonts w:ascii="宋体" w:hAnsi="宋体"/>
          <w:szCs w:val="22"/>
          <w:highlight w:val="none"/>
        </w:rPr>
      </w:pPr>
      <w:r>
        <w:rPr>
          <w:rFonts w:hint="eastAsia" w:ascii="宋体" w:hAnsi="宋体"/>
          <w:szCs w:val="22"/>
          <w:highlight w:val="none"/>
        </w:rPr>
        <w:t>根据《山西省地表水环境功能区划》（DB14/67-2019），距离本项目最近的地表水体为滹沱河，属源头—下茹越水库出口段，水环境功能为一般源头水、地表水饮用水源补给区水源保护，功能代码为32一般鱼类用水与一般源头水区、22地表水饮用水源补给区和地下水水质重点保护河段，水质要求为Ⅲ类。</w:t>
      </w:r>
      <w:r>
        <w:rPr>
          <w:rFonts w:ascii="宋体" w:hAnsi="宋体"/>
          <w:szCs w:val="22"/>
          <w:highlight w:val="none"/>
        </w:rPr>
        <w:t>具体见表2.3-2。</w:t>
      </w:r>
    </w:p>
    <w:p>
      <w:pPr>
        <w:ind w:firstLine="0" w:firstLineChars="0"/>
        <w:jc w:val="center"/>
        <w:rPr>
          <w:rFonts w:ascii="宋体" w:hAnsi="宋体"/>
          <w:bCs/>
          <w:kern w:val="0"/>
          <w:highlight w:val="none"/>
        </w:rPr>
      </w:pPr>
      <w:r>
        <w:rPr>
          <w:rFonts w:ascii="宋体" w:hAnsi="宋体"/>
          <w:bCs/>
          <w:kern w:val="0"/>
          <w:highlight w:val="none"/>
        </w:rPr>
        <w:t>表2.3-2</w:t>
      </w:r>
      <w:r>
        <w:rPr>
          <w:rFonts w:hint="eastAsia" w:ascii="宋体" w:hAnsi="宋体"/>
          <w:bCs/>
          <w:kern w:val="0"/>
          <w:highlight w:val="none"/>
        </w:rPr>
        <w:t xml:space="preserve">  </w:t>
      </w:r>
      <w:r>
        <w:rPr>
          <w:rFonts w:ascii="宋体" w:hAnsi="宋体"/>
          <w:bCs/>
          <w:kern w:val="0"/>
          <w:highlight w:val="none"/>
        </w:rPr>
        <w:t>地表水环境质量标准</w:t>
      </w:r>
      <w:r>
        <w:rPr>
          <w:rFonts w:hint="eastAsia" w:ascii="宋体" w:hAnsi="宋体"/>
          <w:bCs/>
          <w:kern w:val="0"/>
          <w:highlight w:val="none"/>
        </w:rPr>
        <w:t>单位：</w:t>
      </w:r>
      <w:r>
        <w:rPr>
          <w:rFonts w:ascii="宋体" w:hAnsi="宋体"/>
          <w:bCs/>
          <w:kern w:val="0"/>
          <w:highlight w:val="none"/>
        </w:rPr>
        <w:t>mg/L</w:t>
      </w:r>
    </w:p>
    <w:tbl>
      <w:tblPr>
        <w:tblStyle w:val="44"/>
        <w:tblW w:w="87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1686"/>
        <w:gridCol w:w="1927"/>
        <w:gridCol w:w="1390"/>
        <w:gridCol w:w="1520"/>
        <w:gridCol w:w="226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686" w:type="dxa"/>
            <w:tcMar>
              <w:left w:w="28" w:type="dxa"/>
              <w:right w:w="28" w:type="dxa"/>
            </w:tcMar>
            <w:vAlign w:val="center"/>
          </w:tcPr>
          <w:p>
            <w:pPr>
              <w:pStyle w:val="64"/>
              <w:rPr>
                <w:rFonts w:hAnsi="宋体"/>
                <w:highlight w:val="none"/>
              </w:rPr>
            </w:pPr>
            <w:r>
              <w:rPr>
                <w:rFonts w:hAnsi="宋体"/>
                <w:highlight w:val="none"/>
              </w:rPr>
              <w:t>污染物</w:t>
            </w:r>
          </w:p>
        </w:tc>
        <w:tc>
          <w:tcPr>
            <w:tcW w:w="1927" w:type="dxa"/>
            <w:tcMar>
              <w:left w:w="28" w:type="dxa"/>
              <w:right w:w="28" w:type="dxa"/>
            </w:tcMar>
            <w:vAlign w:val="center"/>
          </w:tcPr>
          <w:p>
            <w:pPr>
              <w:pStyle w:val="64"/>
              <w:rPr>
                <w:rFonts w:hAnsi="宋体"/>
                <w:highlight w:val="none"/>
              </w:rPr>
            </w:pPr>
            <w:r>
              <w:rPr>
                <w:rFonts w:hAnsi="宋体"/>
                <w:highlight w:val="none"/>
              </w:rPr>
              <w:t>PH</w:t>
            </w:r>
          </w:p>
        </w:tc>
        <w:tc>
          <w:tcPr>
            <w:tcW w:w="1390" w:type="dxa"/>
            <w:tcMar>
              <w:left w:w="28" w:type="dxa"/>
              <w:right w:w="28" w:type="dxa"/>
            </w:tcMar>
            <w:vAlign w:val="center"/>
          </w:tcPr>
          <w:p>
            <w:pPr>
              <w:pStyle w:val="64"/>
              <w:rPr>
                <w:rFonts w:hAnsi="宋体"/>
                <w:highlight w:val="none"/>
              </w:rPr>
            </w:pPr>
            <w:r>
              <w:rPr>
                <w:rFonts w:hAnsi="宋体"/>
                <w:highlight w:val="none"/>
              </w:rPr>
              <w:t>COD</w:t>
            </w:r>
            <w:r>
              <w:rPr>
                <w:rFonts w:hAnsi="宋体"/>
                <w:highlight w:val="none"/>
                <w:vertAlign w:val="subscript"/>
              </w:rPr>
              <w:t>Cr</w:t>
            </w:r>
          </w:p>
        </w:tc>
        <w:tc>
          <w:tcPr>
            <w:tcW w:w="1520" w:type="dxa"/>
            <w:tcMar>
              <w:left w:w="28" w:type="dxa"/>
              <w:right w:w="28" w:type="dxa"/>
            </w:tcMar>
            <w:vAlign w:val="center"/>
          </w:tcPr>
          <w:p>
            <w:pPr>
              <w:pStyle w:val="64"/>
              <w:rPr>
                <w:rFonts w:hAnsi="宋体"/>
                <w:highlight w:val="none"/>
              </w:rPr>
            </w:pPr>
            <w:r>
              <w:rPr>
                <w:rFonts w:hAnsi="宋体"/>
                <w:highlight w:val="none"/>
              </w:rPr>
              <w:t>BOD</w:t>
            </w:r>
            <w:r>
              <w:rPr>
                <w:rFonts w:hAnsi="宋体"/>
                <w:highlight w:val="none"/>
                <w:vertAlign w:val="subscript"/>
              </w:rPr>
              <w:t>5</w:t>
            </w:r>
          </w:p>
        </w:tc>
        <w:tc>
          <w:tcPr>
            <w:tcW w:w="2263" w:type="dxa"/>
            <w:tcMar>
              <w:left w:w="28" w:type="dxa"/>
              <w:right w:w="28" w:type="dxa"/>
            </w:tcMar>
            <w:vAlign w:val="center"/>
          </w:tcPr>
          <w:p>
            <w:pPr>
              <w:pStyle w:val="64"/>
              <w:rPr>
                <w:rFonts w:hAnsi="宋体"/>
                <w:highlight w:val="none"/>
              </w:rPr>
            </w:pPr>
            <w:r>
              <w:rPr>
                <w:rFonts w:hAnsi="宋体"/>
                <w:highlight w:val="none"/>
              </w:rPr>
              <w:t>NH</w:t>
            </w:r>
            <w:r>
              <w:rPr>
                <w:rFonts w:hAnsi="宋体"/>
                <w:highlight w:val="none"/>
                <w:vertAlign w:val="subscript"/>
              </w:rPr>
              <w:t>3</w:t>
            </w:r>
            <w:r>
              <w:rPr>
                <w:rFonts w:hAnsi="宋体"/>
                <w:highlight w:val="none"/>
              </w:rPr>
              <w:t>-N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686" w:type="dxa"/>
            <w:tcMar>
              <w:left w:w="28" w:type="dxa"/>
              <w:right w:w="28" w:type="dxa"/>
            </w:tcMar>
            <w:vAlign w:val="center"/>
          </w:tcPr>
          <w:p>
            <w:pPr>
              <w:pStyle w:val="64"/>
              <w:rPr>
                <w:rFonts w:hAnsi="宋体"/>
                <w:highlight w:val="none"/>
              </w:rPr>
            </w:pPr>
            <w:r>
              <w:rPr>
                <w:rFonts w:hAnsi="宋体"/>
                <w:highlight w:val="none"/>
              </w:rPr>
              <w:t>标准值</w:t>
            </w:r>
          </w:p>
        </w:tc>
        <w:tc>
          <w:tcPr>
            <w:tcW w:w="1927" w:type="dxa"/>
            <w:tcMar>
              <w:left w:w="28" w:type="dxa"/>
              <w:right w:w="28" w:type="dxa"/>
            </w:tcMar>
            <w:vAlign w:val="center"/>
          </w:tcPr>
          <w:p>
            <w:pPr>
              <w:pStyle w:val="64"/>
              <w:rPr>
                <w:rFonts w:hAnsi="宋体"/>
                <w:highlight w:val="none"/>
              </w:rPr>
            </w:pPr>
            <w:r>
              <w:rPr>
                <w:rFonts w:hAnsi="宋体"/>
                <w:highlight w:val="none"/>
              </w:rPr>
              <w:t>6～9</w:t>
            </w:r>
          </w:p>
        </w:tc>
        <w:tc>
          <w:tcPr>
            <w:tcW w:w="1390" w:type="dxa"/>
            <w:tcMar>
              <w:left w:w="28" w:type="dxa"/>
              <w:right w:w="28" w:type="dxa"/>
            </w:tcMar>
            <w:vAlign w:val="center"/>
          </w:tcPr>
          <w:p>
            <w:pPr>
              <w:pStyle w:val="64"/>
              <w:rPr>
                <w:rFonts w:hAnsi="宋体"/>
                <w:highlight w:val="none"/>
              </w:rPr>
            </w:pPr>
            <w:r>
              <w:rPr>
                <w:rFonts w:hAnsi="宋体"/>
                <w:highlight w:val="none"/>
              </w:rPr>
              <w:t>≤20</w:t>
            </w:r>
          </w:p>
        </w:tc>
        <w:tc>
          <w:tcPr>
            <w:tcW w:w="1520" w:type="dxa"/>
            <w:tcMar>
              <w:left w:w="28" w:type="dxa"/>
              <w:right w:w="28" w:type="dxa"/>
            </w:tcMar>
            <w:vAlign w:val="center"/>
          </w:tcPr>
          <w:p>
            <w:pPr>
              <w:pStyle w:val="64"/>
              <w:rPr>
                <w:rFonts w:hAnsi="宋体"/>
                <w:highlight w:val="none"/>
              </w:rPr>
            </w:pPr>
            <w:r>
              <w:rPr>
                <w:rFonts w:hAnsi="宋体"/>
                <w:highlight w:val="none"/>
              </w:rPr>
              <w:t>≤4</w:t>
            </w:r>
          </w:p>
        </w:tc>
        <w:tc>
          <w:tcPr>
            <w:tcW w:w="2263" w:type="dxa"/>
            <w:tcMar>
              <w:left w:w="28" w:type="dxa"/>
              <w:right w:w="28" w:type="dxa"/>
            </w:tcMar>
            <w:vAlign w:val="center"/>
          </w:tcPr>
          <w:p>
            <w:pPr>
              <w:pStyle w:val="64"/>
              <w:rPr>
                <w:rFonts w:hAnsi="宋体"/>
                <w:highlight w:val="none"/>
              </w:rPr>
            </w:pPr>
            <w:r>
              <w:rPr>
                <w:rFonts w:hAnsi="宋体"/>
                <w:highlight w:val="none"/>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686" w:type="dxa"/>
            <w:tcMar>
              <w:left w:w="28" w:type="dxa"/>
              <w:right w:w="28" w:type="dxa"/>
            </w:tcMar>
            <w:vAlign w:val="center"/>
          </w:tcPr>
          <w:p>
            <w:pPr>
              <w:pStyle w:val="64"/>
              <w:rPr>
                <w:rFonts w:hAnsi="宋体"/>
                <w:highlight w:val="none"/>
              </w:rPr>
            </w:pPr>
            <w:r>
              <w:rPr>
                <w:rFonts w:hAnsi="宋体"/>
                <w:highlight w:val="none"/>
              </w:rPr>
              <w:t>污染物</w:t>
            </w:r>
          </w:p>
        </w:tc>
        <w:tc>
          <w:tcPr>
            <w:tcW w:w="1927" w:type="dxa"/>
            <w:tcMar>
              <w:left w:w="28" w:type="dxa"/>
              <w:right w:w="28" w:type="dxa"/>
            </w:tcMar>
            <w:vAlign w:val="center"/>
          </w:tcPr>
          <w:p>
            <w:pPr>
              <w:pStyle w:val="64"/>
              <w:rPr>
                <w:rFonts w:hAnsi="宋体"/>
                <w:highlight w:val="none"/>
              </w:rPr>
            </w:pPr>
            <w:r>
              <w:rPr>
                <w:rFonts w:hAnsi="宋体"/>
                <w:highlight w:val="none"/>
              </w:rPr>
              <w:t>石油类</w:t>
            </w:r>
          </w:p>
        </w:tc>
        <w:tc>
          <w:tcPr>
            <w:tcW w:w="1390" w:type="dxa"/>
            <w:tcMar>
              <w:left w:w="28" w:type="dxa"/>
              <w:right w:w="28" w:type="dxa"/>
            </w:tcMar>
            <w:vAlign w:val="center"/>
          </w:tcPr>
          <w:p>
            <w:pPr>
              <w:pStyle w:val="64"/>
              <w:rPr>
                <w:rFonts w:hAnsi="宋体"/>
                <w:highlight w:val="none"/>
              </w:rPr>
            </w:pPr>
            <w:r>
              <w:rPr>
                <w:rFonts w:hAnsi="宋体"/>
                <w:highlight w:val="none"/>
              </w:rPr>
              <w:t>挥发酚</w:t>
            </w:r>
          </w:p>
        </w:tc>
        <w:tc>
          <w:tcPr>
            <w:tcW w:w="1520" w:type="dxa"/>
            <w:tcMar>
              <w:left w:w="28" w:type="dxa"/>
              <w:right w:w="28" w:type="dxa"/>
            </w:tcMar>
            <w:vAlign w:val="center"/>
          </w:tcPr>
          <w:p>
            <w:pPr>
              <w:pStyle w:val="64"/>
              <w:rPr>
                <w:rFonts w:hAnsi="宋体"/>
                <w:highlight w:val="none"/>
              </w:rPr>
            </w:pPr>
            <w:r>
              <w:rPr>
                <w:rFonts w:hAnsi="宋体"/>
                <w:highlight w:val="none"/>
              </w:rPr>
              <w:t>总磷</w:t>
            </w:r>
          </w:p>
        </w:tc>
        <w:tc>
          <w:tcPr>
            <w:tcW w:w="2263" w:type="dxa"/>
            <w:tcMar>
              <w:left w:w="28" w:type="dxa"/>
              <w:right w:w="28" w:type="dxa"/>
            </w:tcMar>
            <w:vAlign w:val="center"/>
          </w:tcPr>
          <w:p>
            <w:pPr>
              <w:pStyle w:val="64"/>
              <w:rPr>
                <w:rFonts w:hAnsi="宋体"/>
                <w:highlight w:val="none"/>
              </w:rPr>
            </w:pPr>
            <w:r>
              <w:rPr>
                <w:rFonts w:hAnsi="宋体"/>
                <w:highlight w:val="none"/>
              </w:rPr>
              <w:t>粪大肠菌群（个/L）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686" w:type="dxa"/>
            <w:tcMar>
              <w:left w:w="28" w:type="dxa"/>
              <w:right w:w="28" w:type="dxa"/>
            </w:tcMar>
            <w:vAlign w:val="center"/>
          </w:tcPr>
          <w:p>
            <w:pPr>
              <w:pStyle w:val="64"/>
              <w:rPr>
                <w:rFonts w:hAnsi="宋体"/>
                <w:highlight w:val="none"/>
              </w:rPr>
            </w:pPr>
            <w:r>
              <w:rPr>
                <w:rFonts w:hAnsi="宋体"/>
                <w:highlight w:val="none"/>
              </w:rPr>
              <w:t>标准值</w:t>
            </w:r>
          </w:p>
        </w:tc>
        <w:tc>
          <w:tcPr>
            <w:tcW w:w="1927" w:type="dxa"/>
            <w:tcMar>
              <w:left w:w="28" w:type="dxa"/>
              <w:right w:w="28" w:type="dxa"/>
            </w:tcMar>
            <w:vAlign w:val="center"/>
          </w:tcPr>
          <w:p>
            <w:pPr>
              <w:pStyle w:val="64"/>
              <w:rPr>
                <w:rFonts w:hAnsi="宋体"/>
                <w:highlight w:val="none"/>
              </w:rPr>
            </w:pPr>
            <w:r>
              <w:rPr>
                <w:rFonts w:hAnsi="宋体"/>
                <w:highlight w:val="none"/>
              </w:rPr>
              <w:t>≤0.05</w:t>
            </w:r>
          </w:p>
        </w:tc>
        <w:tc>
          <w:tcPr>
            <w:tcW w:w="1390" w:type="dxa"/>
            <w:tcMar>
              <w:left w:w="28" w:type="dxa"/>
              <w:right w:w="28" w:type="dxa"/>
            </w:tcMar>
            <w:vAlign w:val="center"/>
          </w:tcPr>
          <w:p>
            <w:pPr>
              <w:pStyle w:val="64"/>
              <w:rPr>
                <w:rFonts w:hAnsi="宋体"/>
                <w:highlight w:val="none"/>
              </w:rPr>
            </w:pPr>
            <w:r>
              <w:rPr>
                <w:rFonts w:hAnsi="宋体"/>
                <w:highlight w:val="none"/>
              </w:rPr>
              <w:t>≤0.005</w:t>
            </w:r>
          </w:p>
        </w:tc>
        <w:tc>
          <w:tcPr>
            <w:tcW w:w="1520" w:type="dxa"/>
            <w:tcMar>
              <w:left w:w="28" w:type="dxa"/>
              <w:right w:w="28" w:type="dxa"/>
            </w:tcMar>
            <w:vAlign w:val="center"/>
          </w:tcPr>
          <w:p>
            <w:pPr>
              <w:pStyle w:val="64"/>
              <w:rPr>
                <w:rFonts w:hAnsi="宋体"/>
                <w:highlight w:val="none"/>
              </w:rPr>
            </w:pPr>
            <w:r>
              <w:rPr>
                <w:rFonts w:hAnsi="宋体"/>
                <w:highlight w:val="none"/>
              </w:rPr>
              <w:t>≤0.2</w:t>
            </w:r>
          </w:p>
        </w:tc>
        <w:tc>
          <w:tcPr>
            <w:tcW w:w="2263" w:type="dxa"/>
            <w:tcMar>
              <w:left w:w="28" w:type="dxa"/>
              <w:right w:w="28" w:type="dxa"/>
            </w:tcMar>
            <w:vAlign w:val="center"/>
          </w:tcPr>
          <w:p>
            <w:pPr>
              <w:pStyle w:val="64"/>
              <w:rPr>
                <w:rFonts w:hAnsi="宋体"/>
                <w:highlight w:val="none"/>
              </w:rPr>
            </w:pPr>
            <w:r>
              <w:rPr>
                <w:rFonts w:hAnsi="宋体"/>
                <w:highlight w:val="none"/>
              </w:rPr>
              <w:t>10000</w:t>
            </w:r>
          </w:p>
        </w:tc>
      </w:tr>
    </w:tbl>
    <w:p>
      <w:pPr>
        <w:pStyle w:val="62"/>
        <w:ind w:firstLine="480"/>
        <w:rPr>
          <w:rFonts w:hAnsi="宋体"/>
          <w:highlight w:val="none"/>
        </w:rPr>
      </w:pPr>
      <w:r>
        <w:rPr>
          <w:rFonts w:hAnsi="宋体"/>
          <w:highlight w:val="none"/>
        </w:rPr>
        <w:t>2.3.1.3地下水</w:t>
      </w:r>
    </w:p>
    <w:p>
      <w:pPr>
        <w:ind w:firstLine="480"/>
        <w:rPr>
          <w:rFonts w:ascii="宋体" w:hAnsi="宋体"/>
          <w:highlight w:val="none"/>
        </w:rPr>
      </w:pPr>
      <w:r>
        <w:rPr>
          <w:rFonts w:ascii="宋体" w:hAnsi="宋体"/>
          <w:highlight w:val="none"/>
        </w:rPr>
        <w:t>执行《地下水质量标准》（GB/T14848-2017）表1中</w:t>
      </w:r>
      <w:r>
        <w:rPr>
          <w:rFonts w:hint="eastAsia" w:ascii="宋体" w:hAnsi="宋体"/>
          <w:highlight w:val="none"/>
        </w:rPr>
        <w:t>Ⅲ</w:t>
      </w:r>
      <w:r>
        <w:rPr>
          <w:rFonts w:ascii="宋体" w:hAnsi="宋体"/>
          <w:highlight w:val="none"/>
        </w:rPr>
        <w:t>类标准。</w:t>
      </w:r>
    </w:p>
    <w:p>
      <w:pPr>
        <w:pStyle w:val="65"/>
        <w:rPr>
          <w:rFonts w:hAnsi="宋体"/>
          <w:highlight w:val="none"/>
        </w:rPr>
      </w:pPr>
      <w:r>
        <w:rPr>
          <w:rFonts w:hAnsi="宋体"/>
          <w:highlight w:val="none"/>
        </w:rPr>
        <w:t>表2.3-3</w:t>
      </w:r>
      <w:r>
        <w:rPr>
          <w:rFonts w:hint="eastAsia" w:hAnsi="宋体"/>
          <w:highlight w:val="none"/>
        </w:rPr>
        <w:t xml:space="preserve">  </w:t>
      </w:r>
      <w:r>
        <w:rPr>
          <w:rFonts w:hAnsi="宋体"/>
          <w:highlight w:val="none"/>
        </w:rPr>
        <w:t>地下水质量标准(GB/T14848-2017)</w:t>
      </w:r>
      <w:r>
        <w:rPr>
          <w:rFonts w:hAnsi="宋体"/>
          <w:highlight w:val="none"/>
        </w:rPr>
        <w:fldChar w:fldCharType="begin"/>
      </w:r>
      <w:r>
        <w:rPr>
          <w:rFonts w:hAnsi="宋体"/>
          <w:highlight w:val="none"/>
        </w:rPr>
        <w:instrText xml:space="preserve"> = 3 \* ROMAN </w:instrText>
      </w:r>
      <w:r>
        <w:rPr>
          <w:rFonts w:hAnsi="宋体"/>
          <w:highlight w:val="none"/>
        </w:rPr>
        <w:fldChar w:fldCharType="separate"/>
      </w:r>
      <w:r>
        <w:rPr>
          <w:rFonts w:hint="eastAsia" w:hAnsi="宋体" w:cs="宋体"/>
          <w:highlight w:val="none"/>
        </w:rPr>
        <w:t>Ⅲ</w:t>
      </w:r>
      <w:r>
        <w:rPr>
          <w:rFonts w:hAnsi="宋体"/>
          <w:highlight w:val="none"/>
        </w:rPr>
        <w:fldChar w:fldCharType="end"/>
      </w:r>
      <w:r>
        <w:rPr>
          <w:rFonts w:hAnsi="宋体"/>
          <w:highlight w:val="none"/>
        </w:rPr>
        <w:t>类标准单位：mg/L</w:t>
      </w:r>
    </w:p>
    <w:tbl>
      <w:tblPr>
        <w:tblStyle w:val="44"/>
        <w:tblW w:w="89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77"/>
        <w:gridCol w:w="2176"/>
        <w:gridCol w:w="1555"/>
        <w:gridCol w:w="716"/>
        <w:gridCol w:w="2639"/>
        <w:gridCol w:w="118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highlight w:val="none"/>
              </w:rPr>
              <w:t>序号</w:t>
            </w:r>
          </w:p>
        </w:tc>
        <w:tc>
          <w:tcPr>
            <w:tcW w:w="2176" w:type="dxa"/>
            <w:vAlign w:val="center"/>
          </w:tcPr>
          <w:p>
            <w:pPr>
              <w:pStyle w:val="64"/>
              <w:rPr>
                <w:rFonts w:hAnsi="宋体"/>
                <w:highlight w:val="none"/>
              </w:rPr>
            </w:pPr>
            <w:r>
              <w:rPr>
                <w:rFonts w:hAnsi="宋体"/>
                <w:highlight w:val="none"/>
              </w:rPr>
              <w:t>污染物名称</w:t>
            </w:r>
          </w:p>
        </w:tc>
        <w:tc>
          <w:tcPr>
            <w:tcW w:w="1555" w:type="dxa"/>
            <w:vAlign w:val="center"/>
          </w:tcPr>
          <w:p>
            <w:pPr>
              <w:pStyle w:val="64"/>
              <w:rPr>
                <w:rFonts w:hAnsi="宋体"/>
                <w:highlight w:val="none"/>
              </w:rPr>
            </w:pPr>
            <w:r>
              <w:rPr>
                <w:rFonts w:hAnsi="宋体"/>
                <w:highlight w:val="none"/>
              </w:rPr>
              <w:t>标准值</w:t>
            </w:r>
          </w:p>
        </w:tc>
        <w:tc>
          <w:tcPr>
            <w:tcW w:w="716" w:type="dxa"/>
            <w:vAlign w:val="center"/>
          </w:tcPr>
          <w:p>
            <w:pPr>
              <w:pStyle w:val="64"/>
              <w:rPr>
                <w:rFonts w:hAnsi="宋体"/>
                <w:highlight w:val="none"/>
              </w:rPr>
            </w:pPr>
            <w:r>
              <w:rPr>
                <w:rFonts w:hAnsi="宋体"/>
                <w:highlight w:val="none"/>
              </w:rPr>
              <w:t>序号</w:t>
            </w:r>
          </w:p>
        </w:tc>
        <w:tc>
          <w:tcPr>
            <w:tcW w:w="2639" w:type="dxa"/>
            <w:vAlign w:val="center"/>
          </w:tcPr>
          <w:p>
            <w:pPr>
              <w:pStyle w:val="64"/>
              <w:rPr>
                <w:rFonts w:hAnsi="宋体"/>
                <w:highlight w:val="none"/>
              </w:rPr>
            </w:pPr>
            <w:r>
              <w:rPr>
                <w:rFonts w:hAnsi="宋体"/>
                <w:highlight w:val="none"/>
              </w:rPr>
              <w:t>污染物名称</w:t>
            </w:r>
          </w:p>
        </w:tc>
        <w:tc>
          <w:tcPr>
            <w:tcW w:w="1183" w:type="dxa"/>
            <w:vAlign w:val="center"/>
          </w:tcPr>
          <w:p>
            <w:pPr>
              <w:pStyle w:val="64"/>
              <w:rPr>
                <w:rFonts w:hAnsi="宋体"/>
                <w:highlight w:val="none"/>
              </w:rPr>
            </w:pPr>
            <w:r>
              <w:rPr>
                <w:rFonts w:hAnsi="宋体"/>
                <w:highlight w:val="none"/>
              </w:rPr>
              <w:t>标准值</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1</w:t>
            </w:r>
          </w:p>
        </w:tc>
        <w:tc>
          <w:tcPr>
            <w:tcW w:w="2176" w:type="dxa"/>
            <w:vAlign w:val="center"/>
          </w:tcPr>
          <w:p>
            <w:pPr>
              <w:pStyle w:val="64"/>
              <w:rPr>
                <w:rFonts w:hAnsi="宋体"/>
                <w:highlight w:val="none"/>
              </w:rPr>
            </w:pPr>
            <w:r>
              <w:rPr>
                <w:rFonts w:hAnsi="宋体"/>
                <w:highlight w:val="none"/>
              </w:rPr>
              <w:t>pH（无量纲）</w:t>
            </w:r>
          </w:p>
        </w:tc>
        <w:tc>
          <w:tcPr>
            <w:tcW w:w="1555" w:type="dxa"/>
            <w:vAlign w:val="center"/>
          </w:tcPr>
          <w:p>
            <w:pPr>
              <w:pStyle w:val="64"/>
              <w:rPr>
                <w:rFonts w:hAnsi="宋体"/>
                <w:highlight w:val="none"/>
              </w:rPr>
            </w:pPr>
            <w:r>
              <w:rPr>
                <w:rFonts w:hAnsi="宋体"/>
                <w:highlight w:val="none"/>
              </w:rPr>
              <w:t>6.5~8.5</w:t>
            </w:r>
          </w:p>
        </w:tc>
        <w:tc>
          <w:tcPr>
            <w:tcW w:w="716" w:type="dxa"/>
            <w:vAlign w:val="center"/>
          </w:tcPr>
          <w:p>
            <w:pPr>
              <w:pStyle w:val="64"/>
              <w:rPr>
                <w:rFonts w:hAnsi="宋体"/>
                <w:highlight w:val="none"/>
              </w:rPr>
            </w:pPr>
            <w:r>
              <w:rPr>
                <w:rFonts w:hAnsi="宋体"/>
                <w:highlight w:val="none"/>
              </w:rPr>
              <w:t>12</w:t>
            </w:r>
          </w:p>
        </w:tc>
        <w:tc>
          <w:tcPr>
            <w:tcW w:w="2639" w:type="dxa"/>
            <w:vAlign w:val="center"/>
          </w:tcPr>
          <w:p>
            <w:pPr>
              <w:pStyle w:val="64"/>
              <w:rPr>
                <w:rFonts w:hAnsi="宋体"/>
                <w:highlight w:val="none"/>
              </w:rPr>
            </w:pPr>
            <w:r>
              <w:rPr>
                <w:rFonts w:hAnsi="宋体"/>
                <w:highlight w:val="none"/>
              </w:rPr>
              <w:t>氟化物</w:t>
            </w:r>
          </w:p>
        </w:tc>
        <w:tc>
          <w:tcPr>
            <w:tcW w:w="1183" w:type="dxa"/>
            <w:vAlign w:val="center"/>
          </w:tcPr>
          <w:p>
            <w:pPr>
              <w:pStyle w:val="64"/>
              <w:rPr>
                <w:rFonts w:hAnsi="宋体"/>
                <w:highlight w:val="none"/>
              </w:rPr>
            </w:pPr>
            <w:r>
              <w:rPr>
                <w:rFonts w:hAnsi="宋体"/>
                <w:highlight w:val="none"/>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2</w:t>
            </w:r>
          </w:p>
        </w:tc>
        <w:tc>
          <w:tcPr>
            <w:tcW w:w="2176" w:type="dxa"/>
            <w:vAlign w:val="center"/>
          </w:tcPr>
          <w:p>
            <w:pPr>
              <w:pStyle w:val="64"/>
              <w:rPr>
                <w:rFonts w:hAnsi="宋体"/>
                <w:highlight w:val="none"/>
              </w:rPr>
            </w:pPr>
            <w:r>
              <w:rPr>
                <w:rFonts w:hAnsi="宋体"/>
                <w:highlight w:val="none"/>
              </w:rPr>
              <w:t>氨氮</w:t>
            </w:r>
          </w:p>
        </w:tc>
        <w:tc>
          <w:tcPr>
            <w:tcW w:w="1555" w:type="dxa"/>
            <w:vAlign w:val="center"/>
          </w:tcPr>
          <w:p>
            <w:pPr>
              <w:pStyle w:val="64"/>
              <w:rPr>
                <w:rFonts w:hAnsi="宋体"/>
                <w:highlight w:val="none"/>
              </w:rPr>
            </w:pPr>
            <w:r>
              <w:rPr>
                <w:rFonts w:hAnsi="宋体"/>
                <w:highlight w:val="none"/>
              </w:rPr>
              <w:t>≤0.5</w:t>
            </w:r>
          </w:p>
        </w:tc>
        <w:tc>
          <w:tcPr>
            <w:tcW w:w="716" w:type="dxa"/>
            <w:vAlign w:val="center"/>
          </w:tcPr>
          <w:p>
            <w:pPr>
              <w:pStyle w:val="64"/>
              <w:rPr>
                <w:rFonts w:hAnsi="宋体"/>
                <w:highlight w:val="none"/>
              </w:rPr>
            </w:pPr>
            <w:r>
              <w:rPr>
                <w:rFonts w:hAnsi="宋体"/>
                <w:highlight w:val="none"/>
              </w:rPr>
              <w:t>13</w:t>
            </w:r>
          </w:p>
        </w:tc>
        <w:tc>
          <w:tcPr>
            <w:tcW w:w="2639" w:type="dxa"/>
            <w:vAlign w:val="center"/>
          </w:tcPr>
          <w:p>
            <w:pPr>
              <w:pStyle w:val="64"/>
              <w:rPr>
                <w:rFonts w:hAnsi="宋体"/>
                <w:highlight w:val="none"/>
              </w:rPr>
            </w:pPr>
            <w:r>
              <w:rPr>
                <w:rFonts w:hAnsi="宋体"/>
                <w:highlight w:val="none"/>
              </w:rPr>
              <w:t>汞</w:t>
            </w:r>
          </w:p>
        </w:tc>
        <w:tc>
          <w:tcPr>
            <w:tcW w:w="1183" w:type="dxa"/>
            <w:vAlign w:val="center"/>
          </w:tcPr>
          <w:p>
            <w:pPr>
              <w:pStyle w:val="64"/>
              <w:rPr>
                <w:rFonts w:hAnsi="宋体"/>
                <w:highlight w:val="none"/>
              </w:rPr>
            </w:pPr>
            <w:r>
              <w:rPr>
                <w:rFonts w:hAnsi="宋体"/>
                <w:highlight w:val="none"/>
              </w:rPr>
              <w:t>≤0.001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3</w:t>
            </w:r>
          </w:p>
        </w:tc>
        <w:tc>
          <w:tcPr>
            <w:tcW w:w="2176" w:type="dxa"/>
            <w:vAlign w:val="center"/>
          </w:tcPr>
          <w:p>
            <w:pPr>
              <w:pStyle w:val="64"/>
              <w:rPr>
                <w:rFonts w:hAnsi="宋体"/>
                <w:highlight w:val="none"/>
              </w:rPr>
            </w:pPr>
            <w:r>
              <w:rPr>
                <w:rFonts w:hAnsi="宋体"/>
                <w:highlight w:val="none"/>
              </w:rPr>
              <w:t>硝酸盐</w:t>
            </w:r>
          </w:p>
        </w:tc>
        <w:tc>
          <w:tcPr>
            <w:tcW w:w="1555" w:type="dxa"/>
            <w:vAlign w:val="center"/>
          </w:tcPr>
          <w:p>
            <w:pPr>
              <w:pStyle w:val="64"/>
              <w:rPr>
                <w:rFonts w:hAnsi="宋体"/>
                <w:highlight w:val="none"/>
              </w:rPr>
            </w:pPr>
            <w:r>
              <w:rPr>
                <w:rFonts w:hAnsi="宋体"/>
                <w:highlight w:val="none"/>
              </w:rPr>
              <w:t>≤20</w:t>
            </w:r>
          </w:p>
        </w:tc>
        <w:tc>
          <w:tcPr>
            <w:tcW w:w="716" w:type="dxa"/>
            <w:vAlign w:val="center"/>
          </w:tcPr>
          <w:p>
            <w:pPr>
              <w:pStyle w:val="64"/>
              <w:rPr>
                <w:rFonts w:hAnsi="宋体"/>
                <w:highlight w:val="none"/>
              </w:rPr>
            </w:pPr>
            <w:r>
              <w:rPr>
                <w:rFonts w:hAnsi="宋体"/>
                <w:highlight w:val="none"/>
              </w:rPr>
              <w:t>14</w:t>
            </w:r>
          </w:p>
        </w:tc>
        <w:tc>
          <w:tcPr>
            <w:tcW w:w="2639" w:type="dxa"/>
            <w:vAlign w:val="center"/>
          </w:tcPr>
          <w:p>
            <w:pPr>
              <w:pStyle w:val="64"/>
              <w:rPr>
                <w:rFonts w:hAnsi="宋体"/>
                <w:highlight w:val="none"/>
              </w:rPr>
            </w:pPr>
            <w:r>
              <w:rPr>
                <w:rFonts w:hAnsi="宋体"/>
                <w:highlight w:val="none"/>
              </w:rPr>
              <w:t>砷</w:t>
            </w:r>
          </w:p>
        </w:tc>
        <w:tc>
          <w:tcPr>
            <w:tcW w:w="1183" w:type="dxa"/>
            <w:vAlign w:val="center"/>
          </w:tcPr>
          <w:p>
            <w:pPr>
              <w:pStyle w:val="64"/>
              <w:rPr>
                <w:rFonts w:hAnsi="宋体"/>
                <w:highlight w:val="none"/>
              </w:rPr>
            </w:pPr>
            <w:r>
              <w:rPr>
                <w:rFonts w:hAnsi="宋体"/>
                <w:highlight w:val="none"/>
              </w:rPr>
              <w:t>≤0.01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4</w:t>
            </w:r>
          </w:p>
        </w:tc>
        <w:tc>
          <w:tcPr>
            <w:tcW w:w="2176" w:type="dxa"/>
            <w:vAlign w:val="center"/>
          </w:tcPr>
          <w:p>
            <w:pPr>
              <w:pStyle w:val="64"/>
              <w:rPr>
                <w:rFonts w:hAnsi="宋体"/>
                <w:highlight w:val="none"/>
              </w:rPr>
            </w:pPr>
            <w:r>
              <w:rPr>
                <w:rFonts w:hAnsi="宋体"/>
                <w:highlight w:val="none"/>
              </w:rPr>
              <w:t>亚硝酸盐</w:t>
            </w:r>
          </w:p>
        </w:tc>
        <w:tc>
          <w:tcPr>
            <w:tcW w:w="1555" w:type="dxa"/>
            <w:vAlign w:val="center"/>
          </w:tcPr>
          <w:p>
            <w:pPr>
              <w:pStyle w:val="64"/>
              <w:rPr>
                <w:rFonts w:hAnsi="宋体"/>
                <w:highlight w:val="none"/>
              </w:rPr>
            </w:pPr>
            <w:r>
              <w:rPr>
                <w:rFonts w:hAnsi="宋体"/>
                <w:highlight w:val="none"/>
              </w:rPr>
              <w:t>≤1</w:t>
            </w:r>
          </w:p>
        </w:tc>
        <w:tc>
          <w:tcPr>
            <w:tcW w:w="716" w:type="dxa"/>
            <w:vAlign w:val="center"/>
          </w:tcPr>
          <w:p>
            <w:pPr>
              <w:pStyle w:val="64"/>
              <w:rPr>
                <w:rFonts w:hAnsi="宋体"/>
                <w:highlight w:val="none"/>
              </w:rPr>
            </w:pPr>
            <w:r>
              <w:rPr>
                <w:rFonts w:hAnsi="宋体"/>
                <w:highlight w:val="none"/>
              </w:rPr>
              <w:t>15</w:t>
            </w:r>
          </w:p>
        </w:tc>
        <w:tc>
          <w:tcPr>
            <w:tcW w:w="2639" w:type="dxa"/>
            <w:vAlign w:val="center"/>
          </w:tcPr>
          <w:p>
            <w:pPr>
              <w:pStyle w:val="64"/>
              <w:rPr>
                <w:rFonts w:hAnsi="宋体"/>
                <w:highlight w:val="none"/>
              </w:rPr>
            </w:pPr>
            <w:r>
              <w:rPr>
                <w:rFonts w:hAnsi="宋体"/>
                <w:highlight w:val="none"/>
              </w:rPr>
              <w:t>菌落总数(CFU/mL)</w:t>
            </w:r>
          </w:p>
        </w:tc>
        <w:tc>
          <w:tcPr>
            <w:tcW w:w="1183" w:type="dxa"/>
            <w:vAlign w:val="center"/>
          </w:tcPr>
          <w:p>
            <w:pPr>
              <w:pStyle w:val="64"/>
              <w:rPr>
                <w:rFonts w:hAnsi="宋体"/>
                <w:highlight w:val="none"/>
              </w:rPr>
            </w:pPr>
            <w:r>
              <w:rPr>
                <w:rFonts w:hAnsi="宋体"/>
                <w:highlight w:val="none"/>
              </w:rPr>
              <w:t>≤100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5</w:t>
            </w:r>
          </w:p>
        </w:tc>
        <w:tc>
          <w:tcPr>
            <w:tcW w:w="2176" w:type="dxa"/>
            <w:vAlign w:val="center"/>
          </w:tcPr>
          <w:p>
            <w:pPr>
              <w:pStyle w:val="64"/>
              <w:rPr>
                <w:rFonts w:hAnsi="宋体"/>
                <w:highlight w:val="none"/>
              </w:rPr>
            </w:pPr>
            <w:r>
              <w:rPr>
                <w:rFonts w:hAnsi="宋体"/>
                <w:position w:val="2"/>
                <w:highlight w:val="none"/>
              </w:rPr>
              <w:t>总硬度（以CaCO</w:t>
            </w:r>
            <w:r>
              <w:rPr>
                <w:rFonts w:hAnsi="宋体"/>
                <w:highlight w:val="none"/>
                <w:vertAlign w:val="subscript"/>
              </w:rPr>
              <w:t>3</w:t>
            </w:r>
            <w:r>
              <w:rPr>
                <w:rFonts w:hAnsi="宋体"/>
                <w:position w:val="2"/>
                <w:highlight w:val="none"/>
              </w:rPr>
              <w:t>计）</w:t>
            </w:r>
          </w:p>
        </w:tc>
        <w:tc>
          <w:tcPr>
            <w:tcW w:w="1555" w:type="dxa"/>
            <w:vAlign w:val="center"/>
          </w:tcPr>
          <w:p>
            <w:pPr>
              <w:pStyle w:val="64"/>
              <w:rPr>
                <w:rFonts w:hAnsi="宋体"/>
                <w:highlight w:val="none"/>
              </w:rPr>
            </w:pPr>
            <w:r>
              <w:rPr>
                <w:rFonts w:hAnsi="宋体"/>
                <w:highlight w:val="none"/>
              </w:rPr>
              <w:t>≤450</w:t>
            </w:r>
          </w:p>
        </w:tc>
        <w:tc>
          <w:tcPr>
            <w:tcW w:w="716" w:type="dxa"/>
            <w:vAlign w:val="center"/>
          </w:tcPr>
          <w:p>
            <w:pPr>
              <w:pStyle w:val="64"/>
              <w:rPr>
                <w:rFonts w:hAnsi="宋体"/>
                <w:highlight w:val="none"/>
              </w:rPr>
            </w:pPr>
            <w:r>
              <w:rPr>
                <w:rFonts w:hAnsi="宋体"/>
                <w:highlight w:val="none"/>
              </w:rPr>
              <w:t>16</w:t>
            </w:r>
          </w:p>
        </w:tc>
        <w:tc>
          <w:tcPr>
            <w:tcW w:w="2639" w:type="dxa"/>
            <w:vAlign w:val="center"/>
          </w:tcPr>
          <w:p>
            <w:pPr>
              <w:pStyle w:val="64"/>
              <w:rPr>
                <w:rFonts w:hAnsi="宋体"/>
                <w:highlight w:val="none"/>
              </w:rPr>
            </w:pPr>
            <w:r>
              <w:rPr>
                <w:rFonts w:hAnsi="宋体"/>
                <w:highlight w:val="none"/>
              </w:rPr>
              <w:t>总大肠菌群(CFU/100mL)</w:t>
            </w:r>
          </w:p>
        </w:tc>
        <w:tc>
          <w:tcPr>
            <w:tcW w:w="1183" w:type="dxa"/>
            <w:vAlign w:val="center"/>
          </w:tcPr>
          <w:p>
            <w:pPr>
              <w:pStyle w:val="64"/>
              <w:rPr>
                <w:rFonts w:hAnsi="宋体"/>
                <w:highlight w:val="none"/>
              </w:rPr>
            </w:pPr>
            <w:r>
              <w:rPr>
                <w:rFonts w:hAnsi="宋体"/>
                <w:highlight w:val="none"/>
              </w:rPr>
              <w:t>≤3.0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6</w:t>
            </w:r>
          </w:p>
        </w:tc>
        <w:tc>
          <w:tcPr>
            <w:tcW w:w="2176" w:type="dxa"/>
            <w:vAlign w:val="center"/>
          </w:tcPr>
          <w:p>
            <w:pPr>
              <w:pStyle w:val="64"/>
              <w:rPr>
                <w:rFonts w:hAnsi="宋体"/>
                <w:highlight w:val="none"/>
              </w:rPr>
            </w:pPr>
            <w:r>
              <w:rPr>
                <w:rFonts w:hAnsi="宋体"/>
                <w:highlight w:val="none"/>
              </w:rPr>
              <w:t>硫酸盐</w:t>
            </w:r>
          </w:p>
        </w:tc>
        <w:tc>
          <w:tcPr>
            <w:tcW w:w="1555" w:type="dxa"/>
            <w:vAlign w:val="center"/>
          </w:tcPr>
          <w:p>
            <w:pPr>
              <w:pStyle w:val="64"/>
              <w:rPr>
                <w:rFonts w:hAnsi="宋体"/>
                <w:highlight w:val="none"/>
              </w:rPr>
            </w:pPr>
            <w:r>
              <w:rPr>
                <w:rFonts w:hAnsi="宋体"/>
                <w:highlight w:val="none"/>
              </w:rPr>
              <w:t>≤250</w:t>
            </w:r>
          </w:p>
        </w:tc>
        <w:tc>
          <w:tcPr>
            <w:tcW w:w="716" w:type="dxa"/>
            <w:vAlign w:val="center"/>
          </w:tcPr>
          <w:p>
            <w:pPr>
              <w:pStyle w:val="64"/>
              <w:rPr>
                <w:rFonts w:hAnsi="宋体"/>
                <w:highlight w:val="none"/>
              </w:rPr>
            </w:pPr>
            <w:r>
              <w:rPr>
                <w:rFonts w:hAnsi="宋体"/>
                <w:highlight w:val="none"/>
              </w:rPr>
              <w:t>17</w:t>
            </w:r>
          </w:p>
        </w:tc>
        <w:tc>
          <w:tcPr>
            <w:tcW w:w="2639" w:type="dxa"/>
            <w:vAlign w:val="center"/>
          </w:tcPr>
          <w:p>
            <w:pPr>
              <w:pStyle w:val="64"/>
              <w:rPr>
                <w:rFonts w:hAnsi="宋体"/>
                <w:highlight w:val="none"/>
              </w:rPr>
            </w:pPr>
            <w:r>
              <w:rPr>
                <w:rFonts w:hAnsi="宋体"/>
                <w:highlight w:val="none"/>
              </w:rPr>
              <w:t>六价铬</w:t>
            </w:r>
          </w:p>
        </w:tc>
        <w:tc>
          <w:tcPr>
            <w:tcW w:w="1183" w:type="dxa"/>
            <w:vAlign w:val="center"/>
          </w:tcPr>
          <w:p>
            <w:pPr>
              <w:pStyle w:val="64"/>
              <w:rPr>
                <w:rFonts w:hAnsi="宋体"/>
                <w:highlight w:val="none"/>
              </w:rPr>
            </w:pPr>
            <w:r>
              <w:rPr>
                <w:rFonts w:hAnsi="宋体"/>
                <w:highlight w:val="none"/>
              </w:rPr>
              <w:t>≤0.05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7</w:t>
            </w:r>
          </w:p>
        </w:tc>
        <w:tc>
          <w:tcPr>
            <w:tcW w:w="2176" w:type="dxa"/>
            <w:vAlign w:val="center"/>
          </w:tcPr>
          <w:p>
            <w:pPr>
              <w:pStyle w:val="64"/>
              <w:rPr>
                <w:rFonts w:hAnsi="宋体"/>
                <w:highlight w:val="none"/>
              </w:rPr>
            </w:pPr>
            <w:r>
              <w:rPr>
                <w:rFonts w:hAnsi="宋体"/>
                <w:highlight w:val="none"/>
              </w:rPr>
              <w:t>铁</w:t>
            </w:r>
          </w:p>
        </w:tc>
        <w:tc>
          <w:tcPr>
            <w:tcW w:w="1555" w:type="dxa"/>
            <w:vAlign w:val="center"/>
          </w:tcPr>
          <w:p>
            <w:pPr>
              <w:pStyle w:val="64"/>
              <w:rPr>
                <w:rFonts w:hAnsi="宋体"/>
                <w:highlight w:val="none"/>
              </w:rPr>
            </w:pPr>
            <w:r>
              <w:rPr>
                <w:rFonts w:hAnsi="宋体"/>
                <w:highlight w:val="none"/>
              </w:rPr>
              <w:t>≤0.3</w:t>
            </w:r>
          </w:p>
        </w:tc>
        <w:tc>
          <w:tcPr>
            <w:tcW w:w="716" w:type="dxa"/>
            <w:vAlign w:val="center"/>
          </w:tcPr>
          <w:p>
            <w:pPr>
              <w:pStyle w:val="64"/>
              <w:rPr>
                <w:rFonts w:hAnsi="宋体"/>
                <w:highlight w:val="none"/>
              </w:rPr>
            </w:pPr>
            <w:r>
              <w:rPr>
                <w:rFonts w:hAnsi="宋体"/>
                <w:highlight w:val="none"/>
              </w:rPr>
              <w:t>18</w:t>
            </w:r>
          </w:p>
        </w:tc>
        <w:tc>
          <w:tcPr>
            <w:tcW w:w="2639" w:type="dxa"/>
            <w:vAlign w:val="center"/>
          </w:tcPr>
          <w:p>
            <w:pPr>
              <w:pStyle w:val="64"/>
              <w:rPr>
                <w:rFonts w:hAnsi="宋体"/>
                <w:highlight w:val="none"/>
              </w:rPr>
            </w:pPr>
            <w:r>
              <w:rPr>
                <w:rFonts w:hAnsi="宋体"/>
                <w:highlight w:val="none"/>
              </w:rPr>
              <w:t>锰</w:t>
            </w:r>
          </w:p>
        </w:tc>
        <w:tc>
          <w:tcPr>
            <w:tcW w:w="1183" w:type="dxa"/>
            <w:vAlign w:val="center"/>
          </w:tcPr>
          <w:p>
            <w:pPr>
              <w:pStyle w:val="64"/>
              <w:rPr>
                <w:rFonts w:hAnsi="宋体"/>
                <w:highlight w:val="none"/>
              </w:rPr>
            </w:pPr>
            <w:r>
              <w:rPr>
                <w:rFonts w:hAnsi="宋体"/>
                <w:highlight w:val="none"/>
              </w:rPr>
              <w:t>≤0.1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8</w:t>
            </w:r>
          </w:p>
        </w:tc>
        <w:tc>
          <w:tcPr>
            <w:tcW w:w="2176" w:type="dxa"/>
            <w:vAlign w:val="center"/>
          </w:tcPr>
          <w:p>
            <w:pPr>
              <w:pStyle w:val="64"/>
              <w:rPr>
                <w:rFonts w:hAnsi="宋体"/>
                <w:highlight w:val="none"/>
              </w:rPr>
            </w:pPr>
            <w:r>
              <w:rPr>
                <w:rFonts w:hAnsi="宋体"/>
                <w:highlight w:val="none"/>
              </w:rPr>
              <w:t>铅</w:t>
            </w:r>
          </w:p>
        </w:tc>
        <w:tc>
          <w:tcPr>
            <w:tcW w:w="1555" w:type="dxa"/>
            <w:vAlign w:val="center"/>
          </w:tcPr>
          <w:p>
            <w:pPr>
              <w:pStyle w:val="64"/>
              <w:rPr>
                <w:rFonts w:hAnsi="宋体"/>
                <w:highlight w:val="none"/>
              </w:rPr>
            </w:pPr>
            <w:r>
              <w:rPr>
                <w:rFonts w:hAnsi="宋体"/>
                <w:highlight w:val="none"/>
              </w:rPr>
              <w:t>≤0.01</w:t>
            </w:r>
          </w:p>
        </w:tc>
        <w:tc>
          <w:tcPr>
            <w:tcW w:w="716" w:type="dxa"/>
            <w:vAlign w:val="center"/>
          </w:tcPr>
          <w:p>
            <w:pPr>
              <w:pStyle w:val="64"/>
              <w:rPr>
                <w:rFonts w:hAnsi="宋体"/>
                <w:highlight w:val="none"/>
              </w:rPr>
            </w:pPr>
            <w:r>
              <w:rPr>
                <w:rFonts w:hAnsi="宋体"/>
                <w:highlight w:val="none"/>
              </w:rPr>
              <w:t>19</w:t>
            </w:r>
          </w:p>
        </w:tc>
        <w:tc>
          <w:tcPr>
            <w:tcW w:w="2639" w:type="dxa"/>
            <w:vAlign w:val="center"/>
          </w:tcPr>
          <w:p>
            <w:pPr>
              <w:pStyle w:val="64"/>
              <w:rPr>
                <w:rFonts w:hAnsi="宋体"/>
                <w:highlight w:val="none"/>
              </w:rPr>
            </w:pPr>
            <w:r>
              <w:rPr>
                <w:rFonts w:hAnsi="宋体"/>
                <w:highlight w:val="none"/>
              </w:rPr>
              <w:t>镉</w:t>
            </w:r>
          </w:p>
        </w:tc>
        <w:tc>
          <w:tcPr>
            <w:tcW w:w="1183" w:type="dxa"/>
            <w:vAlign w:val="center"/>
          </w:tcPr>
          <w:p>
            <w:pPr>
              <w:pStyle w:val="64"/>
              <w:rPr>
                <w:rFonts w:hAnsi="宋体"/>
                <w:highlight w:val="none"/>
              </w:rPr>
            </w:pPr>
            <w:r>
              <w:rPr>
                <w:rFonts w:hAnsi="宋体"/>
                <w:highlight w:val="none"/>
              </w:rPr>
              <w:t>≤0.005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w w:val="99"/>
                <w:highlight w:val="none"/>
              </w:rPr>
              <w:t>9</w:t>
            </w:r>
          </w:p>
        </w:tc>
        <w:tc>
          <w:tcPr>
            <w:tcW w:w="2176" w:type="dxa"/>
            <w:vAlign w:val="center"/>
          </w:tcPr>
          <w:p>
            <w:pPr>
              <w:pStyle w:val="64"/>
              <w:rPr>
                <w:rFonts w:hAnsi="宋体"/>
                <w:highlight w:val="none"/>
              </w:rPr>
            </w:pPr>
            <w:r>
              <w:rPr>
                <w:rFonts w:hAnsi="宋体"/>
                <w:highlight w:val="none"/>
              </w:rPr>
              <w:t>挥发酚</w:t>
            </w:r>
          </w:p>
        </w:tc>
        <w:tc>
          <w:tcPr>
            <w:tcW w:w="1555" w:type="dxa"/>
            <w:vAlign w:val="center"/>
          </w:tcPr>
          <w:p>
            <w:pPr>
              <w:pStyle w:val="64"/>
              <w:rPr>
                <w:rFonts w:hAnsi="宋体"/>
                <w:highlight w:val="none"/>
              </w:rPr>
            </w:pPr>
            <w:r>
              <w:rPr>
                <w:rFonts w:hAnsi="宋体"/>
                <w:highlight w:val="none"/>
              </w:rPr>
              <w:t>≤0.002</w:t>
            </w:r>
          </w:p>
        </w:tc>
        <w:tc>
          <w:tcPr>
            <w:tcW w:w="716" w:type="dxa"/>
            <w:vAlign w:val="center"/>
          </w:tcPr>
          <w:p>
            <w:pPr>
              <w:pStyle w:val="64"/>
              <w:rPr>
                <w:rFonts w:hAnsi="宋体"/>
                <w:highlight w:val="none"/>
              </w:rPr>
            </w:pPr>
            <w:r>
              <w:rPr>
                <w:rFonts w:hAnsi="宋体"/>
                <w:highlight w:val="none"/>
              </w:rPr>
              <w:t>20</w:t>
            </w:r>
          </w:p>
        </w:tc>
        <w:tc>
          <w:tcPr>
            <w:tcW w:w="2639" w:type="dxa"/>
            <w:vAlign w:val="center"/>
          </w:tcPr>
          <w:p>
            <w:pPr>
              <w:pStyle w:val="64"/>
              <w:rPr>
                <w:rFonts w:hAnsi="宋体"/>
                <w:highlight w:val="none"/>
              </w:rPr>
            </w:pPr>
            <w:r>
              <w:rPr>
                <w:rFonts w:hAnsi="宋体"/>
                <w:highlight w:val="none"/>
              </w:rPr>
              <w:t>溶解性总固体</w:t>
            </w:r>
          </w:p>
        </w:tc>
        <w:tc>
          <w:tcPr>
            <w:tcW w:w="1183" w:type="dxa"/>
            <w:vAlign w:val="center"/>
          </w:tcPr>
          <w:p>
            <w:pPr>
              <w:pStyle w:val="64"/>
              <w:rPr>
                <w:rFonts w:hAnsi="宋体"/>
                <w:highlight w:val="none"/>
              </w:rPr>
            </w:pPr>
            <w:r>
              <w:rPr>
                <w:rFonts w:hAnsi="宋体"/>
                <w:highlight w:val="none"/>
              </w:rPr>
              <w:t>≤1000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highlight w:val="none"/>
              </w:rPr>
              <w:t>10</w:t>
            </w:r>
          </w:p>
        </w:tc>
        <w:tc>
          <w:tcPr>
            <w:tcW w:w="2176" w:type="dxa"/>
            <w:vAlign w:val="center"/>
          </w:tcPr>
          <w:p>
            <w:pPr>
              <w:pStyle w:val="64"/>
              <w:rPr>
                <w:rFonts w:hAnsi="宋体"/>
                <w:highlight w:val="none"/>
              </w:rPr>
            </w:pPr>
            <w:r>
              <w:rPr>
                <w:rFonts w:hAnsi="宋体"/>
                <w:highlight w:val="none"/>
              </w:rPr>
              <w:t>氰化物</w:t>
            </w:r>
          </w:p>
        </w:tc>
        <w:tc>
          <w:tcPr>
            <w:tcW w:w="1555" w:type="dxa"/>
            <w:vAlign w:val="center"/>
          </w:tcPr>
          <w:p>
            <w:pPr>
              <w:pStyle w:val="64"/>
              <w:rPr>
                <w:rFonts w:hAnsi="宋体"/>
                <w:highlight w:val="none"/>
              </w:rPr>
            </w:pPr>
            <w:r>
              <w:rPr>
                <w:rFonts w:hAnsi="宋体"/>
                <w:highlight w:val="none"/>
              </w:rPr>
              <w:t>≤0.05</w:t>
            </w:r>
          </w:p>
        </w:tc>
        <w:tc>
          <w:tcPr>
            <w:tcW w:w="716" w:type="dxa"/>
            <w:vAlign w:val="center"/>
          </w:tcPr>
          <w:p>
            <w:pPr>
              <w:pStyle w:val="64"/>
              <w:rPr>
                <w:rFonts w:hAnsi="宋体"/>
                <w:highlight w:val="none"/>
              </w:rPr>
            </w:pPr>
            <w:r>
              <w:rPr>
                <w:rFonts w:hAnsi="宋体"/>
                <w:highlight w:val="none"/>
              </w:rPr>
              <w:t>21</w:t>
            </w:r>
          </w:p>
        </w:tc>
        <w:tc>
          <w:tcPr>
            <w:tcW w:w="2639" w:type="dxa"/>
            <w:vAlign w:val="center"/>
          </w:tcPr>
          <w:p>
            <w:pPr>
              <w:pStyle w:val="64"/>
              <w:rPr>
                <w:rFonts w:hAnsi="宋体"/>
                <w:highlight w:val="none"/>
              </w:rPr>
            </w:pPr>
            <w:r>
              <w:rPr>
                <w:rFonts w:hAnsi="宋体"/>
                <w:highlight w:val="none"/>
              </w:rPr>
              <w:t>耗氧量</w:t>
            </w:r>
          </w:p>
        </w:tc>
        <w:tc>
          <w:tcPr>
            <w:tcW w:w="1183" w:type="dxa"/>
            <w:vAlign w:val="center"/>
          </w:tcPr>
          <w:p>
            <w:pPr>
              <w:pStyle w:val="64"/>
              <w:rPr>
                <w:rFonts w:hAnsi="宋体"/>
                <w:highlight w:val="none"/>
              </w:rPr>
            </w:pPr>
            <w:r>
              <w:rPr>
                <w:rFonts w:hAnsi="宋体"/>
                <w:highlight w:val="none"/>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77" w:type="dxa"/>
            <w:vAlign w:val="center"/>
          </w:tcPr>
          <w:p>
            <w:pPr>
              <w:pStyle w:val="64"/>
              <w:rPr>
                <w:rFonts w:hAnsi="宋体"/>
                <w:highlight w:val="none"/>
              </w:rPr>
            </w:pPr>
            <w:r>
              <w:rPr>
                <w:rFonts w:hAnsi="宋体"/>
                <w:highlight w:val="none"/>
              </w:rPr>
              <w:t>11</w:t>
            </w:r>
          </w:p>
        </w:tc>
        <w:tc>
          <w:tcPr>
            <w:tcW w:w="2176" w:type="dxa"/>
            <w:vAlign w:val="center"/>
          </w:tcPr>
          <w:p>
            <w:pPr>
              <w:pStyle w:val="64"/>
              <w:rPr>
                <w:rFonts w:hAnsi="宋体"/>
                <w:highlight w:val="none"/>
              </w:rPr>
            </w:pPr>
            <w:r>
              <w:rPr>
                <w:rFonts w:hint="eastAsia" w:hAnsi="宋体"/>
                <w:highlight w:val="none"/>
              </w:rPr>
              <w:t>氯</w:t>
            </w:r>
            <w:r>
              <w:rPr>
                <w:rFonts w:hAnsi="宋体"/>
                <w:highlight w:val="none"/>
              </w:rPr>
              <w:t>化物</w:t>
            </w:r>
          </w:p>
        </w:tc>
        <w:tc>
          <w:tcPr>
            <w:tcW w:w="1555" w:type="dxa"/>
            <w:vAlign w:val="center"/>
          </w:tcPr>
          <w:p>
            <w:pPr>
              <w:pStyle w:val="64"/>
              <w:rPr>
                <w:rFonts w:hAnsi="宋体"/>
                <w:highlight w:val="none"/>
              </w:rPr>
            </w:pPr>
            <w:r>
              <w:rPr>
                <w:rFonts w:hAnsi="宋体"/>
                <w:highlight w:val="none"/>
              </w:rPr>
              <w:t>≤250</w:t>
            </w:r>
          </w:p>
        </w:tc>
        <w:tc>
          <w:tcPr>
            <w:tcW w:w="716" w:type="dxa"/>
            <w:vAlign w:val="center"/>
          </w:tcPr>
          <w:p>
            <w:pPr>
              <w:pStyle w:val="64"/>
              <w:rPr>
                <w:rFonts w:hAnsi="宋体"/>
                <w:highlight w:val="none"/>
              </w:rPr>
            </w:pPr>
          </w:p>
        </w:tc>
        <w:tc>
          <w:tcPr>
            <w:tcW w:w="2639" w:type="dxa"/>
            <w:vAlign w:val="center"/>
          </w:tcPr>
          <w:p>
            <w:pPr>
              <w:pStyle w:val="64"/>
              <w:rPr>
                <w:rFonts w:hAnsi="宋体"/>
                <w:highlight w:val="none"/>
              </w:rPr>
            </w:pPr>
          </w:p>
        </w:tc>
        <w:tc>
          <w:tcPr>
            <w:tcW w:w="1183" w:type="dxa"/>
            <w:vAlign w:val="center"/>
          </w:tcPr>
          <w:p>
            <w:pPr>
              <w:pStyle w:val="64"/>
              <w:rPr>
                <w:rFonts w:hAnsi="宋体"/>
                <w:highlight w:val="none"/>
              </w:rPr>
            </w:pPr>
          </w:p>
        </w:tc>
      </w:tr>
    </w:tbl>
    <w:p>
      <w:pPr>
        <w:spacing w:line="20" w:lineRule="exact"/>
        <w:ind w:left="120" w:firstLine="40"/>
        <w:rPr>
          <w:rFonts w:ascii="宋体" w:hAnsi="宋体"/>
          <w:sz w:val="2"/>
          <w:szCs w:val="2"/>
          <w:highlight w:val="none"/>
        </w:rPr>
      </w:pPr>
    </w:p>
    <w:p>
      <w:pPr>
        <w:pStyle w:val="62"/>
        <w:ind w:firstLine="480"/>
        <w:rPr>
          <w:rFonts w:hAnsi="宋体"/>
          <w:highlight w:val="none"/>
        </w:rPr>
      </w:pPr>
      <w:r>
        <w:rPr>
          <w:rFonts w:hAnsi="宋体"/>
          <w:highlight w:val="none"/>
        </w:rPr>
        <w:t>2.3.1.4声环境</w:t>
      </w:r>
    </w:p>
    <w:p>
      <w:pPr>
        <w:ind w:firstLine="480"/>
        <w:rPr>
          <w:rFonts w:ascii="宋体" w:hAnsi="宋体"/>
          <w:highlight w:val="none"/>
        </w:rPr>
      </w:pPr>
      <w:r>
        <w:rPr>
          <w:rFonts w:ascii="宋体" w:hAnsi="宋体"/>
          <w:highlight w:val="none"/>
        </w:rPr>
        <w:t>本项目所在区域</w:t>
      </w:r>
      <w:r>
        <w:rPr>
          <w:rFonts w:hint="eastAsia" w:ascii="宋体" w:hAnsi="宋体"/>
          <w:highlight w:val="none"/>
        </w:rPr>
        <w:t>属于</w:t>
      </w:r>
      <w:r>
        <w:rPr>
          <w:rFonts w:ascii="宋体" w:hAnsi="宋体"/>
          <w:highlight w:val="none"/>
        </w:rPr>
        <w:t>农村地区，周围村庄敏感点声环境质量执行《声环境质量标准》（GB3096-2008）中1类标准。详见表2.3-4。</w:t>
      </w:r>
    </w:p>
    <w:p>
      <w:pPr>
        <w:pStyle w:val="65"/>
        <w:rPr>
          <w:rFonts w:hAnsi="宋体"/>
          <w:highlight w:val="none"/>
          <w:lang w:val="zh-CN"/>
        </w:rPr>
      </w:pPr>
      <w:r>
        <w:rPr>
          <w:rFonts w:hAnsi="宋体"/>
          <w:highlight w:val="none"/>
          <w:lang w:val="zh-CN"/>
        </w:rPr>
        <w:t>表2.3-4</w:t>
      </w:r>
      <w:r>
        <w:rPr>
          <w:rFonts w:hint="eastAsia" w:hAnsi="宋体"/>
          <w:highlight w:val="none"/>
          <w:lang w:val="zh-CN"/>
        </w:rPr>
        <w:t xml:space="preserve">  </w:t>
      </w:r>
      <w:r>
        <w:rPr>
          <w:rFonts w:hAnsi="宋体"/>
          <w:highlight w:val="none"/>
          <w:lang w:val="zh-CN"/>
        </w:rPr>
        <w:t>《声环境质量标准》（GB3096-2008）单位：dB（A）</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3519"/>
        <w:gridCol w:w="2099"/>
        <w:gridCol w:w="20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1" w:type="dxa"/>
            <w:vAlign w:val="center"/>
          </w:tcPr>
          <w:p>
            <w:pPr>
              <w:pStyle w:val="64"/>
              <w:rPr>
                <w:rFonts w:hAnsi="宋体"/>
                <w:highlight w:val="none"/>
              </w:rPr>
            </w:pPr>
            <w:r>
              <w:rPr>
                <w:rFonts w:hAnsi="宋体"/>
                <w:highlight w:val="none"/>
              </w:rPr>
              <w:t>类别</w:t>
            </w:r>
          </w:p>
        </w:tc>
        <w:tc>
          <w:tcPr>
            <w:tcW w:w="3519" w:type="dxa"/>
            <w:vAlign w:val="center"/>
          </w:tcPr>
          <w:p>
            <w:pPr>
              <w:pStyle w:val="64"/>
              <w:rPr>
                <w:rFonts w:hAnsi="宋体"/>
                <w:highlight w:val="none"/>
              </w:rPr>
            </w:pPr>
            <w:r>
              <w:rPr>
                <w:rFonts w:hAnsi="宋体"/>
                <w:highlight w:val="none"/>
              </w:rPr>
              <w:t>时间</w:t>
            </w:r>
          </w:p>
        </w:tc>
        <w:tc>
          <w:tcPr>
            <w:tcW w:w="2099" w:type="dxa"/>
            <w:vAlign w:val="center"/>
          </w:tcPr>
          <w:p>
            <w:pPr>
              <w:pStyle w:val="64"/>
              <w:rPr>
                <w:rFonts w:hAnsi="宋体"/>
                <w:highlight w:val="none"/>
              </w:rPr>
            </w:pPr>
            <w:r>
              <w:rPr>
                <w:rFonts w:hAnsi="宋体"/>
                <w:highlight w:val="none"/>
              </w:rPr>
              <w:t>昼间</w:t>
            </w:r>
          </w:p>
        </w:tc>
        <w:tc>
          <w:tcPr>
            <w:tcW w:w="2097" w:type="dxa"/>
            <w:vAlign w:val="center"/>
          </w:tcPr>
          <w:p>
            <w:pPr>
              <w:pStyle w:val="64"/>
              <w:rPr>
                <w:rFonts w:hAnsi="宋体"/>
                <w:highlight w:val="none"/>
              </w:rPr>
            </w:pPr>
            <w:r>
              <w:rPr>
                <w:rFonts w:hAnsi="宋体"/>
                <w:highlight w:val="none"/>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1" w:type="dxa"/>
            <w:vAlign w:val="center"/>
          </w:tcPr>
          <w:p>
            <w:pPr>
              <w:pStyle w:val="64"/>
              <w:rPr>
                <w:rFonts w:hAnsi="宋体"/>
                <w:highlight w:val="none"/>
              </w:rPr>
            </w:pPr>
            <w:r>
              <w:rPr>
                <w:rFonts w:hAnsi="宋体"/>
                <w:highlight w:val="none"/>
              </w:rPr>
              <w:t>1</w:t>
            </w:r>
          </w:p>
        </w:tc>
        <w:tc>
          <w:tcPr>
            <w:tcW w:w="3519" w:type="dxa"/>
            <w:vAlign w:val="center"/>
          </w:tcPr>
          <w:p>
            <w:pPr>
              <w:pStyle w:val="64"/>
              <w:rPr>
                <w:rFonts w:hAnsi="宋体"/>
                <w:highlight w:val="none"/>
              </w:rPr>
            </w:pPr>
            <w:r>
              <w:rPr>
                <w:rFonts w:hAnsi="宋体"/>
                <w:highlight w:val="none"/>
              </w:rPr>
              <w:t>标准值</w:t>
            </w:r>
          </w:p>
        </w:tc>
        <w:tc>
          <w:tcPr>
            <w:tcW w:w="2099" w:type="dxa"/>
            <w:vAlign w:val="center"/>
          </w:tcPr>
          <w:p>
            <w:pPr>
              <w:pStyle w:val="64"/>
              <w:rPr>
                <w:rFonts w:hAnsi="宋体"/>
                <w:highlight w:val="none"/>
              </w:rPr>
            </w:pPr>
            <w:r>
              <w:rPr>
                <w:rFonts w:hAnsi="宋体"/>
                <w:highlight w:val="none"/>
              </w:rPr>
              <w:t>55</w:t>
            </w:r>
          </w:p>
        </w:tc>
        <w:tc>
          <w:tcPr>
            <w:tcW w:w="2097" w:type="dxa"/>
            <w:vAlign w:val="center"/>
          </w:tcPr>
          <w:p>
            <w:pPr>
              <w:pStyle w:val="64"/>
              <w:rPr>
                <w:rFonts w:hAnsi="宋体"/>
                <w:highlight w:val="none"/>
              </w:rPr>
            </w:pPr>
            <w:r>
              <w:rPr>
                <w:rFonts w:hAnsi="宋体"/>
                <w:highlight w:val="none"/>
              </w:rPr>
              <w:t>45</w:t>
            </w:r>
          </w:p>
        </w:tc>
      </w:tr>
    </w:tbl>
    <w:p>
      <w:pPr>
        <w:pStyle w:val="62"/>
        <w:ind w:firstLine="480"/>
        <w:rPr>
          <w:rFonts w:hAnsi="宋体"/>
          <w:highlight w:val="none"/>
        </w:rPr>
      </w:pPr>
      <w:bookmarkStart w:id="77" w:name="_Toc487302032"/>
      <w:bookmarkStart w:id="78" w:name="_Toc478404428"/>
      <w:bookmarkStart w:id="79" w:name="_Toc4678383"/>
      <w:r>
        <w:rPr>
          <w:rFonts w:hAnsi="宋体"/>
          <w:highlight w:val="none"/>
        </w:rPr>
        <w:t>2.3.1.5土壤环境</w:t>
      </w:r>
    </w:p>
    <w:p>
      <w:pPr>
        <w:ind w:firstLine="480"/>
        <w:rPr>
          <w:rFonts w:ascii="宋体" w:hAnsi="宋体"/>
          <w:kern w:val="0"/>
          <w:highlight w:val="none"/>
        </w:rPr>
      </w:pPr>
      <w:r>
        <w:rPr>
          <w:rFonts w:ascii="宋体" w:hAnsi="宋体"/>
          <w:bCs/>
          <w:kern w:val="0"/>
          <w:highlight w:val="none"/>
        </w:rPr>
        <w:t>厂区土壤质量执行</w:t>
      </w:r>
      <w:r>
        <w:rPr>
          <w:rFonts w:ascii="宋体" w:hAnsi="宋体"/>
          <w:kern w:val="0"/>
          <w:highlight w:val="none"/>
        </w:rPr>
        <w:t>《土壤环境质量建设用地土壤污染风险管控标准（试行）》</w:t>
      </w:r>
      <w:r>
        <w:rPr>
          <w:rFonts w:ascii="宋体" w:hAnsi="宋体"/>
          <w:bCs/>
          <w:kern w:val="0"/>
          <w:highlight w:val="none"/>
        </w:rPr>
        <w:t>（GB36600-2018）表1中建设用地土壤污染风险筛选值（基本项目）第二类用地风险筛选值，详见表2.3-5</w:t>
      </w:r>
      <w:r>
        <w:rPr>
          <w:rFonts w:ascii="宋体" w:hAnsi="宋体"/>
          <w:kern w:val="0"/>
          <w:highlight w:val="none"/>
        </w:rPr>
        <w:t>。</w:t>
      </w:r>
    </w:p>
    <w:p>
      <w:pPr>
        <w:pStyle w:val="65"/>
        <w:rPr>
          <w:rFonts w:hAnsi="宋体"/>
          <w:highlight w:val="none"/>
        </w:rPr>
      </w:pPr>
      <w:r>
        <w:rPr>
          <w:rFonts w:hAnsi="宋体"/>
          <w:highlight w:val="none"/>
        </w:rPr>
        <w:t>表2.3-5</w:t>
      </w:r>
      <w:r>
        <w:rPr>
          <w:rFonts w:hint="eastAsia" w:hAnsi="宋体"/>
          <w:highlight w:val="none"/>
        </w:rPr>
        <w:t xml:space="preserve">  </w:t>
      </w:r>
      <w:r>
        <w:rPr>
          <w:rFonts w:hAnsi="宋体"/>
          <w:highlight w:val="none"/>
        </w:rPr>
        <w:t>土壤环境质量评价标准（建设用地）单位：mg/kg</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14"/>
        <w:gridCol w:w="2754"/>
        <w:gridCol w:w="1702"/>
        <w:gridCol w:w="993"/>
        <w:gridCol w:w="991"/>
        <w:gridCol w:w="852"/>
        <w:gridCol w:w="104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Merge w:val="restart"/>
            <w:vAlign w:val="center"/>
          </w:tcPr>
          <w:p>
            <w:pPr>
              <w:pStyle w:val="64"/>
              <w:rPr>
                <w:rFonts w:hAnsi="宋体"/>
                <w:highlight w:val="none"/>
              </w:rPr>
            </w:pPr>
            <w:r>
              <w:rPr>
                <w:rFonts w:hAnsi="宋体"/>
                <w:highlight w:val="none"/>
              </w:rPr>
              <w:t>序号</w:t>
            </w:r>
          </w:p>
        </w:tc>
        <w:tc>
          <w:tcPr>
            <w:tcW w:w="2754" w:type="dxa"/>
            <w:vMerge w:val="restart"/>
            <w:vAlign w:val="center"/>
          </w:tcPr>
          <w:p>
            <w:pPr>
              <w:pStyle w:val="64"/>
              <w:rPr>
                <w:rFonts w:hAnsi="宋体"/>
                <w:highlight w:val="none"/>
              </w:rPr>
            </w:pPr>
            <w:r>
              <w:rPr>
                <w:rFonts w:hAnsi="宋体"/>
                <w:highlight w:val="none"/>
              </w:rPr>
              <w:t>污染物项目</w:t>
            </w:r>
          </w:p>
        </w:tc>
        <w:tc>
          <w:tcPr>
            <w:tcW w:w="1702" w:type="dxa"/>
            <w:vMerge w:val="restart"/>
            <w:vAlign w:val="center"/>
          </w:tcPr>
          <w:p>
            <w:pPr>
              <w:pStyle w:val="64"/>
              <w:rPr>
                <w:rFonts w:hAnsi="宋体"/>
                <w:highlight w:val="none"/>
              </w:rPr>
            </w:pPr>
            <w:r>
              <w:rPr>
                <w:rFonts w:hAnsi="宋体"/>
                <w:highlight w:val="none"/>
              </w:rPr>
              <w:t>CAS编号</w:t>
            </w:r>
          </w:p>
        </w:tc>
        <w:tc>
          <w:tcPr>
            <w:tcW w:w="1984" w:type="dxa"/>
            <w:gridSpan w:val="2"/>
            <w:vAlign w:val="center"/>
          </w:tcPr>
          <w:p>
            <w:pPr>
              <w:pStyle w:val="64"/>
              <w:rPr>
                <w:rFonts w:hAnsi="宋体"/>
                <w:highlight w:val="none"/>
              </w:rPr>
            </w:pPr>
            <w:r>
              <w:rPr>
                <w:rFonts w:hAnsi="宋体"/>
                <w:highlight w:val="none"/>
              </w:rPr>
              <w:t>筛选值</w:t>
            </w:r>
          </w:p>
        </w:tc>
        <w:tc>
          <w:tcPr>
            <w:tcW w:w="1892" w:type="dxa"/>
            <w:gridSpan w:val="2"/>
            <w:vAlign w:val="center"/>
          </w:tcPr>
          <w:p>
            <w:pPr>
              <w:pStyle w:val="64"/>
              <w:rPr>
                <w:rFonts w:hAnsi="宋体"/>
                <w:highlight w:val="none"/>
              </w:rPr>
            </w:pPr>
            <w:r>
              <w:rPr>
                <w:rFonts w:hAnsi="宋体"/>
                <w:highlight w:val="none"/>
              </w:rPr>
              <w:t>管制值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Merge w:val="continue"/>
            <w:vAlign w:val="center"/>
          </w:tcPr>
          <w:p>
            <w:pPr>
              <w:pStyle w:val="64"/>
              <w:rPr>
                <w:rFonts w:hAnsi="宋体"/>
                <w:highlight w:val="none"/>
              </w:rPr>
            </w:pPr>
          </w:p>
        </w:tc>
        <w:tc>
          <w:tcPr>
            <w:tcW w:w="2754" w:type="dxa"/>
            <w:vMerge w:val="continue"/>
            <w:vAlign w:val="center"/>
          </w:tcPr>
          <w:p>
            <w:pPr>
              <w:pStyle w:val="64"/>
              <w:rPr>
                <w:rFonts w:hAnsi="宋体"/>
                <w:highlight w:val="none"/>
              </w:rPr>
            </w:pPr>
          </w:p>
        </w:tc>
        <w:tc>
          <w:tcPr>
            <w:tcW w:w="1702" w:type="dxa"/>
            <w:vMerge w:val="continue"/>
            <w:vAlign w:val="center"/>
          </w:tcPr>
          <w:p>
            <w:pPr>
              <w:pStyle w:val="64"/>
              <w:rPr>
                <w:rFonts w:hAnsi="宋体"/>
                <w:highlight w:val="none"/>
              </w:rPr>
            </w:pPr>
          </w:p>
        </w:tc>
        <w:tc>
          <w:tcPr>
            <w:tcW w:w="993" w:type="dxa"/>
            <w:vAlign w:val="center"/>
          </w:tcPr>
          <w:p>
            <w:pPr>
              <w:pStyle w:val="64"/>
              <w:rPr>
                <w:rFonts w:hAnsi="宋体"/>
                <w:highlight w:val="none"/>
              </w:rPr>
            </w:pPr>
            <w:r>
              <w:rPr>
                <w:rFonts w:hAnsi="宋体"/>
                <w:highlight w:val="none"/>
              </w:rPr>
              <w:t>第一类用地</w:t>
            </w:r>
          </w:p>
        </w:tc>
        <w:tc>
          <w:tcPr>
            <w:tcW w:w="991" w:type="dxa"/>
            <w:vAlign w:val="center"/>
          </w:tcPr>
          <w:p>
            <w:pPr>
              <w:pStyle w:val="64"/>
              <w:rPr>
                <w:rFonts w:hAnsi="宋体"/>
                <w:highlight w:val="none"/>
              </w:rPr>
            </w:pPr>
            <w:r>
              <w:rPr>
                <w:rFonts w:hAnsi="宋体"/>
                <w:highlight w:val="none"/>
              </w:rPr>
              <w:t>第二类用地</w:t>
            </w:r>
          </w:p>
        </w:tc>
        <w:tc>
          <w:tcPr>
            <w:tcW w:w="852" w:type="dxa"/>
            <w:vAlign w:val="center"/>
          </w:tcPr>
          <w:p>
            <w:pPr>
              <w:pStyle w:val="64"/>
              <w:rPr>
                <w:rFonts w:hAnsi="宋体"/>
                <w:highlight w:val="none"/>
              </w:rPr>
            </w:pPr>
            <w:r>
              <w:rPr>
                <w:rFonts w:hAnsi="宋体"/>
                <w:highlight w:val="none"/>
              </w:rPr>
              <w:t>第一类用地</w:t>
            </w:r>
          </w:p>
        </w:tc>
        <w:tc>
          <w:tcPr>
            <w:tcW w:w="1040" w:type="dxa"/>
            <w:vAlign w:val="center"/>
          </w:tcPr>
          <w:p>
            <w:pPr>
              <w:pStyle w:val="64"/>
              <w:rPr>
                <w:rFonts w:hAnsi="宋体"/>
                <w:highlight w:val="none"/>
              </w:rPr>
            </w:pPr>
            <w:r>
              <w:rPr>
                <w:rFonts w:hAnsi="宋体"/>
                <w:highlight w:val="none"/>
              </w:rPr>
              <w:t>第二类用地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Align w:val="center"/>
          </w:tcPr>
          <w:p>
            <w:pPr>
              <w:pStyle w:val="64"/>
              <w:rPr>
                <w:rFonts w:hAnsi="宋体"/>
                <w:highlight w:val="none"/>
              </w:rPr>
            </w:pPr>
            <w:r>
              <w:rPr>
                <w:rFonts w:hAnsi="宋体"/>
                <w:highlight w:val="none"/>
              </w:rPr>
              <w:t>1</w:t>
            </w:r>
          </w:p>
        </w:tc>
        <w:tc>
          <w:tcPr>
            <w:tcW w:w="2754" w:type="dxa"/>
            <w:vAlign w:val="center"/>
          </w:tcPr>
          <w:p>
            <w:pPr>
              <w:pStyle w:val="64"/>
              <w:rPr>
                <w:rFonts w:hAnsi="宋体"/>
                <w:highlight w:val="none"/>
              </w:rPr>
            </w:pPr>
            <w:r>
              <w:rPr>
                <w:rFonts w:hAnsi="宋体"/>
                <w:highlight w:val="none"/>
              </w:rPr>
              <w:t>砷</w:t>
            </w:r>
          </w:p>
        </w:tc>
        <w:tc>
          <w:tcPr>
            <w:tcW w:w="1702" w:type="dxa"/>
            <w:vAlign w:val="center"/>
          </w:tcPr>
          <w:p>
            <w:pPr>
              <w:pStyle w:val="64"/>
              <w:rPr>
                <w:rFonts w:hAnsi="宋体"/>
                <w:highlight w:val="none"/>
              </w:rPr>
            </w:pPr>
            <w:r>
              <w:rPr>
                <w:rFonts w:hAnsi="宋体"/>
                <w:highlight w:val="none"/>
              </w:rPr>
              <w:t>7440-38-2</w:t>
            </w:r>
          </w:p>
        </w:tc>
        <w:tc>
          <w:tcPr>
            <w:tcW w:w="993" w:type="dxa"/>
            <w:vAlign w:val="center"/>
          </w:tcPr>
          <w:p>
            <w:pPr>
              <w:pStyle w:val="64"/>
              <w:rPr>
                <w:rFonts w:hAnsi="宋体"/>
                <w:highlight w:val="none"/>
              </w:rPr>
            </w:pPr>
            <w:r>
              <w:rPr>
                <w:rFonts w:hAnsi="宋体"/>
                <w:highlight w:val="none"/>
              </w:rPr>
              <w:t>20</w:t>
            </w:r>
            <w:r>
              <w:rPr>
                <w:rFonts w:hint="eastAsia" w:hAnsi="宋体" w:cs="宋体"/>
                <w:highlight w:val="none"/>
                <w:vertAlign w:val="superscript"/>
              </w:rPr>
              <w:t>①</w:t>
            </w:r>
          </w:p>
        </w:tc>
        <w:tc>
          <w:tcPr>
            <w:tcW w:w="991" w:type="dxa"/>
            <w:vAlign w:val="center"/>
          </w:tcPr>
          <w:p>
            <w:pPr>
              <w:pStyle w:val="64"/>
              <w:rPr>
                <w:rFonts w:hAnsi="宋体"/>
                <w:highlight w:val="none"/>
              </w:rPr>
            </w:pPr>
            <w:r>
              <w:rPr>
                <w:rFonts w:hAnsi="宋体"/>
                <w:highlight w:val="none"/>
              </w:rPr>
              <w:t>60</w:t>
            </w:r>
            <w:r>
              <w:rPr>
                <w:rFonts w:hint="eastAsia" w:hAnsi="宋体" w:cs="宋体"/>
                <w:highlight w:val="none"/>
                <w:vertAlign w:val="superscript"/>
              </w:rPr>
              <w:t>①</w:t>
            </w:r>
          </w:p>
        </w:tc>
        <w:tc>
          <w:tcPr>
            <w:tcW w:w="852" w:type="dxa"/>
            <w:vAlign w:val="center"/>
          </w:tcPr>
          <w:p>
            <w:pPr>
              <w:pStyle w:val="64"/>
              <w:rPr>
                <w:rFonts w:hAnsi="宋体"/>
                <w:highlight w:val="none"/>
              </w:rPr>
            </w:pPr>
            <w:r>
              <w:rPr>
                <w:rFonts w:hAnsi="宋体"/>
                <w:highlight w:val="none"/>
              </w:rPr>
              <w:t>120</w:t>
            </w:r>
          </w:p>
        </w:tc>
        <w:tc>
          <w:tcPr>
            <w:tcW w:w="1040" w:type="dxa"/>
            <w:vAlign w:val="center"/>
          </w:tcPr>
          <w:p>
            <w:pPr>
              <w:pStyle w:val="64"/>
              <w:rPr>
                <w:rFonts w:hAnsi="宋体"/>
                <w:highlight w:val="none"/>
              </w:rPr>
            </w:pPr>
            <w:r>
              <w:rPr>
                <w:rFonts w:hAnsi="宋体"/>
                <w:highlight w:val="none"/>
              </w:rPr>
              <w:t>140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Align w:val="center"/>
          </w:tcPr>
          <w:p>
            <w:pPr>
              <w:pStyle w:val="64"/>
              <w:rPr>
                <w:rFonts w:hAnsi="宋体"/>
                <w:highlight w:val="none"/>
              </w:rPr>
            </w:pPr>
            <w:r>
              <w:rPr>
                <w:rFonts w:hAnsi="宋体"/>
                <w:highlight w:val="none"/>
              </w:rPr>
              <w:t>2</w:t>
            </w:r>
          </w:p>
        </w:tc>
        <w:tc>
          <w:tcPr>
            <w:tcW w:w="2754" w:type="dxa"/>
            <w:vAlign w:val="center"/>
          </w:tcPr>
          <w:p>
            <w:pPr>
              <w:pStyle w:val="64"/>
              <w:rPr>
                <w:rFonts w:hAnsi="宋体"/>
                <w:highlight w:val="none"/>
              </w:rPr>
            </w:pPr>
            <w:r>
              <w:rPr>
                <w:rFonts w:hAnsi="宋体"/>
                <w:highlight w:val="none"/>
              </w:rPr>
              <w:t>镉</w:t>
            </w:r>
          </w:p>
        </w:tc>
        <w:tc>
          <w:tcPr>
            <w:tcW w:w="1702" w:type="dxa"/>
            <w:vAlign w:val="center"/>
          </w:tcPr>
          <w:p>
            <w:pPr>
              <w:pStyle w:val="64"/>
              <w:rPr>
                <w:rFonts w:hAnsi="宋体"/>
                <w:highlight w:val="none"/>
              </w:rPr>
            </w:pPr>
            <w:r>
              <w:rPr>
                <w:rFonts w:hAnsi="宋体"/>
                <w:highlight w:val="none"/>
              </w:rPr>
              <w:t>7440-43-9</w:t>
            </w:r>
          </w:p>
        </w:tc>
        <w:tc>
          <w:tcPr>
            <w:tcW w:w="993" w:type="dxa"/>
            <w:vAlign w:val="center"/>
          </w:tcPr>
          <w:p>
            <w:pPr>
              <w:pStyle w:val="64"/>
              <w:rPr>
                <w:rFonts w:hAnsi="宋体"/>
                <w:highlight w:val="none"/>
              </w:rPr>
            </w:pPr>
            <w:r>
              <w:rPr>
                <w:rFonts w:hAnsi="宋体"/>
                <w:highlight w:val="none"/>
              </w:rPr>
              <w:t>20</w:t>
            </w:r>
          </w:p>
        </w:tc>
        <w:tc>
          <w:tcPr>
            <w:tcW w:w="991" w:type="dxa"/>
            <w:vAlign w:val="center"/>
          </w:tcPr>
          <w:p>
            <w:pPr>
              <w:pStyle w:val="64"/>
              <w:rPr>
                <w:rFonts w:hAnsi="宋体"/>
                <w:highlight w:val="none"/>
              </w:rPr>
            </w:pPr>
            <w:r>
              <w:rPr>
                <w:rFonts w:hAnsi="宋体"/>
                <w:highlight w:val="none"/>
              </w:rPr>
              <w:t>65</w:t>
            </w:r>
          </w:p>
        </w:tc>
        <w:tc>
          <w:tcPr>
            <w:tcW w:w="852" w:type="dxa"/>
            <w:vAlign w:val="center"/>
          </w:tcPr>
          <w:p>
            <w:pPr>
              <w:pStyle w:val="64"/>
              <w:rPr>
                <w:rFonts w:hAnsi="宋体"/>
                <w:highlight w:val="none"/>
              </w:rPr>
            </w:pPr>
            <w:r>
              <w:rPr>
                <w:rFonts w:hAnsi="宋体"/>
                <w:highlight w:val="none"/>
              </w:rPr>
              <w:t>47</w:t>
            </w:r>
          </w:p>
        </w:tc>
        <w:tc>
          <w:tcPr>
            <w:tcW w:w="1040" w:type="dxa"/>
            <w:vAlign w:val="center"/>
          </w:tcPr>
          <w:p>
            <w:pPr>
              <w:pStyle w:val="64"/>
              <w:rPr>
                <w:rFonts w:hAnsi="宋体"/>
                <w:highlight w:val="none"/>
              </w:rPr>
            </w:pPr>
            <w:r>
              <w:rPr>
                <w:rFonts w:hAnsi="宋体"/>
                <w:highlight w:val="none"/>
              </w:rPr>
              <w:t>172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14" w:type="dxa"/>
            <w:vAlign w:val="center"/>
          </w:tcPr>
          <w:p>
            <w:pPr>
              <w:pStyle w:val="64"/>
              <w:rPr>
                <w:rFonts w:hAnsi="宋体"/>
                <w:highlight w:val="none"/>
              </w:rPr>
            </w:pPr>
            <w:r>
              <w:rPr>
                <w:rFonts w:hAnsi="宋体"/>
                <w:highlight w:val="none"/>
              </w:rPr>
              <w:t>3</w:t>
            </w:r>
          </w:p>
        </w:tc>
        <w:tc>
          <w:tcPr>
            <w:tcW w:w="2754" w:type="dxa"/>
            <w:vAlign w:val="center"/>
          </w:tcPr>
          <w:p>
            <w:pPr>
              <w:pStyle w:val="64"/>
              <w:rPr>
                <w:rFonts w:hAnsi="宋体"/>
                <w:highlight w:val="none"/>
              </w:rPr>
            </w:pPr>
            <w:r>
              <w:rPr>
                <w:rFonts w:hAnsi="宋体"/>
                <w:highlight w:val="none"/>
              </w:rPr>
              <w:t>铬（六价）</w:t>
            </w:r>
          </w:p>
        </w:tc>
        <w:tc>
          <w:tcPr>
            <w:tcW w:w="1702" w:type="dxa"/>
            <w:vAlign w:val="center"/>
          </w:tcPr>
          <w:p>
            <w:pPr>
              <w:pStyle w:val="64"/>
              <w:rPr>
                <w:rFonts w:hAnsi="宋体"/>
                <w:highlight w:val="none"/>
              </w:rPr>
            </w:pPr>
            <w:r>
              <w:rPr>
                <w:rFonts w:hAnsi="宋体"/>
                <w:highlight w:val="none"/>
              </w:rPr>
              <w:t>18540-29-9</w:t>
            </w:r>
          </w:p>
        </w:tc>
        <w:tc>
          <w:tcPr>
            <w:tcW w:w="993" w:type="dxa"/>
            <w:vAlign w:val="center"/>
          </w:tcPr>
          <w:p>
            <w:pPr>
              <w:pStyle w:val="64"/>
              <w:rPr>
                <w:rFonts w:hAnsi="宋体"/>
                <w:highlight w:val="none"/>
              </w:rPr>
            </w:pPr>
            <w:r>
              <w:rPr>
                <w:rFonts w:hAnsi="宋体"/>
                <w:highlight w:val="none"/>
              </w:rPr>
              <w:t>3</w:t>
            </w:r>
          </w:p>
        </w:tc>
        <w:tc>
          <w:tcPr>
            <w:tcW w:w="991" w:type="dxa"/>
            <w:vAlign w:val="center"/>
          </w:tcPr>
          <w:p>
            <w:pPr>
              <w:pStyle w:val="64"/>
              <w:rPr>
                <w:rFonts w:hAnsi="宋体"/>
                <w:highlight w:val="none"/>
              </w:rPr>
            </w:pPr>
            <w:r>
              <w:rPr>
                <w:rFonts w:hAnsi="宋体"/>
                <w:highlight w:val="none"/>
              </w:rPr>
              <w:t>5.7</w:t>
            </w:r>
          </w:p>
        </w:tc>
        <w:tc>
          <w:tcPr>
            <w:tcW w:w="852" w:type="dxa"/>
            <w:vAlign w:val="center"/>
          </w:tcPr>
          <w:p>
            <w:pPr>
              <w:pStyle w:val="64"/>
              <w:rPr>
                <w:rFonts w:hAnsi="宋体"/>
                <w:highlight w:val="none"/>
              </w:rPr>
            </w:pPr>
            <w:r>
              <w:rPr>
                <w:rFonts w:hAnsi="宋体"/>
                <w:highlight w:val="none"/>
              </w:rPr>
              <w:t>30</w:t>
            </w:r>
          </w:p>
        </w:tc>
        <w:tc>
          <w:tcPr>
            <w:tcW w:w="1040" w:type="dxa"/>
            <w:vAlign w:val="center"/>
          </w:tcPr>
          <w:p>
            <w:pPr>
              <w:pStyle w:val="64"/>
              <w:rPr>
                <w:rFonts w:hAnsi="宋体"/>
                <w:highlight w:val="none"/>
              </w:rPr>
            </w:pPr>
            <w:r>
              <w:rPr>
                <w:rFonts w:hAnsi="宋体"/>
                <w:highlight w:val="none"/>
              </w:rPr>
              <w:t>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Align w:val="center"/>
          </w:tcPr>
          <w:p>
            <w:pPr>
              <w:pStyle w:val="64"/>
              <w:rPr>
                <w:rFonts w:hAnsi="宋体"/>
                <w:highlight w:val="none"/>
              </w:rPr>
            </w:pPr>
            <w:r>
              <w:rPr>
                <w:rFonts w:hAnsi="宋体"/>
                <w:highlight w:val="none"/>
              </w:rPr>
              <w:t>4</w:t>
            </w:r>
          </w:p>
        </w:tc>
        <w:tc>
          <w:tcPr>
            <w:tcW w:w="2754" w:type="dxa"/>
            <w:vAlign w:val="center"/>
          </w:tcPr>
          <w:p>
            <w:pPr>
              <w:pStyle w:val="64"/>
              <w:rPr>
                <w:rFonts w:hAnsi="宋体"/>
                <w:highlight w:val="none"/>
              </w:rPr>
            </w:pPr>
            <w:r>
              <w:rPr>
                <w:rFonts w:hAnsi="宋体"/>
                <w:highlight w:val="none"/>
              </w:rPr>
              <w:t>铜</w:t>
            </w:r>
          </w:p>
        </w:tc>
        <w:tc>
          <w:tcPr>
            <w:tcW w:w="1702" w:type="dxa"/>
            <w:vAlign w:val="center"/>
          </w:tcPr>
          <w:p>
            <w:pPr>
              <w:pStyle w:val="64"/>
              <w:rPr>
                <w:rFonts w:hAnsi="宋体"/>
                <w:highlight w:val="none"/>
              </w:rPr>
            </w:pPr>
            <w:r>
              <w:rPr>
                <w:rFonts w:hAnsi="宋体"/>
                <w:highlight w:val="none"/>
              </w:rPr>
              <w:t>7440-50-8</w:t>
            </w:r>
          </w:p>
        </w:tc>
        <w:tc>
          <w:tcPr>
            <w:tcW w:w="993" w:type="dxa"/>
            <w:vAlign w:val="center"/>
          </w:tcPr>
          <w:p>
            <w:pPr>
              <w:pStyle w:val="64"/>
              <w:rPr>
                <w:rFonts w:hAnsi="宋体"/>
                <w:highlight w:val="none"/>
              </w:rPr>
            </w:pPr>
            <w:r>
              <w:rPr>
                <w:rFonts w:hAnsi="宋体"/>
                <w:highlight w:val="none"/>
              </w:rPr>
              <w:t>2000</w:t>
            </w:r>
          </w:p>
        </w:tc>
        <w:tc>
          <w:tcPr>
            <w:tcW w:w="991" w:type="dxa"/>
            <w:vAlign w:val="center"/>
          </w:tcPr>
          <w:p>
            <w:pPr>
              <w:pStyle w:val="64"/>
              <w:rPr>
                <w:rFonts w:hAnsi="宋体"/>
                <w:highlight w:val="none"/>
              </w:rPr>
            </w:pPr>
            <w:r>
              <w:rPr>
                <w:rFonts w:hAnsi="宋体"/>
                <w:highlight w:val="none"/>
              </w:rPr>
              <w:t>18000</w:t>
            </w:r>
          </w:p>
        </w:tc>
        <w:tc>
          <w:tcPr>
            <w:tcW w:w="852" w:type="dxa"/>
            <w:vAlign w:val="center"/>
          </w:tcPr>
          <w:p>
            <w:pPr>
              <w:pStyle w:val="64"/>
              <w:rPr>
                <w:rFonts w:hAnsi="宋体"/>
                <w:highlight w:val="none"/>
              </w:rPr>
            </w:pPr>
            <w:r>
              <w:rPr>
                <w:rFonts w:hAnsi="宋体"/>
                <w:highlight w:val="none"/>
              </w:rPr>
              <w:t>8000</w:t>
            </w:r>
          </w:p>
        </w:tc>
        <w:tc>
          <w:tcPr>
            <w:tcW w:w="1040" w:type="dxa"/>
            <w:vAlign w:val="center"/>
          </w:tcPr>
          <w:p>
            <w:pPr>
              <w:pStyle w:val="64"/>
              <w:rPr>
                <w:rFonts w:hAnsi="宋体"/>
                <w:highlight w:val="none"/>
              </w:rPr>
            </w:pPr>
            <w:r>
              <w:rPr>
                <w:rFonts w:hAnsi="宋体"/>
                <w:highlight w:val="none"/>
              </w:rPr>
              <w:t>36000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Align w:val="center"/>
          </w:tcPr>
          <w:p>
            <w:pPr>
              <w:pStyle w:val="64"/>
              <w:rPr>
                <w:rFonts w:hAnsi="宋体"/>
                <w:highlight w:val="none"/>
              </w:rPr>
            </w:pPr>
            <w:r>
              <w:rPr>
                <w:rFonts w:hAnsi="宋体"/>
                <w:highlight w:val="none"/>
              </w:rPr>
              <w:t>5</w:t>
            </w:r>
          </w:p>
        </w:tc>
        <w:tc>
          <w:tcPr>
            <w:tcW w:w="2754" w:type="dxa"/>
            <w:vAlign w:val="center"/>
          </w:tcPr>
          <w:p>
            <w:pPr>
              <w:pStyle w:val="64"/>
              <w:rPr>
                <w:rFonts w:hAnsi="宋体"/>
                <w:highlight w:val="none"/>
              </w:rPr>
            </w:pPr>
            <w:r>
              <w:rPr>
                <w:rFonts w:hAnsi="宋体"/>
                <w:highlight w:val="none"/>
              </w:rPr>
              <w:t>铅</w:t>
            </w:r>
          </w:p>
        </w:tc>
        <w:tc>
          <w:tcPr>
            <w:tcW w:w="1702" w:type="dxa"/>
            <w:vAlign w:val="center"/>
          </w:tcPr>
          <w:p>
            <w:pPr>
              <w:pStyle w:val="64"/>
              <w:rPr>
                <w:rFonts w:hAnsi="宋体"/>
                <w:highlight w:val="none"/>
              </w:rPr>
            </w:pPr>
            <w:r>
              <w:rPr>
                <w:rFonts w:hAnsi="宋体"/>
                <w:highlight w:val="none"/>
              </w:rPr>
              <w:t>7439-92-1</w:t>
            </w:r>
          </w:p>
        </w:tc>
        <w:tc>
          <w:tcPr>
            <w:tcW w:w="993" w:type="dxa"/>
            <w:vAlign w:val="center"/>
          </w:tcPr>
          <w:p>
            <w:pPr>
              <w:pStyle w:val="64"/>
              <w:rPr>
                <w:rFonts w:hAnsi="宋体"/>
                <w:highlight w:val="none"/>
              </w:rPr>
            </w:pPr>
            <w:r>
              <w:rPr>
                <w:rFonts w:hAnsi="宋体"/>
                <w:highlight w:val="none"/>
              </w:rPr>
              <w:t>400</w:t>
            </w:r>
          </w:p>
        </w:tc>
        <w:tc>
          <w:tcPr>
            <w:tcW w:w="991" w:type="dxa"/>
            <w:vAlign w:val="center"/>
          </w:tcPr>
          <w:p>
            <w:pPr>
              <w:pStyle w:val="64"/>
              <w:rPr>
                <w:rFonts w:hAnsi="宋体"/>
                <w:highlight w:val="none"/>
              </w:rPr>
            </w:pPr>
            <w:r>
              <w:rPr>
                <w:rFonts w:hAnsi="宋体"/>
                <w:highlight w:val="none"/>
              </w:rPr>
              <w:t>800</w:t>
            </w:r>
          </w:p>
        </w:tc>
        <w:tc>
          <w:tcPr>
            <w:tcW w:w="852" w:type="dxa"/>
            <w:vAlign w:val="center"/>
          </w:tcPr>
          <w:p>
            <w:pPr>
              <w:pStyle w:val="64"/>
              <w:rPr>
                <w:rFonts w:hAnsi="宋体"/>
                <w:highlight w:val="none"/>
              </w:rPr>
            </w:pPr>
            <w:r>
              <w:rPr>
                <w:rFonts w:hAnsi="宋体"/>
                <w:highlight w:val="none"/>
              </w:rPr>
              <w:t>800</w:t>
            </w:r>
          </w:p>
        </w:tc>
        <w:tc>
          <w:tcPr>
            <w:tcW w:w="1040" w:type="dxa"/>
            <w:vAlign w:val="center"/>
          </w:tcPr>
          <w:p>
            <w:pPr>
              <w:pStyle w:val="64"/>
              <w:rPr>
                <w:rFonts w:hAnsi="宋体"/>
                <w:highlight w:val="none"/>
              </w:rPr>
            </w:pPr>
            <w:r>
              <w:rPr>
                <w:rFonts w:hAnsi="宋体"/>
                <w:highlight w:val="none"/>
              </w:rPr>
              <w:t>2500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Align w:val="center"/>
          </w:tcPr>
          <w:p>
            <w:pPr>
              <w:pStyle w:val="64"/>
              <w:rPr>
                <w:rFonts w:hAnsi="宋体"/>
                <w:highlight w:val="none"/>
              </w:rPr>
            </w:pPr>
            <w:r>
              <w:rPr>
                <w:rFonts w:hAnsi="宋体"/>
                <w:highlight w:val="none"/>
              </w:rPr>
              <w:t>6</w:t>
            </w:r>
          </w:p>
        </w:tc>
        <w:tc>
          <w:tcPr>
            <w:tcW w:w="2754" w:type="dxa"/>
            <w:vAlign w:val="center"/>
          </w:tcPr>
          <w:p>
            <w:pPr>
              <w:pStyle w:val="64"/>
              <w:rPr>
                <w:rFonts w:hAnsi="宋体"/>
                <w:highlight w:val="none"/>
              </w:rPr>
            </w:pPr>
            <w:r>
              <w:rPr>
                <w:rFonts w:hAnsi="宋体"/>
                <w:highlight w:val="none"/>
              </w:rPr>
              <w:t>汞</w:t>
            </w:r>
          </w:p>
        </w:tc>
        <w:tc>
          <w:tcPr>
            <w:tcW w:w="1702" w:type="dxa"/>
            <w:vAlign w:val="center"/>
          </w:tcPr>
          <w:p>
            <w:pPr>
              <w:pStyle w:val="64"/>
              <w:rPr>
                <w:rFonts w:hAnsi="宋体"/>
                <w:highlight w:val="none"/>
              </w:rPr>
            </w:pPr>
            <w:r>
              <w:rPr>
                <w:rFonts w:hAnsi="宋体"/>
                <w:highlight w:val="none"/>
              </w:rPr>
              <w:t>7439-97-6</w:t>
            </w:r>
          </w:p>
        </w:tc>
        <w:tc>
          <w:tcPr>
            <w:tcW w:w="993" w:type="dxa"/>
            <w:vAlign w:val="center"/>
          </w:tcPr>
          <w:p>
            <w:pPr>
              <w:pStyle w:val="64"/>
              <w:rPr>
                <w:rFonts w:hAnsi="宋体"/>
                <w:highlight w:val="none"/>
              </w:rPr>
            </w:pPr>
            <w:r>
              <w:rPr>
                <w:rFonts w:hAnsi="宋体"/>
                <w:highlight w:val="none"/>
              </w:rPr>
              <w:t>8</w:t>
            </w:r>
          </w:p>
        </w:tc>
        <w:tc>
          <w:tcPr>
            <w:tcW w:w="991" w:type="dxa"/>
            <w:vAlign w:val="center"/>
          </w:tcPr>
          <w:p>
            <w:pPr>
              <w:pStyle w:val="64"/>
              <w:rPr>
                <w:rFonts w:hAnsi="宋体"/>
                <w:highlight w:val="none"/>
              </w:rPr>
            </w:pPr>
            <w:r>
              <w:rPr>
                <w:rFonts w:hAnsi="宋体"/>
                <w:highlight w:val="none"/>
              </w:rPr>
              <w:t>38</w:t>
            </w:r>
          </w:p>
        </w:tc>
        <w:tc>
          <w:tcPr>
            <w:tcW w:w="852" w:type="dxa"/>
            <w:vAlign w:val="center"/>
          </w:tcPr>
          <w:p>
            <w:pPr>
              <w:pStyle w:val="64"/>
              <w:rPr>
                <w:rFonts w:hAnsi="宋体"/>
                <w:highlight w:val="none"/>
              </w:rPr>
            </w:pPr>
            <w:r>
              <w:rPr>
                <w:rFonts w:hAnsi="宋体"/>
                <w:highlight w:val="none"/>
              </w:rPr>
              <w:t>33</w:t>
            </w:r>
          </w:p>
        </w:tc>
        <w:tc>
          <w:tcPr>
            <w:tcW w:w="1040" w:type="dxa"/>
            <w:vAlign w:val="center"/>
          </w:tcPr>
          <w:p>
            <w:pPr>
              <w:pStyle w:val="64"/>
              <w:rPr>
                <w:rFonts w:hAnsi="宋体"/>
                <w:highlight w:val="none"/>
              </w:rPr>
            </w:pPr>
            <w:r>
              <w:rPr>
                <w:rFonts w:hAnsi="宋体"/>
                <w:highlight w:val="none"/>
              </w:rPr>
              <w:t>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14" w:type="dxa"/>
            <w:vAlign w:val="center"/>
          </w:tcPr>
          <w:p>
            <w:pPr>
              <w:pStyle w:val="64"/>
              <w:rPr>
                <w:rFonts w:hAnsi="宋体"/>
                <w:highlight w:val="none"/>
              </w:rPr>
            </w:pPr>
            <w:r>
              <w:rPr>
                <w:rFonts w:hAnsi="宋体"/>
                <w:highlight w:val="none"/>
              </w:rPr>
              <w:t>7</w:t>
            </w:r>
          </w:p>
        </w:tc>
        <w:tc>
          <w:tcPr>
            <w:tcW w:w="2754" w:type="dxa"/>
            <w:vAlign w:val="center"/>
          </w:tcPr>
          <w:p>
            <w:pPr>
              <w:pStyle w:val="64"/>
              <w:rPr>
                <w:rFonts w:hAnsi="宋体"/>
                <w:highlight w:val="none"/>
              </w:rPr>
            </w:pPr>
            <w:r>
              <w:rPr>
                <w:rFonts w:hAnsi="宋体"/>
                <w:highlight w:val="none"/>
              </w:rPr>
              <w:t>镍</w:t>
            </w:r>
          </w:p>
        </w:tc>
        <w:tc>
          <w:tcPr>
            <w:tcW w:w="1702" w:type="dxa"/>
            <w:vAlign w:val="center"/>
          </w:tcPr>
          <w:p>
            <w:pPr>
              <w:pStyle w:val="64"/>
              <w:rPr>
                <w:rFonts w:hAnsi="宋体"/>
                <w:highlight w:val="none"/>
              </w:rPr>
            </w:pPr>
            <w:r>
              <w:rPr>
                <w:rFonts w:hAnsi="宋体"/>
                <w:highlight w:val="none"/>
              </w:rPr>
              <w:t>7440-02-0</w:t>
            </w:r>
          </w:p>
        </w:tc>
        <w:tc>
          <w:tcPr>
            <w:tcW w:w="993" w:type="dxa"/>
            <w:vAlign w:val="center"/>
          </w:tcPr>
          <w:p>
            <w:pPr>
              <w:pStyle w:val="64"/>
              <w:rPr>
                <w:rFonts w:hAnsi="宋体"/>
                <w:highlight w:val="none"/>
              </w:rPr>
            </w:pPr>
            <w:r>
              <w:rPr>
                <w:rFonts w:hAnsi="宋体"/>
                <w:highlight w:val="none"/>
              </w:rPr>
              <w:t>150</w:t>
            </w:r>
          </w:p>
        </w:tc>
        <w:tc>
          <w:tcPr>
            <w:tcW w:w="991" w:type="dxa"/>
            <w:vAlign w:val="center"/>
          </w:tcPr>
          <w:p>
            <w:pPr>
              <w:pStyle w:val="64"/>
              <w:rPr>
                <w:rFonts w:hAnsi="宋体"/>
                <w:highlight w:val="none"/>
              </w:rPr>
            </w:pPr>
            <w:r>
              <w:rPr>
                <w:rFonts w:hAnsi="宋体"/>
                <w:highlight w:val="none"/>
              </w:rPr>
              <w:t>900</w:t>
            </w:r>
          </w:p>
        </w:tc>
        <w:tc>
          <w:tcPr>
            <w:tcW w:w="852" w:type="dxa"/>
            <w:vAlign w:val="center"/>
          </w:tcPr>
          <w:p>
            <w:pPr>
              <w:pStyle w:val="64"/>
              <w:rPr>
                <w:rFonts w:hAnsi="宋体"/>
                <w:highlight w:val="none"/>
              </w:rPr>
            </w:pPr>
            <w:r>
              <w:rPr>
                <w:rFonts w:hAnsi="宋体"/>
                <w:highlight w:val="none"/>
              </w:rPr>
              <w:t>600</w:t>
            </w:r>
          </w:p>
        </w:tc>
        <w:tc>
          <w:tcPr>
            <w:tcW w:w="1040" w:type="dxa"/>
            <w:vAlign w:val="center"/>
          </w:tcPr>
          <w:p>
            <w:pPr>
              <w:pStyle w:val="64"/>
              <w:rPr>
                <w:rFonts w:hAnsi="宋体"/>
                <w:highlight w:val="none"/>
              </w:rPr>
            </w:pPr>
            <w:r>
              <w:rPr>
                <w:rFonts w:hAnsi="宋体"/>
                <w:highlight w:val="none"/>
              </w:rPr>
              <w:t>2000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8</w:t>
            </w:r>
          </w:p>
        </w:tc>
        <w:tc>
          <w:tcPr>
            <w:tcW w:w="2754" w:type="dxa"/>
            <w:vAlign w:val="center"/>
          </w:tcPr>
          <w:p>
            <w:pPr>
              <w:pStyle w:val="64"/>
              <w:rPr>
                <w:rFonts w:hAnsi="宋体"/>
                <w:highlight w:val="none"/>
              </w:rPr>
            </w:pPr>
            <w:r>
              <w:rPr>
                <w:rFonts w:hAnsi="宋体"/>
                <w:highlight w:val="none"/>
              </w:rPr>
              <w:t>四氯化碳</w:t>
            </w:r>
          </w:p>
        </w:tc>
        <w:tc>
          <w:tcPr>
            <w:tcW w:w="1702" w:type="dxa"/>
            <w:vAlign w:val="center"/>
          </w:tcPr>
          <w:p>
            <w:pPr>
              <w:pStyle w:val="64"/>
              <w:rPr>
                <w:rFonts w:hAnsi="宋体"/>
                <w:highlight w:val="none"/>
              </w:rPr>
            </w:pPr>
            <w:r>
              <w:rPr>
                <w:rFonts w:hAnsi="宋体"/>
                <w:highlight w:val="none"/>
              </w:rPr>
              <w:t>56-23-5</w:t>
            </w:r>
          </w:p>
        </w:tc>
        <w:tc>
          <w:tcPr>
            <w:tcW w:w="993" w:type="dxa"/>
            <w:vAlign w:val="center"/>
          </w:tcPr>
          <w:p>
            <w:pPr>
              <w:pStyle w:val="64"/>
              <w:rPr>
                <w:rFonts w:hAnsi="宋体"/>
                <w:highlight w:val="none"/>
              </w:rPr>
            </w:pPr>
            <w:r>
              <w:rPr>
                <w:rFonts w:hAnsi="宋体"/>
                <w:highlight w:val="none"/>
              </w:rPr>
              <w:t>0.9</w:t>
            </w:r>
          </w:p>
        </w:tc>
        <w:tc>
          <w:tcPr>
            <w:tcW w:w="991" w:type="dxa"/>
            <w:vAlign w:val="center"/>
          </w:tcPr>
          <w:p>
            <w:pPr>
              <w:pStyle w:val="64"/>
              <w:rPr>
                <w:rFonts w:hAnsi="宋体"/>
                <w:highlight w:val="none"/>
              </w:rPr>
            </w:pPr>
            <w:r>
              <w:rPr>
                <w:rFonts w:hAnsi="宋体"/>
                <w:highlight w:val="none"/>
              </w:rPr>
              <w:t>2.8</w:t>
            </w:r>
          </w:p>
        </w:tc>
        <w:tc>
          <w:tcPr>
            <w:tcW w:w="852" w:type="dxa"/>
            <w:vAlign w:val="center"/>
          </w:tcPr>
          <w:p>
            <w:pPr>
              <w:pStyle w:val="64"/>
              <w:rPr>
                <w:rFonts w:hAnsi="宋体"/>
                <w:highlight w:val="none"/>
              </w:rPr>
            </w:pPr>
            <w:r>
              <w:rPr>
                <w:rFonts w:hAnsi="宋体"/>
                <w:highlight w:val="none"/>
              </w:rPr>
              <w:t>9</w:t>
            </w:r>
          </w:p>
        </w:tc>
        <w:tc>
          <w:tcPr>
            <w:tcW w:w="1040" w:type="dxa"/>
            <w:vAlign w:val="center"/>
          </w:tcPr>
          <w:p>
            <w:pPr>
              <w:pStyle w:val="64"/>
              <w:rPr>
                <w:rFonts w:hAnsi="宋体"/>
                <w:highlight w:val="none"/>
              </w:rPr>
            </w:pPr>
            <w:r>
              <w:rPr>
                <w:rFonts w:hAnsi="宋体"/>
                <w:highlight w:val="none"/>
              </w:rPr>
              <w:t>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9</w:t>
            </w:r>
          </w:p>
        </w:tc>
        <w:tc>
          <w:tcPr>
            <w:tcW w:w="2754" w:type="dxa"/>
            <w:vAlign w:val="center"/>
          </w:tcPr>
          <w:p>
            <w:pPr>
              <w:pStyle w:val="64"/>
              <w:rPr>
                <w:rFonts w:hAnsi="宋体"/>
                <w:highlight w:val="none"/>
              </w:rPr>
            </w:pPr>
            <w:r>
              <w:rPr>
                <w:rFonts w:hAnsi="宋体"/>
                <w:highlight w:val="none"/>
              </w:rPr>
              <w:t>氯仿</w:t>
            </w:r>
          </w:p>
        </w:tc>
        <w:tc>
          <w:tcPr>
            <w:tcW w:w="1702" w:type="dxa"/>
            <w:vAlign w:val="center"/>
          </w:tcPr>
          <w:p>
            <w:pPr>
              <w:pStyle w:val="64"/>
              <w:rPr>
                <w:rFonts w:hAnsi="宋体"/>
                <w:highlight w:val="none"/>
              </w:rPr>
            </w:pPr>
            <w:r>
              <w:rPr>
                <w:rFonts w:hAnsi="宋体"/>
                <w:highlight w:val="none"/>
              </w:rPr>
              <w:t>67-66-3</w:t>
            </w:r>
          </w:p>
        </w:tc>
        <w:tc>
          <w:tcPr>
            <w:tcW w:w="993" w:type="dxa"/>
            <w:vAlign w:val="center"/>
          </w:tcPr>
          <w:p>
            <w:pPr>
              <w:pStyle w:val="64"/>
              <w:rPr>
                <w:rFonts w:hAnsi="宋体"/>
                <w:highlight w:val="none"/>
              </w:rPr>
            </w:pPr>
            <w:r>
              <w:rPr>
                <w:rFonts w:hAnsi="宋体"/>
                <w:highlight w:val="none"/>
              </w:rPr>
              <w:t>0.3</w:t>
            </w:r>
          </w:p>
        </w:tc>
        <w:tc>
          <w:tcPr>
            <w:tcW w:w="991" w:type="dxa"/>
            <w:vAlign w:val="center"/>
          </w:tcPr>
          <w:p>
            <w:pPr>
              <w:pStyle w:val="64"/>
              <w:rPr>
                <w:rFonts w:hAnsi="宋体"/>
                <w:highlight w:val="none"/>
              </w:rPr>
            </w:pPr>
            <w:r>
              <w:rPr>
                <w:rFonts w:hAnsi="宋体"/>
                <w:highlight w:val="none"/>
              </w:rPr>
              <w:t>0.9</w:t>
            </w:r>
          </w:p>
        </w:tc>
        <w:tc>
          <w:tcPr>
            <w:tcW w:w="852" w:type="dxa"/>
            <w:vAlign w:val="center"/>
          </w:tcPr>
          <w:p>
            <w:pPr>
              <w:pStyle w:val="64"/>
              <w:rPr>
                <w:rFonts w:hAnsi="宋体"/>
                <w:highlight w:val="none"/>
              </w:rPr>
            </w:pPr>
            <w:r>
              <w:rPr>
                <w:rFonts w:hAnsi="宋体"/>
                <w:highlight w:val="none"/>
              </w:rPr>
              <w:t>5</w:t>
            </w:r>
          </w:p>
        </w:tc>
        <w:tc>
          <w:tcPr>
            <w:tcW w:w="1040" w:type="dxa"/>
            <w:vAlign w:val="center"/>
          </w:tcPr>
          <w:p>
            <w:pPr>
              <w:pStyle w:val="64"/>
              <w:rPr>
                <w:rFonts w:hAnsi="宋体"/>
                <w:highlight w:val="none"/>
              </w:rPr>
            </w:pPr>
            <w:r>
              <w:rPr>
                <w:rFonts w:hAnsi="宋体"/>
                <w:highlight w:val="none"/>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10</w:t>
            </w:r>
          </w:p>
        </w:tc>
        <w:tc>
          <w:tcPr>
            <w:tcW w:w="2754" w:type="dxa"/>
            <w:vAlign w:val="center"/>
          </w:tcPr>
          <w:p>
            <w:pPr>
              <w:pStyle w:val="64"/>
              <w:rPr>
                <w:rFonts w:hAnsi="宋体"/>
                <w:highlight w:val="none"/>
              </w:rPr>
            </w:pPr>
            <w:r>
              <w:rPr>
                <w:rFonts w:hAnsi="宋体"/>
                <w:highlight w:val="none"/>
              </w:rPr>
              <w:t>氯甲烷</w:t>
            </w:r>
          </w:p>
        </w:tc>
        <w:tc>
          <w:tcPr>
            <w:tcW w:w="1702" w:type="dxa"/>
            <w:vAlign w:val="center"/>
          </w:tcPr>
          <w:p>
            <w:pPr>
              <w:pStyle w:val="64"/>
              <w:rPr>
                <w:rFonts w:hAnsi="宋体"/>
                <w:highlight w:val="none"/>
              </w:rPr>
            </w:pPr>
            <w:r>
              <w:rPr>
                <w:rFonts w:hAnsi="宋体"/>
                <w:highlight w:val="none"/>
              </w:rPr>
              <w:t>74-87-3</w:t>
            </w:r>
          </w:p>
        </w:tc>
        <w:tc>
          <w:tcPr>
            <w:tcW w:w="993" w:type="dxa"/>
            <w:vAlign w:val="center"/>
          </w:tcPr>
          <w:p>
            <w:pPr>
              <w:pStyle w:val="64"/>
              <w:rPr>
                <w:rFonts w:hAnsi="宋体"/>
                <w:highlight w:val="none"/>
              </w:rPr>
            </w:pPr>
            <w:r>
              <w:rPr>
                <w:rFonts w:hAnsi="宋体"/>
                <w:highlight w:val="none"/>
              </w:rPr>
              <w:t>12</w:t>
            </w:r>
          </w:p>
        </w:tc>
        <w:tc>
          <w:tcPr>
            <w:tcW w:w="991" w:type="dxa"/>
            <w:vAlign w:val="center"/>
          </w:tcPr>
          <w:p>
            <w:pPr>
              <w:pStyle w:val="64"/>
              <w:rPr>
                <w:rFonts w:hAnsi="宋体"/>
                <w:highlight w:val="none"/>
              </w:rPr>
            </w:pPr>
            <w:r>
              <w:rPr>
                <w:rFonts w:hAnsi="宋体"/>
                <w:highlight w:val="none"/>
              </w:rPr>
              <w:t>37</w:t>
            </w:r>
          </w:p>
        </w:tc>
        <w:tc>
          <w:tcPr>
            <w:tcW w:w="852" w:type="dxa"/>
            <w:vAlign w:val="center"/>
          </w:tcPr>
          <w:p>
            <w:pPr>
              <w:pStyle w:val="64"/>
              <w:rPr>
                <w:rFonts w:hAnsi="宋体"/>
                <w:highlight w:val="none"/>
              </w:rPr>
            </w:pPr>
            <w:r>
              <w:rPr>
                <w:rFonts w:hAnsi="宋体"/>
                <w:highlight w:val="none"/>
              </w:rPr>
              <w:t>21</w:t>
            </w:r>
          </w:p>
        </w:tc>
        <w:tc>
          <w:tcPr>
            <w:tcW w:w="1040" w:type="dxa"/>
            <w:vAlign w:val="center"/>
          </w:tcPr>
          <w:p>
            <w:pPr>
              <w:pStyle w:val="64"/>
              <w:rPr>
                <w:rFonts w:hAnsi="宋体"/>
                <w:highlight w:val="none"/>
              </w:rPr>
            </w:pPr>
            <w:r>
              <w:rPr>
                <w:rFonts w:hAnsi="宋体"/>
                <w:highlight w:val="none"/>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11</w:t>
            </w:r>
          </w:p>
        </w:tc>
        <w:tc>
          <w:tcPr>
            <w:tcW w:w="2754" w:type="dxa"/>
            <w:vAlign w:val="center"/>
          </w:tcPr>
          <w:p>
            <w:pPr>
              <w:pStyle w:val="64"/>
              <w:rPr>
                <w:rFonts w:hAnsi="宋体"/>
                <w:highlight w:val="none"/>
              </w:rPr>
            </w:pPr>
            <w:r>
              <w:rPr>
                <w:rFonts w:hAnsi="宋体"/>
                <w:highlight w:val="none"/>
              </w:rPr>
              <w:t>1，1-二氯乙烷</w:t>
            </w:r>
          </w:p>
        </w:tc>
        <w:tc>
          <w:tcPr>
            <w:tcW w:w="1702" w:type="dxa"/>
            <w:vAlign w:val="center"/>
          </w:tcPr>
          <w:p>
            <w:pPr>
              <w:pStyle w:val="64"/>
              <w:rPr>
                <w:rFonts w:hAnsi="宋体"/>
                <w:highlight w:val="none"/>
              </w:rPr>
            </w:pPr>
            <w:r>
              <w:rPr>
                <w:rFonts w:hAnsi="宋体"/>
                <w:highlight w:val="none"/>
              </w:rPr>
              <w:t>75-34-3</w:t>
            </w:r>
          </w:p>
        </w:tc>
        <w:tc>
          <w:tcPr>
            <w:tcW w:w="993" w:type="dxa"/>
            <w:vAlign w:val="center"/>
          </w:tcPr>
          <w:p>
            <w:pPr>
              <w:pStyle w:val="64"/>
              <w:rPr>
                <w:rFonts w:hAnsi="宋体"/>
                <w:highlight w:val="none"/>
              </w:rPr>
            </w:pPr>
            <w:r>
              <w:rPr>
                <w:rFonts w:hAnsi="宋体"/>
                <w:highlight w:val="none"/>
              </w:rPr>
              <w:t>3</w:t>
            </w:r>
          </w:p>
        </w:tc>
        <w:tc>
          <w:tcPr>
            <w:tcW w:w="991" w:type="dxa"/>
            <w:vAlign w:val="center"/>
          </w:tcPr>
          <w:p>
            <w:pPr>
              <w:pStyle w:val="64"/>
              <w:rPr>
                <w:rFonts w:hAnsi="宋体"/>
                <w:highlight w:val="none"/>
              </w:rPr>
            </w:pPr>
            <w:r>
              <w:rPr>
                <w:rFonts w:hAnsi="宋体"/>
                <w:highlight w:val="none"/>
              </w:rPr>
              <w:t>9</w:t>
            </w:r>
          </w:p>
        </w:tc>
        <w:tc>
          <w:tcPr>
            <w:tcW w:w="852" w:type="dxa"/>
            <w:vAlign w:val="center"/>
          </w:tcPr>
          <w:p>
            <w:pPr>
              <w:pStyle w:val="64"/>
              <w:rPr>
                <w:rFonts w:hAnsi="宋体"/>
                <w:highlight w:val="none"/>
              </w:rPr>
            </w:pPr>
            <w:r>
              <w:rPr>
                <w:rFonts w:hAnsi="宋体"/>
                <w:highlight w:val="none"/>
              </w:rPr>
              <w:t>20</w:t>
            </w:r>
          </w:p>
        </w:tc>
        <w:tc>
          <w:tcPr>
            <w:tcW w:w="1040" w:type="dxa"/>
            <w:vAlign w:val="center"/>
          </w:tcPr>
          <w:p>
            <w:pPr>
              <w:pStyle w:val="64"/>
              <w:rPr>
                <w:rFonts w:hAnsi="宋体"/>
                <w:highlight w:val="none"/>
              </w:rPr>
            </w:pPr>
            <w:r>
              <w:rPr>
                <w:rFonts w:hAnsi="宋体"/>
                <w:highlight w:val="none"/>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12</w:t>
            </w:r>
          </w:p>
        </w:tc>
        <w:tc>
          <w:tcPr>
            <w:tcW w:w="2754" w:type="dxa"/>
            <w:vAlign w:val="center"/>
          </w:tcPr>
          <w:p>
            <w:pPr>
              <w:pStyle w:val="64"/>
              <w:rPr>
                <w:rFonts w:hAnsi="宋体"/>
                <w:highlight w:val="none"/>
              </w:rPr>
            </w:pPr>
            <w:r>
              <w:rPr>
                <w:rFonts w:hAnsi="宋体"/>
                <w:highlight w:val="none"/>
              </w:rPr>
              <w:t>1，2-二氯乙烷</w:t>
            </w:r>
          </w:p>
        </w:tc>
        <w:tc>
          <w:tcPr>
            <w:tcW w:w="1702" w:type="dxa"/>
            <w:vAlign w:val="center"/>
          </w:tcPr>
          <w:p>
            <w:pPr>
              <w:pStyle w:val="64"/>
              <w:rPr>
                <w:rFonts w:hAnsi="宋体"/>
                <w:highlight w:val="none"/>
              </w:rPr>
            </w:pPr>
            <w:r>
              <w:rPr>
                <w:rFonts w:hAnsi="宋体"/>
                <w:highlight w:val="none"/>
              </w:rPr>
              <w:t>107-06-2</w:t>
            </w:r>
          </w:p>
        </w:tc>
        <w:tc>
          <w:tcPr>
            <w:tcW w:w="993" w:type="dxa"/>
            <w:vAlign w:val="center"/>
          </w:tcPr>
          <w:p>
            <w:pPr>
              <w:pStyle w:val="64"/>
              <w:rPr>
                <w:rFonts w:hAnsi="宋体"/>
                <w:highlight w:val="none"/>
              </w:rPr>
            </w:pPr>
            <w:r>
              <w:rPr>
                <w:rFonts w:hAnsi="宋体"/>
                <w:highlight w:val="none"/>
              </w:rPr>
              <w:t>0.52</w:t>
            </w:r>
          </w:p>
        </w:tc>
        <w:tc>
          <w:tcPr>
            <w:tcW w:w="991" w:type="dxa"/>
            <w:vAlign w:val="center"/>
          </w:tcPr>
          <w:p>
            <w:pPr>
              <w:pStyle w:val="64"/>
              <w:rPr>
                <w:rFonts w:hAnsi="宋体"/>
                <w:highlight w:val="none"/>
              </w:rPr>
            </w:pPr>
            <w:r>
              <w:rPr>
                <w:rFonts w:hAnsi="宋体"/>
                <w:highlight w:val="none"/>
              </w:rPr>
              <w:t>5</w:t>
            </w:r>
          </w:p>
        </w:tc>
        <w:tc>
          <w:tcPr>
            <w:tcW w:w="852" w:type="dxa"/>
            <w:vAlign w:val="center"/>
          </w:tcPr>
          <w:p>
            <w:pPr>
              <w:pStyle w:val="64"/>
              <w:rPr>
                <w:rFonts w:hAnsi="宋体"/>
                <w:highlight w:val="none"/>
              </w:rPr>
            </w:pPr>
            <w:r>
              <w:rPr>
                <w:rFonts w:hAnsi="宋体"/>
                <w:highlight w:val="none"/>
              </w:rPr>
              <w:t>6</w:t>
            </w:r>
          </w:p>
        </w:tc>
        <w:tc>
          <w:tcPr>
            <w:tcW w:w="1040" w:type="dxa"/>
            <w:vAlign w:val="center"/>
          </w:tcPr>
          <w:p>
            <w:pPr>
              <w:pStyle w:val="64"/>
              <w:rPr>
                <w:rFonts w:hAnsi="宋体"/>
                <w:highlight w:val="none"/>
              </w:rPr>
            </w:pPr>
            <w:r>
              <w:rPr>
                <w:rFonts w:hAnsi="宋体"/>
                <w:highlight w:val="none"/>
              </w:rPr>
              <w:t>21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13</w:t>
            </w:r>
          </w:p>
        </w:tc>
        <w:tc>
          <w:tcPr>
            <w:tcW w:w="2754" w:type="dxa"/>
            <w:vAlign w:val="center"/>
          </w:tcPr>
          <w:p>
            <w:pPr>
              <w:pStyle w:val="64"/>
              <w:rPr>
                <w:rFonts w:hAnsi="宋体"/>
                <w:highlight w:val="none"/>
              </w:rPr>
            </w:pPr>
            <w:r>
              <w:rPr>
                <w:rFonts w:hAnsi="宋体"/>
                <w:highlight w:val="none"/>
              </w:rPr>
              <w:t>1，1-二氯乙烯</w:t>
            </w:r>
          </w:p>
        </w:tc>
        <w:tc>
          <w:tcPr>
            <w:tcW w:w="1702" w:type="dxa"/>
            <w:vAlign w:val="center"/>
          </w:tcPr>
          <w:p>
            <w:pPr>
              <w:pStyle w:val="64"/>
              <w:rPr>
                <w:rFonts w:hAnsi="宋体"/>
                <w:highlight w:val="none"/>
              </w:rPr>
            </w:pPr>
            <w:r>
              <w:rPr>
                <w:rFonts w:hAnsi="宋体"/>
                <w:highlight w:val="none"/>
              </w:rPr>
              <w:t>75-35-4</w:t>
            </w:r>
          </w:p>
        </w:tc>
        <w:tc>
          <w:tcPr>
            <w:tcW w:w="993" w:type="dxa"/>
            <w:vAlign w:val="center"/>
          </w:tcPr>
          <w:p>
            <w:pPr>
              <w:pStyle w:val="64"/>
              <w:rPr>
                <w:rFonts w:hAnsi="宋体"/>
                <w:highlight w:val="none"/>
              </w:rPr>
            </w:pPr>
            <w:r>
              <w:rPr>
                <w:rFonts w:hAnsi="宋体"/>
                <w:highlight w:val="none"/>
              </w:rPr>
              <w:t>12</w:t>
            </w:r>
          </w:p>
        </w:tc>
        <w:tc>
          <w:tcPr>
            <w:tcW w:w="991" w:type="dxa"/>
            <w:vAlign w:val="center"/>
          </w:tcPr>
          <w:p>
            <w:pPr>
              <w:pStyle w:val="64"/>
              <w:rPr>
                <w:rFonts w:hAnsi="宋体"/>
                <w:highlight w:val="none"/>
              </w:rPr>
            </w:pPr>
            <w:r>
              <w:rPr>
                <w:rFonts w:hAnsi="宋体"/>
                <w:highlight w:val="none"/>
              </w:rPr>
              <w:t>66</w:t>
            </w:r>
          </w:p>
        </w:tc>
        <w:tc>
          <w:tcPr>
            <w:tcW w:w="852" w:type="dxa"/>
            <w:vAlign w:val="center"/>
          </w:tcPr>
          <w:p>
            <w:pPr>
              <w:pStyle w:val="64"/>
              <w:rPr>
                <w:rFonts w:hAnsi="宋体"/>
                <w:highlight w:val="none"/>
              </w:rPr>
            </w:pPr>
            <w:r>
              <w:rPr>
                <w:rFonts w:hAnsi="宋体"/>
                <w:highlight w:val="none"/>
              </w:rPr>
              <w:t>40</w:t>
            </w:r>
          </w:p>
        </w:tc>
        <w:tc>
          <w:tcPr>
            <w:tcW w:w="1040" w:type="dxa"/>
            <w:vAlign w:val="center"/>
          </w:tcPr>
          <w:p>
            <w:pPr>
              <w:pStyle w:val="64"/>
              <w:rPr>
                <w:rFonts w:hAnsi="宋体"/>
                <w:highlight w:val="none"/>
              </w:rPr>
            </w:pPr>
            <w:r>
              <w:rPr>
                <w:rFonts w:hAnsi="宋体"/>
                <w:highlight w:val="none"/>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14</w:t>
            </w:r>
          </w:p>
        </w:tc>
        <w:tc>
          <w:tcPr>
            <w:tcW w:w="2754" w:type="dxa"/>
            <w:vAlign w:val="center"/>
          </w:tcPr>
          <w:p>
            <w:pPr>
              <w:pStyle w:val="64"/>
              <w:rPr>
                <w:rFonts w:hAnsi="宋体"/>
                <w:highlight w:val="none"/>
              </w:rPr>
            </w:pPr>
            <w:r>
              <w:rPr>
                <w:rFonts w:hAnsi="宋体"/>
                <w:highlight w:val="none"/>
              </w:rPr>
              <w:t>顺-1，2-二氯乙烯</w:t>
            </w:r>
          </w:p>
        </w:tc>
        <w:tc>
          <w:tcPr>
            <w:tcW w:w="1702" w:type="dxa"/>
            <w:vAlign w:val="center"/>
          </w:tcPr>
          <w:p>
            <w:pPr>
              <w:pStyle w:val="64"/>
              <w:rPr>
                <w:rFonts w:hAnsi="宋体"/>
                <w:highlight w:val="none"/>
              </w:rPr>
            </w:pPr>
            <w:r>
              <w:rPr>
                <w:rFonts w:hAnsi="宋体"/>
                <w:highlight w:val="none"/>
              </w:rPr>
              <w:t>156-59-2</w:t>
            </w:r>
          </w:p>
        </w:tc>
        <w:tc>
          <w:tcPr>
            <w:tcW w:w="993" w:type="dxa"/>
            <w:vAlign w:val="center"/>
          </w:tcPr>
          <w:p>
            <w:pPr>
              <w:pStyle w:val="64"/>
              <w:rPr>
                <w:rFonts w:hAnsi="宋体"/>
                <w:highlight w:val="none"/>
              </w:rPr>
            </w:pPr>
            <w:r>
              <w:rPr>
                <w:rFonts w:hAnsi="宋体"/>
                <w:highlight w:val="none"/>
              </w:rPr>
              <w:t>66</w:t>
            </w:r>
          </w:p>
        </w:tc>
        <w:tc>
          <w:tcPr>
            <w:tcW w:w="991" w:type="dxa"/>
            <w:vAlign w:val="center"/>
          </w:tcPr>
          <w:p>
            <w:pPr>
              <w:pStyle w:val="64"/>
              <w:rPr>
                <w:rFonts w:hAnsi="宋体"/>
                <w:highlight w:val="none"/>
              </w:rPr>
            </w:pPr>
            <w:r>
              <w:rPr>
                <w:rFonts w:hAnsi="宋体"/>
                <w:highlight w:val="none"/>
              </w:rPr>
              <w:t>596</w:t>
            </w:r>
          </w:p>
        </w:tc>
        <w:tc>
          <w:tcPr>
            <w:tcW w:w="852" w:type="dxa"/>
            <w:vAlign w:val="center"/>
          </w:tcPr>
          <w:p>
            <w:pPr>
              <w:pStyle w:val="64"/>
              <w:rPr>
                <w:rFonts w:hAnsi="宋体"/>
                <w:highlight w:val="none"/>
              </w:rPr>
            </w:pPr>
            <w:r>
              <w:rPr>
                <w:rFonts w:hAnsi="宋体"/>
                <w:highlight w:val="none"/>
              </w:rPr>
              <w:t>200</w:t>
            </w:r>
          </w:p>
        </w:tc>
        <w:tc>
          <w:tcPr>
            <w:tcW w:w="1040" w:type="dxa"/>
            <w:vAlign w:val="center"/>
          </w:tcPr>
          <w:p>
            <w:pPr>
              <w:pStyle w:val="64"/>
              <w:rPr>
                <w:rFonts w:hAnsi="宋体"/>
                <w:highlight w:val="none"/>
              </w:rPr>
            </w:pPr>
            <w:r>
              <w:rPr>
                <w:rFonts w:hAnsi="宋体"/>
                <w:highlight w:val="none"/>
              </w:rPr>
              <w:t>2000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15</w:t>
            </w:r>
          </w:p>
        </w:tc>
        <w:tc>
          <w:tcPr>
            <w:tcW w:w="2754" w:type="dxa"/>
            <w:vAlign w:val="center"/>
          </w:tcPr>
          <w:p>
            <w:pPr>
              <w:pStyle w:val="64"/>
              <w:rPr>
                <w:rFonts w:hAnsi="宋体"/>
                <w:highlight w:val="none"/>
              </w:rPr>
            </w:pPr>
            <w:r>
              <w:rPr>
                <w:rFonts w:hAnsi="宋体"/>
                <w:highlight w:val="none"/>
              </w:rPr>
              <w:t>反-1，2-二氯乙烯</w:t>
            </w:r>
          </w:p>
        </w:tc>
        <w:tc>
          <w:tcPr>
            <w:tcW w:w="1702" w:type="dxa"/>
            <w:vAlign w:val="center"/>
          </w:tcPr>
          <w:p>
            <w:pPr>
              <w:pStyle w:val="64"/>
              <w:rPr>
                <w:rFonts w:hAnsi="宋体"/>
                <w:highlight w:val="none"/>
              </w:rPr>
            </w:pPr>
            <w:r>
              <w:rPr>
                <w:rFonts w:hAnsi="宋体"/>
                <w:highlight w:val="none"/>
              </w:rPr>
              <w:t>156-60-5</w:t>
            </w:r>
          </w:p>
        </w:tc>
        <w:tc>
          <w:tcPr>
            <w:tcW w:w="993" w:type="dxa"/>
            <w:vAlign w:val="center"/>
          </w:tcPr>
          <w:p>
            <w:pPr>
              <w:pStyle w:val="64"/>
              <w:rPr>
                <w:rFonts w:hAnsi="宋体"/>
                <w:highlight w:val="none"/>
              </w:rPr>
            </w:pPr>
            <w:r>
              <w:rPr>
                <w:rFonts w:hAnsi="宋体"/>
                <w:highlight w:val="none"/>
              </w:rPr>
              <w:t>10</w:t>
            </w:r>
          </w:p>
        </w:tc>
        <w:tc>
          <w:tcPr>
            <w:tcW w:w="991" w:type="dxa"/>
            <w:vAlign w:val="center"/>
          </w:tcPr>
          <w:p>
            <w:pPr>
              <w:pStyle w:val="64"/>
              <w:rPr>
                <w:rFonts w:hAnsi="宋体"/>
                <w:highlight w:val="none"/>
              </w:rPr>
            </w:pPr>
            <w:r>
              <w:rPr>
                <w:rFonts w:hAnsi="宋体"/>
                <w:highlight w:val="none"/>
              </w:rPr>
              <w:t>54</w:t>
            </w:r>
          </w:p>
        </w:tc>
        <w:tc>
          <w:tcPr>
            <w:tcW w:w="852" w:type="dxa"/>
            <w:vAlign w:val="center"/>
          </w:tcPr>
          <w:p>
            <w:pPr>
              <w:pStyle w:val="64"/>
              <w:rPr>
                <w:rFonts w:hAnsi="宋体"/>
                <w:highlight w:val="none"/>
              </w:rPr>
            </w:pPr>
            <w:r>
              <w:rPr>
                <w:rFonts w:hAnsi="宋体"/>
                <w:highlight w:val="none"/>
              </w:rPr>
              <w:t>31</w:t>
            </w:r>
          </w:p>
        </w:tc>
        <w:tc>
          <w:tcPr>
            <w:tcW w:w="1040" w:type="dxa"/>
            <w:vAlign w:val="center"/>
          </w:tcPr>
          <w:p>
            <w:pPr>
              <w:pStyle w:val="64"/>
              <w:rPr>
                <w:rFonts w:hAnsi="宋体"/>
                <w:highlight w:val="none"/>
              </w:rPr>
            </w:pPr>
            <w:r>
              <w:rPr>
                <w:rFonts w:hAnsi="宋体"/>
                <w:highlight w:val="none"/>
              </w:rPr>
              <w:t>163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16</w:t>
            </w:r>
          </w:p>
        </w:tc>
        <w:tc>
          <w:tcPr>
            <w:tcW w:w="2754" w:type="dxa"/>
            <w:vAlign w:val="center"/>
          </w:tcPr>
          <w:p>
            <w:pPr>
              <w:pStyle w:val="64"/>
              <w:rPr>
                <w:rFonts w:hAnsi="宋体"/>
                <w:highlight w:val="none"/>
              </w:rPr>
            </w:pPr>
            <w:r>
              <w:rPr>
                <w:rFonts w:hAnsi="宋体"/>
                <w:highlight w:val="none"/>
              </w:rPr>
              <w:t>二氯甲烷</w:t>
            </w:r>
          </w:p>
        </w:tc>
        <w:tc>
          <w:tcPr>
            <w:tcW w:w="1702" w:type="dxa"/>
            <w:vAlign w:val="center"/>
          </w:tcPr>
          <w:p>
            <w:pPr>
              <w:pStyle w:val="64"/>
              <w:rPr>
                <w:rFonts w:hAnsi="宋体"/>
                <w:highlight w:val="none"/>
              </w:rPr>
            </w:pPr>
            <w:r>
              <w:rPr>
                <w:rFonts w:hAnsi="宋体"/>
                <w:highlight w:val="none"/>
              </w:rPr>
              <w:t>75-09-2</w:t>
            </w:r>
          </w:p>
        </w:tc>
        <w:tc>
          <w:tcPr>
            <w:tcW w:w="993" w:type="dxa"/>
            <w:vAlign w:val="center"/>
          </w:tcPr>
          <w:p>
            <w:pPr>
              <w:pStyle w:val="64"/>
              <w:rPr>
                <w:rFonts w:hAnsi="宋体"/>
                <w:highlight w:val="none"/>
              </w:rPr>
            </w:pPr>
            <w:r>
              <w:rPr>
                <w:rFonts w:hAnsi="宋体"/>
                <w:highlight w:val="none"/>
              </w:rPr>
              <w:t>94</w:t>
            </w:r>
          </w:p>
        </w:tc>
        <w:tc>
          <w:tcPr>
            <w:tcW w:w="991" w:type="dxa"/>
            <w:vAlign w:val="center"/>
          </w:tcPr>
          <w:p>
            <w:pPr>
              <w:pStyle w:val="64"/>
              <w:rPr>
                <w:rFonts w:hAnsi="宋体"/>
                <w:highlight w:val="none"/>
              </w:rPr>
            </w:pPr>
            <w:r>
              <w:rPr>
                <w:rFonts w:hAnsi="宋体"/>
                <w:highlight w:val="none"/>
              </w:rPr>
              <w:t>616</w:t>
            </w:r>
          </w:p>
        </w:tc>
        <w:tc>
          <w:tcPr>
            <w:tcW w:w="852" w:type="dxa"/>
            <w:vAlign w:val="center"/>
          </w:tcPr>
          <w:p>
            <w:pPr>
              <w:pStyle w:val="64"/>
              <w:rPr>
                <w:rFonts w:hAnsi="宋体"/>
                <w:highlight w:val="none"/>
              </w:rPr>
            </w:pPr>
            <w:r>
              <w:rPr>
                <w:rFonts w:hAnsi="宋体"/>
                <w:highlight w:val="none"/>
              </w:rPr>
              <w:t>300</w:t>
            </w:r>
          </w:p>
        </w:tc>
        <w:tc>
          <w:tcPr>
            <w:tcW w:w="1040" w:type="dxa"/>
            <w:vAlign w:val="center"/>
          </w:tcPr>
          <w:p>
            <w:pPr>
              <w:pStyle w:val="64"/>
              <w:rPr>
                <w:rFonts w:hAnsi="宋体"/>
                <w:highlight w:val="none"/>
              </w:rPr>
            </w:pPr>
            <w:r>
              <w:rPr>
                <w:rFonts w:hAnsi="宋体"/>
                <w:highlight w:val="none"/>
              </w:rPr>
              <w:t>2000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17</w:t>
            </w:r>
          </w:p>
        </w:tc>
        <w:tc>
          <w:tcPr>
            <w:tcW w:w="2754" w:type="dxa"/>
            <w:vAlign w:val="center"/>
          </w:tcPr>
          <w:p>
            <w:pPr>
              <w:pStyle w:val="64"/>
              <w:rPr>
                <w:rFonts w:hAnsi="宋体"/>
                <w:highlight w:val="none"/>
              </w:rPr>
            </w:pPr>
            <w:r>
              <w:rPr>
                <w:rFonts w:hAnsi="宋体"/>
                <w:highlight w:val="none"/>
              </w:rPr>
              <w:t>1，2-二氯丙烷</w:t>
            </w:r>
          </w:p>
        </w:tc>
        <w:tc>
          <w:tcPr>
            <w:tcW w:w="1702" w:type="dxa"/>
            <w:vAlign w:val="center"/>
          </w:tcPr>
          <w:p>
            <w:pPr>
              <w:pStyle w:val="64"/>
              <w:rPr>
                <w:rFonts w:hAnsi="宋体"/>
                <w:highlight w:val="none"/>
              </w:rPr>
            </w:pPr>
            <w:r>
              <w:rPr>
                <w:rFonts w:hAnsi="宋体"/>
                <w:highlight w:val="none"/>
              </w:rPr>
              <w:t>78-87-5</w:t>
            </w:r>
          </w:p>
        </w:tc>
        <w:tc>
          <w:tcPr>
            <w:tcW w:w="993" w:type="dxa"/>
            <w:vAlign w:val="center"/>
          </w:tcPr>
          <w:p>
            <w:pPr>
              <w:pStyle w:val="64"/>
              <w:rPr>
                <w:rFonts w:hAnsi="宋体"/>
                <w:highlight w:val="none"/>
              </w:rPr>
            </w:pPr>
            <w:r>
              <w:rPr>
                <w:rFonts w:hAnsi="宋体"/>
                <w:highlight w:val="none"/>
              </w:rPr>
              <w:t>1</w:t>
            </w:r>
          </w:p>
        </w:tc>
        <w:tc>
          <w:tcPr>
            <w:tcW w:w="991" w:type="dxa"/>
            <w:vAlign w:val="center"/>
          </w:tcPr>
          <w:p>
            <w:pPr>
              <w:pStyle w:val="64"/>
              <w:rPr>
                <w:rFonts w:hAnsi="宋体"/>
                <w:highlight w:val="none"/>
              </w:rPr>
            </w:pPr>
            <w:r>
              <w:rPr>
                <w:rFonts w:hAnsi="宋体"/>
                <w:highlight w:val="none"/>
              </w:rPr>
              <w:t>5</w:t>
            </w:r>
          </w:p>
        </w:tc>
        <w:tc>
          <w:tcPr>
            <w:tcW w:w="852" w:type="dxa"/>
            <w:vAlign w:val="center"/>
          </w:tcPr>
          <w:p>
            <w:pPr>
              <w:pStyle w:val="64"/>
              <w:rPr>
                <w:rFonts w:hAnsi="宋体"/>
                <w:highlight w:val="none"/>
              </w:rPr>
            </w:pPr>
            <w:r>
              <w:rPr>
                <w:rFonts w:hAnsi="宋体"/>
                <w:highlight w:val="none"/>
              </w:rPr>
              <w:t>5</w:t>
            </w:r>
          </w:p>
        </w:tc>
        <w:tc>
          <w:tcPr>
            <w:tcW w:w="1040" w:type="dxa"/>
            <w:vAlign w:val="center"/>
          </w:tcPr>
          <w:p>
            <w:pPr>
              <w:pStyle w:val="64"/>
              <w:rPr>
                <w:rFonts w:hAnsi="宋体"/>
                <w:highlight w:val="none"/>
              </w:rPr>
            </w:pPr>
            <w:r>
              <w:rPr>
                <w:rFonts w:hAnsi="宋体"/>
                <w:highlight w:val="none"/>
              </w:rPr>
              <w:t>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18</w:t>
            </w:r>
          </w:p>
        </w:tc>
        <w:tc>
          <w:tcPr>
            <w:tcW w:w="2754" w:type="dxa"/>
            <w:vAlign w:val="center"/>
          </w:tcPr>
          <w:p>
            <w:pPr>
              <w:pStyle w:val="64"/>
              <w:rPr>
                <w:rFonts w:hAnsi="宋体"/>
                <w:highlight w:val="none"/>
              </w:rPr>
            </w:pPr>
            <w:r>
              <w:rPr>
                <w:rFonts w:hAnsi="宋体"/>
                <w:highlight w:val="none"/>
              </w:rPr>
              <w:t>1，1，2，2-四氯乙烷</w:t>
            </w:r>
          </w:p>
        </w:tc>
        <w:tc>
          <w:tcPr>
            <w:tcW w:w="1702" w:type="dxa"/>
            <w:vAlign w:val="center"/>
          </w:tcPr>
          <w:p>
            <w:pPr>
              <w:pStyle w:val="64"/>
              <w:rPr>
                <w:rFonts w:hAnsi="宋体"/>
                <w:highlight w:val="none"/>
              </w:rPr>
            </w:pPr>
            <w:r>
              <w:rPr>
                <w:rFonts w:hAnsi="宋体"/>
                <w:highlight w:val="none"/>
              </w:rPr>
              <w:t>630-20-6</w:t>
            </w:r>
          </w:p>
        </w:tc>
        <w:tc>
          <w:tcPr>
            <w:tcW w:w="993" w:type="dxa"/>
            <w:vAlign w:val="center"/>
          </w:tcPr>
          <w:p>
            <w:pPr>
              <w:pStyle w:val="64"/>
              <w:rPr>
                <w:rFonts w:hAnsi="宋体"/>
                <w:highlight w:val="none"/>
              </w:rPr>
            </w:pPr>
            <w:r>
              <w:rPr>
                <w:rFonts w:hAnsi="宋体"/>
                <w:highlight w:val="none"/>
              </w:rPr>
              <w:t>2.6</w:t>
            </w:r>
          </w:p>
        </w:tc>
        <w:tc>
          <w:tcPr>
            <w:tcW w:w="991" w:type="dxa"/>
            <w:vAlign w:val="center"/>
          </w:tcPr>
          <w:p>
            <w:pPr>
              <w:pStyle w:val="64"/>
              <w:rPr>
                <w:rFonts w:hAnsi="宋体"/>
                <w:highlight w:val="none"/>
              </w:rPr>
            </w:pPr>
            <w:r>
              <w:rPr>
                <w:rFonts w:hAnsi="宋体"/>
                <w:highlight w:val="none"/>
              </w:rPr>
              <w:t>10</w:t>
            </w:r>
          </w:p>
        </w:tc>
        <w:tc>
          <w:tcPr>
            <w:tcW w:w="852" w:type="dxa"/>
            <w:vAlign w:val="center"/>
          </w:tcPr>
          <w:p>
            <w:pPr>
              <w:pStyle w:val="64"/>
              <w:rPr>
                <w:rFonts w:hAnsi="宋体"/>
                <w:highlight w:val="none"/>
              </w:rPr>
            </w:pPr>
            <w:r>
              <w:rPr>
                <w:rFonts w:hAnsi="宋体"/>
                <w:highlight w:val="none"/>
              </w:rPr>
              <w:t>26</w:t>
            </w:r>
          </w:p>
        </w:tc>
        <w:tc>
          <w:tcPr>
            <w:tcW w:w="1040" w:type="dxa"/>
            <w:vAlign w:val="center"/>
          </w:tcPr>
          <w:p>
            <w:pPr>
              <w:pStyle w:val="64"/>
              <w:rPr>
                <w:rFonts w:hAnsi="宋体"/>
                <w:highlight w:val="none"/>
              </w:rPr>
            </w:pPr>
            <w:r>
              <w:rPr>
                <w:rFonts w:hAnsi="宋体"/>
                <w:highlight w:val="none"/>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19</w:t>
            </w:r>
          </w:p>
        </w:tc>
        <w:tc>
          <w:tcPr>
            <w:tcW w:w="2754" w:type="dxa"/>
            <w:vAlign w:val="center"/>
          </w:tcPr>
          <w:p>
            <w:pPr>
              <w:pStyle w:val="64"/>
              <w:rPr>
                <w:rFonts w:hAnsi="宋体"/>
                <w:highlight w:val="none"/>
              </w:rPr>
            </w:pPr>
            <w:r>
              <w:rPr>
                <w:rFonts w:hAnsi="宋体"/>
                <w:highlight w:val="none"/>
              </w:rPr>
              <w:t>1，1，2，2-四氯乙烷</w:t>
            </w:r>
          </w:p>
        </w:tc>
        <w:tc>
          <w:tcPr>
            <w:tcW w:w="1702" w:type="dxa"/>
            <w:vAlign w:val="center"/>
          </w:tcPr>
          <w:p>
            <w:pPr>
              <w:pStyle w:val="64"/>
              <w:rPr>
                <w:rFonts w:hAnsi="宋体"/>
                <w:highlight w:val="none"/>
              </w:rPr>
            </w:pPr>
            <w:r>
              <w:rPr>
                <w:rFonts w:hAnsi="宋体"/>
                <w:highlight w:val="none"/>
              </w:rPr>
              <w:t>79-34-5</w:t>
            </w:r>
          </w:p>
        </w:tc>
        <w:tc>
          <w:tcPr>
            <w:tcW w:w="993" w:type="dxa"/>
            <w:vAlign w:val="center"/>
          </w:tcPr>
          <w:p>
            <w:pPr>
              <w:pStyle w:val="64"/>
              <w:rPr>
                <w:rFonts w:hAnsi="宋体"/>
                <w:highlight w:val="none"/>
              </w:rPr>
            </w:pPr>
            <w:r>
              <w:rPr>
                <w:rFonts w:hAnsi="宋体"/>
                <w:highlight w:val="none"/>
              </w:rPr>
              <w:t>1.6</w:t>
            </w:r>
          </w:p>
        </w:tc>
        <w:tc>
          <w:tcPr>
            <w:tcW w:w="991" w:type="dxa"/>
            <w:vAlign w:val="center"/>
          </w:tcPr>
          <w:p>
            <w:pPr>
              <w:pStyle w:val="64"/>
              <w:rPr>
                <w:rFonts w:hAnsi="宋体"/>
                <w:highlight w:val="none"/>
              </w:rPr>
            </w:pPr>
            <w:r>
              <w:rPr>
                <w:rFonts w:hAnsi="宋体"/>
                <w:highlight w:val="none"/>
              </w:rPr>
              <w:t>6.8</w:t>
            </w:r>
          </w:p>
        </w:tc>
        <w:tc>
          <w:tcPr>
            <w:tcW w:w="852" w:type="dxa"/>
            <w:vAlign w:val="center"/>
          </w:tcPr>
          <w:p>
            <w:pPr>
              <w:pStyle w:val="64"/>
              <w:rPr>
                <w:rFonts w:hAnsi="宋体"/>
                <w:highlight w:val="none"/>
              </w:rPr>
            </w:pPr>
            <w:r>
              <w:rPr>
                <w:rFonts w:hAnsi="宋体"/>
                <w:highlight w:val="none"/>
              </w:rPr>
              <w:t>14</w:t>
            </w:r>
          </w:p>
        </w:tc>
        <w:tc>
          <w:tcPr>
            <w:tcW w:w="1040" w:type="dxa"/>
            <w:vAlign w:val="center"/>
          </w:tcPr>
          <w:p>
            <w:pPr>
              <w:pStyle w:val="64"/>
              <w:rPr>
                <w:rFonts w:hAnsi="宋体"/>
                <w:highlight w:val="none"/>
              </w:rPr>
            </w:pPr>
            <w:r>
              <w:rPr>
                <w:rFonts w:hAnsi="宋体"/>
                <w:highlight w:val="none"/>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20</w:t>
            </w:r>
          </w:p>
        </w:tc>
        <w:tc>
          <w:tcPr>
            <w:tcW w:w="2754" w:type="dxa"/>
            <w:vAlign w:val="center"/>
          </w:tcPr>
          <w:p>
            <w:pPr>
              <w:pStyle w:val="64"/>
              <w:rPr>
                <w:rFonts w:hAnsi="宋体"/>
                <w:highlight w:val="none"/>
              </w:rPr>
            </w:pPr>
            <w:r>
              <w:rPr>
                <w:rFonts w:hAnsi="宋体"/>
                <w:highlight w:val="none"/>
              </w:rPr>
              <w:t>四氯乙烯</w:t>
            </w:r>
          </w:p>
        </w:tc>
        <w:tc>
          <w:tcPr>
            <w:tcW w:w="1702" w:type="dxa"/>
            <w:vAlign w:val="center"/>
          </w:tcPr>
          <w:p>
            <w:pPr>
              <w:pStyle w:val="64"/>
              <w:rPr>
                <w:rFonts w:hAnsi="宋体"/>
                <w:highlight w:val="none"/>
              </w:rPr>
            </w:pPr>
            <w:r>
              <w:rPr>
                <w:rFonts w:hAnsi="宋体"/>
                <w:highlight w:val="none"/>
              </w:rPr>
              <w:t>127-18-4</w:t>
            </w:r>
          </w:p>
        </w:tc>
        <w:tc>
          <w:tcPr>
            <w:tcW w:w="993" w:type="dxa"/>
            <w:vAlign w:val="center"/>
          </w:tcPr>
          <w:p>
            <w:pPr>
              <w:pStyle w:val="64"/>
              <w:rPr>
                <w:rFonts w:hAnsi="宋体"/>
                <w:highlight w:val="none"/>
              </w:rPr>
            </w:pPr>
            <w:r>
              <w:rPr>
                <w:rFonts w:hAnsi="宋体"/>
                <w:highlight w:val="none"/>
              </w:rPr>
              <w:t>11</w:t>
            </w:r>
          </w:p>
        </w:tc>
        <w:tc>
          <w:tcPr>
            <w:tcW w:w="991" w:type="dxa"/>
            <w:vAlign w:val="center"/>
          </w:tcPr>
          <w:p>
            <w:pPr>
              <w:pStyle w:val="64"/>
              <w:rPr>
                <w:rFonts w:hAnsi="宋体"/>
                <w:highlight w:val="none"/>
              </w:rPr>
            </w:pPr>
            <w:r>
              <w:rPr>
                <w:rFonts w:hAnsi="宋体"/>
                <w:highlight w:val="none"/>
              </w:rPr>
              <w:t>53</w:t>
            </w:r>
          </w:p>
        </w:tc>
        <w:tc>
          <w:tcPr>
            <w:tcW w:w="852" w:type="dxa"/>
            <w:vAlign w:val="center"/>
          </w:tcPr>
          <w:p>
            <w:pPr>
              <w:pStyle w:val="64"/>
              <w:rPr>
                <w:rFonts w:hAnsi="宋体"/>
                <w:highlight w:val="none"/>
              </w:rPr>
            </w:pPr>
            <w:r>
              <w:rPr>
                <w:rFonts w:hAnsi="宋体"/>
                <w:highlight w:val="none"/>
              </w:rPr>
              <w:t>34</w:t>
            </w:r>
          </w:p>
        </w:tc>
        <w:tc>
          <w:tcPr>
            <w:tcW w:w="1040" w:type="dxa"/>
            <w:vAlign w:val="center"/>
          </w:tcPr>
          <w:p>
            <w:pPr>
              <w:pStyle w:val="64"/>
              <w:rPr>
                <w:rFonts w:hAnsi="宋体"/>
                <w:highlight w:val="none"/>
              </w:rPr>
            </w:pPr>
            <w:r>
              <w:rPr>
                <w:rFonts w:hAnsi="宋体"/>
                <w:highlight w:val="none"/>
              </w:rPr>
              <w:t>183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21</w:t>
            </w:r>
          </w:p>
        </w:tc>
        <w:tc>
          <w:tcPr>
            <w:tcW w:w="2754" w:type="dxa"/>
            <w:vAlign w:val="center"/>
          </w:tcPr>
          <w:p>
            <w:pPr>
              <w:pStyle w:val="64"/>
              <w:rPr>
                <w:rFonts w:hAnsi="宋体"/>
                <w:highlight w:val="none"/>
              </w:rPr>
            </w:pPr>
            <w:r>
              <w:rPr>
                <w:rFonts w:hAnsi="宋体"/>
                <w:highlight w:val="none"/>
              </w:rPr>
              <w:t>1，1，1三氯乙烷</w:t>
            </w:r>
          </w:p>
        </w:tc>
        <w:tc>
          <w:tcPr>
            <w:tcW w:w="1702" w:type="dxa"/>
            <w:vAlign w:val="center"/>
          </w:tcPr>
          <w:p>
            <w:pPr>
              <w:pStyle w:val="64"/>
              <w:rPr>
                <w:rFonts w:hAnsi="宋体"/>
                <w:highlight w:val="none"/>
              </w:rPr>
            </w:pPr>
            <w:r>
              <w:rPr>
                <w:rFonts w:hAnsi="宋体"/>
                <w:highlight w:val="none"/>
              </w:rPr>
              <w:t>71-55-6</w:t>
            </w:r>
          </w:p>
        </w:tc>
        <w:tc>
          <w:tcPr>
            <w:tcW w:w="993" w:type="dxa"/>
            <w:vAlign w:val="center"/>
          </w:tcPr>
          <w:p>
            <w:pPr>
              <w:pStyle w:val="64"/>
              <w:rPr>
                <w:rFonts w:hAnsi="宋体"/>
                <w:highlight w:val="none"/>
              </w:rPr>
            </w:pPr>
            <w:r>
              <w:rPr>
                <w:rFonts w:hAnsi="宋体"/>
                <w:highlight w:val="none"/>
              </w:rPr>
              <w:t>701</w:t>
            </w:r>
          </w:p>
        </w:tc>
        <w:tc>
          <w:tcPr>
            <w:tcW w:w="991" w:type="dxa"/>
            <w:vAlign w:val="center"/>
          </w:tcPr>
          <w:p>
            <w:pPr>
              <w:pStyle w:val="64"/>
              <w:rPr>
                <w:rFonts w:hAnsi="宋体"/>
                <w:highlight w:val="none"/>
              </w:rPr>
            </w:pPr>
            <w:r>
              <w:rPr>
                <w:rFonts w:hAnsi="宋体"/>
                <w:highlight w:val="none"/>
              </w:rPr>
              <w:t>840</w:t>
            </w:r>
          </w:p>
        </w:tc>
        <w:tc>
          <w:tcPr>
            <w:tcW w:w="852" w:type="dxa"/>
            <w:vAlign w:val="center"/>
          </w:tcPr>
          <w:p>
            <w:pPr>
              <w:pStyle w:val="64"/>
              <w:rPr>
                <w:rFonts w:hAnsi="宋体"/>
                <w:highlight w:val="none"/>
              </w:rPr>
            </w:pPr>
            <w:r>
              <w:rPr>
                <w:rFonts w:hAnsi="宋体"/>
                <w:highlight w:val="none"/>
              </w:rPr>
              <w:t>840</w:t>
            </w:r>
          </w:p>
        </w:tc>
        <w:tc>
          <w:tcPr>
            <w:tcW w:w="1040" w:type="dxa"/>
            <w:vAlign w:val="center"/>
          </w:tcPr>
          <w:p>
            <w:pPr>
              <w:pStyle w:val="64"/>
              <w:rPr>
                <w:rFonts w:hAnsi="宋体"/>
                <w:highlight w:val="none"/>
              </w:rPr>
            </w:pPr>
            <w:r>
              <w:rPr>
                <w:rFonts w:hAnsi="宋体"/>
                <w:highlight w:val="none"/>
              </w:rPr>
              <w:t>840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22</w:t>
            </w:r>
          </w:p>
        </w:tc>
        <w:tc>
          <w:tcPr>
            <w:tcW w:w="2754" w:type="dxa"/>
            <w:vAlign w:val="center"/>
          </w:tcPr>
          <w:p>
            <w:pPr>
              <w:pStyle w:val="64"/>
              <w:rPr>
                <w:rFonts w:hAnsi="宋体"/>
                <w:highlight w:val="none"/>
              </w:rPr>
            </w:pPr>
            <w:r>
              <w:rPr>
                <w:rFonts w:hAnsi="宋体"/>
                <w:highlight w:val="none"/>
              </w:rPr>
              <w:t>1，1，2三氯乙烷</w:t>
            </w:r>
          </w:p>
        </w:tc>
        <w:tc>
          <w:tcPr>
            <w:tcW w:w="1702" w:type="dxa"/>
            <w:vAlign w:val="center"/>
          </w:tcPr>
          <w:p>
            <w:pPr>
              <w:pStyle w:val="64"/>
              <w:rPr>
                <w:rFonts w:hAnsi="宋体"/>
                <w:highlight w:val="none"/>
              </w:rPr>
            </w:pPr>
            <w:r>
              <w:rPr>
                <w:rFonts w:hAnsi="宋体"/>
                <w:highlight w:val="none"/>
              </w:rPr>
              <w:t>79-00-5</w:t>
            </w:r>
          </w:p>
        </w:tc>
        <w:tc>
          <w:tcPr>
            <w:tcW w:w="993" w:type="dxa"/>
            <w:vAlign w:val="center"/>
          </w:tcPr>
          <w:p>
            <w:pPr>
              <w:pStyle w:val="64"/>
              <w:rPr>
                <w:rFonts w:hAnsi="宋体"/>
                <w:highlight w:val="none"/>
              </w:rPr>
            </w:pPr>
            <w:r>
              <w:rPr>
                <w:rFonts w:hAnsi="宋体"/>
                <w:highlight w:val="none"/>
              </w:rPr>
              <w:t>0.6</w:t>
            </w:r>
          </w:p>
        </w:tc>
        <w:tc>
          <w:tcPr>
            <w:tcW w:w="991" w:type="dxa"/>
            <w:vAlign w:val="center"/>
          </w:tcPr>
          <w:p>
            <w:pPr>
              <w:pStyle w:val="64"/>
              <w:rPr>
                <w:rFonts w:hAnsi="宋体"/>
                <w:highlight w:val="none"/>
              </w:rPr>
            </w:pPr>
            <w:r>
              <w:rPr>
                <w:rFonts w:hAnsi="宋体"/>
                <w:highlight w:val="none"/>
              </w:rPr>
              <w:t>2.8</w:t>
            </w:r>
          </w:p>
        </w:tc>
        <w:tc>
          <w:tcPr>
            <w:tcW w:w="852" w:type="dxa"/>
            <w:vAlign w:val="center"/>
          </w:tcPr>
          <w:p>
            <w:pPr>
              <w:pStyle w:val="64"/>
              <w:rPr>
                <w:rFonts w:hAnsi="宋体"/>
                <w:highlight w:val="none"/>
              </w:rPr>
            </w:pPr>
            <w:r>
              <w:rPr>
                <w:rFonts w:hAnsi="宋体"/>
                <w:highlight w:val="none"/>
              </w:rPr>
              <w:t>5</w:t>
            </w:r>
          </w:p>
        </w:tc>
        <w:tc>
          <w:tcPr>
            <w:tcW w:w="1040" w:type="dxa"/>
            <w:vAlign w:val="center"/>
          </w:tcPr>
          <w:p>
            <w:pPr>
              <w:pStyle w:val="64"/>
              <w:rPr>
                <w:rFonts w:hAnsi="宋体"/>
                <w:highlight w:val="none"/>
              </w:rPr>
            </w:pPr>
            <w:r>
              <w:rPr>
                <w:rFonts w:hAnsi="宋体"/>
                <w:highlight w:val="none"/>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23</w:t>
            </w:r>
          </w:p>
        </w:tc>
        <w:tc>
          <w:tcPr>
            <w:tcW w:w="2754" w:type="dxa"/>
            <w:vAlign w:val="center"/>
          </w:tcPr>
          <w:p>
            <w:pPr>
              <w:pStyle w:val="64"/>
              <w:rPr>
                <w:rFonts w:hAnsi="宋体"/>
                <w:highlight w:val="none"/>
              </w:rPr>
            </w:pPr>
            <w:r>
              <w:rPr>
                <w:rFonts w:hAnsi="宋体"/>
                <w:highlight w:val="none"/>
              </w:rPr>
              <w:t>三氯乙烯</w:t>
            </w:r>
          </w:p>
        </w:tc>
        <w:tc>
          <w:tcPr>
            <w:tcW w:w="1702" w:type="dxa"/>
            <w:vAlign w:val="center"/>
          </w:tcPr>
          <w:p>
            <w:pPr>
              <w:pStyle w:val="64"/>
              <w:rPr>
                <w:rFonts w:hAnsi="宋体"/>
                <w:highlight w:val="none"/>
              </w:rPr>
            </w:pPr>
            <w:r>
              <w:rPr>
                <w:rFonts w:hAnsi="宋体"/>
                <w:highlight w:val="none"/>
              </w:rPr>
              <w:t>79-01-6</w:t>
            </w:r>
          </w:p>
        </w:tc>
        <w:tc>
          <w:tcPr>
            <w:tcW w:w="993" w:type="dxa"/>
            <w:vAlign w:val="center"/>
          </w:tcPr>
          <w:p>
            <w:pPr>
              <w:pStyle w:val="64"/>
              <w:rPr>
                <w:rFonts w:hAnsi="宋体"/>
                <w:highlight w:val="none"/>
              </w:rPr>
            </w:pPr>
            <w:r>
              <w:rPr>
                <w:rFonts w:hAnsi="宋体"/>
                <w:highlight w:val="none"/>
              </w:rPr>
              <w:t>0.7</w:t>
            </w:r>
          </w:p>
        </w:tc>
        <w:tc>
          <w:tcPr>
            <w:tcW w:w="991" w:type="dxa"/>
            <w:vAlign w:val="center"/>
          </w:tcPr>
          <w:p>
            <w:pPr>
              <w:pStyle w:val="64"/>
              <w:rPr>
                <w:rFonts w:hAnsi="宋体"/>
                <w:highlight w:val="none"/>
              </w:rPr>
            </w:pPr>
            <w:r>
              <w:rPr>
                <w:rFonts w:hAnsi="宋体"/>
                <w:highlight w:val="none"/>
              </w:rPr>
              <w:t>2.8</w:t>
            </w:r>
          </w:p>
        </w:tc>
        <w:tc>
          <w:tcPr>
            <w:tcW w:w="852" w:type="dxa"/>
            <w:vAlign w:val="center"/>
          </w:tcPr>
          <w:p>
            <w:pPr>
              <w:pStyle w:val="64"/>
              <w:rPr>
                <w:rFonts w:hAnsi="宋体"/>
                <w:highlight w:val="none"/>
              </w:rPr>
            </w:pPr>
            <w:r>
              <w:rPr>
                <w:rFonts w:hAnsi="宋体"/>
                <w:highlight w:val="none"/>
              </w:rPr>
              <w:t>7</w:t>
            </w:r>
          </w:p>
        </w:tc>
        <w:tc>
          <w:tcPr>
            <w:tcW w:w="1040" w:type="dxa"/>
            <w:vAlign w:val="center"/>
          </w:tcPr>
          <w:p>
            <w:pPr>
              <w:pStyle w:val="64"/>
              <w:rPr>
                <w:rFonts w:hAnsi="宋体"/>
                <w:highlight w:val="none"/>
              </w:rPr>
            </w:pPr>
            <w:r>
              <w:rPr>
                <w:rFonts w:hAnsi="宋体"/>
                <w:highlight w:val="none"/>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24</w:t>
            </w:r>
          </w:p>
        </w:tc>
        <w:tc>
          <w:tcPr>
            <w:tcW w:w="2754" w:type="dxa"/>
            <w:vAlign w:val="center"/>
          </w:tcPr>
          <w:p>
            <w:pPr>
              <w:pStyle w:val="64"/>
              <w:rPr>
                <w:rFonts w:hAnsi="宋体"/>
                <w:highlight w:val="none"/>
              </w:rPr>
            </w:pPr>
            <w:r>
              <w:rPr>
                <w:rFonts w:hAnsi="宋体"/>
                <w:highlight w:val="none"/>
              </w:rPr>
              <w:t>1，2，3-三氯丙烷</w:t>
            </w:r>
          </w:p>
        </w:tc>
        <w:tc>
          <w:tcPr>
            <w:tcW w:w="1702" w:type="dxa"/>
            <w:vAlign w:val="center"/>
          </w:tcPr>
          <w:p>
            <w:pPr>
              <w:pStyle w:val="64"/>
              <w:rPr>
                <w:rFonts w:hAnsi="宋体"/>
                <w:highlight w:val="none"/>
              </w:rPr>
            </w:pPr>
            <w:r>
              <w:rPr>
                <w:rFonts w:hAnsi="宋体"/>
                <w:highlight w:val="none"/>
              </w:rPr>
              <w:t>96-18-4</w:t>
            </w:r>
          </w:p>
        </w:tc>
        <w:tc>
          <w:tcPr>
            <w:tcW w:w="993" w:type="dxa"/>
            <w:vAlign w:val="center"/>
          </w:tcPr>
          <w:p>
            <w:pPr>
              <w:pStyle w:val="64"/>
              <w:rPr>
                <w:rFonts w:hAnsi="宋体"/>
                <w:highlight w:val="none"/>
              </w:rPr>
            </w:pPr>
            <w:r>
              <w:rPr>
                <w:rFonts w:hAnsi="宋体"/>
                <w:highlight w:val="none"/>
              </w:rPr>
              <w:t>0.05</w:t>
            </w:r>
          </w:p>
        </w:tc>
        <w:tc>
          <w:tcPr>
            <w:tcW w:w="991" w:type="dxa"/>
            <w:vAlign w:val="center"/>
          </w:tcPr>
          <w:p>
            <w:pPr>
              <w:pStyle w:val="64"/>
              <w:rPr>
                <w:rFonts w:hAnsi="宋体"/>
                <w:highlight w:val="none"/>
              </w:rPr>
            </w:pPr>
            <w:r>
              <w:rPr>
                <w:rFonts w:hAnsi="宋体"/>
                <w:highlight w:val="none"/>
              </w:rPr>
              <w:t>0.5</w:t>
            </w:r>
          </w:p>
        </w:tc>
        <w:tc>
          <w:tcPr>
            <w:tcW w:w="852" w:type="dxa"/>
            <w:vAlign w:val="center"/>
          </w:tcPr>
          <w:p>
            <w:pPr>
              <w:pStyle w:val="64"/>
              <w:rPr>
                <w:rFonts w:hAnsi="宋体"/>
                <w:highlight w:val="none"/>
              </w:rPr>
            </w:pPr>
            <w:r>
              <w:rPr>
                <w:rFonts w:hAnsi="宋体"/>
                <w:highlight w:val="none"/>
              </w:rPr>
              <w:t>0.5</w:t>
            </w:r>
          </w:p>
        </w:tc>
        <w:tc>
          <w:tcPr>
            <w:tcW w:w="1040" w:type="dxa"/>
            <w:vAlign w:val="center"/>
          </w:tcPr>
          <w:p>
            <w:pPr>
              <w:pStyle w:val="64"/>
              <w:rPr>
                <w:rFonts w:hAnsi="宋体"/>
                <w:highlight w:val="none"/>
              </w:rPr>
            </w:pPr>
            <w:r>
              <w:rPr>
                <w:rFonts w:hAnsi="宋体"/>
                <w:highlight w:val="none"/>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25</w:t>
            </w:r>
          </w:p>
        </w:tc>
        <w:tc>
          <w:tcPr>
            <w:tcW w:w="2754" w:type="dxa"/>
            <w:vAlign w:val="center"/>
          </w:tcPr>
          <w:p>
            <w:pPr>
              <w:pStyle w:val="64"/>
              <w:rPr>
                <w:rFonts w:hAnsi="宋体"/>
                <w:highlight w:val="none"/>
              </w:rPr>
            </w:pPr>
            <w:r>
              <w:rPr>
                <w:rFonts w:hAnsi="宋体"/>
                <w:highlight w:val="none"/>
              </w:rPr>
              <w:t>氯乙烯</w:t>
            </w:r>
          </w:p>
        </w:tc>
        <w:tc>
          <w:tcPr>
            <w:tcW w:w="1702" w:type="dxa"/>
            <w:vAlign w:val="center"/>
          </w:tcPr>
          <w:p>
            <w:pPr>
              <w:pStyle w:val="64"/>
              <w:rPr>
                <w:rFonts w:hAnsi="宋体"/>
                <w:highlight w:val="none"/>
              </w:rPr>
            </w:pPr>
            <w:r>
              <w:rPr>
                <w:rFonts w:hAnsi="宋体"/>
                <w:highlight w:val="none"/>
              </w:rPr>
              <w:t>75-01-4</w:t>
            </w:r>
          </w:p>
        </w:tc>
        <w:tc>
          <w:tcPr>
            <w:tcW w:w="993" w:type="dxa"/>
            <w:vAlign w:val="center"/>
          </w:tcPr>
          <w:p>
            <w:pPr>
              <w:pStyle w:val="64"/>
              <w:rPr>
                <w:rFonts w:hAnsi="宋体"/>
                <w:highlight w:val="none"/>
              </w:rPr>
            </w:pPr>
            <w:r>
              <w:rPr>
                <w:rFonts w:hAnsi="宋体"/>
                <w:highlight w:val="none"/>
              </w:rPr>
              <w:t>0.12</w:t>
            </w:r>
          </w:p>
        </w:tc>
        <w:tc>
          <w:tcPr>
            <w:tcW w:w="991" w:type="dxa"/>
            <w:vAlign w:val="center"/>
          </w:tcPr>
          <w:p>
            <w:pPr>
              <w:pStyle w:val="64"/>
              <w:rPr>
                <w:rFonts w:hAnsi="宋体"/>
                <w:highlight w:val="none"/>
              </w:rPr>
            </w:pPr>
            <w:r>
              <w:rPr>
                <w:rFonts w:hAnsi="宋体"/>
                <w:highlight w:val="none"/>
              </w:rPr>
              <w:t>0.43</w:t>
            </w:r>
          </w:p>
        </w:tc>
        <w:tc>
          <w:tcPr>
            <w:tcW w:w="852" w:type="dxa"/>
            <w:vAlign w:val="center"/>
          </w:tcPr>
          <w:p>
            <w:pPr>
              <w:pStyle w:val="64"/>
              <w:rPr>
                <w:rFonts w:hAnsi="宋体"/>
                <w:highlight w:val="none"/>
              </w:rPr>
            </w:pPr>
            <w:r>
              <w:rPr>
                <w:rFonts w:hAnsi="宋体"/>
                <w:highlight w:val="none"/>
              </w:rPr>
              <w:t>1.2</w:t>
            </w:r>
          </w:p>
        </w:tc>
        <w:tc>
          <w:tcPr>
            <w:tcW w:w="1040" w:type="dxa"/>
            <w:vAlign w:val="center"/>
          </w:tcPr>
          <w:p>
            <w:pPr>
              <w:pStyle w:val="64"/>
              <w:rPr>
                <w:rFonts w:hAnsi="宋体"/>
                <w:highlight w:val="none"/>
              </w:rPr>
            </w:pPr>
            <w:r>
              <w:rPr>
                <w:rFonts w:hAnsi="宋体"/>
                <w:highlight w:val="none"/>
              </w:rPr>
              <w:t>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26</w:t>
            </w:r>
          </w:p>
        </w:tc>
        <w:tc>
          <w:tcPr>
            <w:tcW w:w="2754" w:type="dxa"/>
            <w:vAlign w:val="center"/>
          </w:tcPr>
          <w:p>
            <w:pPr>
              <w:pStyle w:val="64"/>
              <w:rPr>
                <w:rFonts w:hAnsi="宋体"/>
                <w:highlight w:val="none"/>
              </w:rPr>
            </w:pPr>
            <w:r>
              <w:rPr>
                <w:rFonts w:hAnsi="宋体"/>
                <w:highlight w:val="none"/>
              </w:rPr>
              <w:t>苯</w:t>
            </w:r>
          </w:p>
        </w:tc>
        <w:tc>
          <w:tcPr>
            <w:tcW w:w="1702" w:type="dxa"/>
            <w:vAlign w:val="center"/>
          </w:tcPr>
          <w:p>
            <w:pPr>
              <w:pStyle w:val="64"/>
              <w:rPr>
                <w:rFonts w:hAnsi="宋体"/>
                <w:highlight w:val="none"/>
              </w:rPr>
            </w:pPr>
            <w:r>
              <w:rPr>
                <w:rFonts w:hAnsi="宋体"/>
                <w:highlight w:val="none"/>
              </w:rPr>
              <w:t>71-43-2</w:t>
            </w:r>
          </w:p>
        </w:tc>
        <w:tc>
          <w:tcPr>
            <w:tcW w:w="993" w:type="dxa"/>
            <w:vAlign w:val="center"/>
          </w:tcPr>
          <w:p>
            <w:pPr>
              <w:pStyle w:val="64"/>
              <w:rPr>
                <w:rFonts w:hAnsi="宋体"/>
                <w:highlight w:val="none"/>
              </w:rPr>
            </w:pPr>
            <w:r>
              <w:rPr>
                <w:rFonts w:hAnsi="宋体"/>
                <w:highlight w:val="none"/>
              </w:rPr>
              <w:t>1</w:t>
            </w:r>
          </w:p>
        </w:tc>
        <w:tc>
          <w:tcPr>
            <w:tcW w:w="991" w:type="dxa"/>
            <w:vAlign w:val="center"/>
          </w:tcPr>
          <w:p>
            <w:pPr>
              <w:pStyle w:val="64"/>
              <w:rPr>
                <w:rFonts w:hAnsi="宋体"/>
                <w:highlight w:val="none"/>
              </w:rPr>
            </w:pPr>
            <w:r>
              <w:rPr>
                <w:rFonts w:hAnsi="宋体"/>
                <w:highlight w:val="none"/>
              </w:rPr>
              <w:t>4</w:t>
            </w:r>
          </w:p>
        </w:tc>
        <w:tc>
          <w:tcPr>
            <w:tcW w:w="852" w:type="dxa"/>
            <w:vAlign w:val="center"/>
          </w:tcPr>
          <w:p>
            <w:pPr>
              <w:pStyle w:val="64"/>
              <w:rPr>
                <w:rFonts w:hAnsi="宋体"/>
                <w:highlight w:val="none"/>
              </w:rPr>
            </w:pPr>
            <w:r>
              <w:rPr>
                <w:rFonts w:hAnsi="宋体"/>
                <w:highlight w:val="none"/>
              </w:rPr>
              <w:t>10</w:t>
            </w:r>
          </w:p>
        </w:tc>
        <w:tc>
          <w:tcPr>
            <w:tcW w:w="1040" w:type="dxa"/>
            <w:vAlign w:val="center"/>
          </w:tcPr>
          <w:p>
            <w:pPr>
              <w:pStyle w:val="64"/>
              <w:rPr>
                <w:rFonts w:hAnsi="宋体"/>
                <w:highlight w:val="none"/>
              </w:rPr>
            </w:pPr>
            <w:r>
              <w:rPr>
                <w:rFonts w:hAnsi="宋体"/>
                <w:highlight w:val="none"/>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27</w:t>
            </w:r>
          </w:p>
        </w:tc>
        <w:tc>
          <w:tcPr>
            <w:tcW w:w="2754" w:type="dxa"/>
            <w:vAlign w:val="center"/>
          </w:tcPr>
          <w:p>
            <w:pPr>
              <w:pStyle w:val="64"/>
              <w:rPr>
                <w:rFonts w:hAnsi="宋体"/>
                <w:highlight w:val="none"/>
              </w:rPr>
            </w:pPr>
            <w:r>
              <w:rPr>
                <w:rFonts w:hAnsi="宋体"/>
                <w:highlight w:val="none"/>
              </w:rPr>
              <w:t>氯苯</w:t>
            </w:r>
          </w:p>
        </w:tc>
        <w:tc>
          <w:tcPr>
            <w:tcW w:w="1702" w:type="dxa"/>
            <w:vAlign w:val="center"/>
          </w:tcPr>
          <w:p>
            <w:pPr>
              <w:pStyle w:val="64"/>
              <w:rPr>
                <w:rFonts w:hAnsi="宋体"/>
                <w:highlight w:val="none"/>
              </w:rPr>
            </w:pPr>
            <w:r>
              <w:rPr>
                <w:rFonts w:hAnsi="宋体"/>
                <w:highlight w:val="none"/>
              </w:rPr>
              <w:t>108-90-7</w:t>
            </w:r>
          </w:p>
        </w:tc>
        <w:tc>
          <w:tcPr>
            <w:tcW w:w="993" w:type="dxa"/>
            <w:vAlign w:val="center"/>
          </w:tcPr>
          <w:p>
            <w:pPr>
              <w:pStyle w:val="64"/>
              <w:rPr>
                <w:rFonts w:hAnsi="宋体"/>
                <w:highlight w:val="none"/>
              </w:rPr>
            </w:pPr>
            <w:r>
              <w:rPr>
                <w:rFonts w:hAnsi="宋体"/>
                <w:highlight w:val="none"/>
              </w:rPr>
              <w:t>68</w:t>
            </w:r>
          </w:p>
        </w:tc>
        <w:tc>
          <w:tcPr>
            <w:tcW w:w="991" w:type="dxa"/>
            <w:vAlign w:val="center"/>
          </w:tcPr>
          <w:p>
            <w:pPr>
              <w:pStyle w:val="64"/>
              <w:rPr>
                <w:rFonts w:hAnsi="宋体"/>
                <w:highlight w:val="none"/>
              </w:rPr>
            </w:pPr>
            <w:r>
              <w:rPr>
                <w:rFonts w:hAnsi="宋体"/>
                <w:highlight w:val="none"/>
              </w:rPr>
              <w:t>270</w:t>
            </w:r>
          </w:p>
        </w:tc>
        <w:tc>
          <w:tcPr>
            <w:tcW w:w="852" w:type="dxa"/>
            <w:vAlign w:val="center"/>
          </w:tcPr>
          <w:p>
            <w:pPr>
              <w:pStyle w:val="64"/>
              <w:rPr>
                <w:rFonts w:hAnsi="宋体"/>
                <w:highlight w:val="none"/>
              </w:rPr>
            </w:pPr>
            <w:r>
              <w:rPr>
                <w:rFonts w:hAnsi="宋体"/>
                <w:highlight w:val="none"/>
              </w:rPr>
              <w:t>200</w:t>
            </w:r>
          </w:p>
        </w:tc>
        <w:tc>
          <w:tcPr>
            <w:tcW w:w="1040" w:type="dxa"/>
            <w:vAlign w:val="center"/>
          </w:tcPr>
          <w:p>
            <w:pPr>
              <w:pStyle w:val="64"/>
              <w:rPr>
                <w:rFonts w:hAnsi="宋体"/>
                <w:highlight w:val="none"/>
              </w:rPr>
            </w:pPr>
            <w:r>
              <w:rPr>
                <w:rFonts w:hAnsi="宋体"/>
                <w:highlight w:val="none"/>
              </w:rPr>
              <w:t>1000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28</w:t>
            </w:r>
          </w:p>
        </w:tc>
        <w:tc>
          <w:tcPr>
            <w:tcW w:w="2754" w:type="dxa"/>
            <w:vAlign w:val="center"/>
          </w:tcPr>
          <w:p>
            <w:pPr>
              <w:pStyle w:val="64"/>
              <w:rPr>
                <w:rFonts w:hAnsi="宋体"/>
                <w:highlight w:val="none"/>
              </w:rPr>
            </w:pPr>
            <w:r>
              <w:rPr>
                <w:rFonts w:hAnsi="宋体"/>
                <w:highlight w:val="none"/>
              </w:rPr>
              <w:t>1，2-二氯苯</w:t>
            </w:r>
          </w:p>
        </w:tc>
        <w:tc>
          <w:tcPr>
            <w:tcW w:w="1702" w:type="dxa"/>
            <w:vAlign w:val="center"/>
          </w:tcPr>
          <w:p>
            <w:pPr>
              <w:pStyle w:val="64"/>
              <w:rPr>
                <w:rFonts w:hAnsi="宋体"/>
                <w:highlight w:val="none"/>
              </w:rPr>
            </w:pPr>
            <w:r>
              <w:rPr>
                <w:rFonts w:hAnsi="宋体"/>
                <w:highlight w:val="none"/>
              </w:rPr>
              <w:t>95-50-1</w:t>
            </w:r>
          </w:p>
        </w:tc>
        <w:tc>
          <w:tcPr>
            <w:tcW w:w="993" w:type="dxa"/>
            <w:vAlign w:val="center"/>
          </w:tcPr>
          <w:p>
            <w:pPr>
              <w:pStyle w:val="64"/>
              <w:rPr>
                <w:rFonts w:hAnsi="宋体"/>
                <w:highlight w:val="none"/>
              </w:rPr>
            </w:pPr>
            <w:r>
              <w:rPr>
                <w:rFonts w:hAnsi="宋体"/>
                <w:highlight w:val="none"/>
              </w:rPr>
              <w:t>560</w:t>
            </w:r>
          </w:p>
        </w:tc>
        <w:tc>
          <w:tcPr>
            <w:tcW w:w="991" w:type="dxa"/>
            <w:vAlign w:val="center"/>
          </w:tcPr>
          <w:p>
            <w:pPr>
              <w:pStyle w:val="64"/>
              <w:rPr>
                <w:rFonts w:hAnsi="宋体"/>
                <w:highlight w:val="none"/>
              </w:rPr>
            </w:pPr>
            <w:r>
              <w:rPr>
                <w:rFonts w:hAnsi="宋体"/>
                <w:highlight w:val="none"/>
              </w:rPr>
              <w:t>560</w:t>
            </w:r>
          </w:p>
        </w:tc>
        <w:tc>
          <w:tcPr>
            <w:tcW w:w="852" w:type="dxa"/>
            <w:vAlign w:val="center"/>
          </w:tcPr>
          <w:p>
            <w:pPr>
              <w:pStyle w:val="64"/>
              <w:rPr>
                <w:rFonts w:hAnsi="宋体"/>
                <w:highlight w:val="none"/>
              </w:rPr>
            </w:pPr>
            <w:r>
              <w:rPr>
                <w:rFonts w:hAnsi="宋体"/>
                <w:highlight w:val="none"/>
              </w:rPr>
              <w:t>560</w:t>
            </w:r>
          </w:p>
        </w:tc>
        <w:tc>
          <w:tcPr>
            <w:tcW w:w="1040" w:type="dxa"/>
            <w:vAlign w:val="center"/>
          </w:tcPr>
          <w:p>
            <w:pPr>
              <w:pStyle w:val="64"/>
              <w:rPr>
                <w:rFonts w:hAnsi="宋体"/>
                <w:highlight w:val="none"/>
              </w:rPr>
            </w:pPr>
            <w:r>
              <w:rPr>
                <w:rFonts w:hAnsi="宋体"/>
                <w:highlight w:val="none"/>
              </w:rPr>
              <w:t>560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29</w:t>
            </w:r>
          </w:p>
        </w:tc>
        <w:tc>
          <w:tcPr>
            <w:tcW w:w="2754" w:type="dxa"/>
            <w:vAlign w:val="center"/>
          </w:tcPr>
          <w:p>
            <w:pPr>
              <w:pStyle w:val="64"/>
              <w:rPr>
                <w:rFonts w:hAnsi="宋体"/>
                <w:highlight w:val="none"/>
              </w:rPr>
            </w:pPr>
            <w:r>
              <w:rPr>
                <w:rFonts w:hAnsi="宋体"/>
                <w:highlight w:val="none"/>
              </w:rPr>
              <w:t>1，4-二氯苯</w:t>
            </w:r>
          </w:p>
        </w:tc>
        <w:tc>
          <w:tcPr>
            <w:tcW w:w="1702" w:type="dxa"/>
            <w:vAlign w:val="center"/>
          </w:tcPr>
          <w:p>
            <w:pPr>
              <w:pStyle w:val="64"/>
              <w:rPr>
                <w:rFonts w:hAnsi="宋体"/>
                <w:highlight w:val="none"/>
              </w:rPr>
            </w:pPr>
            <w:r>
              <w:rPr>
                <w:rFonts w:hAnsi="宋体"/>
                <w:highlight w:val="none"/>
              </w:rPr>
              <w:t>106-46-7</w:t>
            </w:r>
          </w:p>
        </w:tc>
        <w:tc>
          <w:tcPr>
            <w:tcW w:w="993" w:type="dxa"/>
            <w:vAlign w:val="center"/>
          </w:tcPr>
          <w:p>
            <w:pPr>
              <w:pStyle w:val="64"/>
              <w:rPr>
                <w:rFonts w:hAnsi="宋体"/>
                <w:highlight w:val="none"/>
              </w:rPr>
            </w:pPr>
            <w:r>
              <w:rPr>
                <w:rFonts w:hAnsi="宋体"/>
                <w:highlight w:val="none"/>
              </w:rPr>
              <w:t>5.6</w:t>
            </w:r>
          </w:p>
        </w:tc>
        <w:tc>
          <w:tcPr>
            <w:tcW w:w="991" w:type="dxa"/>
            <w:vAlign w:val="center"/>
          </w:tcPr>
          <w:p>
            <w:pPr>
              <w:pStyle w:val="64"/>
              <w:rPr>
                <w:rFonts w:hAnsi="宋体"/>
                <w:highlight w:val="none"/>
              </w:rPr>
            </w:pPr>
            <w:r>
              <w:rPr>
                <w:rFonts w:hAnsi="宋体"/>
                <w:highlight w:val="none"/>
              </w:rPr>
              <w:t>20</w:t>
            </w:r>
          </w:p>
        </w:tc>
        <w:tc>
          <w:tcPr>
            <w:tcW w:w="852" w:type="dxa"/>
            <w:vAlign w:val="center"/>
          </w:tcPr>
          <w:p>
            <w:pPr>
              <w:pStyle w:val="64"/>
              <w:rPr>
                <w:rFonts w:hAnsi="宋体"/>
                <w:highlight w:val="none"/>
              </w:rPr>
            </w:pPr>
            <w:r>
              <w:rPr>
                <w:rFonts w:hAnsi="宋体"/>
                <w:highlight w:val="none"/>
              </w:rPr>
              <w:t>56</w:t>
            </w:r>
          </w:p>
        </w:tc>
        <w:tc>
          <w:tcPr>
            <w:tcW w:w="1040" w:type="dxa"/>
            <w:vAlign w:val="center"/>
          </w:tcPr>
          <w:p>
            <w:pPr>
              <w:pStyle w:val="64"/>
              <w:rPr>
                <w:rFonts w:hAnsi="宋体"/>
                <w:highlight w:val="none"/>
              </w:rPr>
            </w:pPr>
            <w:r>
              <w:rPr>
                <w:rFonts w:hAnsi="宋体"/>
                <w:highlight w:val="none"/>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30</w:t>
            </w:r>
          </w:p>
        </w:tc>
        <w:tc>
          <w:tcPr>
            <w:tcW w:w="2754" w:type="dxa"/>
            <w:vAlign w:val="center"/>
          </w:tcPr>
          <w:p>
            <w:pPr>
              <w:pStyle w:val="64"/>
              <w:rPr>
                <w:rFonts w:hAnsi="宋体"/>
                <w:highlight w:val="none"/>
              </w:rPr>
            </w:pPr>
            <w:r>
              <w:rPr>
                <w:rFonts w:hAnsi="宋体"/>
                <w:highlight w:val="none"/>
              </w:rPr>
              <w:t>乙苯</w:t>
            </w:r>
          </w:p>
        </w:tc>
        <w:tc>
          <w:tcPr>
            <w:tcW w:w="1702" w:type="dxa"/>
            <w:vAlign w:val="center"/>
          </w:tcPr>
          <w:p>
            <w:pPr>
              <w:pStyle w:val="64"/>
              <w:rPr>
                <w:rFonts w:hAnsi="宋体"/>
                <w:highlight w:val="none"/>
              </w:rPr>
            </w:pPr>
            <w:r>
              <w:rPr>
                <w:rFonts w:hAnsi="宋体"/>
                <w:highlight w:val="none"/>
              </w:rPr>
              <w:t>100-41-4</w:t>
            </w:r>
          </w:p>
        </w:tc>
        <w:tc>
          <w:tcPr>
            <w:tcW w:w="993" w:type="dxa"/>
            <w:vAlign w:val="center"/>
          </w:tcPr>
          <w:p>
            <w:pPr>
              <w:pStyle w:val="64"/>
              <w:rPr>
                <w:rFonts w:hAnsi="宋体"/>
                <w:highlight w:val="none"/>
              </w:rPr>
            </w:pPr>
            <w:r>
              <w:rPr>
                <w:rFonts w:hAnsi="宋体"/>
                <w:highlight w:val="none"/>
              </w:rPr>
              <w:t>7.2</w:t>
            </w:r>
          </w:p>
        </w:tc>
        <w:tc>
          <w:tcPr>
            <w:tcW w:w="991" w:type="dxa"/>
            <w:vAlign w:val="center"/>
          </w:tcPr>
          <w:p>
            <w:pPr>
              <w:pStyle w:val="64"/>
              <w:rPr>
                <w:rFonts w:hAnsi="宋体"/>
                <w:highlight w:val="none"/>
              </w:rPr>
            </w:pPr>
            <w:r>
              <w:rPr>
                <w:rFonts w:hAnsi="宋体"/>
                <w:highlight w:val="none"/>
              </w:rPr>
              <w:t>28</w:t>
            </w:r>
          </w:p>
        </w:tc>
        <w:tc>
          <w:tcPr>
            <w:tcW w:w="852" w:type="dxa"/>
            <w:vAlign w:val="center"/>
          </w:tcPr>
          <w:p>
            <w:pPr>
              <w:pStyle w:val="64"/>
              <w:rPr>
                <w:rFonts w:hAnsi="宋体"/>
                <w:highlight w:val="none"/>
              </w:rPr>
            </w:pPr>
            <w:r>
              <w:rPr>
                <w:rFonts w:hAnsi="宋体"/>
                <w:highlight w:val="none"/>
              </w:rPr>
              <w:t>72</w:t>
            </w:r>
          </w:p>
        </w:tc>
        <w:tc>
          <w:tcPr>
            <w:tcW w:w="1040" w:type="dxa"/>
            <w:vAlign w:val="center"/>
          </w:tcPr>
          <w:p>
            <w:pPr>
              <w:pStyle w:val="64"/>
              <w:rPr>
                <w:rFonts w:hAnsi="宋体"/>
                <w:highlight w:val="none"/>
              </w:rPr>
            </w:pPr>
            <w:r>
              <w:rPr>
                <w:rFonts w:hAnsi="宋体"/>
                <w:highlight w:val="none"/>
              </w:rPr>
              <w:t>280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31</w:t>
            </w:r>
          </w:p>
        </w:tc>
        <w:tc>
          <w:tcPr>
            <w:tcW w:w="2754" w:type="dxa"/>
            <w:vAlign w:val="center"/>
          </w:tcPr>
          <w:p>
            <w:pPr>
              <w:pStyle w:val="64"/>
              <w:rPr>
                <w:rFonts w:hAnsi="宋体"/>
                <w:highlight w:val="none"/>
              </w:rPr>
            </w:pPr>
            <w:r>
              <w:rPr>
                <w:rFonts w:hAnsi="宋体"/>
                <w:highlight w:val="none"/>
              </w:rPr>
              <w:t>苯乙烯</w:t>
            </w:r>
          </w:p>
        </w:tc>
        <w:tc>
          <w:tcPr>
            <w:tcW w:w="1702" w:type="dxa"/>
            <w:vAlign w:val="center"/>
          </w:tcPr>
          <w:p>
            <w:pPr>
              <w:pStyle w:val="64"/>
              <w:rPr>
                <w:rFonts w:hAnsi="宋体"/>
                <w:highlight w:val="none"/>
              </w:rPr>
            </w:pPr>
            <w:r>
              <w:rPr>
                <w:rFonts w:hAnsi="宋体"/>
                <w:highlight w:val="none"/>
              </w:rPr>
              <w:t>100-42-5</w:t>
            </w:r>
          </w:p>
        </w:tc>
        <w:tc>
          <w:tcPr>
            <w:tcW w:w="993" w:type="dxa"/>
            <w:vAlign w:val="center"/>
          </w:tcPr>
          <w:p>
            <w:pPr>
              <w:pStyle w:val="64"/>
              <w:rPr>
                <w:rFonts w:hAnsi="宋体"/>
                <w:highlight w:val="none"/>
              </w:rPr>
            </w:pPr>
            <w:r>
              <w:rPr>
                <w:rFonts w:hAnsi="宋体"/>
                <w:highlight w:val="none"/>
              </w:rPr>
              <w:t>1290</w:t>
            </w:r>
          </w:p>
        </w:tc>
        <w:tc>
          <w:tcPr>
            <w:tcW w:w="991" w:type="dxa"/>
            <w:vAlign w:val="center"/>
          </w:tcPr>
          <w:p>
            <w:pPr>
              <w:pStyle w:val="64"/>
              <w:rPr>
                <w:rFonts w:hAnsi="宋体"/>
                <w:highlight w:val="none"/>
              </w:rPr>
            </w:pPr>
            <w:r>
              <w:rPr>
                <w:rFonts w:hAnsi="宋体"/>
                <w:highlight w:val="none"/>
              </w:rPr>
              <w:t>1290</w:t>
            </w:r>
          </w:p>
        </w:tc>
        <w:tc>
          <w:tcPr>
            <w:tcW w:w="852" w:type="dxa"/>
            <w:vAlign w:val="center"/>
          </w:tcPr>
          <w:p>
            <w:pPr>
              <w:pStyle w:val="64"/>
              <w:rPr>
                <w:rFonts w:hAnsi="宋体"/>
                <w:highlight w:val="none"/>
              </w:rPr>
            </w:pPr>
            <w:r>
              <w:rPr>
                <w:rFonts w:hAnsi="宋体"/>
                <w:highlight w:val="none"/>
              </w:rPr>
              <w:t>1290</w:t>
            </w:r>
          </w:p>
        </w:tc>
        <w:tc>
          <w:tcPr>
            <w:tcW w:w="1040" w:type="dxa"/>
            <w:vAlign w:val="center"/>
          </w:tcPr>
          <w:p>
            <w:pPr>
              <w:pStyle w:val="64"/>
              <w:rPr>
                <w:rFonts w:hAnsi="宋体"/>
                <w:highlight w:val="none"/>
              </w:rPr>
            </w:pPr>
            <w:r>
              <w:rPr>
                <w:rFonts w:hAnsi="宋体"/>
                <w:highlight w:val="none"/>
              </w:rPr>
              <w:t>1290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32</w:t>
            </w:r>
          </w:p>
        </w:tc>
        <w:tc>
          <w:tcPr>
            <w:tcW w:w="2754" w:type="dxa"/>
            <w:vAlign w:val="center"/>
          </w:tcPr>
          <w:p>
            <w:pPr>
              <w:pStyle w:val="64"/>
              <w:rPr>
                <w:rFonts w:hAnsi="宋体"/>
                <w:highlight w:val="none"/>
              </w:rPr>
            </w:pPr>
            <w:r>
              <w:rPr>
                <w:rFonts w:hAnsi="宋体"/>
                <w:highlight w:val="none"/>
              </w:rPr>
              <w:t>甲苯</w:t>
            </w:r>
          </w:p>
        </w:tc>
        <w:tc>
          <w:tcPr>
            <w:tcW w:w="1702" w:type="dxa"/>
            <w:vAlign w:val="center"/>
          </w:tcPr>
          <w:p>
            <w:pPr>
              <w:pStyle w:val="64"/>
              <w:rPr>
                <w:rFonts w:hAnsi="宋体"/>
                <w:highlight w:val="none"/>
              </w:rPr>
            </w:pPr>
            <w:r>
              <w:rPr>
                <w:rFonts w:hAnsi="宋体"/>
                <w:highlight w:val="none"/>
              </w:rPr>
              <w:t>108-88-3</w:t>
            </w:r>
          </w:p>
        </w:tc>
        <w:tc>
          <w:tcPr>
            <w:tcW w:w="993" w:type="dxa"/>
            <w:vAlign w:val="center"/>
          </w:tcPr>
          <w:p>
            <w:pPr>
              <w:pStyle w:val="64"/>
              <w:rPr>
                <w:rFonts w:hAnsi="宋体"/>
                <w:highlight w:val="none"/>
              </w:rPr>
            </w:pPr>
            <w:r>
              <w:rPr>
                <w:rFonts w:hAnsi="宋体"/>
                <w:highlight w:val="none"/>
              </w:rPr>
              <w:t>1200</w:t>
            </w:r>
          </w:p>
        </w:tc>
        <w:tc>
          <w:tcPr>
            <w:tcW w:w="991" w:type="dxa"/>
            <w:vAlign w:val="center"/>
          </w:tcPr>
          <w:p>
            <w:pPr>
              <w:pStyle w:val="64"/>
              <w:rPr>
                <w:rFonts w:hAnsi="宋体"/>
                <w:highlight w:val="none"/>
              </w:rPr>
            </w:pPr>
            <w:r>
              <w:rPr>
                <w:rFonts w:hAnsi="宋体"/>
                <w:highlight w:val="none"/>
              </w:rPr>
              <w:t>1200</w:t>
            </w:r>
          </w:p>
        </w:tc>
        <w:tc>
          <w:tcPr>
            <w:tcW w:w="852" w:type="dxa"/>
            <w:vAlign w:val="center"/>
          </w:tcPr>
          <w:p>
            <w:pPr>
              <w:pStyle w:val="64"/>
              <w:rPr>
                <w:rFonts w:hAnsi="宋体"/>
                <w:highlight w:val="none"/>
              </w:rPr>
            </w:pPr>
            <w:r>
              <w:rPr>
                <w:rFonts w:hAnsi="宋体"/>
                <w:highlight w:val="none"/>
              </w:rPr>
              <w:t>1200</w:t>
            </w:r>
          </w:p>
        </w:tc>
        <w:tc>
          <w:tcPr>
            <w:tcW w:w="1040" w:type="dxa"/>
            <w:vAlign w:val="center"/>
          </w:tcPr>
          <w:p>
            <w:pPr>
              <w:pStyle w:val="64"/>
              <w:rPr>
                <w:rFonts w:hAnsi="宋体"/>
                <w:highlight w:val="none"/>
              </w:rPr>
            </w:pPr>
            <w:r>
              <w:rPr>
                <w:rFonts w:hAnsi="宋体"/>
                <w:highlight w:val="none"/>
              </w:rPr>
              <w:t>1200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33</w:t>
            </w:r>
          </w:p>
        </w:tc>
        <w:tc>
          <w:tcPr>
            <w:tcW w:w="2754" w:type="dxa"/>
            <w:vAlign w:val="center"/>
          </w:tcPr>
          <w:p>
            <w:pPr>
              <w:pStyle w:val="64"/>
              <w:rPr>
                <w:rFonts w:hAnsi="宋体"/>
                <w:highlight w:val="none"/>
              </w:rPr>
            </w:pPr>
            <w:r>
              <w:rPr>
                <w:rFonts w:hAnsi="宋体"/>
                <w:highlight w:val="none"/>
              </w:rPr>
              <w:t>间二甲苯+对二甲苯</w:t>
            </w:r>
          </w:p>
        </w:tc>
        <w:tc>
          <w:tcPr>
            <w:tcW w:w="1702" w:type="dxa"/>
            <w:vAlign w:val="center"/>
          </w:tcPr>
          <w:p>
            <w:pPr>
              <w:pStyle w:val="64"/>
              <w:rPr>
                <w:rFonts w:hAnsi="宋体"/>
                <w:highlight w:val="none"/>
              </w:rPr>
            </w:pPr>
            <w:r>
              <w:rPr>
                <w:rFonts w:hAnsi="宋体"/>
                <w:highlight w:val="none"/>
              </w:rPr>
              <w:t>108-38-3</w:t>
            </w:r>
          </w:p>
        </w:tc>
        <w:tc>
          <w:tcPr>
            <w:tcW w:w="993" w:type="dxa"/>
            <w:vAlign w:val="center"/>
          </w:tcPr>
          <w:p>
            <w:pPr>
              <w:pStyle w:val="64"/>
              <w:rPr>
                <w:rFonts w:hAnsi="宋体"/>
                <w:highlight w:val="none"/>
              </w:rPr>
            </w:pPr>
            <w:r>
              <w:rPr>
                <w:rFonts w:hAnsi="宋体"/>
                <w:highlight w:val="none"/>
              </w:rPr>
              <w:t>163</w:t>
            </w:r>
          </w:p>
        </w:tc>
        <w:tc>
          <w:tcPr>
            <w:tcW w:w="991" w:type="dxa"/>
            <w:vAlign w:val="center"/>
          </w:tcPr>
          <w:p>
            <w:pPr>
              <w:pStyle w:val="64"/>
              <w:rPr>
                <w:rFonts w:hAnsi="宋体"/>
                <w:highlight w:val="none"/>
              </w:rPr>
            </w:pPr>
            <w:r>
              <w:rPr>
                <w:rFonts w:hAnsi="宋体"/>
                <w:highlight w:val="none"/>
              </w:rPr>
              <w:t>570</w:t>
            </w:r>
          </w:p>
        </w:tc>
        <w:tc>
          <w:tcPr>
            <w:tcW w:w="852" w:type="dxa"/>
            <w:vAlign w:val="center"/>
          </w:tcPr>
          <w:p>
            <w:pPr>
              <w:pStyle w:val="64"/>
              <w:rPr>
                <w:rFonts w:hAnsi="宋体"/>
                <w:highlight w:val="none"/>
              </w:rPr>
            </w:pPr>
            <w:r>
              <w:rPr>
                <w:rFonts w:hAnsi="宋体"/>
                <w:highlight w:val="none"/>
              </w:rPr>
              <w:t>500</w:t>
            </w:r>
          </w:p>
        </w:tc>
        <w:tc>
          <w:tcPr>
            <w:tcW w:w="1040" w:type="dxa"/>
            <w:vAlign w:val="center"/>
          </w:tcPr>
          <w:p>
            <w:pPr>
              <w:pStyle w:val="64"/>
              <w:rPr>
                <w:rFonts w:hAnsi="宋体"/>
                <w:highlight w:val="none"/>
              </w:rPr>
            </w:pPr>
            <w:r>
              <w:rPr>
                <w:rFonts w:hAnsi="宋体"/>
                <w:highlight w:val="none"/>
              </w:rPr>
              <w:t>570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34</w:t>
            </w:r>
          </w:p>
        </w:tc>
        <w:tc>
          <w:tcPr>
            <w:tcW w:w="2754" w:type="dxa"/>
            <w:vAlign w:val="center"/>
          </w:tcPr>
          <w:p>
            <w:pPr>
              <w:pStyle w:val="64"/>
              <w:rPr>
                <w:rFonts w:hAnsi="宋体"/>
                <w:highlight w:val="none"/>
              </w:rPr>
            </w:pPr>
            <w:r>
              <w:rPr>
                <w:rFonts w:hAnsi="宋体"/>
                <w:highlight w:val="none"/>
              </w:rPr>
              <w:t>邻二甲苯</w:t>
            </w:r>
          </w:p>
        </w:tc>
        <w:tc>
          <w:tcPr>
            <w:tcW w:w="1702" w:type="dxa"/>
            <w:vAlign w:val="center"/>
          </w:tcPr>
          <w:p>
            <w:pPr>
              <w:pStyle w:val="64"/>
              <w:rPr>
                <w:rFonts w:hAnsi="宋体"/>
                <w:highlight w:val="none"/>
              </w:rPr>
            </w:pPr>
            <w:r>
              <w:rPr>
                <w:rFonts w:hAnsi="宋体"/>
                <w:highlight w:val="none"/>
              </w:rPr>
              <w:t>95-47-6</w:t>
            </w:r>
          </w:p>
        </w:tc>
        <w:tc>
          <w:tcPr>
            <w:tcW w:w="993" w:type="dxa"/>
            <w:vAlign w:val="center"/>
          </w:tcPr>
          <w:p>
            <w:pPr>
              <w:pStyle w:val="64"/>
              <w:rPr>
                <w:rFonts w:hAnsi="宋体"/>
                <w:highlight w:val="none"/>
              </w:rPr>
            </w:pPr>
            <w:r>
              <w:rPr>
                <w:rFonts w:hAnsi="宋体"/>
                <w:highlight w:val="none"/>
              </w:rPr>
              <w:t>222</w:t>
            </w:r>
          </w:p>
        </w:tc>
        <w:tc>
          <w:tcPr>
            <w:tcW w:w="991" w:type="dxa"/>
            <w:vAlign w:val="center"/>
          </w:tcPr>
          <w:p>
            <w:pPr>
              <w:pStyle w:val="64"/>
              <w:rPr>
                <w:rFonts w:hAnsi="宋体"/>
                <w:highlight w:val="none"/>
              </w:rPr>
            </w:pPr>
            <w:r>
              <w:rPr>
                <w:rFonts w:hAnsi="宋体"/>
                <w:highlight w:val="none"/>
              </w:rPr>
              <w:t>640</w:t>
            </w:r>
          </w:p>
        </w:tc>
        <w:tc>
          <w:tcPr>
            <w:tcW w:w="852" w:type="dxa"/>
            <w:vAlign w:val="center"/>
          </w:tcPr>
          <w:p>
            <w:pPr>
              <w:pStyle w:val="64"/>
              <w:rPr>
                <w:rFonts w:hAnsi="宋体"/>
                <w:highlight w:val="none"/>
              </w:rPr>
            </w:pPr>
            <w:r>
              <w:rPr>
                <w:rFonts w:hAnsi="宋体"/>
                <w:highlight w:val="none"/>
              </w:rPr>
              <w:t>640</w:t>
            </w:r>
          </w:p>
        </w:tc>
        <w:tc>
          <w:tcPr>
            <w:tcW w:w="1040" w:type="dxa"/>
            <w:vAlign w:val="center"/>
          </w:tcPr>
          <w:p>
            <w:pPr>
              <w:pStyle w:val="64"/>
              <w:rPr>
                <w:rFonts w:hAnsi="宋体"/>
                <w:highlight w:val="none"/>
              </w:rPr>
            </w:pPr>
            <w:r>
              <w:rPr>
                <w:rFonts w:hAnsi="宋体"/>
                <w:highlight w:val="none"/>
              </w:rPr>
              <w:t>640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35</w:t>
            </w:r>
          </w:p>
        </w:tc>
        <w:tc>
          <w:tcPr>
            <w:tcW w:w="2754" w:type="dxa"/>
            <w:vAlign w:val="center"/>
          </w:tcPr>
          <w:p>
            <w:pPr>
              <w:pStyle w:val="64"/>
              <w:rPr>
                <w:rFonts w:hAnsi="宋体"/>
                <w:highlight w:val="none"/>
              </w:rPr>
            </w:pPr>
            <w:r>
              <w:rPr>
                <w:rFonts w:hAnsi="宋体"/>
                <w:highlight w:val="none"/>
              </w:rPr>
              <w:t>硝基苯</w:t>
            </w:r>
          </w:p>
        </w:tc>
        <w:tc>
          <w:tcPr>
            <w:tcW w:w="1702" w:type="dxa"/>
            <w:vAlign w:val="center"/>
          </w:tcPr>
          <w:p>
            <w:pPr>
              <w:pStyle w:val="64"/>
              <w:rPr>
                <w:rFonts w:hAnsi="宋体"/>
                <w:highlight w:val="none"/>
              </w:rPr>
            </w:pPr>
            <w:r>
              <w:rPr>
                <w:rFonts w:hAnsi="宋体"/>
                <w:highlight w:val="none"/>
              </w:rPr>
              <w:t>98-95-3</w:t>
            </w:r>
          </w:p>
        </w:tc>
        <w:tc>
          <w:tcPr>
            <w:tcW w:w="993" w:type="dxa"/>
            <w:vAlign w:val="center"/>
          </w:tcPr>
          <w:p>
            <w:pPr>
              <w:pStyle w:val="64"/>
              <w:rPr>
                <w:rFonts w:hAnsi="宋体"/>
                <w:highlight w:val="none"/>
              </w:rPr>
            </w:pPr>
            <w:r>
              <w:rPr>
                <w:rFonts w:hAnsi="宋体"/>
                <w:highlight w:val="none"/>
              </w:rPr>
              <w:t>34</w:t>
            </w:r>
          </w:p>
        </w:tc>
        <w:tc>
          <w:tcPr>
            <w:tcW w:w="991" w:type="dxa"/>
            <w:vAlign w:val="center"/>
          </w:tcPr>
          <w:p>
            <w:pPr>
              <w:pStyle w:val="64"/>
              <w:rPr>
                <w:rFonts w:hAnsi="宋体"/>
                <w:highlight w:val="none"/>
              </w:rPr>
            </w:pPr>
            <w:r>
              <w:rPr>
                <w:rFonts w:hAnsi="宋体"/>
                <w:highlight w:val="none"/>
              </w:rPr>
              <w:t>76</w:t>
            </w:r>
          </w:p>
        </w:tc>
        <w:tc>
          <w:tcPr>
            <w:tcW w:w="852" w:type="dxa"/>
            <w:vAlign w:val="center"/>
          </w:tcPr>
          <w:p>
            <w:pPr>
              <w:pStyle w:val="64"/>
              <w:rPr>
                <w:rFonts w:hAnsi="宋体"/>
                <w:highlight w:val="none"/>
              </w:rPr>
            </w:pPr>
            <w:r>
              <w:rPr>
                <w:rFonts w:hAnsi="宋体"/>
                <w:highlight w:val="none"/>
              </w:rPr>
              <w:t>190</w:t>
            </w:r>
          </w:p>
        </w:tc>
        <w:tc>
          <w:tcPr>
            <w:tcW w:w="1040" w:type="dxa"/>
            <w:vAlign w:val="center"/>
          </w:tcPr>
          <w:p>
            <w:pPr>
              <w:pStyle w:val="64"/>
              <w:rPr>
                <w:rFonts w:hAnsi="宋体"/>
                <w:highlight w:val="none"/>
              </w:rPr>
            </w:pPr>
            <w:r>
              <w:rPr>
                <w:rFonts w:hAnsi="宋体"/>
                <w:highlight w:val="none"/>
              </w:rPr>
              <w:t>760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36</w:t>
            </w:r>
          </w:p>
        </w:tc>
        <w:tc>
          <w:tcPr>
            <w:tcW w:w="2754" w:type="dxa"/>
            <w:vAlign w:val="center"/>
          </w:tcPr>
          <w:p>
            <w:pPr>
              <w:pStyle w:val="64"/>
              <w:rPr>
                <w:rFonts w:hAnsi="宋体"/>
                <w:highlight w:val="none"/>
              </w:rPr>
            </w:pPr>
            <w:r>
              <w:rPr>
                <w:rFonts w:hAnsi="宋体"/>
                <w:highlight w:val="none"/>
              </w:rPr>
              <w:t>苯胺</w:t>
            </w:r>
          </w:p>
        </w:tc>
        <w:tc>
          <w:tcPr>
            <w:tcW w:w="1702" w:type="dxa"/>
            <w:vAlign w:val="center"/>
          </w:tcPr>
          <w:p>
            <w:pPr>
              <w:pStyle w:val="64"/>
              <w:rPr>
                <w:rFonts w:hAnsi="宋体"/>
                <w:highlight w:val="none"/>
              </w:rPr>
            </w:pPr>
            <w:r>
              <w:rPr>
                <w:rFonts w:hAnsi="宋体"/>
                <w:highlight w:val="none"/>
              </w:rPr>
              <w:t>62-53-3</w:t>
            </w:r>
          </w:p>
        </w:tc>
        <w:tc>
          <w:tcPr>
            <w:tcW w:w="993" w:type="dxa"/>
            <w:vAlign w:val="center"/>
          </w:tcPr>
          <w:p>
            <w:pPr>
              <w:pStyle w:val="64"/>
              <w:rPr>
                <w:rFonts w:hAnsi="宋体"/>
                <w:highlight w:val="none"/>
              </w:rPr>
            </w:pPr>
            <w:r>
              <w:rPr>
                <w:rFonts w:hAnsi="宋体"/>
                <w:highlight w:val="none"/>
              </w:rPr>
              <w:t>92</w:t>
            </w:r>
          </w:p>
        </w:tc>
        <w:tc>
          <w:tcPr>
            <w:tcW w:w="991" w:type="dxa"/>
            <w:vAlign w:val="center"/>
          </w:tcPr>
          <w:p>
            <w:pPr>
              <w:pStyle w:val="64"/>
              <w:rPr>
                <w:rFonts w:hAnsi="宋体"/>
                <w:highlight w:val="none"/>
              </w:rPr>
            </w:pPr>
            <w:r>
              <w:rPr>
                <w:rFonts w:hAnsi="宋体"/>
                <w:highlight w:val="none"/>
              </w:rPr>
              <w:t>260</w:t>
            </w:r>
          </w:p>
        </w:tc>
        <w:tc>
          <w:tcPr>
            <w:tcW w:w="852" w:type="dxa"/>
            <w:vAlign w:val="center"/>
          </w:tcPr>
          <w:p>
            <w:pPr>
              <w:pStyle w:val="64"/>
              <w:rPr>
                <w:rFonts w:hAnsi="宋体"/>
                <w:highlight w:val="none"/>
              </w:rPr>
            </w:pPr>
            <w:r>
              <w:rPr>
                <w:rFonts w:hAnsi="宋体"/>
                <w:highlight w:val="none"/>
              </w:rPr>
              <w:t>211</w:t>
            </w:r>
          </w:p>
        </w:tc>
        <w:tc>
          <w:tcPr>
            <w:tcW w:w="1040" w:type="dxa"/>
            <w:vAlign w:val="center"/>
          </w:tcPr>
          <w:p>
            <w:pPr>
              <w:pStyle w:val="64"/>
              <w:rPr>
                <w:rFonts w:hAnsi="宋体"/>
                <w:highlight w:val="none"/>
              </w:rPr>
            </w:pPr>
            <w:r>
              <w:rPr>
                <w:rFonts w:hAnsi="宋体"/>
                <w:highlight w:val="none"/>
              </w:rPr>
              <w:t>663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37</w:t>
            </w:r>
          </w:p>
        </w:tc>
        <w:tc>
          <w:tcPr>
            <w:tcW w:w="2754" w:type="dxa"/>
            <w:vAlign w:val="center"/>
          </w:tcPr>
          <w:p>
            <w:pPr>
              <w:pStyle w:val="64"/>
              <w:rPr>
                <w:rFonts w:hAnsi="宋体"/>
                <w:highlight w:val="none"/>
              </w:rPr>
            </w:pPr>
            <w:r>
              <w:rPr>
                <w:rFonts w:hAnsi="宋体"/>
                <w:highlight w:val="none"/>
              </w:rPr>
              <w:t>2-氯苯</w:t>
            </w:r>
          </w:p>
        </w:tc>
        <w:tc>
          <w:tcPr>
            <w:tcW w:w="1702" w:type="dxa"/>
            <w:vAlign w:val="center"/>
          </w:tcPr>
          <w:p>
            <w:pPr>
              <w:pStyle w:val="64"/>
              <w:rPr>
                <w:rFonts w:hAnsi="宋体"/>
                <w:highlight w:val="none"/>
              </w:rPr>
            </w:pPr>
            <w:r>
              <w:rPr>
                <w:rFonts w:hAnsi="宋体"/>
                <w:highlight w:val="none"/>
              </w:rPr>
              <w:t>95-57-8</w:t>
            </w:r>
          </w:p>
        </w:tc>
        <w:tc>
          <w:tcPr>
            <w:tcW w:w="993" w:type="dxa"/>
            <w:vAlign w:val="center"/>
          </w:tcPr>
          <w:p>
            <w:pPr>
              <w:pStyle w:val="64"/>
              <w:rPr>
                <w:rFonts w:hAnsi="宋体"/>
                <w:highlight w:val="none"/>
              </w:rPr>
            </w:pPr>
            <w:r>
              <w:rPr>
                <w:rFonts w:hAnsi="宋体"/>
                <w:highlight w:val="none"/>
              </w:rPr>
              <w:t>250</w:t>
            </w:r>
          </w:p>
        </w:tc>
        <w:tc>
          <w:tcPr>
            <w:tcW w:w="991" w:type="dxa"/>
            <w:vAlign w:val="center"/>
          </w:tcPr>
          <w:p>
            <w:pPr>
              <w:pStyle w:val="64"/>
              <w:rPr>
                <w:rFonts w:hAnsi="宋体"/>
                <w:highlight w:val="none"/>
              </w:rPr>
            </w:pPr>
            <w:r>
              <w:rPr>
                <w:rFonts w:hAnsi="宋体"/>
                <w:highlight w:val="none"/>
              </w:rPr>
              <w:t>2256</w:t>
            </w:r>
          </w:p>
        </w:tc>
        <w:tc>
          <w:tcPr>
            <w:tcW w:w="852" w:type="dxa"/>
            <w:vAlign w:val="center"/>
          </w:tcPr>
          <w:p>
            <w:pPr>
              <w:pStyle w:val="64"/>
              <w:rPr>
                <w:rFonts w:hAnsi="宋体"/>
                <w:highlight w:val="none"/>
              </w:rPr>
            </w:pPr>
            <w:r>
              <w:rPr>
                <w:rFonts w:hAnsi="宋体"/>
                <w:highlight w:val="none"/>
              </w:rPr>
              <w:t>500</w:t>
            </w:r>
          </w:p>
        </w:tc>
        <w:tc>
          <w:tcPr>
            <w:tcW w:w="1040" w:type="dxa"/>
            <w:vAlign w:val="center"/>
          </w:tcPr>
          <w:p>
            <w:pPr>
              <w:pStyle w:val="64"/>
              <w:rPr>
                <w:rFonts w:hAnsi="宋体"/>
                <w:highlight w:val="none"/>
              </w:rPr>
            </w:pPr>
            <w:r>
              <w:rPr>
                <w:rFonts w:hAnsi="宋体"/>
                <w:highlight w:val="none"/>
              </w:rPr>
              <w:t>4500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38</w:t>
            </w:r>
          </w:p>
        </w:tc>
        <w:tc>
          <w:tcPr>
            <w:tcW w:w="2754" w:type="dxa"/>
            <w:vAlign w:val="center"/>
          </w:tcPr>
          <w:p>
            <w:pPr>
              <w:pStyle w:val="64"/>
              <w:rPr>
                <w:rFonts w:hAnsi="宋体"/>
                <w:highlight w:val="none"/>
              </w:rPr>
            </w:pPr>
            <w:r>
              <w:rPr>
                <w:rFonts w:hAnsi="宋体"/>
                <w:highlight w:val="none"/>
              </w:rPr>
              <w:t>苯并蒽</w:t>
            </w:r>
          </w:p>
        </w:tc>
        <w:tc>
          <w:tcPr>
            <w:tcW w:w="1702" w:type="dxa"/>
            <w:vAlign w:val="center"/>
          </w:tcPr>
          <w:p>
            <w:pPr>
              <w:pStyle w:val="64"/>
              <w:rPr>
                <w:rFonts w:hAnsi="宋体"/>
                <w:highlight w:val="none"/>
              </w:rPr>
            </w:pPr>
            <w:r>
              <w:rPr>
                <w:rFonts w:hAnsi="宋体"/>
                <w:highlight w:val="none"/>
              </w:rPr>
              <w:t>56-55-3</w:t>
            </w:r>
          </w:p>
        </w:tc>
        <w:tc>
          <w:tcPr>
            <w:tcW w:w="993" w:type="dxa"/>
            <w:vAlign w:val="center"/>
          </w:tcPr>
          <w:p>
            <w:pPr>
              <w:pStyle w:val="64"/>
              <w:rPr>
                <w:rFonts w:hAnsi="宋体"/>
                <w:highlight w:val="none"/>
              </w:rPr>
            </w:pPr>
            <w:r>
              <w:rPr>
                <w:rFonts w:hAnsi="宋体"/>
                <w:highlight w:val="none"/>
              </w:rPr>
              <w:t>5.5</w:t>
            </w:r>
          </w:p>
        </w:tc>
        <w:tc>
          <w:tcPr>
            <w:tcW w:w="991" w:type="dxa"/>
            <w:vAlign w:val="center"/>
          </w:tcPr>
          <w:p>
            <w:pPr>
              <w:pStyle w:val="64"/>
              <w:rPr>
                <w:rFonts w:hAnsi="宋体"/>
                <w:highlight w:val="none"/>
              </w:rPr>
            </w:pPr>
            <w:r>
              <w:rPr>
                <w:rFonts w:hAnsi="宋体"/>
                <w:highlight w:val="none"/>
              </w:rPr>
              <w:t>15</w:t>
            </w:r>
          </w:p>
        </w:tc>
        <w:tc>
          <w:tcPr>
            <w:tcW w:w="852" w:type="dxa"/>
            <w:vAlign w:val="center"/>
          </w:tcPr>
          <w:p>
            <w:pPr>
              <w:pStyle w:val="64"/>
              <w:rPr>
                <w:rFonts w:hAnsi="宋体"/>
                <w:highlight w:val="none"/>
              </w:rPr>
            </w:pPr>
            <w:r>
              <w:rPr>
                <w:rFonts w:hAnsi="宋体"/>
                <w:highlight w:val="none"/>
              </w:rPr>
              <w:t>55</w:t>
            </w:r>
          </w:p>
        </w:tc>
        <w:tc>
          <w:tcPr>
            <w:tcW w:w="1040" w:type="dxa"/>
            <w:vAlign w:val="center"/>
          </w:tcPr>
          <w:p>
            <w:pPr>
              <w:pStyle w:val="64"/>
              <w:rPr>
                <w:rFonts w:hAnsi="宋体"/>
                <w:highlight w:val="none"/>
              </w:rPr>
            </w:pPr>
            <w:r>
              <w:rPr>
                <w:rFonts w:hAnsi="宋体"/>
                <w:highlight w:val="none"/>
              </w:rPr>
              <w:t>151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39</w:t>
            </w:r>
          </w:p>
        </w:tc>
        <w:tc>
          <w:tcPr>
            <w:tcW w:w="2754" w:type="dxa"/>
            <w:vAlign w:val="center"/>
          </w:tcPr>
          <w:p>
            <w:pPr>
              <w:pStyle w:val="64"/>
              <w:rPr>
                <w:rFonts w:hAnsi="宋体"/>
                <w:highlight w:val="none"/>
              </w:rPr>
            </w:pPr>
            <w:r>
              <w:rPr>
                <w:rFonts w:hAnsi="宋体"/>
                <w:highlight w:val="none"/>
              </w:rPr>
              <w:t>苯并芘</w:t>
            </w:r>
          </w:p>
        </w:tc>
        <w:tc>
          <w:tcPr>
            <w:tcW w:w="1702" w:type="dxa"/>
            <w:vAlign w:val="center"/>
          </w:tcPr>
          <w:p>
            <w:pPr>
              <w:pStyle w:val="64"/>
              <w:rPr>
                <w:rFonts w:hAnsi="宋体"/>
                <w:highlight w:val="none"/>
              </w:rPr>
            </w:pPr>
            <w:r>
              <w:rPr>
                <w:rFonts w:hAnsi="宋体"/>
                <w:highlight w:val="none"/>
              </w:rPr>
              <w:t>50-32-8</w:t>
            </w:r>
          </w:p>
        </w:tc>
        <w:tc>
          <w:tcPr>
            <w:tcW w:w="993" w:type="dxa"/>
            <w:vAlign w:val="center"/>
          </w:tcPr>
          <w:p>
            <w:pPr>
              <w:pStyle w:val="64"/>
              <w:rPr>
                <w:rFonts w:hAnsi="宋体"/>
                <w:highlight w:val="none"/>
              </w:rPr>
            </w:pPr>
            <w:r>
              <w:rPr>
                <w:rFonts w:hAnsi="宋体"/>
                <w:highlight w:val="none"/>
              </w:rPr>
              <w:t>0.55</w:t>
            </w:r>
          </w:p>
        </w:tc>
        <w:tc>
          <w:tcPr>
            <w:tcW w:w="991" w:type="dxa"/>
            <w:vAlign w:val="center"/>
          </w:tcPr>
          <w:p>
            <w:pPr>
              <w:pStyle w:val="64"/>
              <w:rPr>
                <w:rFonts w:hAnsi="宋体"/>
                <w:highlight w:val="none"/>
              </w:rPr>
            </w:pPr>
            <w:r>
              <w:rPr>
                <w:rFonts w:hAnsi="宋体"/>
                <w:highlight w:val="none"/>
              </w:rPr>
              <w:t>1.5</w:t>
            </w:r>
          </w:p>
        </w:tc>
        <w:tc>
          <w:tcPr>
            <w:tcW w:w="852" w:type="dxa"/>
            <w:vAlign w:val="center"/>
          </w:tcPr>
          <w:p>
            <w:pPr>
              <w:pStyle w:val="64"/>
              <w:rPr>
                <w:rFonts w:hAnsi="宋体"/>
                <w:highlight w:val="none"/>
              </w:rPr>
            </w:pPr>
            <w:r>
              <w:rPr>
                <w:rFonts w:hAnsi="宋体"/>
                <w:highlight w:val="none"/>
              </w:rPr>
              <w:t>5.5</w:t>
            </w:r>
          </w:p>
        </w:tc>
        <w:tc>
          <w:tcPr>
            <w:tcW w:w="1040" w:type="dxa"/>
            <w:vAlign w:val="center"/>
          </w:tcPr>
          <w:p>
            <w:pPr>
              <w:pStyle w:val="64"/>
              <w:rPr>
                <w:rFonts w:hAnsi="宋体"/>
                <w:highlight w:val="none"/>
              </w:rPr>
            </w:pPr>
            <w:r>
              <w:rPr>
                <w:rFonts w:hAnsi="宋体"/>
                <w:highlight w:val="none"/>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40</w:t>
            </w:r>
          </w:p>
        </w:tc>
        <w:tc>
          <w:tcPr>
            <w:tcW w:w="2754" w:type="dxa"/>
            <w:vAlign w:val="center"/>
          </w:tcPr>
          <w:p>
            <w:pPr>
              <w:pStyle w:val="64"/>
              <w:rPr>
                <w:rFonts w:hAnsi="宋体"/>
                <w:highlight w:val="none"/>
              </w:rPr>
            </w:pPr>
            <w:r>
              <w:rPr>
                <w:rFonts w:hAnsi="宋体"/>
                <w:highlight w:val="none"/>
              </w:rPr>
              <w:t>苯并荧[b]蒽</w:t>
            </w:r>
          </w:p>
        </w:tc>
        <w:tc>
          <w:tcPr>
            <w:tcW w:w="1702" w:type="dxa"/>
            <w:vAlign w:val="center"/>
          </w:tcPr>
          <w:p>
            <w:pPr>
              <w:pStyle w:val="64"/>
              <w:rPr>
                <w:rFonts w:hAnsi="宋体"/>
                <w:highlight w:val="none"/>
              </w:rPr>
            </w:pPr>
            <w:r>
              <w:rPr>
                <w:rFonts w:hAnsi="宋体"/>
                <w:highlight w:val="none"/>
              </w:rPr>
              <w:t>205-99-2</w:t>
            </w:r>
          </w:p>
        </w:tc>
        <w:tc>
          <w:tcPr>
            <w:tcW w:w="993" w:type="dxa"/>
            <w:vAlign w:val="center"/>
          </w:tcPr>
          <w:p>
            <w:pPr>
              <w:pStyle w:val="64"/>
              <w:rPr>
                <w:rFonts w:hAnsi="宋体"/>
                <w:highlight w:val="none"/>
              </w:rPr>
            </w:pPr>
            <w:r>
              <w:rPr>
                <w:rFonts w:hAnsi="宋体"/>
                <w:highlight w:val="none"/>
              </w:rPr>
              <w:t>5.5</w:t>
            </w:r>
          </w:p>
        </w:tc>
        <w:tc>
          <w:tcPr>
            <w:tcW w:w="991" w:type="dxa"/>
            <w:vAlign w:val="center"/>
          </w:tcPr>
          <w:p>
            <w:pPr>
              <w:pStyle w:val="64"/>
              <w:rPr>
                <w:rFonts w:hAnsi="宋体"/>
                <w:highlight w:val="none"/>
              </w:rPr>
            </w:pPr>
            <w:r>
              <w:rPr>
                <w:rFonts w:hAnsi="宋体"/>
                <w:highlight w:val="none"/>
              </w:rPr>
              <w:t>15</w:t>
            </w:r>
          </w:p>
        </w:tc>
        <w:tc>
          <w:tcPr>
            <w:tcW w:w="852" w:type="dxa"/>
            <w:vAlign w:val="center"/>
          </w:tcPr>
          <w:p>
            <w:pPr>
              <w:pStyle w:val="64"/>
              <w:rPr>
                <w:rFonts w:hAnsi="宋体"/>
                <w:highlight w:val="none"/>
              </w:rPr>
            </w:pPr>
            <w:r>
              <w:rPr>
                <w:rFonts w:hAnsi="宋体"/>
                <w:highlight w:val="none"/>
              </w:rPr>
              <w:t>55</w:t>
            </w:r>
          </w:p>
        </w:tc>
        <w:tc>
          <w:tcPr>
            <w:tcW w:w="1040" w:type="dxa"/>
            <w:vAlign w:val="center"/>
          </w:tcPr>
          <w:p>
            <w:pPr>
              <w:pStyle w:val="64"/>
              <w:rPr>
                <w:rFonts w:hAnsi="宋体"/>
                <w:highlight w:val="none"/>
              </w:rPr>
            </w:pPr>
            <w:r>
              <w:rPr>
                <w:rFonts w:hAnsi="宋体"/>
                <w:highlight w:val="none"/>
              </w:rPr>
              <w:t>151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41</w:t>
            </w:r>
          </w:p>
        </w:tc>
        <w:tc>
          <w:tcPr>
            <w:tcW w:w="2754" w:type="dxa"/>
            <w:vAlign w:val="center"/>
          </w:tcPr>
          <w:p>
            <w:pPr>
              <w:pStyle w:val="64"/>
              <w:rPr>
                <w:rFonts w:hAnsi="宋体"/>
                <w:highlight w:val="none"/>
              </w:rPr>
            </w:pPr>
            <w:r>
              <w:rPr>
                <w:rFonts w:hAnsi="宋体"/>
                <w:highlight w:val="none"/>
              </w:rPr>
              <w:t>苯并荧[b]蒽</w:t>
            </w:r>
          </w:p>
        </w:tc>
        <w:tc>
          <w:tcPr>
            <w:tcW w:w="1702" w:type="dxa"/>
            <w:vAlign w:val="center"/>
          </w:tcPr>
          <w:p>
            <w:pPr>
              <w:pStyle w:val="64"/>
              <w:rPr>
                <w:rFonts w:hAnsi="宋体"/>
                <w:highlight w:val="none"/>
              </w:rPr>
            </w:pPr>
            <w:r>
              <w:rPr>
                <w:rFonts w:hAnsi="宋体"/>
                <w:highlight w:val="none"/>
              </w:rPr>
              <w:t>20-08-9</w:t>
            </w:r>
          </w:p>
        </w:tc>
        <w:tc>
          <w:tcPr>
            <w:tcW w:w="993" w:type="dxa"/>
            <w:vAlign w:val="center"/>
          </w:tcPr>
          <w:p>
            <w:pPr>
              <w:pStyle w:val="64"/>
              <w:rPr>
                <w:rFonts w:hAnsi="宋体"/>
                <w:highlight w:val="none"/>
              </w:rPr>
            </w:pPr>
            <w:r>
              <w:rPr>
                <w:rFonts w:hAnsi="宋体"/>
                <w:highlight w:val="none"/>
              </w:rPr>
              <w:t>55</w:t>
            </w:r>
          </w:p>
        </w:tc>
        <w:tc>
          <w:tcPr>
            <w:tcW w:w="991" w:type="dxa"/>
            <w:vAlign w:val="center"/>
          </w:tcPr>
          <w:p>
            <w:pPr>
              <w:pStyle w:val="64"/>
              <w:rPr>
                <w:rFonts w:hAnsi="宋体"/>
                <w:highlight w:val="none"/>
              </w:rPr>
            </w:pPr>
            <w:r>
              <w:rPr>
                <w:rFonts w:hAnsi="宋体"/>
                <w:highlight w:val="none"/>
              </w:rPr>
              <w:t>151</w:t>
            </w:r>
          </w:p>
        </w:tc>
        <w:tc>
          <w:tcPr>
            <w:tcW w:w="852" w:type="dxa"/>
            <w:vAlign w:val="center"/>
          </w:tcPr>
          <w:p>
            <w:pPr>
              <w:pStyle w:val="64"/>
              <w:rPr>
                <w:rFonts w:hAnsi="宋体"/>
                <w:highlight w:val="none"/>
              </w:rPr>
            </w:pPr>
            <w:r>
              <w:rPr>
                <w:rFonts w:hAnsi="宋体"/>
                <w:highlight w:val="none"/>
              </w:rPr>
              <w:t>550</w:t>
            </w:r>
          </w:p>
        </w:tc>
        <w:tc>
          <w:tcPr>
            <w:tcW w:w="1040" w:type="dxa"/>
            <w:vAlign w:val="center"/>
          </w:tcPr>
          <w:p>
            <w:pPr>
              <w:pStyle w:val="64"/>
              <w:rPr>
                <w:rFonts w:hAnsi="宋体"/>
                <w:highlight w:val="none"/>
              </w:rPr>
            </w:pPr>
            <w:r>
              <w:rPr>
                <w:rFonts w:hAnsi="宋体"/>
                <w:highlight w:val="none"/>
              </w:rPr>
              <w:t>1500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42</w:t>
            </w:r>
          </w:p>
        </w:tc>
        <w:tc>
          <w:tcPr>
            <w:tcW w:w="2754" w:type="dxa"/>
            <w:vAlign w:val="center"/>
          </w:tcPr>
          <w:p>
            <w:pPr>
              <w:pStyle w:val="64"/>
              <w:rPr>
                <w:rFonts w:hAnsi="宋体"/>
                <w:highlight w:val="none"/>
              </w:rPr>
            </w:pPr>
            <w:r>
              <w:rPr>
                <w:rFonts w:hAnsi="宋体"/>
                <w:highlight w:val="none"/>
              </w:rPr>
              <w:t>䓛</w:t>
            </w:r>
          </w:p>
        </w:tc>
        <w:tc>
          <w:tcPr>
            <w:tcW w:w="1702" w:type="dxa"/>
            <w:vAlign w:val="center"/>
          </w:tcPr>
          <w:p>
            <w:pPr>
              <w:pStyle w:val="64"/>
              <w:rPr>
                <w:rFonts w:hAnsi="宋体"/>
                <w:highlight w:val="none"/>
              </w:rPr>
            </w:pPr>
            <w:r>
              <w:rPr>
                <w:rFonts w:hAnsi="宋体"/>
                <w:highlight w:val="none"/>
              </w:rPr>
              <w:t>218-01-9</w:t>
            </w:r>
          </w:p>
        </w:tc>
        <w:tc>
          <w:tcPr>
            <w:tcW w:w="993" w:type="dxa"/>
            <w:vAlign w:val="center"/>
          </w:tcPr>
          <w:p>
            <w:pPr>
              <w:pStyle w:val="64"/>
              <w:rPr>
                <w:rFonts w:hAnsi="宋体"/>
                <w:highlight w:val="none"/>
              </w:rPr>
            </w:pPr>
            <w:r>
              <w:rPr>
                <w:rFonts w:hAnsi="宋体"/>
                <w:highlight w:val="none"/>
              </w:rPr>
              <w:t>490</w:t>
            </w:r>
          </w:p>
        </w:tc>
        <w:tc>
          <w:tcPr>
            <w:tcW w:w="991" w:type="dxa"/>
            <w:vAlign w:val="center"/>
          </w:tcPr>
          <w:p>
            <w:pPr>
              <w:pStyle w:val="64"/>
              <w:rPr>
                <w:rFonts w:hAnsi="宋体"/>
                <w:highlight w:val="none"/>
              </w:rPr>
            </w:pPr>
            <w:r>
              <w:rPr>
                <w:rFonts w:hAnsi="宋体"/>
                <w:highlight w:val="none"/>
              </w:rPr>
              <w:t>1293</w:t>
            </w:r>
          </w:p>
        </w:tc>
        <w:tc>
          <w:tcPr>
            <w:tcW w:w="852" w:type="dxa"/>
            <w:vAlign w:val="center"/>
          </w:tcPr>
          <w:p>
            <w:pPr>
              <w:pStyle w:val="64"/>
              <w:rPr>
                <w:rFonts w:hAnsi="宋体"/>
                <w:highlight w:val="none"/>
              </w:rPr>
            </w:pPr>
            <w:r>
              <w:rPr>
                <w:rFonts w:hAnsi="宋体"/>
                <w:highlight w:val="none"/>
              </w:rPr>
              <w:t>4900</w:t>
            </w:r>
          </w:p>
        </w:tc>
        <w:tc>
          <w:tcPr>
            <w:tcW w:w="1040" w:type="dxa"/>
            <w:vAlign w:val="center"/>
          </w:tcPr>
          <w:p>
            <w:pPr>
              <w:pStyle w:val="64"/>
              <w:rPr>
                <w:rFonts w:hAnsi="宋体"/>
                <w:highlight w:val="none"/>
              </w:rPr>
            </w:pPr>
            <w:r>
              <w:rPr>
                <w:rFonts w:hAnsi="宋体"/>
                <w:highlight w:val="none"/>
              </w:rPr>
              <w:t>12900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43</w:t>
            </w:r>
          </w:p>
        </w:tc>
        <w:tc>
          <w:tcPr>
            <w:tcW w:w="2754" w:type="dxa"/>
            <w:vAlign w:val="center"/>
          </w:tcPr>
          <w:p>
            <w:pPr>
              <w:pStyle w:val="64"/>
              <w:rPr>
                <w:rFonts w:hAnsi="宋体"/>
                <w:highlight w:val="none"/>
              </w:rPr>
            </w:pPr>
            <w:r>
              <w:rPr>
                <w:rFonts w:hAnsi="宋体"/>
                <w:highlight w:val="none"/>
              </w:rPr>
              <w:t>二苯并[a,h]蒽</w:t>
            </w:r>
          </w:p>
        </w:tc>
        <w:tc>
          <w:tcPr>
            <w:tcW w:w="1702" w:type="dxa"/>
            <w:vAlign w:val="center"/>
          </w:tcPr>
          <w:p>
            <w:pPr>
              <w:pStyle w:val="64"/>
              <w:rPr>
                <w:rFonts w:hAnsi="宋体"/>
                <w:highlight w:val="none"/>
              </w:rPr>
            </w:pPr>
            <w:r>
              <w:rPr>
                <w:rFonts w:hAnsi="宋体"/>
                <w:highlight w:val="none"/>
              </w:rPr>
              <w:t>53-70-3</w:t>
            </w:r>
          </w:p>
        </w:tc>
        <w:tc>
          <w:tcPr>
            <w:tcW w:w="993" w:type="dxa"/>
            <w:vAlign w:val="center"/>
          </w:tcPr>
          <w:p>
            <w:pPr>
              <w:pStyle w:val="64"/>
              <w:rPr>
                <w:rFonts w:hAnsi="宋体"/>
                <w:highlight w:val="none"/>
              </w:rPr>
            </w:pPr>
            <w:r>
              <w:rPr>
                <w:rFonts w:hAnsi="宋体"/>
                <w:highlight w:val="none"/>
              </w:rPr>
              <w:t>0.55</w:t>
            </w:r>
          </w:p>
        </w:tc>
        <w:tc>
          <w:tcPr>
            <w:tcW w:w="991" w:type="dxa"/>
            <w:vAlign w:val="center"/>
          </w:tcPr>
          <w:p>
            <w:pPr>
              <w:pStyle w:val="64"/>
              <w:rPr>
                <w:rFonts w:hAnsi="宋体"/>
                <w:highlight w:val="none"/>
              </w:rPr>
            </w:pPr>
            <w:r>
              <w:rPr>
                <w:rFonts w:hAnsi="宋体"/>
                <w:highlight w:val="none"/>
              </w:rPr>
              <w:t>1.5</w:t>
            </w:r>
          </w:p>
        </w:tc>
        <w:tc>
          <w:tcPr>
            <w:tcW w:w="852" w:type="dxa"/>
            <w:vAlign w:val="center"/>
          </w:tcPr>
          <w:p>
            <w:pPr>
              <w:pStyle w:val="64"/>
              <w:rPr>
                <w:rFonts w:hAnsi="宋体"/>
                <w:highlight w:val="none"/>
              </w:rPr>
            </w:pPr>
            <w:r>
              <w:rPr>
                <w:rFonts w:hAnsi="宋体"/>
                <w:highlight w:val="none"/>
              </w:rPr>
              <w:t>5.5</w:t>
            </w:r>
          </w:p>
        </w:tc>
        <w:tc>
          <w:tcPr>
            <w:tcW w:w="1040" w:type="dxa"/>
            <w:vAlign w:val="center"/>
          </w:tcPr>
          <w:p>
            <w:pPr>
              <w:pStyle w:val="64"/>
              <w:rPr>
                <w:rFonts w:hAnsi="宋体"/>
                <w:highlight w:val="none"/>
              </w:rPr>
            </w:pPr>
            <w:r>
              <w:rPr>
                <w:rFonts w:hAnsi="宋体"/>
                <w:highlight w:val="none"/>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44</w:t>
            </w:r>
          </w:p>
        </w:tc>
        <w:tc>
          <w:tcPr>
            <w:tcW w:w="2754" w:type="dxa"/>
            <w:vAlign w:val="center"/>
          </w:tcPr>
          <w:p>
            <w:pPr>
              <w:pStyle w:val="64"/>
              <w:rPr>
                <w:rFonts w:hAnsi="宋体"/>
                <w:highlight w:val="none"/>
              </w:rPr>
            </w:pPr>
            <w:r>
              <w:rPr>
                <w:rFonts w:hAnsi="宋体"/>
                <w:highlight w:val="none"/>
              </w:rPr>
              <w:t>茚并[1,2,3-cd]芘</w:t>
            </w:r>
          </w:p>
        </w:tc>
        <w:tc>
          <w:tcPr>
            <w:tcW w:w="1702" w:type="dxa"/>
            <w:vAlign w:val="center"/>
          </w:tcPr>
          <w:p>
            <w:pPr>
              <w:pStyle w:val="64"/>
              <w:rPr>
                <w:rFonts w:hAnsi="宋体"/>
                <w:highlight w:val="none"/>
              </w:rPr>
            </w:pPr>
            <w:r>
              <w:rPr>
                <w:rFonts w:hAnsi="宋体"/>
                <w:highlight w:val="none"/>
              </w:rPr>
              <w:t>193-39-5</w:t>
            </w:r>
          </w:p>
        </w:tc>
        <w:tc>
          <w:tcPr>
            <w:tcW w:w="993" w:type="dxa"/>
            <w:vAlign w:val="center"/>
          </w:tcPr>
          <w:p>
            <w:pPr>
              <w:pStyle w:val="64"/>
              <w:rPr>
                <w:rFonts w:hAnsi="宋体"/>
                <w:highlight w:val="none"/>
              </w:rPr>
            </w:pPr>
            <w:r>
              <w:rPr>
                <w:rFonts w:hAnsi="宋体"/>
                <w:highlight w:val="none"/>
              </w:rPr>
              <w:t>5.5</w:t>
            </w:r>
          </w:p>
        </w:tc>
        <w:tc>
          <w:tcPr>
            <w:tcW w:w="991" w:type="dxa"/>
            <w:vAlign w:val="center"/>
          </w:tcPr>
          <w:p>
            <w:pPr>
              <w:pStyle w:val="64"/>
              <w:rPr>
                <w:rFonts w:hAnsi="宋体"/>
                <w:highlight w:val="none"/>
              </w:rPr>
            </w:pPr>
            <w:r>
              <w:rPr>
                <w:rFonts w:hAnsi="宋体"/>
                <w:highlight w:val="none"/>
              </w:rPr>
              <w:t>15</w:t>
            </w:r>
          </w:p>
        </w:tc>
        <w:tc>
          <w:tcPr>
            <w:tcW w:w="852" w:type="dxa"/>
            <w:vAlign w:val="center"/>
          </w:tcPr>
          <w:p>
            <w:pPr>
              <w:pStyle w:val="64"/>
              <w:rPr>
                <w:rFonts w:hAnsi="宋体"/>
                <w:highlight w:val="none"/>
              </w:rPr>
            </w:pPr>
            <w:r>
              <w:rPr>
                <w:rFonts w:hAnsi="宋体"/>
                <w:highlight w:val="none"/>
              </w:rPr>
              <w:t>55</w:t>
            </w:r>
          </w:p>
        </w:tc>
        <w:tc>
          <w:tcPr>
            <w:tcW w:w="1040" w:type="dxa"/>
            <w:vAlign w:val="center"/>
          </w:tcPr>
          <w:p>
            <w:pPr>
              <w:pStyle w:val="64"/>
              <w:rPr>
                <w:rFonts w:hAnsi="宋体"/>
                <w:highlight w:val="none"/>
              </w:rPr>
            </w:pPr>
            <w:r>
              <w:rPr>
                <w:rFonts w:hAnsi="宋体"/>
                <w:highlight w:val="none"/>
              </w:rPr>
              <w:t>151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14" w:type="dxa"/>
            <w:vAlign w:val="center"/>
          </w:tcPr>
          <w:p>
            <w:pPr>
              <w:pStyle w:val="64"/>
              <w:rPr>
                <w:rFonts w:hAnsi="宋体"/>
                <w:highlight w:val="none"/>
              </w:rPr>
            </w:pPr>
            <w:r>
              <w:rPr>
                <w:rFonts w:hAnsi="宋体"/>
                <w:highlight w:val="none"/>
              </w:rPr>
              <w:t>45</w:t>
            </w:r>
          </w:p>
        </w:tc>
        <w:tc>
          <w:tcPr>
            <w:tcW w:w="2754" w:type="dxa"/>
            <w:vAlign w:val="center"/>
          </w:tcPr>
          <w:p>
            <w:pPr>
              <w:pStyle w:val="64"/>
              <w:rPr>
                <w:rFonts w:hAnsi="宋体"/>
                <w:highlight w:val="none"/>
              </w:rPr>
            </w:pPr>
            <w:r>
              <w:rPr>
                <w:rFonts w:hAnsi="宋体"/>
                <w:highlight w:val="none"/>
              </w:rPr>
              <w:t>萘</w:t>
            </w:r>
          </w:p>
        </w:tc>
        <w:tc>
          <w:tcPr>
            <w:tcW w:w="1702" w:type="dxa"/>
            <w:vAlign w:val="center"/>
          </w:tcPr>
          <w:p>
            <w:pPr>
              <w:pStyle w:val="64"/>
              <w:rPr>
                <w:rFonts w:hAnsi="宋体"/>
                <w:highlight w:val="none"/>
              </w:rPr>
            </w:pPr>
            <w:r>
              <w:rPr>
                <w:rFonts w:hAnsi="宋体"/>
                <w:highlight w:val="none"/>
              </w:rPr>
              <w:t>91-20-3</w:t>
            </w:r>
          </w:p>
        </w:tc>
        <w:tc>
          <w:tcPr>
            <w:tcW w:w="993" w:type="dxa"/>
            <w:vAlign w:val="center"/>
          </w:tcPr>
          <w:p>
            <w:pPr>
              <w:pStyle w:val="64"/>
              <w:rPr>
                <w:rFonts w:hAnsi="宋体"/>
                <w:highlight w:val="none"/>
              </w:rPr>
            </w:pPr>
            <w:r>
              <w:rPr>
                <w:rFonts w:hAnsi="宋体"/>
                <w:highlight w:val="none"/>
              </w:rPr>
              <w:t>25</w:t>
            </w:r>
          </w:p>
        </w:tc>
        <w:tc>
          <w:tcPr>
            <w:tcW w:w="991" w:type="dxa"/>
            <w:vAlign w:val="center"/>
          </w:tcPr>
          <w:p>
            <w:pPr>
              <w:pStyle w:val="64"/>
              <w:rPr>
                <w:rFonts w:hAnsi="宋体"/>
                <w:highlight w:val="none"/>
              </w:rPr>
            </w:pPr>
            <w:r>
              <w:rPr>
                <w:rFonts w:hAnsi="宋体"/>
                <w:highlight w:val="none"/>
              </w:rPr>
              <w:t>70</w:t>
            </w:r>
          </w:p>
        </w:tc>
        <w:tc>
          <w:tcPr>
            <w:tcW w:w="852" w:type="dxa"/>
            <w:vAlign w:val="center"/>
          </w:tcPr>
          <w:p>
            <w:pPr>
              <w:pStyle w:val="64"/>
              <w:rPr>
                <w:rFonts w:hAnsi="宋体"/>
                <w:highlight w:val="none"/>
              </w:rPr>
            </w:pPr>
            <w:r>
              <w:rPr>
                <w:rFonts w:hAnsi="宋体"/>
                <w:highlight w:val="none"/>
              </w:rPr>
              <w:t>255</w:t>
            </w:r>
          </w:p>
        </w:tc>
        <w:tc>
          <w:tcPr>
            <w:tcW w:w="1040" w:type="dxa"/>
            <w:vAlign w:val="center"/>
          </w:tcPr>
          <w:p>
            <w:pPr>
              <w:pStyle w:val="64"/>
              <w:rPr>
                <w:rFonts w:hAnsi="宋体"/>
                <w:highlight w:val="none"/>
              </w:rPr>
            </w:pPr>
            <w:r>
              <w:rPr>
                <w:rFonts w:hAnsi="宋体"/>
                <w:highlight w:val="none"/>
              </w:rPr>
              <w:t>700</w:t>
            </w:r>
          </w:p>
        </w:tc>
      </w:tr>
    </w:tbl>
    <w:p>
      <w:pPr>
        <w:adjustRightInd w:val="0"/>
        <w:snapToGrid w:val="0"/>
        <w:ind w:firstLine="480"/>
        <w:rPr>
          <w:rFonts w:ascii="宋体" w:hAnsi="宋体"/>
          <w:kern w:val="0"/>
          <w:szCs w:val="20"/>
          <w:highlight w:val="none"/>
        </w:rPr>
      </w:pPr>
      <w:r>
        <w:rPr>
          <w:rFonts w:hint="eastAsia" w:ascii="宋体" w:hAnsi="宋体"/>
          <w:kern w:val="0"/>
          <w:szCs w:val="20"/>
          <w:highlight w:val="none"/>
        </w:rPr>
        <w:t>本</w:t>
      </w:r>
      <w:r>
        <w:rPr>
          <w:rFonts w:ascii="宋体" w:hAnsi="宋体"/>
          <w:kern w:val="0"/>
          <w:szCs w:val="20"/>
          <w:highlight w:val="none"/>
        </w:rPr>
        <w:t>项目</w:t>
      </w:r>
      <w:r>
        <w:rPr>
          <w:rFonts w:hint="eastAsia" w:ascii="宋体" w:hAnsi="宋体"/>
          <w:kern w:val="0"/>
          <w:szCs w:val="20"/>
          <w:highlight w:val="none"/>
        </w:rPr>
        <w:t>尾矿区所在</w:t>
      </w:r>
      <w:r>
        <w:rPr>
          <w:rFonts w:ascii="宋体" w:hAnsi="宋体"/>
          <w:kern w:val="0"/>
          <w:szCs w:val="20"/>
          <w:highlight w:val="none"/>
        </w:rPr>
        <w:t>区域</w:t>
      </w:r>
      <w:r>
        <w:rPr>
          <w:rFonts w:hint="eastAsia" w:ascii="宋体" w:hAnsi="宋体"/>
          <w:kern w:val="0"/>
          <w:szCs w:val="20"/>
          <w:highlight w:val="none"/>
        </w:rPr>
        <w:t>内、外部</w:t>
      </w:r>
      <w:r>
        <w:rPr>
          <w:rFonts w:ascii="宋体" w:hAnsi="宋体"/>
          <w:kern w:val="0"/>
          <w:szCs w:val="20"/>
          <w:highlight w:val="none"/>
        </w:rPr>
        <w:t>土壤环境执行《土壤环境质量农用地土壤污染风险管控标准》（GB15618-2018）（试行）中表1农用地土壤污染风险筛选值，具体见表</w:t>
      </w:r>
      <w:r>
        <w:rPr>
          <w:rFonts w:hint="eastAsia" w:ascii="宋体" w:hAnsi="宋体"/>
          <w:kern w:val="0"/>
          <w:szCs w:val="20"/>
          <w:highlight w:val="none"/>
        </w:rPr>
        <w:t>2.3-6</w:t>
      </w:r>
      <w:r>
        <w:rPr>
          <w:rFonts w:ascii="宋体" w:hAnsi="宋体"/>
          <w:kern w:val="0"/>
          <w:szCs w:val="20"/>
          <w:highlight w:val="none"/>
        </w:rPr>
        <w:t>。</w:t>
      </w:r>
    </w:p>
    <w:p>
      <w:pPr>
        <w:pStyle w:val="65"/>
        <w:rPr>
          <w:rFonts w:hAnsi="宋体"/>
          <w:highlight w:val="none"/>
        </w:rPr>
      </w:pPr>
      <w:r>
        <w:rPr>
          <w:rFonts w:hint="eastAsia" w:hAnsi="宋体"/>
          <w:highlight w:val="none"/>
        </w:rPr>
        <w:t xml:space="preserve">表2.3-6  </w:t>
      </w:r>
      <w:r>
        <w:rPr>
          <w:rFonts w:hAnsi="宋体"/>
          <w:highlight w:val="none"/>
        </w:rPr>
        <w:t>《土壤环境质量农用地土壤污染风险管控标准》（GB15618-2018）（试行）</w:t>
      </w:r>
    </w:p>
    <w:tbl>
      <w:tblPr>
        <w:tblStyle w:val="44"/>
        <w:tblW w:w="8988"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914"/>
        <w:gridCol w:w="856"/>
        <w:gridCol w:w="1269"/>
        <w:gridCol w:w="1350"/>
        <w:gridCol w:w="1683"/>
        <w:gridCol w:w="1487"/>
        <w:gridCol w:w="142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序号</w:t>
            </w:r>
          </w:p>
        </w:tc>
        <w:tc>
          <w:tcPr>
            <w:tcW w:w="2125" w:type="dxa"/>
            <w:gridSpan w:val="2"/>
            <w:vMerge w:val="restart"/>
            <w:vAlign w:val="center"/>
          </w:tcPr>
          <w:p>
            <w:pPr>
              <w:pStyle w:val="64"/>
              <w:rPr>
                <w:rFonts w:hAnsi="宋体"/>
                <w:highlight w:val="none"/>
                <w:lang w:eastAsia="en-US"/>
              </w:rPr>
            </w:pPr>
            <w:r>
              <w:rPr>
                <w:rFonts w:hAnsi="宋体"/>
                <w:highlight w:val="none"/>
                <w:lang w:eastAsia="en-US"/>
              </w:rPr>
              <w:t>污染物名称</w:t>
            </w:r>
          </w:p>
        </w:tc>
        <w:tc>
          <w:tcPr>
            <w:tcW w:w="5949" w:type="dxa"/>
            <w:gridSpan w:val="4"/>
            <w:vAlign w:val="center"/>
          </w:tcPr>
          <w:p>
            <w:pPr>
              <w:pStyle w:val="64"/>
              <w:rPr>
                <w:rFonts w:hAnsi="宋体"/>
                <w:highlight w:val="none"/>
              </w:rPr>
            </w:pPr>
            <w:r>
              <w:rPr>
                <w:rFonts w:hAnsi="宋体"/>
                <w:highlight w:val="none"/>
              </w:rPr>
              <w:t>风险筛选值（单位mg/kg</w:t>
            </w:r>
            <w:r>
              <w:rPr>
                <w:rFonts w:hint="eastAsia" w:hAnsi="宋体"/>
                <w:highlight w:val="none"/>
              </w:rPr>
              <w:t>，</w:t>
            </w:r>
            <w:r>
              <w:rPr>
                <w:rFonts w:hAnsi="宋体"/>
                <w:highlight w:val="none"/>
              </w:rPr>
              <w:t>pH除外）</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continue"/>
            <w:vAlign w:val="center"/>
          </w:tcPr>
          <w:p>
            <w:pPr>
              <w:pStyle w:val="64"/>
              <w:rPr>
                <w:rFonts w:hAnsi="宋体"/>
                <w:highlight w:val="none"/>
              </w:rPr>
            </w:pPr>
          </w:p>
        </w:tc>
        <w:tc>
          <w:tcPr>
            <w:tcW w:w="2125" w:type="dxa"/>
            <w:gridSpan w:val="2"/>
            <w:vMerge w:val="continue"/>
            <w:vAlign w:val="center"/>
          </w:tcPr>
          <w:p>
            <w:pPr>
              <w:pStyle w:val="64"/>
              <w:rPr>
                <w:rFonts w:hAnsi="宋体"/>
                <w:highlight w:val="none"/>
              </w:rPr>
            </w:pPr>
          </w:p>
        </w:tc>
        <w:tc>
          <w:tcPr>
            <w:tcW w:w="1350" w:type="dxa"/>
            <w:vAlign w:val="center"/>
          </w:tcPr>
          <w:p>
            <w:pPr>
              <w:pStyle w:val="64"/>
              <w:rPr>
                <w:rFonts w:hAnsi="宋体"/>
                <w:highlight w:val="none"/>
                <w:lang w:eastAsia="en-US"/>
              </w:rPr>
            </w:pPr>
            <w:r>
              <w:rPr>
                <w:rFonts w:hAnsi="宋体"/>
                <w:highlight w:val="none"/>
                <w:lang w:eastAsia="en-US"/>
              </w:rPr>
              <w:t>pH≤5.5</w:t>
            </w:r>
          </w:p>
        </w:tc>
        <w:tc>
          <w:tcPr>
            <w:tcW w:w="1683" w:type="dxa"/>
            <w:vAlign w:val="center"/>
          </w:tcPr>
          <w:p>
            <w:pPr>
              <w:pStyle w:val="64"/>
              <w:rPr>
                <w:rFonts w:hAnsi="宋体"/>
                <w:highlight w:val="none"/>
                <w:lang w:eastAsia="en-US"/>
              </w:rPr>
            </w:pPr>
            <w:r>
              <w:rPr>
                <w:rFonts w:hAnsi="宋体"/>
                <w:highlight w:val="none"/>
                <w:lang w:eastAsia="en-US"/>
              </w:rPr>
              <w:t>5.5&lt;pH≤6.5</w:t>
            </w:r>
          </w:p>
        </w:tc>
        <w:tc>
          <w:tcPr>
            <w:tcW w:w="1487" w:type="dxa"/>
            <w:vAlign w:val="center"/>
          </w:tcPr>
          <w:p>
            <w:pPr>
              <w:pStyle w:val="64"/>
              <w:rPr>
                <w:rFonts w:hAnsi="宋体"/>
                <w:highlight w:val="none"/>
                <w:lang w:eastAsia="en-US"/>
              </w:rPr>
            </w:pPr>
            <w:r>
              <w:rPr>
                <w:rFonts w:hAnsi="宋体"/>
                <w:highlight w:val="none"/>
                <w:lang w:eastAsia="en-US"/>
              </w:rPr>
              <w:t>6.5&lt;pH≤7.5</w:t>
            </w:r>
          </w:p>
        </w:tc>
        <w:tc>
          <w:tcPr>
            <w:tcW w:w="1429" w:type="dxa"/>
            <w:vAlign w:val="center"/>
          </w:tcPr>
          <w:p>
            <w:pPr>
              <w:pStyle w:val="64"/>
              <w:rPr>
                <w:rFonts w:hAnsi="宋体"/>
                <w:highlight w:val="none"/>
                <w:lang w:eastAsia="en-US"/>
              </w:rPr>
            </w:pPr>
            <w:r>
              <w:rPr>
                <w:rFonts w:hAnsi="宋体"/>
                <w:highlight w:val="none"/>
                <w:lang w:eastAsia="en-US"/>
              </w:rPr>
              <w:t>pH&gt;7.5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1</w:t>
            </w:r>
          </w:p>
        </w:tc>
        <w:tc>
          <w:tcPr>
            <w:tcW w:w="856" w:type="dxa"/>
            <w:vMerge w:val="restart"/>
            <w:vAlign w:val="center"/>
          </w:tcPr>
          <w:p>
            <w:pPr>
              <w:pStyle w:val="64"/>
              <w:rPr>
                <w:rFonts w:hAnsi="宋体"/>
                <w:highlight w:val="none"/>
                <w:lang w:eastAsia="en-US"/>
              </w:rPr>
            </w:pPr>
            <w:r>
              <w:rPr>
                <w:rFonts w:hAnsi="宋体"/>
                <w:highlight w:val="none"/>
                <w:lang w:eastAsia="en-US"/>
              </w:rPr>
              <w:t>镉</w:t>
            </w:r>
          </w:p>
        </w:tc>
        <w:tc>
          <w:tcPr>
            <w:tcW w:w="1269" w:type="dxa"/>
            <w:vAlign w:val="center"/>
          </w:tcPr>
          <w:p>
            <w:pPr>
              <w:pStyle w:val="64"/>
              <w:rPr>
                <w:rFonts w:hAnsi="宋体"/>
                <w:highlight w:val="none"/>
                <w:lang w:eastAsia="en-US"/>
              </w:rPr>
            </w:pPr>
            <w:r>
              <w:rPr>
                <w:rFonts w:hAnsi="宋体"/>
                <w:highlight w:val="none"/>
                <w:lang w:eastAsia="en-US"/>
              </w:rPr>
              <w:t>水田</w:t>
            </w:r>
          </w:p>
        </w:tc>
        <w:tc>
          <w:tcPr>
            <w:tcW w:w="1350" w:type="dxa"/>
            <w:vAlign w:val="center"/>
          </w:tcPr>
          <w:p>
            <w:pPr>
              <w:pStyle w:val="64"/>
              <w:rPr>
                <w:rFonts w:hAnsi="宋体"/>
                <w:highlight w:val="none"/>
                <w:lang w:eastAsia="en-US"/>
              </w:rPr>
            </w:pPr>
            <w:r>
              <w:rPr>
                <w:rFonts w:hAnsi="宋体"/>
                <w:highlight w:val="none"/>
                <w:lang w:eastAsia="en-US"/>
              </w:rPr>
              <w:t>0.3</w:t>
            </w:r>
          </w:p>
        </w:tc>
        <w:tc>
          <w:tcPr>
            <w:tcW w:w="1683" w:type="dxa"/>
            <w:vAlign w:val="center"/>
          </w:tcPr>
          <w:p>
            <w:pPr>
              <w:pStyle w:val="64"/>
              <w:rPr>
                <w:rFonts w:hAnsi="宋体"/>
                <w:highlight w:val="none"/>
                <w:lang w:eastAsia="en-US"/>
              </w:rPr>
            </w:pPr>
            <w:r>
              <w:rPr>
                <w:rFonts w:hAnsi="宋体"/>
                <w:highlight w:val="none"/>
                <w:lang w:eastAsia="en-US"/>
              </w:rPr>
              <w:t>0.4</w:t>
            </w:r>
          </w:p>
        </w:tc>
        <w:tc>
          <w:tcPr>
            <w:tcW w:w="1487" w:type="dxa"/>
            <w:vAlign w:val="center"/>
          </w:tcPr>
          <w:p>
            <w:pPr>
              <w:pStyle w:val="64"/>
              <w:rPr>
                <w:rFonts w:hAnsi="宋体"/>
                <w:highlight w:val="none"/>
                <w:lang w:eastAsia="en-US"/>
              </w:rPr>
            </w:pPr>
            <w:r>
              <w:rPr>
                <w:rFonts w:hAnsi="宋体"/>
                <w:highlight w:val="none"/>
                <w:lang w:eastAsia="en-US"/>
              </w:rPr>
              <w:t>0.6</w:t>
            </w:r>
          </w:p>
        </w:tc>
        <w:tc>
          <w:tcPr>
            <w:tcW w:w="1429" w:type="dxa"/>
            <w:vAlign w:val="center"/>
          </w:tcPr>
          <w:p>
            <w:pPr>
              <w:pStyle w:val="64"/>
              <w:rPr>
                <w:rFonts w:hAnsi="宋体"/>
                <w:highlight w:val="none"/>
                <w:lang w:eastAsia="en-US"/>
              </w:rPr>
            </w:pPr>
            <w:r>
              <w:rPr>
                <w:rFonts w:hAnsi="宋体"/>
                <w:highlight w:val="none"/>
                <w:lang w:eastAsia="en-US"/>
              </w:rPr>
              <w:t>0.8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914" w:type="dxa"/>
            <w:vMerge w:val="continue"/>
            <w:vAlign w:val="center"/>
          </w:tcPr>
          <w:p>
            <w:pPr>
              <w:pStyle w:val="64"/>
              <w:rPr>
                <w:rFonts w:hAnsi="宋体"/>
                <w:highlight w:val="none"/>
                <w:lang w:eastAsia="en-US"/>
              </w:rPr>
            </w:pPr>
          </w:p>
        </w:tc>
        <w:tc>
          <w:tcPr>
            <w:tcW w:w="856" w:type="dxa"/>
            <w:vMerge w:val="continue"/>
            <w:vAlign w:val="center"/>
          </w:tcPr>
          <w:p>
            <w:pPr>
              <w:pStyle w:val="64"/>
              <w:rPr>
                <w:rFonts w:hAnsi="宋体"/>
                <w:highlight w:val="none"/>
                <w:lang w:eastAsia="en-US"/>
              </w:rPr>
            </w:pPr>
          </w:p>
        </w:tc>
        <w:tc>
          <w:tcPr>
            <w:tcW w:w="1269" w:type="dxa"/>
            <w:vAlign w:val="center"/>
          </w:tcPr>
          <w:p>
            <w:pPr>
              <w:pStyle w:val="64"/>
              <w:rPr>
                <w:rFonts w:hAnsi="宋体"/>
                <w:highlight w:val="none"/>
                <w:lang w:eastAsia="en-US"/>
              </w:rPr>
            </w:pPr>
            <w:r>
              <w:rPr>
                <w:rFonts w:hAnsi="宋体"/>
                <w:highlight w:val="none"/>
                <w:lang w:eastAsia="en-US"/>
              </w:rPr>
              <w:t>其他</w:t>
            </w:r>
          </w:p>
        </w:tc>
        <w:tc>
          <w:tcPr>
            <w:tcW w:w="1350" w:type="dxa"/>
            <w:vAlign w:val="center"/>
          </w:tcPr>
          <w:p>
            <w:pPr>
              <w:pStyle w:val="64"/>
              <w:rPr>
                <w:rFonts w:hAnsi="宋体"/>
                <w:highlight w:val="none"/>
                <w:lang w:eastAsia="en-US"/>
              </w:rPr>
            </w:pPr>
            <w:r>
              <w:rPr>
                <w:rFonts w:hAnsi="宋体"/>
                <w:highlight w:val="none"/>
                <w:lang w:eastAsia="en-US"/>
              </w:rPr>
              <w:t>0.3</w:t>
            </w:r>
          </w:p>
        </w:tc>
        <w:tc>
          <w:tcPr>
            <w:tcW w:w="1683" w:type="dxa"/>
            <w:vAlign w:val="center"/>
          </w:tcPr>
          <w:p>
            <w:pPr>
              <w:pStyle w:val="64"/>
              <w:rPr>
                <w:rFonts w:hAnsi="宋体"/>
                <w:highlight w:val="none"/>
                <w:lang w:eastAsia="en-US"/>
              </w:rPr>
            </w:pPr>
            <w:r>
              <w:rPr>
                <w:rFonts w:hAnsi="宋体"/>
                <w:highlight w:val="none"/>
                <w:lang w:eastAsia="en-US"/>
              </w:rPr>
              <w:t>0.3</w:t>
            </w:r>
          </w:p>
        </w:tc>
        <w:tc>
          <w:tcPr>
            <w:tcW w:w="1487" w:type="dxa"/>
            <w:vAlign w:val="center"/>
          </w:tcPr>
          <w:p>
            <w:pPr>
              <w:pStyle w:val="64"/>
              <w:rPr>
                <w:rFonts w:hAnsi="宋体"/>
                <w:highlight w:val="none"/>
                <w:lang w:eastAsia="en-US"/>
              </w:rPr>
            </w:pPr>
            <w:r>
              <w:rPr>
                <w:rFonts w:hAnsi="宋体"/>
                <w:highlight w:val="none"/>
                <w:lang w:eastAsia="en-US"/>
              </w:rPr>
              <w:t>0.3</w:t>
            </w:r>
          </w:p>
        </w:tc>
        <w:tc>
          <w:tcPr>
            <w:tcW w:w="1429" w:type="dxa"/>
            <w:vAlign w:val="center"/>
          </w:tcPr>
          <w:p>
            <w:pPr>
              <w:pStyle w:val="64"/>
              <w:rPr>
                <w:rFonts w:hAnsi="宋体"/>
                <w:highlight w:val="none"/>
                <w:lang w:eastAsia="en-US"/>
              </w:rPr>
            </w:pPr>
            <w:r>
              <w:rPr>
                <w:rFonts w:hAnsi="宋体"/>
                <w:highlight w:val="none"/>
                <w:lang w:eastAsia="en-US"/>
              </w:rPr>
              <w:t>0.6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2</w:t>
            </w:r>
          </w:p>
        </w:tc>
        <w:tc>
          <w:tcPr>
            <w:tcW w:w="856" w:type="dxa"/>
            <w:vMerge w:val="restart"/>
            <w:vAlign w:val="center"/>
          </w:tcPr>
          <w:p>
            <w:pPr>
              <w:pStyle w:val="64"/>
              <w:rPr>
                <w:rFonts w:hAnsi="宋体"/>
                <w:highlight w:val="none"/>
                <w:lang w:eastAsia="en-US"/>
              </w:rPr>
            </w:pPr>
            <w:r>
              <w:rPr>
                <w:rFonts w:hAnsi="宋体"/>
                <w:highlight w:val="none"/>
                <w:lang w:eastAsia="en-US"/>
              </w:rPr>
              <w:t>汞</w:t>
            </w:r>
          </w:p>
        </w:tc>
        <w:tc>
          <w:tcPr>
            <w:tcW w:w="1269" w:type="dxa"/>
            <w:vAlign w:val="center"/>
          </w:tcPr>
          <w:p>
            <w:pPr>
              <w:pStyle w:val="64"/>
              <w:rPr>
                <w:rFonts w:hAnsi="宋体"/>
                <w:highlight w:val="none"/>
                <w:lang w:eastAsia="en-US"/>
              </w:rPr>
            </w:pPr>
            <w:r>
              <w:rPr>
                <w:rFonts w:hAnsi="宋体"/>
                <w:highlight w:val="none"/>
                <w:lang w:eastAsia="en-US"/>
              </w:rPr>
              <w:t>水田</w:t>
            </w:r>
          </w:p>
        </w:tc>
        <w:tc>
          <w:tcPr>
            <w:tcW w:w="1350" w:type="dxa"/>
            <w:vAlign w:val="center"/>
          </w:tcPr>
          <w:p>
            <w:pPr>
              <w:pStyle w:val="64"/>
              <w:rPr>
                <w:rFonts w:hAnsi="宋体"/>
                <w:highlight w:val="none"/>
                <w:lang w:eastAsia="en-US"/>
              </w:rPr>
            </w:pPr>
            <w:r>
              <w:rPr>
                <w:rFonts w:hAnsi="宋体"/>
                <w:highlight w:val="none"/>
                <w:lang w:eastAsia="en-US"/>
              </w:rPr>
              <w:t>0.5</w:t>
            </w:r>
          </w:p>
        </w:tc>
        <w:tc>
          <w:tcPr>
            <w:tcW w:w="1683" w:type="dxa"/>
            <w:vAlign w:val="center"/>
          </w:tcPr>
          <w:p>
            <w:pPr>
              <w:pStyle w:val="64"/>
              <w:rPr>
                <w:rFonts w:hAnsi="宋体"/>
                <w:highlight w:val="none"/>
                <w:lang w:eastAsia="en-US"/>
              </w:rPr>
            </w:pPr>
            <w:r>
              <w:rPr>
                <w:rFonts w:hAnsi="宋体"/>
                <w:highlight w:val="none"/>
                <w:lang w:eastAsia="en-US"/>
              </w:rPr>
              <w:t>0.5</w:t>
            </w:r>
          </w:p>
        </w:tc>
        <w:tc>
          <w:tcPr>
            <w:tcW w:w="1487" w:type="dxa"/>
            <w:vAlign w:val="center"/>
          </w:tcPr>
          <w:p>
            <w:pPr>
              <w:pStyle w:val="64"/>
              <w:rPr>
                <w:rFonts w:hAnsi="宋体"/>
                <w:highlight w:val="none"/>
                <w:lang w:eastAsia="en-US"/>
              </w:rPr>
            </w:pPr>
            <w:r>
              <w:rPr>
                <w:rFonts w:hAnsi="宋体"/>
                <w:highlight w:val="none"/>
                <w:lang w:eastAsia="en-US"/>
              </w:rPr>
              <w:t>0.6</w:t>
            </w:r>
          </w:p>
        </w:tc>
        <w:tc>
          <w:tcPr>
            <w:tcW w:w="1429" w:type="dxa"/>
            <w:vAlign w:val="center"/>
          </w:tcPr>
          <w:p>
            <w:pPr>
              <w:pStyle w:val="64"/>
              <w:rPr>
                <w:rFonts w:hAnsi="宋体"/>
                <w:highlight w:val="none"/>
                <w:lang w:eastAsia="en-US"/>
              </w:rPr>
            </w:pPr>
            <w:r>
              <w:rPr>
                <w:rFonts w:hAnsi="宋体"/>
                <w:highlight w:val="none"/>
                <w:lang w:eastAsia="en-US"/>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continue"/>
            <w:vAlign w:val="center"/>
          </w:tcPr>
          <w:p>
            <w:pPr>
              <w:pStyle w:val="64"/>
              <w:rPr>
                <w:rFonts w:hAnsi="宋体"/>
                <w:highlight w:val="none"/>
                <w:lang w:eastAsia="en-US"/>
              </w:rPr>
            </w:pPr>
          </w:p>
        </w:tc>
        <w:tc>
          <w:tcPr>
            <w:tcW w:w="856" w:type="dxa"/>
            <w:vMerge w:val="continue"/>
            <w:vAlign w:val="center"/>
          </w:tcPr>
          <w:p>
            <w:pPr>
              <w:pStyle w:val="64"/>
              <w:rPr>
                <w:rFonts w:hAnsi="宋体"/>
                <w:highlight w:val="none"/>
                <w:lang w:eastAsia="en-US"/>
              </w:rPr>
            </w:pPr>
          </w:p>
        </w:tc>
        <w:tc>
          <w:tcPr>
            <w:tcW w:w="1269" w:type="dxa"/>
            <w:vAlign w:val="center"/>
          </w:tcPr>
          <w:p>
            <w:pPr>
              <w:pStyle w:val="64"/>
              <w:rPr>
                <w:rFonts w:hAnsi="宋体"/>
                <w:highlight w:val="none"/>
                <w:lang w:eastAsia="en-US"/>
              </w:rPr>
            </w:pPr>
            <w:r>
              <w:rPr>
                <w:rFonts w:hAnsi="宋体"/>
                <w:highlight w:val="none"/>
                <w:lang w:eastAsia="en-US"/>
              </w:rPr>
              <w:t>其他</w:t>
            </w:r>
          </w:p>
        </w:tc>
        <w:tc>
          <w:tcPr>
            <w:tcW w:w="1350" w:type="dxa"/>
            <w:vAlign w:val="center"/>
          </w:tcPr>
          <w:p>
            <w:pPr>
              <w:pStyle w:val="64"/>
              <w:rPr>
                <w:rFonts w:hAnsi="宋体"/>
                <w:highlight w:val="none"/>
                <w:lang w:eastAsia="en-US"/>
              </w:rPr>
            </w:pPr>
            <w:r>
              <w:rPr>
                <w:rFonts w:hAnsi="宋体"/>
                <w:highlight w:val="none"/>
                <w:lang w:eastAsia="en-US"/>
              </w:rPr>
              <w:t>1.3</w:t>
            </w:r>
          </w:p>
        </w:tc>
        <w:tc>
          <w:tcPr>
            <w:tcW w:w="1683" w:type="dxa"/>
            <w:vAlign w:val="center"/>
          </w:tcPr>
          <w:p>
            <w:pPr>
              <w:pStyle w:val="64"/>
              <w:rPr>
                <w:rFonts w:hAnsi="宋体"/>
                <w:highlight w:val="none"/>
                <w:lang w:eastAsia="en-US"/>
              </w:rPr>
            </w:pPr>
            <w:r>
              <w:rPr>
                <w:rFonts w:hAnsi="宋体"/>
                <w:highlight w:val="none"/>
                <w:lang w:eastAsia="en-US"/>
              </w:rPr>
              <w:t>1.8</w:t>
            </w:r>
          </w:p>
        </w:tc>
        <w:tc>
          <w:tcPr>
            <w:tcW w:w="1487" w:type="dxa"/>
            <w:vAlign w:val="center"/>
          </w:tcPr>
          <w:p>
            <w:pPr>
              <w:pStyle w:val="64"/>
              <w:rPr>
                <w:rFonts w:hAnsi="宋体"/>
                <w:highlight w:val="none"/>
                <w:lang w:eastAsia="en-US"/>
              </w:rPr>
            </w:pPr>
            <w:r>
              <w:rPr>
                <w:rFonts w:hAnsi="宋体"/>
                <w:highlight w:val="none"/>
                <w:lang w:eastAsia="en-US"/>
              </w:rPr>
              <w:t>2.4</w:t>
            </w:r>
          </w:p>
        </w:tc>
        <w:tc>
          <w:tcPr>
            <w:tcW w:w="1429" w:type="dxa"/>
            <w:vAlign w:val="center"/>
          </w:tcPr>
          <w:p>
            <w:pPr>
              <w:pStyle w:val="64"/>
              <w:rPr>
                <w:rFonts w:hAnsi="宋体"/>
                <w:highlight w:val="none"/>
                <w:lang w:eastAsia="en-US"/>
              </w:rPr>
            </w:pPr>
            <w:r>
              <w:rPr>
                <w:rFonts w:hAnsi="宋体"/>
                <w:highlight w:val="none"/>
                <w:lang w:eastAsia="en-US"/>
              </w:rPr>
              <w:t>3.4</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3</w:t>
            </w:r>
          </w:p>
        </w:tc>
        <w:tc>
          <w:tcPr>
            <w:tcW w:w="856" w:type="dxa"/>
            <w:vMerge w:val="restart"/>
            <w:vAlign w:val="center"/>
          </w:tcPr>
          <w:p>
            <w:pPr>
              <w:pStyle w:val="64"/>
              <w:rPr>
                <w:rFonts w:hAnsi="宋体"/>
                <w:highlight w:val="none"/>
                <w:lang w:eastAsia="en-US"/>
              </w:rPr>
            </w:pPr>
            <w:r>
              <w:rPr>
                <w:rFonts w:hAnsi="宋体"/>
                <w:highlight w:val="none"/>
                <w:lang w:eastAsia="en-US"/>
              </w:rPr>
              <w:t>砷</w:t>
            </w:r>
          </w:p>
        </w:tc>
        <w:tc>
          <w:tcPr>
            <w:tcW w:w="1269" w:type="dxa"/>
            <w:vAlign w:val="center"/>
          </w:tcPr>
          <w:p>
            <w:pPr>
              <w:pStyle w:val="64"/>
              <w:rPr>
                <w:rFonts w:hAnsi="宋体"/>
                <w:highlight w:val="none"/>
                <w:lang w:eastAsia="en-US"/>
              </w:rPr>
            </w:pPr>
            <w:r>
              <w:rPr>
                <w:rFonts w:hAnsi="宋体"/>
                <w:highlight w:val="none"/>
                <w:lang w:eastAsia="en-US"/>
              </w:rPr>
              <w:t>水田</w:t>
            </w:r>
          </w:p>
        </w:tc>
        <w:tc>
          <w:tcPr>
            <w:tcW w:w="1350" w:type="dxa"/>
            <w:vAlign w:val="center"/>
          </w:tcPr>
          <w:p>
            <w:pPr>
              <w:pStyle w:val="64"/>
              <w:rPr>
                <w:rFonts w:hAnsi="宋体"/>
                <w:highlight w:val="none"/>
                <w:lang w:eastAsia="en-US"/>
              </w:rPr>
            </w:pPr>
            <w:r>
              <w:rPr>
                <w:rFonts w:hAnsi="宋体"/>
                <w:highlight w:val="none"/>
                <w:lang w:eastAsia="en-US"/>
              </w:rPr>
              <w:t>30</w:t>
            </w:r>
          </w:p>
        </w:tc>
        <w:tc>
          <w:tcPr>
            <w:tcW w:w="1683" w:type="dxa"/>
            <w:vAlign w:val="center"/>
          </w:tcPr>
          <w:p>
            <w:pPr>
              <w:pStyle w:val="64"/>
              <w:rPr>
                <w:rFonts w:hAnsi="宋体"/>
                <w:highlight w:val="none"/>
                <w:lang w:eastAsia="en-US"/>
              </w:rPr>
            </w:pPr>
            <w:r>
              <w:rPr>
                <w:rFonts w:hAnsi="宋体"/>
                <w:highlight w:val="none"/>
                <w:lang w:eastAsia="en-US"/>
              </w:rPr>
              <w:t>30</w:t>
            </w:r>
          </w:p>
        </w:tc>
        <w:tc>
          <w:tcPr>
            <w:tcW w:w="1487" w:type="dxa"/>
            <w:vAlign w:val="center"/>
          </w:tcPr>
          <w:p>
            <w:pPr>
              <w:pStyle w:val="64"/>
              <w:rPr>
                <w:rFonts w:hAnsi="宋体"/>
                <w:highlight w:val="none"/>
                <w:lang w:eastAsia="en-US"/>
              </w:rPr>
            </w:pPr>
            <w:r>
              <w:rPr>
                <w:rFonts w:hAnsi="宋体"/>
                <w:highlight w:val="none"/>
                <w:lang w:eastAsia="en-US"/>
              </w:rPr>
              <w:t>25</w:t>
            </w:r>
          </w:p>
        </w:tc>
        <w:tc>
          <w:tcPr>
            <w:tcW w:w="1429" w:type="dxa"/>
            <w:vAlign w:val="center"/>
          </w:tcPr>
          <w:p>
            <w:pPr>
              <w:pStyle w:val="64"/>
              <w:rPr>
                <w:rFonts w:hAnsi="宋体"/>
                <w:highlight w:val="none"/>
                <w:lang w:eastAsia="en-US"/>
              </w:rPr>
            </w:pPr>
            <w:r>
              <w:rPr>
                <w:rFonts w:hAnsi="宋体"/>
                <w:highlight w:val="none"/>
                <w:lang w:eastAsia="en-US"/>
              </w:rPr>
              <w:t>20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914" w:type="dxa"/>
            <w:vMerge w:val="continue"/>
            <w:vAlign w:val="center"/>
          </w:tcPr>
          <w:p>
            <w:pPr>
              <w:pStyle w:val="64"/>
              <w:rPr>
                <w:rFonts w:hAnsi="宋体"/>
                <w:highlight w:val="none"/>
                <w:lang w:eastAsia="en-US"/>
              </w:rPr>
            </w:pPr>
          </w:p>
        </w:tc>
        <w:tc>
          <w:tcPr>
            <w:tcW w:w="856" w:type="dxa"/>
            <w:vMerge w:val="continue"/>
            <w:vAlign w:val="center"/>
          </w:tcPr>
          <w:p>
            <w:pPr>
              <w:pStyle w:val="64"/>
              <w:rPr>
                <w:rFonts w:hAnsi="宋体"/>
                <w:highlight w:val="none"/>
                <w:lang w:eastAsia="en-US"/>
              </w:rPr>
            </w:pPr>
          </w:p>
        </w:tc>
        <w:tc>
          <w:tcPr>
            <w:tcW w:w="1269" w:type="dxa"/>
            <w:vAlign w:val="center"/>
          </w:tcPr>
          <w:p>
            <w:pPr>
              <w:pStyle w:val="64"/>
              <w:rPr>
                <w:rFonts w:hAnsi="宋体"/>
                <w:highlight w:val="none"/>
                <w:lang w:eastAsia="en-US"/>
              </w:rPr>
            </w:pPr>
            <w:r>
              <w:rPr>
                <w:rFonts w:hAnsi="宋体"/>
                <w:highlight w:val="none"/>
                <w:lang w:eastAsia="en-US"/>
              </w:rPr>
              <w:t>其他</w:t>
            </w:r>
          </w:p>
        </w:tc>
        <w:tc>
          <w:tcPr>
            <w:tcW w:w="1350" w:type="dxa"/>
            <w:vAlign w:val="center"/>
          </w:tcPr>
          <w:p>
            <w:pPr>
              <w:pStyle w:val="64"/>
              <w:rPr>
                <w:rFonts w:hAnsi="宋体"/>
                <w:highlight w:val="none"/>
                <w:lang w:eastAsia="en-US"/>
              </w:rPr>
            </w:pPr>
            <w:r>
              <w:rPr>
                <w:rFonts w:hAnsi="宋体"/>
                <w:highlight w:val="none"/>
                <w:lang w:eastAsia="en-US"/>
              </w:rPr>
              <w:t>40</w:t>
            </w:r>
          </w:p>
        </w:tc>
        <w:tc>
          <w:tcPr>
            <w:tcW w:w="1683" w:type="dxa"/>
            <w:vAlign w:val="center"/>
          </w:tcPr>
          <w:p>
            <w:pPr>
              <w:pStyle w:val="64"/>
              <w:rPr>
                <w:rFonts w:hAnsi="宋体"/>
                <w:highlight w:val="none"/>
                <w:lang w:eastAsia="en-US"/>
              </w:rPr>
            </w:pPr>
            <w:r>
              <w:rPr>
                <w:rFonts w:hAnsi="宋体"/>
                <w:highlight w:val="none"/>
                <w:lang w:eastAsia="en-US"/>
              </w:rPr>
              <w:t>40</w:t>
            </w:r>
          </w:p>
        </w:tc>
        <w:tc>
          <w:tcPr>
            <w:tcW w:w="1487" w:type="dxa"/>
            <w:vAlign w:val="center"/>
          </w:tcPr>
          <w:p>
            <w:pPr>
              <w:pStyle w:val="64"/>
              <w:rPr>
                <w:rFonts w:hAnsi="宋体"/>
                <w:highlight w:val="none"/>
                <w:lang w:eastAsia="en-US"/>
              </w:rPr>
            </w:pPr>
            <w:r>
              <w:rPr>
                <w:rFonts w:hAnsi="宋体"/>
                <w:highlight w:val="none"/>
                <w:lang w:eastAsia="en-US"/>
              </w:rPr>
              <w:t>30</w:t>
            </w:r>
          </w:p>
        </w:tc>
        <w:tc>
          <w:tcPr>
            <w:tcW w:w="1429" w:type="dxa"/>
            <w:vAlign w:val="center"/>
          </w:tcPr>
          <w:p>
            <w:pPr>
              <w:pStyle w:val="64"/>
              <w:rPr>
                <w:rFonts w:hAnsi="宋体"/>
                <w:highlight w:val="none"/>
                <w:lang w:eastAsia="en-US"/>
              </w:rPr>
            </w:pPr>
            <w:r>
              <w:rPr>
                <w:rFonts w:hAnsi="宋体"/>
                <w:highlight w:val="none"/>
                <w:lang w:eastAsia="en-US"/>
              </w:rPr>
              <w:t>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4</w:t>
            </w:r>
          </w:p>
        </w:tc>
        <w:tc>
          <w:tcPr>
            <w:tcW w:w="856" w:type="dxa"/>
            <w:vMerge w:val="restart"/>
            <w:vAlign w:val="center"/>
          </w:tcPr>
          <w:p>
            <w:pPr>
              <w:pStyle w:val="64"/>
              <w:rPr>
                <w:rFonts w:hAnsi="宋体"/>
                <w:highlight w:val="none"/>
                <w:lang w:eastAsia="en-US"/>
              </w:rPr>
            </w:pPr>
            <w:r>
              <w:rPr>
                <w:rFonts w:hAnsi="宋体"/>
                <w:highlight w:val="none"/>
                <w:lang w:eastAsia="en-US"/>
              </w:rPr>
              <w:t>铅</w:t>
            </w:r>
          </w:p>
        </w:tc>
        <w:tc>
          <w:tcPr>
            <w:tcW w:w="1269" w:type="dxa"/>
            <w:vAlign w:val="center"/>
          </w:tcPr>
          <w:p>
            <w:pPr>
              <w:pStyle w:val="64"/>
              <w:rPr>
                <w:rFonts w:hAnsi="宋体"/>
                <w:highlight w:val="none"/>
                <w:lang w:eastAsia="en-US"/>
              </w:rPr>
            </w:pPr>
            <w:r>
              <w:rPr>
                <w:rFonts w:hAnsi="宋体"/>
                <w:highlight w:val="none"/>
                <w:lang w:eastAsia="en-US"/>
              </w:rPr>
              <w:t>水田</w:t>
            </w:r>
          </w:p>
        </w:tc>
        <w:tc>
          <w:tcPr>
            <w:tcW w:w="1350" w:type="dxa"/>
            <w:vAlign w:val="center"/>
          </w:tcPr>
          <w:p>
            <w:pPr>
              <w:pStyle w:val="64"/>
              <w:rPr>
                <w:rFonts w:hAnsi="宋体"/>
                <w:highlight w:val="none"/>
                <w:lang w:eastAsia="en-US"/>
              </w:rPr>
            </w:pPr>
            <w:r>
              <w:rPr>
                <w:rFonts w:hAnsi="宋体"/>
                <w:highlight w:val="none"/>
                <w:lang w:eastAsia="en-US"/>
              </w:rPr>
              <w:t>80</w:t>
            </w:r>
          </w:p>
        </w:tc>
        <w:tc>
          <w:tcPr>
            <w:tcW w:w="1683" w:type="dxa"/>
            <w:vAlign w:val="center"/>
          </w:tcPr>
          <w:p>
            <w:pPr>
              <w:pStyle w:val="64"/>
              <w:rPr>
                <w:rFonts w:hAnsi="宋体"/>
                <w:highlight w:val="none"/>
                <w:lang w:eastAsia="en-US"/>
              </w:rPr>
            </w:pPr>
            <w:r>
              <w:rPr>
                <w:rFonts w:hAnsi="宋体"/>
                <w:highlight w:val="none"/>
                <w:lang w:eastAsia="en-US"/>
              </w:rPr>
              <w:t>100</w:t>
            </w:r>
          </w:p>
        </w:tc>
        <w:tc>
          <w:tcPr>
            <w:tcW w:w="1487" w:type="dxa"/>
            <w:vAlign w:val="center"/>
          </w:tcPr>
          <w:p>
            <w:pPr>
              <w:pStyle w:val="64"/>
              <w:rPr>
                <w:rFonts w:hAnsi="宋体"/>
                <w:highlight w:val="none"/>
                <w:lang w:eastAsia="en-US"/>
              </w:rPr>
            </w:pPr>
            <w:r>
              <w:rPr>
                <w:rFonts w:hAnsi="宋体"/>
                <w:highlight w:val="none"/>
                <w:lang w:eastAsia="en-US"/>
              </w:rPr>
              <w:t>140</w:t>
            </w:r>
          </w:p>
        </w:tc>
        <w:tc>
          <w:tcPr>
            <w:tcW w:w="1429" w:type="dxa"/>
            <w:vAlign w:val="center"/>
          </w:tcPr>
          <w:p>
            <w:pPr>
              <w:pStyle w:val="64"/>
              <w:rPr>
                <w:rFonts w:hAnsi="宋体"/>
                <w:highlight w:val="none"/>
                <w:lang w:eastAsia="en-US"/>
              </w:rPr>
            </w:pPr>
            <w:r>
              <w:rPr>
                <w:rFonts w:hAnsi="宋体"/>
                <w:highlight w:val="none"/>
                <w:lang w:eastAsia="en-US"/>
              </w:rPr>
              <w:t>240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continue"/>
            <w:vAlign w:val="center"/>
          </w:tcPr>
          <w:p>
            <w:pPr>
              <w:pStyle w:val="64"/>
              <w:rPr>
                <w:rFonts w:hAnsi="宋体"/>
                <w:highlight w:val="none"/>
                <w:lang w:eastAsia="en-US"/>
              </w:rPr>
            </w:pPr>
          </w:p>
        </w:tc>
        <w:tc>
          <w:tcPr>
            <w:tcW w:w="856" w:type="dxa"/>
            <w:vMerge w:val="continue"/>
            <w:vAlign w:val="center"/>
          </w:tcPr>
          <w:p>
            <w:pPr>
              <w:pStyle w:val="64"/>
              <w:rPr>
                <w:rFonts w:hAnsi="宋体"/>
                <w:highlight w:val="none"/>
                <w:lang w:eastAsia="en-US"/>
              </w:rPr>
            </w:pPr>
          </w:p>
        </w:tc>
        <w:tc>
          <w:tcPr>
            <w:tcW w:w="1269" w:type="dxa"/>
            <w:vAlign w:val="center"/>
          </w:tcPr>
          <w:p>
            <w:pPr>
              <w:pStyle w:val="64"/>
              <w:rPr>
                <w:rFonts w:hAnsi="宋体"/>
                <w:highlight w:val="none"/>
                <w:lang w:eastAsia="en-US"/>
              </w:rPr>
            </w:pPr>
            <w:r>
              <w:rPr>
                <w:rFonts w:hAnsi="宋体"/>
                <w:highlight w:val="none"/>
                <w:lang w:eastAsia="en-US"/>
              </w:rPr>
              <w:t>其他</w:t>
            </w:r>
          </w:p>
        </w:tc>
        <w:tc>
          <w:tcPr>
            <w:tcW w:w="1350" w:type="dxa"/>
            <w:vAlign w:val="center"/>
          </w:tcPr>
          <w:p>
            <w:pPr>
              <w:pStyle w:val="64"/>
              <w:rPr>
                <w:rFonts w:hAnsi="宋体"/>
                <w:highlight w:val="none"/>
                <w:lang w:eastAsia="en-US"/>
              </w:rPr>
            </w:pPr>
            <w:r>
              <w:rPr>
                <w:rFonts w:hAnsi="宋体"/>
                <w:highlight w:val="none"/>
                <w:lang w:eastAsia="en-US"/>
              </w:rPr>
              <w:t>70</w:t>
            </w:r>
          </w:p>
        </w:tc>
        <w:tc>
          <w:tcPr>
            <w:tcW w:w="1683" w:type="dxa"/>
            <w:vAlign w:val="center"/>
          </w:tcPr>
          <w:p>
            <w:pPr>
              <w:pStyle w:val="64"/>
              <w:rPr>
                <w:rFonts w:hAnsi="宋体"/>
                <w:highlight w:val="none"/>
                <w:lang w:eastAsia="en-US"/>
              </w:rPr>
            </w:pPr>
            <w:r>
              <w:rPr>
                <w:rFonts w:hAnsi="宋体"/>
                <w:highlight w:val="none"/>
                <w:lang w:eastAsia="en-US"/>
              </w:rPr>
              <w:t>90</w:t>
            </w:r>
          </w:p>
        </w:tc>
        <w:tc>
          <w:tcPr>
            <w:tcW w:w="1487" w:type="dxa"/>
            <w:vAlign w:val="center"/>
          </w:tcPr>
          <w:p>
            <w:pPr>
              <w:pStyle w:val="64"/>
              <w:rPr>
                <w:rFonts w:hAnsi="宋体"/>
                <w:highlight w:val="none"/>
                <w:lang w:eastAsia="en-US"/>
              </w:rPr>
            </w:pPr>
            <w:r>
              <w:rPr>
                <w:rFonts w:hAnsi="宋体"/>
                <w:highlight w:val="none"/>
                <w:lang w:eastAsia="en-US"/>
              </w:rPr>
              <w:t>120</w:t>
            </w:r>
          </w:p>
        </w:tc>
        <w:tc>
          <w:tcPr>
            <w:tcW w:w="1429" w:type="dxa"/>
            <w:vAlign w:val="center"/>
          </w:tcPr>
          <w:p>
            <w:pPr>
              <w:pStyle w:val="64"/>
              <w:rPr>
                <w:rFonts w:hAnsi="宋体"/>
                <w:highlight w:val="none"/>
                <w:lang w:eastAsia="en-US"/>
              </w:rPr>
            </w:pPr>
            <w:r>
              <w:rPr>
                <w:rFonts w:hAnsi="宋体"/>
                <w:highlight w:val="none"/>
                <w:lang w:eastAsia="en-US"/>
              </w:rPr>
              <w:t>170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5</w:t>
            </w:r>
          </w:p>
        </w:tc>
        <w:tc>
          <w:tcPr>
            <w:tcW w:w="856" w:type="dxa"/>
            <w:vMerge w:val="restart"/>
            <w:vAlign w:val="center"/>
          </w:tcPr>
          <w:p>
            <w:pPr>
              <w:pStyle w:val="64"/>
              <w:rPr>
                <w:rFonts w:hAnsi="宋体"/>
                <w:highlight w:val="none"/>
                <w:lang w:eastAsia="en-US"/>
              </w:rPr>
            </w:pPr>
            <w:r>
              <w:rPr>
                <w:rFonts w:hAnsi="宋体"/>
                <w:highlight w:val="none"/>
                <w:lang w:eastAsia="en-US"/>
              </w:rPr>
              <w:t>铬</w:t>
            </w:r>
          </w:p>
        </w:tc>
        <w:tc>
          <w:tcPr>
            <w:tcW w:w="1269" w:type="dxa"/>
            <w:vAlign w:val="center"/>
          </w:tcPr>
          <w:p>
            <w:pPr>
              <w:pStyle w:val="64"/>
              <w:rPr>
                <w:rFonts w:hAnsi="宋体"/>
                <w:highlight w:val="none"/>
                <w:lang w:eastAsia="en-US"/>
              </w:rPr>
            </w:pPr>
            <w:r>
              <w:rPr>
                <w:rFonts w:hAnsi="宋体"/>
                <w:highlight w:val="none"/>
                <w:lang w:eastAsia="en-US"/>
              </w:rPr>
              <w:t>水田</w:t>
            </w:r>
          </w:p>
        </w:tc>
        <w:tc>
          <w:tcPr>
            <w:tcW w:w="1350" w:type="dxa"/>
            <w:vAlign w:val="center"/>
          </w:tcPr>
          <w:p>
            <w:pPr>
              <w:pStyle w:val="64"/>
              <w:rPr>
                <w:rFonts w:hAnsi="宋体"/>
                <w:highlight w:val="none"/>
                <w:lang w:eastAsia="en-US"/>
              </w:rPr>
            </w:pPr>
            <w:r>
              <w:rPr>
                <w:rFonts w:hAnsi="宋体"/>
                <w:highlight w:val="none"/>
                <w:lang w:eastAsia="en-US"/>
              </w:rPr>
              <w:t>250</w:t>
            </w:r>
          </w:p>
        </w:tc>
        <w:tc>
          <w:tcPr>
            <w:tcW w:w="1683" w:type="dxa"/>
            <w:vAlign w:val="center"/>
          </w:tcPr>
          <w:p>
            <w:pPr>
              <w:pStyle w:val="64"/>
              <w:rPr>
                <w:rFonts w:hAnsi="宋体"/>
                <w:highlight w:val="none"/>
                <w:lang w:eastAsia="en-US"/>
              </w:rPr>
            </w:pPr>
            <w:r>
              <w:rPr>
                <w:rFonts w:hAnsi="宋体"/>
                <w:highlight w:val="none"/>
                <w:lang w:eastAsia="en-US"/>
              </w:rPr>
              <w:t>250</w:t>
            </w:r>
          </w:p>
        </w:tc>
        <w:tc>
          <w:tcPr>
            <w:tcW w:w="1487" w:type="dxa"/>
            <w:vAlign w:val="center"/>
          </w:tcPr>
          <w:p>
            <w:pPr>
              <w:pStyle w:val="64"/>
              <w:rPr>
                <w:rFonts w:hAnsi="宋体"/>
                <w:highlight w:val="none"/>
                <w:lang w:eastAsia="en-US"/>
              </w:rPr>
            </w:pPr>
            <w:r>
              <w:rPr>
                <w:rFonts w:hAnsi="宋体"/>
                <w:highlight w:val="none"/>
                <w:lang w:eastAsia="en-US"/>
              </w:rPr>
              <w:t>300</w:t>
            </w:r>
          </w:p>
        </w:tc>
        <w:tc>
          <w:tcPr>
            <w:tcW w:w="1429" w:type="dxa"/>
            <w:vAlign w:val="center"/>
          </w:tcPr>
          <w:p>
            <w:pPr>
              <w:pStyle w:val="64"/>
              <w:rPr>
                <w:rFonts w:hAnsi="宋体"/>
                <w:highlight w:val="none"/>
                <w:lang w:eastAsia="en-US"/>
              </w:rPr>
            </w:pPr>
            <w:r>
              <w:rPr>
                <w:rFonts w:hAnsi="宋体"/>
                <w:highlight w:val="none"/>
                <w:lang w:eastAsia="en-US"/>
              </w:rPr>
              <w:t>350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914" w:type="dxa"/>
            <w:vMerge w:val="continue"/>
            <w:vAlign w:val="center"/>
          </w:tcPr>
          <w:p>
            <w:pPr>
              <w:pStyle w:val="64"/>
              <w:rPr>
                <w:rFonts w:hAnsi="宋体"/>
                <w:highlight w:val="none"/>
                <w:lang w:eastAsia="en-US"/>
              </w:rPr>
            </w:pPr>
          </w:p>
        </w:tc>
        <w:tc>
          <w:tcPr>
            <w:tcW w:w="856" w:type="dxa"/>
            <w:vMerge w:val="continue"/>
            <w:vAlign w:val="center"/>
          </w:tcPr>
          <w:p>
            <w:pPr>
              <w:pStyle w:val="64"/>
              <w:rPr>
                <w:rFonts w:hAnsi="宋体"/>
                <w:highlight w:val="none"/>
                <w:lang w:eastAsia="en-US"/>
              </w:rPr>
            </w:pPr>
          </w:p>
        </w:tc>
        <w:tc>
          <w:tcPr>
            <w:tcW w:w="1269" w:type="dxa"/>
            <w:vAlign w:val="center"/>
          </w:tcPr>
          <w:p>
            <w:pPr>
              <w:pStyle w:val="64"/>
              <w:rPr>
                <w:rFonts w:hAnsi="宋体"/>
                <w:highlight w:val="none"/>
                <w:lang w:eastAsia="en-US"/>
              </w:rPr>
            </w:pPr>
            <w:r>
              <w:rPr>
                <w:rFonts w:hAnsi="宋体"/>
                <w:highlight w:val="none"/>
                <w:lang w:eastAsia="en-US"/>
              </w:rPr>
              <w:t>其他</w:t>
            </w:r>
          </w:p>
        </w:tc>
        <w:tc>
          <w:tcPr>
            <w:tcW w:w="1350" w:type="dxa"/>
            <w:vAlign w:val="center"/>
          </w:tcPr>
          <w:p>
            <w:pPr>
              <w:pStyle w:val="64"/>
              <w:rPr>
                <w:rFonts w:hAnsi="宋体"/>
                <w:highlight w:val="none"/>
                <w:lang w:eastAsia="en-US"/>
              </w:rPr>
            </w:pPr>
            <w:r>
              <w:rPr>
                <w:rFonts w:hAnsi="宋体"/>
                <w:highlight w:val="none"/>
                <w:lang w:eastAsia="en-US"/>
              </w:rPr>
              <w:t>150</w:t>
            </w:r>
          </w:p>
        </w:tc>
        <w:tc>
          <w:tcPr>
            <w:tcW w:w="1683" w:type="dxa"/>
            <w:vAlign w:val="center"/>
          </w:tcPr>
          <w:p>
            <w:pPr>
              <w:pStyle w:val="64"/>
              <w:rPr>
                <w:rFonts w:hAnsi="宋体"/>
                <w:highlight w:val="none"/>
                <w:lang w:eastAsia="en-US"/>
              </w:rPr>
            </w:pPr>
            <w:r>
              <w:rPr>
                <w:rFonts w:hAnsi="宋体"/>
                <w:highlight w:val="none"/>
                <w:lang w:eastAsia="en-US"/>
              </w:rPr>
              <w:t>150</w:t>
            </w:r>
          </w:p>
        </w:tc>
        <w:tc>
          <w:tcPr>
            <w:tcW w:w="1487" w:type="dxa"/>
            <w:vAlign w:val="center"/>
          </w:tcPr>
          <w:p>
            <w:pPr>
              <w:pStyle w:val="64"/>
              <w:rPr>
                <w:rFonts w:hAnsi="宋体"/>
                <w:highlight w:val="none"/>
                <w:lang w:eastAsia="en-US"/>
              </w:rPr>
            </w:pPr>
            <w:r>
              <w:rPr>
                <w:rFonts w:hAnsi="宋体"/>
                <w:highlight w:val="none"/>
                <w:lang w:eastAsia="en-US"/>
              </w:rPr>
              <w:t>200</w:t>
            </w:r>
          </w:p>
        </w:tc>
        <w:tc>
          <w:tcPr>
            <w:tcW w:w="1429" w:type="dxa"/>
            <w:vAlign w:val="center"/>
          </w:tcPr>
          <w:p>
            <w:pPr>
              <w:pStyle w:val="64"/>
              <w:rPr>
                <w:rFonts w:hAnsi="宋体"/>
                <w:highlight w:val="none"/>
                <w:lang w:eastAsia="en-US"/>
              </w:rPr>
            </w:pPr>
            <w:r>
              <w:rPr>
                <w:rFonts w:hAnsi="宋体"/>
                <w:highlight w:val="none"/>
                <w:lang w:eastAsia="en-US"/>
              </w:rPr>
              <w:t>250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restart"/>
            <w:vAlign w:val="center"/>
          </w:tcPr>
          <w:p>
            <w:pPr>
              <w:pStyle w:val="64"/>
              <w:rPr>
                <w:rFonts w:hAnsi="宋体"/>
                <w:highlight w:val="none"/>
                <w:lang w:eastAsia="en-US"/>
              </w:rPr>
            </w:pPr>
            <w:r>
              <w:rPr>
                <w:rFonts w:hAnsi="宋体"/>
                <w:highlight w:val="none"/>
                <w:lang w:eastAsia="en-US"/>
              </w:rPr>
              <w:t>6</w:t>
            </w:r>
          </w:p>
        </w:tc>
        <w:tc>
          <w:tcPr>
            <w:tcW w:w="856" w:type="dxa"/>
            <w:vMerge w:val="restart"/>
            <w:vAlign w:val="center"/>
          </w:tcPr>
          <w:p>
            <w:pPr>
              <w:pStyle w:val="64"/>
              <w:rPr>
                <w:rFonts w:hAnsi="宋体"/>
                <w:highlight w:val="none"/>
                <w:lang w:eastAsia="en-US"/>
              </w:rPr>
            </w:pPr>
            <w:r>
              <w:rPr>
                <w:rFonts w:hAnsi="宋体"/>
                <w:highlight w:val="none"/>
                <w:lang w:eastAsia="en-US"/>
              </w:rPr>
              <w:t>铜</w:t>
            </w:r>
          </w:p>
        </w:tc>
        <w:tc>
          <w:tcPr>
            <w:tcW w:w="1269" w:type="dxa"/>
            <w:vAlign w:val="center"/>
          </w:tcPr>
          <w:p>
            <w:pPr>
              <w:pStyle w:val="64"/>
              <w:rPr>
                <w:rFonts w:hAnsi="宋体"/>
                <w:highlight w:val="none"/>
                <w:lang w:eastAsia="en-US"/>
              </w:rPr>
            </w:pPr>
            <w:r>
              <w:rPr>
                <w:rFonts w:hAnsi="宋体"/>
                <w:highlight w:val="none"/>
                <w:lang w:eastAsia="en-US"/>
              </w:rPr>
              <w:t>果园</w:t>
            </w:r>
          </w:p>
        </w:tc>
        <w:tc>
          <w:tcPr>
            <w:tcW w:w="1350" w:type="dxa"/>
            <w:vAlign w:val="center"/>
          </w:tcPr>
          <w:p>
            <w:pPr>
              <w:pStyle w:val="64"/>
              <w:rPr>
                <w:rFonts w:hAnsi="宋体"/>
                <w:highlight w:val="none"/>
                <w:lang w:eastAsia="en-US"/>
              </w:rPr>
            </w:pPr>
            <w:r>
              <w:rPr>
                <w:rFonts w:hAnsi="宋体"/>
                <w:highlight w:val="none"/>
                <w:lang w:eastAsia="en-US"/>
              </w:rPr>
              <w:t>150</w:t>
            </w:r>
          </w:p>
        </w:tc>
        <w:tc>
          <w:tcPr>
            <w:tcW w:w="1683" w:type="dxa"/>
            <w:vAlign w:val="center"/>
          </w:tcPr>
          <w:p>
            <w:pPr>
              <w:pStyle w:val="64"/>
              <w:rPr>
                <w:rFonts w:hAnsi="宋体"/>
                <w:highlight w:val="none"/>
                <w:lang w:eastAsia="en-US"/>
              </w:rPr>
            </w:pPr>
            <w:r>
              <w:rPr>
                <w:rFonts w:hAnsi="宋体"/>
                <w:highlight w:val="none"/>
                <w:lang w:eastAsia="en-US"/>
              </w:rPr>
              <w:t>150</w:t>
            </w:r>
          </w:p>
        </w:tc>
        <w:tc>
          <w:tcPr>
            <w:tcW w:w="1487" w:type="dxa"/>
            <w:vAlign w:val="center"/>
          </w:tcPr>
          <w:p>
            <w:pPr>
              <w:pStyle w:val="64"/>
              <w:rPr>
                <w:rFonts w:hAnsi="宋体"/>
                <w:highlight w:val="none"/>
                <w:lang w:eastAsia="en-US"/>
              </w:rPr>
            </w:pPr>
            <w:r>
              <w:rPr>
                <w:rFonts w:hAnsi="宋体"/>
                <w:highlight w:val="none"/>
                <w:lang w:eastAsia="en-US"/>
              </w:rPr>
              <w:t>200</w:t>
            </w:r>
          </w:p>
        </w:tc>
        <w:tc>
          <w:tcPr>
            <w:tcW w:w="1429" w:type="dxa"/>
            <w:vAlign w:val="center"/>
          </w:tcPr>
          <w:p>
            <w:pPr>
              <w:pStyle w:val="64"/>
              <w:rPr>
                <w:rFonts w:hAnsi="宋体"/>
                <w:highlight w:val="none"/>
                <w:lang w:eastAsia="en-US"/>
              </w:rPr>
            </w:pPr>
            <w:r>
              <w:rPr>
                <w:rFonts w:hAnsi="宋体"/>
                <w:highlight w:val="none"/>
                <w:lang w:eastAsia="en-US"/>
              </w:rPr>
              <w:t>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Merge w:val="continue"/>
            <w:vAlign w:val="center"/>
          </w:tcPr>
          <w:p>
            <w:pPr>
              <w:pStyle w:val="64"/>
              <w:rPr>
                <w:rFonts w:hAnsi="宋体"/>
                <w:highlight w:val="none"/>
                <w:lang w:eastAsia="en-US"/>
              </w:rPr>
            </w:pPr>
          </w:p>
        </w:tc>
        <w:tc>
          <w:tcPr>
            <w:tcW w:w="856" w:type="dxa"/>
            <w:vMerge w:val="continue"/>
            <w:vAlign w:val="center"/>
          </w:tcPr>
          <w:p>
            <w:pPr>
              <w:pStyle w:val="64"/>
              <w:rPr>
                <w:rFonts w:hAnsi="宋体"/>
                <w:highlight w:val="none"/>
                <w:lang w:eastAsia="en-US"/>
              </w:rPr>
            </w:pPr>
          </w:p>
        </w:tc>
        <w:tc>
          <w:tcPr>
            <w:tcW w:w="1269" w:type="dxa"/>
            <w:vAlign w:val="center"/>
          </w:tcPr>
          <w:p>
            <w:pPr>
              <w:pStyle w:val="64"/>
              <w:rPr>
                <w:rFonts w:hAnsi="宋体"/>
                <w:highlight w:val="none"/>
                <w:lang w:eastAsia="en-US"/>
              </w:rPr>
            </w:pPr>
            <w:r>
              <w:rPr>
                <w:rFonts w:hAnsi="宋体"/>
                <w:highlight w:val="none"/>
                <w:lang w:eastAsia="en-US"/>
              </w:rPr>
              <w:t>其他</w:t>
            </w:r>
          </w:p>
        </w:tc>
        <w:tc>
          <w:tcPr>
            <w:tcW w:w="1350" w:type="dxa"/>
            <w:vAlign w:val="center"/>
          </w:tcPr>
          <w:p>
            <w:pPr>
              <w:pStyle w:val="64"/>
              <w:rPr>
                <w:rFonts w:hAnsi="宋体"/>
                <w:highlight w:val="none"/>
                <w:lang w:eastAsia="en-US"/>
              </w:rPr>
            </w:pPr>
            <w:r>
              <w:rPr>
                <w:rFonts w:hAnsi="宋体"/>
                <w:highlight w:val="none"/>
                <w:lang w:eastAsia="en-US"/>
              </w:rPr>
              <w:t>50</w:t>
            </w:r>
          </w:p>
        </w:tc>
        <w:tc>
          <w:tcPr>
            <w:tcW w:w="1683" w:type="dxa"/>
            <w:vAlign w:val="center"/>
          </w:tcPr>
          <w:p>
            <w:pPr>
              <w:pStyle w:val="64"/>
              <w:rPr>
                <w:rFonts w:hAnsi="宋体"/>
                <w:highlight w:val="none"/>
                <w:lang w:eastAsia="en-US"/>
              </w:rPr>
            </w:pPr>
            <w:r>
              <w:rPr>
                <w:rFonts w:hAnsi="宋体"/>
                <w:highlight w:val="none"/>
                <w:lang w:eastAsia="en-US"/>
              </w:rPr>
              <w:t>50</w:t>
            </w:r>
          </w:p>
        </w:tc>
        <w:tc>
          <w:tcPr>
            <w:tcW w:w="1487" w:type="dxa"/>
            <w:vAlign w:val="center"/>
          </w:tcPr>
          <w:p>
            <w:pPr>
              <w:pStyle w:val="64"/>
              <w:rPr>
                <w:rFonts w:hAnsi="宋体"/>
                <w:highlight w:val="none"/>
                <w:lang w:eastAsia="en-US"/>
              </w:rPr>
            </w:pPr>
            <w:r>
              <w:rPr>
                <w:rFonts w:hAnsi="宋体"/>
                <w:highlight w:val="none"/>
                <w:lang w:eastAsia="en-US"/>
              </w:rPr>
              <w:t>100</w:t>
            </w:r>
          </w:p>
        </w:tc>
        <w:tc>
          <w:tcPr>
            <w:tcW w:w="1429" w:type="dxa"/>
            <w:vAlign w:val="center"/>
          </w:tcPr>
          <w:p>
            <w:pPr>
              <w:pStyle w:val="64"/>
              <w:rPr>
                <w:rFonts w:hAnsi="宋体"/>
                <w:highlight w:val="none"/>
                <w:lang w:eastAsia="en-US"/>
              </w:rPr>
            </w:pPr>
            <w:r>
              <w:rPr>
                <w:rFonts w:hAnsi="宋体"/>
                <w:highlight w:val="none"/>
                <w:lang w:eastAsia="en-US"/>
              </w:rPr>
              <w:t>100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4" w:type="dxa"/>
            <w:vAlign w:val="center"/>
          </w:tcPr>
          <w:p>
            <w:pPr>
              <w:pStyle w:val="64"/>
              <w:rPr>
                <w:rFonts w:hAnsi="宋体"/>
                <w:highlight w:val="none"/>
                <w:lang w:eastAsia="en-US"/>
              </w:rPr>
            </w:pPr>
            <w:r>
              <w:rPr>
                <w:rFonts w:hAnsi="宋体"/>
                <w:highlight w:val="none"/>
                <w:lang w:eastAsia="en-US"/>
              </w:rPr>
              <w:t>7</w:t>
            </w:r>
          </w:p>
        </w:tc>
        <w:tc>
          <w:tcPr>
            <w:tcW w:w="2125" w:type="dxa"/>
            <w:gridSpan w:val="2"/>
            <w:vAlign w:val="center"/>
          </w:tcPr>
          <w:p>
            <w:pPr>
              <w:pStyle w:val="64"/>
              <w:rPr>
                <w:rFonts w:hAnsi="宋体"/>
                <w:highlight w:val="none"/>
                <w:lang w:eastAsia="en-US"/>
              </w:rPr>
            </w:pPr>
            <w:r>
              <w:rPr>
                <w:rFonts w:hAnsi="宋体"/>
                <w:highlight w:val="none"/>
                <w:lang w:eastAsia="en-US"/>
              </w:rPr>
              <w:t>镍</w:t>
            </w:r>
          </w:p>
        </w:tc>
        <w:tc>
          <w:tcPr>
            <w:tcW w:w="1350" w:type="dxa"/>
            <w:vAlign w:val="center"/>
          </w:tcPr>
          <w:p>
            <w:pPr>
              <w:pStyle w:val="64"/>
              <w:rPr>
                <w:rFonts w:hAnsi="宋体"/>
                <w:highlight w:val="none"/>
                <w:lang w:eastAsia="en-US"/>
              </w:rPr>
            </w:pPr>
            <w:r>
              <w:rPr>
                <w:rFonts w:hAnsi="宋体"/>
                <w:highlight w:val="none"/>
                <w:lang w:eastAsia="en-US"/>
              </w:rPr>
              <w:t>60</w:t>
            </w:r>
          </w:p>
        </w:tc>
        <w:tc>
          <w:tcPr>
            <w:tcW w:w="1683" w:type="dxa"/>
            <w:vAlign w:val="center"/>
          </w:tcPr>
          <w:p>
            <w:pPr>
              <w:pStyle w:val="64"/>
              <w:rPr>
                <w:rFonts w:hAnsi="宋体"/>
                <w:highlight w:val="none"/>
                <w:lang w:eastAsia="en-US"/>
              </w:rPr>
            </w:pPr>
            <w:r>
              <w:rPr>
                <w:rFonts w:hAnsi="宋体"/>
                <w:highlight w:val="none"/>
                <w:lang w:eastAsia="en-US"/>
              </w:rPr>
              <w:t>70</w:t>
            </w:r>
          </w:p>
        </w:tc>
        <w:tc>
          <w:tcPr>
            <w:tcW w:w="1487" w:type="dxa"/>
            <w:vAlign w:val="center"/>
          </w:tcPr>
          <w:p>
            <w:pPr>
              <w:pStyle w:val="64"/>
              <w:rPr>
                <w:rFonts w:hAnsi="宋体"/>
                <w:highlight w:val="none"/>
                <w:lang w:eastAsia="en-US"/>
              </w:rPr>
            </w:pPr>
            <w:r>
              <w:rPr>
                <w:rFonts w:hAnsi="宋体"/>
                <w:highlight w:val="none"/>
                <w:lang w:eastAsia="en-US"/>
              </w:rPr>
              <w:t>100</w:t>
            </w:r>
          </w:p>
        </w:tc>
        <w:tc>
          <w:tcPr>
            <w:tcW w:w="1429" w:type="dxa"/>
            <w:vAlign w:val="center"/>
          </w:tcPr>
          <w:p>
            <w:pPr>
              <w:pStyle w:val="64"/>
              <w:rPr>
                <w:rFonts w:hAnsi="宋体"/>
                <w:highlight w:val="none"/>
                <w:lang w:eastAsia="en-US"/>
              </w:rPr>
            </w:pPr>
            <w:r>
              <w:rPr>
                <w:rFonts w:hAnsi="宋体"/>
                <w:highlight w:val="none"/>
                <w:lang w:eastAsia="en-US"/>
              </w:rPr>
              <w:t>190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914" w:type="dxa"/>
            <w:vAlign w:val="center"/>
          </w:tcPr>
          <w:p>
            <w:pPr>
              <w:pStyle w:val="64"/>
              <w:rPr>
                <w:rFonts w:hAnsi="宋体"/>
                <w:highlight w:val="none"/>
                <w:lang w:eastAsia="en-US"/>
              </w:rPr>
            </w:pPr>
            <w:r>
              <w:rPr>
                <w:rFonts w:hAnsi="宋体"/>
                <w:highlight w:val="none"/>
                <w:lang w:eastAsia="en-US"/>
              </w:rPr>
              <w:t>8</w:t>
            </w:r>
          </w:p>
        </w:tc>
        <w:tc>
          <w:tcPr>
            <w:tcW w:w="2125" w:type="dxa"/>
            <w:gridSpan w:val="2"/>
            <w:vAlign w:val="center"/>
          </w:tcPr>
          <w:p>
            <w:pPr>
              <w:pStyle w:val="64"/>
              <w:rPr>
                <w:rFonts w:hAnsi="宋体"/>
                <w:highlight w:val="none"/>
                <w:lang w:eastAsia="en-US"/>
              </w:rPr>
            </w:pPr>
            <w:r>
              <w:rPr>
                <w:rFonts w:hAnsi="宋体"/>
                <w:highlight w:val="none"/>
                <w:lang w:eastAsia="en-US"/>
              </w:rPr>
              <w:t>锌</w:t>
            </w:r>
          </w:p>
        </w:tc>
        <w:tc>
          <w:tcPr>
            <w:tcW w:w="1350" w:type="dxa"/>
            <w:vAlign w:val="center"/>
          </w:tcPr>
          <w:p>
            <w:pPr>
              <w:pStyle w:val="64"/>
              <w:rPr>
                <w:rFonts w:hAnsi="宋体"/>
                <w:highlight w:val="none"/>
                <w:lang w:eastAsia="en-US"/>
              </w:rPr>
            </w:pPr>
            <w:r>
              <w:rPr>
                <w:rFonts w:hAnsi="宋体"/>
                <w:highlight w:val="none"/>
                <w:lang w:eastAsia="en-US"/>
              </w:rPr>
              <w:t>200</w:t>
            </w:r>
          </w:p>
        </w:tc>
        <w:tc>
          <w:tcPr>
            <w:tcW w:w="1683" w:type="dxa"/>
            <w:vAlign w:val="center"/>
          </w:tcPr>
          <w:p>
            <w:pPr>
              <w:pStyle w:val="64"/>
              <w:rPr>
                <w:rFonts w:hAnsi="宋体"/>
                <w:highlight w:val="none"/>
                <w:lang w:eastAsia="en-US"/>
              </w:rPr>
            </w:pPr>
            <w:r>
              <w:rPr>
                <w:rFonts w:hAnsi="宋体"/>
                <w:highlight w:val="none"/>
                <w:lang w:eastAsia="en-US"/>
              </w:rPr>
              <w:t>200</w:t>
            </w:r>
          </w:p>
        </w:tc>
        <w:tc>
          <w:tcPr>
            <w:tcW w:w="1487" w:type="dxa"/>
            <w:vAlign w:val="center"/>
          </w:tcPr>
          <w:p>
            <w:pPr>
              <w:pStyle w:val="64"/>
              <w:rPr>
                <w:rFonts w:hAnsi="宋体"/>
                <w:highlight w:val="none"/>
                <w:lang w:eastAsia="en-US"/>
              </w:rPr>
            </w:pPr>
            <w:r>
              <w:rPr>
                <w:rFonts w:hAnsi="宋体"/>
                <w:highlight w:val="none"/>
                <w:lang w:eastAsia="en-US"/>
              </w:rPr>
              <w:t>250</w:t>
            </w:r>
          </w:p>
        </w:tc>
        <w:tc>
          <w:tcPr>
            <w:tcW w:w="1429" w:type="dxa"/>
            <w:vAlign w:val="center"/>
          </w:tcPr>
          <w:p>
            <w:pPr>
              <w:pStyle w:val="64"/>
              <w:rPr>
                <w:rFonts w:hAnsi="宋体"/>
                <w:highlight w:val="none"/>
                <w:lang w:eastAsia="en-US"/>
              </w:rPr>
            </w:pPr>
            <w:r>
              <w:rPr>
                <w:rFonts w:hAnsi="宋体"/>
                <w:highlight w:val="none"/>
                <w:lang w:eastAsia="en-US"/>
              </w:rPr>
              <w:t>300</w:t>
            </w:r>
          </w:p>
        </w:tc>
      </w:tr>
    </w:tbl>
    <w:p>
      <w:pPr>
        <w:pStyle w:val="4"/>
        <w:ind w:firstLine="562"/>
        <w:rPr>
          <w:rFonts w:hAnsi="宋体"/>
          <w:highlight w:val="none"/>
        </w:rPr>
      </w:pPr>
      <w:r>
        <w:rPr>
          <w:rFonts w:hAnsi="宋体"/>
          <w:highlight w:val="none"/>
        </w:rPr>
        <w:t>2.3.2污染物排放标准</w:t>
      </w:r>
      <w:bookmarkEnd w:id="77"/>
      <w:bookmarkEnd w:id="78"/>
      <w:bookmarkEnd w:id="79"/>
    </w:p>
    <w:p>
      <w:pPr>
        <w:pStyle w:val="62"/>
        <w:ind w:firstLine="480"/>
        <w:rPr>
          <w:rFonts w:hAnsi="宋体"/>
          <w:highlight w:val="none"/>
        </w:rPr>
      </w:pPr>
      <w:r>
        <w:rPr>
          <w:rFonts w:hAnsi="宋体"/>
          <w:highlight w:val="none"/>
        </w:rPr>
        <w:t>2.3.2.1废气</w:t>
      </w:r>
    </w:p>
    <w:p>
      <w:pPr>
        <w:ind w:firstLine="480"/>
        <w:rPr>
          <w:rFonts w:ascii="宋体" w:hAnsi="宋体"/>
          <w:highlight w:val="none"/>
        </w:rPr>
      </w:pPr>
      <w:r>
        <w:rPr>
          <w:rFonts w:ascii="宋体" w:hAnsi="宋体"/>
          <w:highlight w:val="none"/>
        </w:rPr>
        <w:t>大气污染物有组织排放标准执行《铁矿采选工业污染物排放标准》（GB28661-2012）表6特别排放限值，企业无组织排放限值执行表7，具体标准见表2.3-</w:t>
      </w:r>
      <w:r>
        <w:rPr>
          <w:rFonts w:hint="eastAsia" w:ascii="宋体" w:hAnsi="宋体"/>
          <w:highlight w:val="none"/>
        </w:rPr>
        <w:t>7</w:t>
      </w:r>
      <w:r>
        <w:rPr>
          <w:rFonts w:ascii="宋体" w:hAnsi="宋体"/>
          <w:highlight w:val="none"/>
        </w:rPr>
        <w:t>。</w:t>
      </w:r>
    </w:p>
    <w:p>
      <w:pPr>
        <w:pStyle w:val="65"/>
        <w:rPr>
          <w:rFonts w:hAnsi="宋体"/>
          <w:highlight w:val="none"/>
        </w:rPr>
      </w:pPr>
      <w:r>
        <w:rPr>
          <w:rFonts w:hAnsi="宋体"/>
          <w:highlight w:val="none"/>
        </w:rPr>
        <w:t>表2.3-</w:t>
      </w:r>
      <w:r>
        <w:rPr>
          <w:rFonts w:hint="eastAsia" w:hAnsi="宋体"/>
          <w:highlight w:val="none"/>
        </w:rPr>
        <w:t xml:space="preserve">7  </w:t>
      </w:r>
      <w:r>
        <w:rPr>
          <w:rFonts w:hAnsi="宋体"/>
          <w:highlight w:val="none"/>
        </w:rPr>
        <w:t>铁矿采选工业污染物排放标准（GB28661-2012）单位：mg/m</w:t>
      </w:r>
      <w:r>
        <w:rPr>
          <w:rFonts w:hAnsi="宋体"/>
          <w:highlight w:val="none"/>
          <w:vertAlign w:val="superscript"/>
        </w:rPr>
        <w:t>3</w:t>
      </w:r>
    </w:p>
    <w:tbl>
      <w:tblPr>
        <w:tblStyle w:val="44"/>
        <w:tblW w:w="89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962"/>
        <w:gridCol w:w="4392"/>
        <w:gridCol w:w="1134"/>
        <w:gridCol w:w="245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962" w:type="dxa"/>
            <w:vAlign w:val="center"/>
          </w:tcPr>
          <w:p>
            <w:pPr>
              <w:pStyle w:val="64"/>
              <w:rPr>
                <w:rFonts w:hAnsi="宋体"/>
                <w:highlight w:val="none"/>
              </w:rPr>
            </w:pPr>
            <w:r>
              <w:rPr>
                <w:rFonts w:hAnsi="宋体"/>
                <w:highlight w:val="none"/>
              </w:rPr>
              <w:t>污染物</w:t>
            </w:r>
          </w:p>
        </w:tc>
        <w:tc>
          <w:tcPr>
            <w:tcW w:w="4392" w:type="dxa"/>
            <w:vAlign w:val="center"/>
          </w:tcPr>
          <w:p>
            <w:pPr>
              <w:pStyle w:val="64"/>
              <w:rPr>
                <w:rFonts w:hAnsi="宋体"/>
                <w:highlight w:val="none"/>
              </w:rPr>
            </w:pPr>
            <w:r>
              <w:rPr>
                <w:rFonts w:hAnsi="宋体"/>
                <w:highlight w:val="none"/>
              </w:rPr>
              <w:t>生产工序或设施</w:t>
            </w:r>
          </w:p>
        </w:tc>
        <w:tc>
          <w:tcPr>
            <w:tcW w:w="1134" w:type="dxa"/>
            <w:vAlign w:val="center"/>
          </w:tcPr>
          <w:p>
            <w:pPr>
              <w:pStyle w:val="64"/>
              <w:rPr>
                <w:rFonts w:hAnsi="宋体"/>
                <w:highlight w:val="none"/>
              </w:rPr>
            </w:pPr>
            <w:r>
              <w:rPr>
                <w:rFonts w:hAnsi="宋体"/>
                <w:highlight w:val="none"/>
              </w:rPr>
              <w:t>排放限值</w:t>
            </w:r>
          </w:p>
        </w:tc>
        <w:tc>
          <w:tcPr>
            <w:tcW w:w="2458" w:type="dxa"/>
            <w:vAlign w:val="center"/>
          </w:tcPr>
          <w:p>
            <w:pPr>
              <w:pStyle w:val="64"/>
              <w:rPr>
                <w:rFonts w:hAnsi="宋体"/>
                <w:highlight w:val="none"/>
              </w:rPr>
            </w:pPr>
            <w:r>
              <w:rPr>
                <w:rFonts w:hAnsi="宋体"/>
                <w:highlight w:val="none"/>
              </w:rPr>
              <w:t>污染物排放监测位置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962" w:type="dxa"/>
            <w:vAlign w:val="center"/>
          </w:tcPr>
          <w:p>
            <w:pPr>
              <w:pStyle w:val="64"/>
              <w:rPr>
                <w:rFonts w:hAnsi="宋体"/>
                <w:highlight w:val="none"/>
              </w:rPr>
            </w:pPr>
            <w:r>
              <w:rPr>
                <w:rFonts w:hAnsi="宋体"/>
                <w:highlight w:val="none"/>
              </w:rPr>
              <w:t>颗粒物</w:t>
            </w:r>
          </w:p>
        </w:tc>
        <w:tc>
          <w:tcPr>
            <w:tcW w:w="4392" w:type="dxa"/>
            <w:vAlign w:val="center"/>
          </w:tcPr>
          <w:p>
            <w:pPr>
              <w:pStyle w:val="64"/>
              <w:rPr>
                <w:rFonts w:hAnsi="宋体"/>
                <w:highlight w:val="none"/>
              </w:rPr>
            </w:pPr>
            <w:r>
              <w:rPr>
                <w:rFonts w:hAnsi="宋体"/>
                <w:highlight w:val="none"/>
              </w:rPr>
              <w:t>选矿厂的矿石运输、转载、矿仓、破碎、筛分</w:t>
            </w:r>
          </w:p>
        </w:tc>
        <w:tc>
          <w:tcPr>
            <w:tcW w:w="1134" w:type="dxa"/>
            <w:vAlign w:val="center"/>
          </w:tcPr>
          <w:p>
            <w:pPr>
              <w:pStyle w:val="64"/>
              <w:rPr>
                <w:rFonts w:hAnsi="宋体"/>
                <w:sz w:val="13"/>
                <w:szCs w:val="13"/>
                <w:highlight w:val="none"/>
              </w:rPr>
            </w:pPr>
            <w:r>
              <w:rPr>
                <w:rFonts w:hAnsi="宋体"/>
                <w:szCs w:val="22"/>
                <w:highlight w:val="none"/>
              </w:rPr>
              <w:t>10</w:t>
            </w:r>
          </w:p>
        </w:tc>
        <w:tc>
          <w:tcPr>
            <w:tcW w:w="2458" w:type="dxa"/>
            <w:vAlign w:val="center"/>
          </w:tcPr>
          <w:p>
            <w:pPr>
              <w:pStyle w:val="64"/>
              <w:rPr>
                <w:rFonts w:hAnsi="宋体"/>
                <w:szCs w:val="22"/>
                <w:highlight w:val="none"/>
              </w:rPr>
            </w:pPr>
            <w:r>
              <w:rPr>
                <w:rFonts w:hAnsi="宋体"/>
                <w:szCs w:val="22"/>
                <w:highlight w:val="none"/>
              </w:rPr>
              <w:t>车间或生产设施排气筒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962" w:type="dxa"/>
            <w:vAlign w:val="center"/>
          </w:tcPr>
          <w:p>
            <w:pPr>
              <w:pStyle w:val="64"/>
              <w:rPr>
                <w:rFonts w:hAnsi="宋体"/>
                <w:highlight w:val="none"/>
              </w:rPr>
            </w:pPr>
            <w:r>
              <w:rPr>
                <w:rFonts w:hAnsi="宋体"/>
                <w:highlight w:val="none"/>
              </w:rPr>
              <w:t>颗粒物</w:t>
            </w:r>
          </w:p>
        </w:tc>
        <w:tc>
          <w:tcPr>
            <w:tcW w:w="4392" w:type="dxa"/>
            <w:vAlign w:val="center"/>
          </w:tcPr>
          <w:p>
            <w:pPr>
              <w:pStyle w:val="64"/>
              <w:rPr>
                <w:rFonts w:hAnsi="宋体"/>
                <w:highlight w:val="none"/>
              </w:rPr>
            </w:pPr>
            <w:r>
              <w:rPr>
                <w:rFonts w:hAnsi="宋体"/>
                <w:highlight w:val="none"/>
              </w:rPr>
              <w:t>选矿厂</w:t>
            </w:r>
          </w:p>
        </w:tc>
        <w:tc>
          <w:tcPr>
            <w:tcW w:w="1134" w:type="dxa"/>
            <w:vAlign w:val="center"/>
          </w:tcPr>
          <w:p>
            <w:pPr>
              <w:pStyle w:val="64"/>
              <w:rPr>
                <w:rFonts w:hAnsi="宋体"/>
                <w:sz w:val="13"/>
                <w:szCs w:val="13"/>
                <w:highlight w:val="none"/>
              </w:rPr>
            </w:pPr>
            <w:r>
              <w:rPr>
                <w:rFonts w:hAnsi="宋体"/>
                <w:szCs w:val="22"/>
                <w:highlight w:val="none"/>
              </w:rPr>
              <w:t>1.0</w:t>
            </w:r>
          </w:p>
        </w:tc>
        <w:tc>
          <w:tcPr>
            <w:tcW w:w="2458" w:type="dxa"/>
            <w:vAlign w:val="center"/>
          </w:tcPr>
          <w:p>
            <w:pPr>
              <w:pStyle w:val="64"/>
              <w:rPr>
                <w:rFonts w:hAnsi="宋体"/>
                <w:szCs w:val="22"/>
                <w:highlight w:val="none"/>
              </w:rPr>
            </w:pPr>
            <w:r>
              <w:rPr>
                <w:rFonts w:hAnsi="宋体"/>
                <w:szCs w:val="22"/>
                <w:highlight w:val="none"/>
              </w:rPr>
              <w:t>厂界</w:t>
            </w:r>
          </w:p>
        </w:tc>
      </w:tr>
    </w:tbl>
    <w:p>
      <w:pPr>
        <w:pStyle w:val="62"/>
        <w:ind w:firstLine="480"/>
        <w:rPr>
          <w:rFonts w:hAnsi="宋体"/>
          <w:highlight w:val="none"/>
        </w:rPr>
      </w:pPr>
      <w:r>
        <w:rPr>
          <w:rFonts w:hAnsi="宋体"/>
          <w:highlight w:val="none"/>
        </w:rPr>
        <w:t>2.3.2.2废水</w:t>
      </w:r>
    </w:p>
    <w:p>
      <w:pPr>
        <w:ind w:firstLine="480"/>
        <w:rPr>
          <w:rFonts w:ascii="宋体" w:hAnsi="宋体"/>
          <w:highlight w:val="none"/>
        </w:rPr>
      </w:pPr>
      <w:r>
        <w:rPr>
          <w:rFonts w:ascii="宋体" w:hAnsi="宋体"/>
          <w:highlight w:val="none"/>
          <w:lang w:val="zh-CN"/>
        </w:rPr>
        <w:t>本项目生产废水经处理后回用于生产</w:t>
      </w:r>
      <w:r>
        <w:rPr>
          <w:rFonts w:hint="eastAsia" w:ascii="宋体" w:hAnsi="宋体"/>
          <w:highlight w:val="none"/>
          <w:lang w:val="zh-CN"/>
        </w:rPr>
        <w:t>磨</w:t>
      </w:r>
      <w:r>
        <w:rPr>
          <w:rFonts w:ascii="宋体" w:hAnsi="宋体"/>
          <w:highlight w:val="none"/>
          <w:lang w:val="zh-CN"/>
        </w:rPr>
        <w:t>矿工序，无废水外排；浓缩池出口水质</w:t>
      </w:r>
      <w:r>
        <w:rPr>
          <w:rFonts w:ascii="宋体" w:hAnsi="宋体"/>
          <w:highlight w:val="none"/>
        </w:rPr>
        <w:t>标准执行《铁矿采选工业污染物排放标准》（GB28661-2012）表</w:t>
      </w:r>
      <w:r>
        <w:rPr>
          <w:rFonts w:hint="eastAsia" w:ascii="宋体" w:hAnsi="宋体"/>
          <w:highlight w:val="none"/>
        </w:rPr>
        <w:t>3水污染物</w:t>
      </w:r>
      <w:r>
        <w:rPr>
          <w:rFonts w:ascii="宋体" w:hAnsi="宋体"/>
          <w:highlight w:val="none"/>
        </w:rPr>
        <w:t>特别排放限值；生活污水经沉淀后用于厂区和道路洒水、绿化用水；旱厕定期清掏用于农田施肥。具体标准见表2.3-</w:t>
      </w:r>
      <w:r>
        <w:rPr>
          <w:rFonts w:hint="eastAsia" w:ascii="宋体" w:hAnsi="宋体"/>
          <w:highlight w:val="none"/>
        </w:rPr>
        <w:t>8</w:t>
      </w:r>
      <w:r>
        <w:rPr>
          <w:rFonts w:ascii="宋体" w:hAnsi="宋体"/>
          <w:highlight w:val="none"/>
        </w:rPr>
        <w:t>。</w:t>
      </w:r>
    </w:p>
    <w:p>
      <w:pPr>
        <w:pStyle w:val="65"/>
        <w:rPr>
          <w:rFonts w:hAnsi="宋体"/>
          <w:highlight w:val="none"/>
        </w:rPr>
      </w:pPr>
      <w:r>
        <w:rPr>
          <w:rFonts w:hAnsi="宋体"/>
          <w:highlight w:val="none"/>
        </w:rPr>
        <w:t>表2.3-</w:t>
      </w:r>
      <w:r>
        <w:rPr>
          <w:rFonts w:hint="eastAsia" w:hAnsi="宋体"/>
          <w:highlight w:val="none"/>
        </w:rPr>
        <w:t xml:space="preserve">8  </w:t>
      </w:r>
      <w:r>
        <w:rPr>
          <w:rFonts w:hAnsi="宋体"/>
          <w:highlight w:val="none"/>
        </w:rPr>
        <w:t>铁矿采选工业污染物排放标准（GB28661-2012）</w:t>
      </w:r>
      <w:r>
        <w:rPr>
          <w:rFonts w:hint="eastAsia" w:hAnsi="宋体"/>
          <w:highlight w:val="none"/>
        </w:rPr>
        <w:t xml:space="preserve">  </w:t>
      </w:r>
      <w:r>
        <w:rPr>
          <w:rFonts w:hAnsi="宋体"/>
          <w:highlight w:val="none"/>
        </w:rPr>
        <w:t>单位：mg/</w:t>
      </w:r>
      <w:r>
        <w:rPr>
          <w:rFonts w:hint="eastAsia" w:hAnsi="宋体"/>
          <w:highlight w:val="none"/>
        </w:rPr>
        <w:t>l</w:t>
      </w:r>
    </w:p>
    <w:tbl>
      <w:tblPr>
        <w:tblStyle w:val="45"/>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50"/>
        <w:gridCol w:w="2523"/>
        <w:gridCol w:w="1732"/>
        <w:gridCol w:w="274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序号</w:t>
            </w:r>
          </w:p>
        </w:tc>
        <w:tc>
          <w:tcPr>
            <w:tcW w:w="2523" w:type="dxa"/>
            <w:vAlign w:val="center"/>
          </w:tcPr>
          <w:p>
            <w:pPr>
              <w:pStyle w:val="234"/>
              <w:rPr>
                <w:rFonts w:hAnsi="宋体"/>
                <w:szCs w:val="21"/>
                <w:highlight w:val="none"/>
              </w:rPr>
            </w:pPr>
            <w:r>
              <w:rPr>
                <w:rFonts w:hint="eastAsia" w:hAnsi="宋体"/>
                <w:szCs w:val="21"/>
                <w:highlight w:val="none"/>
              </w:rPr>
              <w:t>污染物项目</w:t>
            </w:r>
          </w:p>
        </w:tc>
        <w:tc>
          <w:tcPr>
            <w:tcW w:w="1732" w:type="dxa"/>
            <w:vAlign w:val="center"/>
          </w:tcPr>
          <w:p>
            <w:pPr>
              <w:pStyle w:val="234"/>
              <w:rPr>
                <w:rFonts w:hAnsi="宋体"/>
                <w:szCs w:val="21"/>
                <w:highlight w:val="none"/>
              </w:rPr>
            </w:pPr>
            <w:r>
              <w:rPr>
                <w:rFonts w:hint="eastAsia" w:hAnsi="宋体"/>
                <w:szCs w:val="21"/>
                <w:highlight w:val="none"/>
              </w:rPr>
              <w:t>限值</w:t>
            </w:r>
          </w:p>
        </w:tc>
        <w:tc>
          <w:tcPr>
            <w:tcW w:w="2741" w:type="dxa"/>
            <w:vAlign w:val="center"/>
          </w:tcPr>
          <w:p>
            <w:pPr>
              <w:pStyle w:val="234"/>
              <w:rPr>
                <w:rFonts w:hAnsi="宋体"/>
                <w:szCs w:val="21"/>
                <w:highlight w:val="none"/>
              </w:rPr>
            </w:pPr>
            <w:r>
              <w:rPr>
                <w:rFonts w:hint="eastAsia" w:hAnsi="宋体"/>
                <w:szCs w:val="21"/>
                <w:highlight w:val="none"/>
              </w:rPr>
              <w:t>污染物排放监控位置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1</w:t>
            </w:r>
          </w:p>
        </w:tc>
        <w:tc>
          <w:tcPr>
            <w:tcW w:w="2523" w:type="dxa"/>
            <w:vAlign w:val="center"/>
          </w:tcPr>
          <w:p>
            <w:pPr>
              <w:pStyle w:val="234"/>
              <w:rPr>
                <w:rFonts w:hAnsi="宋体"/>
                <w:szCs w:val="21"/>
                <w:highlight w:val="none"/>
              </w:rPr>
            </w:pPr>
            <w:r>
              <w:rPr>
                <w:rFonts w:hint="eastAsia" w:hAnsi="宋体"/>
                <w:szCs w:val="21"/>
                <w:highlight w:val="none"/>
              </w:rPr>
              <w:t>总汞</w:t>
            </w:r>
          </w:p>
        </w:tc>
        <w:tc>
          <w:tcPr>
            <w:tcW w:w="1732" w:type="dxa"/>
            <w:vAlign w:val="center"/>
          </w:tcPr>
          <w:p>
            <w:pPr>
              <w:pStyle w:val="234"/>
              <w:rPr>
                <w:rFonts w:hAnsi="宋体"/>
                <w:szCs w:val="21"/>
                <w:highlight w:val="none"/>
              </w:rPr>
            </w:pPr>
            <w:r>
              <w:rPr>
                <w:rFonts w:hint="eastAsia" w:hAnsi="宋体"/>
                <w:szCs w:val="21"/>
                <w:highlight w:val="none"/>
              </w:rPr>
              <w:t>0.01</w:t>
            </w:r>
          </w:p>
        </w:tc>
        <w:tc>
          <w:tcPr>
            <w:tcW w:w="2741" w:type="dxa"/>
            <w:vMerge w:val="restart"/>
            <w:vAlign w:val="center"/>
          </w:tcPr>
          <w:p>
            <w:pPr>
              <w:pStyle w:val="234"/>
              <w:rPr>
                <w:rFonts w:hAnsi="宋体"/>
                <w:szCs w:val="21"/>
                <w:highlight w:val="none"/>
              </w:rPr>
            </w:pPr>
            <w:r>
              <w:rPr>
                <w:rFonts w:hint="eastAsia" w:hAnsi="宋体"/>
                <w:szCs w:val="21"/>
                <w:highlight w:val="none"/>
              </w:rPr>
              <w:t>车间或生产设施废水排放口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2</w:t>
            </w:r>
          </w:p>
        </w:tc>
        <w:tc>
          <w:tcPr>
            <w:tcW w:w="2523" w:type="dxa"/>
            <w:vAlign w:val="center"/>
          </w:tcPr>
          <w:p>
            <w:pPr>
              <w:pStyle w:val="234"/>
              <w:rPr>
                <w:rFonts w:hAnsi="宋体"/>
                <w:szCs w:val="21"/>
                <w:highlight w:val="none"/>
              </w:rPr>
            </w:pPr>
            <w:r>
              <w:rPr>
                <w:rFonts w:hint="eastAsia" w:hAnsi="宋体"/>
                <w:szCs w:val="21"/>
                <w:highlight w:val="none"/>
              </w:rPr>
              <w:t>总镉</w:t>
            </w:r>
          </w:p>
        </w:tc>
        <w:tc>
          <w:tcPr>
            <w:tcW w:w="1732" w:type="dxa"/>
            <w:vAlign w:val="center"/>
          </w:tcPr>
          <w:p>
            <w:pPr>
              <w:pStyle w:val="234"/>
              <w:rPr>
                <w:rFonts w:hAnsi="宋体"/>
                <w:szCs w:val="21"/>
                <w:highlight w:val="none"/>
              </w:rPr>
            </w:pPr>
            <w:r>
              <w:rPr>
                <w:rFonts w:hint="eastAsia" w:hAnsi="宋体"/>
                <w:szCs w:val="21"/>
                <w:highlight w:val="none"/>
              </w:rPr>
              <w:t>0.05</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950" w:type="dxa"/>
            <w:vAlign w:val="center"/>
          </w:tcPr>
          <w:p>
            <w:pPr>
              <w:pStyle w:val="234"/>
              <w:rPr>
                <w:rFonts w:hAnsi="宋体"/>
                <w:szCs w:val="21"/>
                <w:highlight w:val="none"/>
              </w:rPr>
            </w:pPr>
            <w:r>
              <w:rPr>
                <w:rFonts w:hint="eastAsia" w:hAnsi="宋体"/>
                <w:szCs w:val="21"/>
                <w:highlight w:val="none"/>
              </w:rPr>
              <w:t>3</w:t>
            </w:r>
          </w:p>
        </w:tc>
        <w:tc>
          <w:tcPr>
            <w:tcW w:w="2523" w:type="dxa"/>
            <w:vAlign w:val="center"/>
          </w:tcPr>
          <w:p>
            <w:pPr>
              <w:pStyle w:val="234"/>
              <w:rPr>
                <w:rFonts w:hAnsi="宋体"/>
                <w:szCs w:val="21"/>
                <w:highlight w:val="none"/>
              </w:rPr>
            </w:pPr>
            <w:r>
              <w:rPr>
                <w:rFonts w:hint="eastAsia" w:hAnsi="宋体"/>
                <w:szCs w:val="21"/>
                <w:highlight w:val="none"/>
              </w:rPr>
              <w:t>总铬</w:t>
            </w:r>
          </w:p>
        </w:tc>
        <w:tc>
          <w:tcPr>
            <w:tcW w:w="1732" w:type="dxa"/>
            <w:vAlign w:val="center"/>
          </w:tcPr>
          <w:p>
            <w:pPr>
              <w:pStyle w:val="234"/>
              <w:rPr>
                <w:rFonts w:hAnsi="宋体"/>
                <w:szCs w:val="21"/>
                <w:highlight w:val="none"/>
              </w:rPr>
            </w:pPr>
            <w:r>
              <w:rPr>
                <w:rFonts w:hint="eastAsia" w:hAnsi="宋体"/>
                <w:szCs w:val="21"/>
                <w:highlight w:val="none"/>
              </w:rPr>
              <w:t>0.5</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4</w:t>
            </w:r>
          </w:p>
        </w:tc>
        <w:tc>
          <w:tcPr>
            <w:tcW w:w="2523" w:type="dxa"/>
            <w:vAlign w:val="center"/>
          </w:tcPr>
          <w:p>
            <w:pPr>
              <w:pStyle w:val="234"/>
              <w:rPr>
                <w:rFonts w:hAnsi="宋体"/>
                <w:szCs w:val="21"/>
                <w:highlight w:val="none"/>
              </w:rPr>
            </w:pPr>
            <w:r>
              <w:rPr>
                <w:rFonts w:hint="eastAsia" w:hAnsi="宋体"/>
                <w:szCs w:val="21"/>
                <w:highlight w:val="none"/>
              </w:rPr>
              <w:t>六价铬</w:t>
            </w:r>
          </w:p>
        </w:tc>
        <w:tc>
          <w:tcPr>
            <w:tcW w:w="1732" w:type="dxa"/>
            <w:vAlign w:val="center"/>
          </w:tcPr>
          <w:p>
            <w:pPr>
              <w:pStyle w:val="234"/>
              <w:rPr>
                <w:rFonts w:hAnsi="宋体"/>
                <w:szCs w:val="21"/>
                <w:highlight w:val="none"/>
              </w:rPr>
            </w:pPr>
            <w:r>
              <w:rPr>
                <w:rFonts w:hint="eastAsia" w:hAnsi="宋体"/>
                <w:szCs w:val="21"/>
                <w:highlight w:val="none"/>
              </w:rPr>
              <w:t>0.1</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5</w:t>
            </w:r>
          </w:p>
        </w:tc>
        <w:tc>
          <w:tcPr>
            <w:tcW w:w="2523" w:type="dxa"/>
            <w:vAlign w:val="center"/>
          </w:tcPr>
          <w:p>
            <w:pPr>
              <w:pStyle w:val="234"/>
              <w:rPr>
                <w:rFonts w:hAnsi="宋体"/>
                <w:szCs w:val="21"/>
                <w:highlight w:val="none"/>
              </w:rPr>
            </w:pPr>
            <w:r>
              <w:rPr>
                <w:rFonts w:hint="eastAsia" w:hAnsi="宋体"/>
                <w:szCs w:val="21"/>
                <w:highlight w:val="none"/>
              </w:rPr>
              <w:t>总砷</w:t>
            </w:r>
          </w:p>
        </w:tc>
        <w:tc>
          <w:tcPr>
            <w:tcW w:w="1732" w:type="dxa"/>
            <w:vAlign w:val="center"/>
          </w:tcPr>
          <w:p>
            <w:pPr>
              <w:pStyle w:val="234"/>
              <w:rPr>
                <w:rFonts w:hAnsi="宋体"/>
                <w:szCs w:val="21"/>
                <w:highlight w:val="none"/>
              </w:rPr>
            </w:pPr>
            <w:r>
              <w:rPr>
                <w:rFonts w:hint="eastAsia" w:hAnsi="宋体"/>
                <w:szCs w:val="21"/>
                <w:highlight w:val="none"/>
              </w:rPr>
              <w:t>0.2</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6</w:t>
            </w:r>
          </w:p>
        </w:tc>
        <w:tc>
          <w:tcPr>
            <w:tcW w:w="2523" w:type="dxa"/>
            <w:vAlign w:val="center"/>
          </w:tcPr>
          <w:p>
            <w:pPr>
              <w:pStyle w:val="234"/>
              <w:rPr>
                <w:rFonts w:hAnsi="宋体"/>
                <w:szCs w:val="21"/>
                <w:highlight w:val="none"/>
              </w:rPr>
            </w:pPr>
            <w:r>
              <w:rPr>
                <w:rFonts w:hint="eastAsia" w:hAnsi="宋体"/>
                <w:szCs w:val="21"/>
                <w:highlight w:val="none"/>
              </w:rPr>
              <w:t>总铅</w:t>
            </w:r>
          </w:p>
        </w:tc>
        <w:tc>
          <w:tcPr>
            <w:tcW w:w="1732" w:type="dxa"/>
            <w:vAlign w:val="center"/>
          </w:tcPr>
          <w:p>
            <w:pPr>
              <w:pStyle w:val="234"/>
              <w:rPr>
                <w:rFonts w:hAnsi="宋体"/>
                <w:szCs w:val="21"/>
                <w:highlight w:val="none"/>
              </w:rPr>
            </w:pPr>
            <w:r>
              <w:rPr>
                <w:rFonts w:hint="eastAsia" w:hAnsi="宋体"/>
                <w:szCs w:val="21"/>
                <w:highlight w:val="none"/>
              </w:rPr>
              <w:t>0.5</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950" w:type="dxa"/>
            <w:vAlign w:val="center"/>
          </w:tcPr>
          <w:p>
            <w:pPr>
              <w:pStyle w:val="234"/>
              <w:rPr>
                <w:rFonts w:hAnsi="宋体"/>
                <w:szCs w:val="21"/>
                <w:highlight w:val="none"/>
              </w:rPr>
            </w:pPr>
            <w:r>
              <w:rPr>
                <w:rFonts w:hint="eastAsia" w:hAnsi="宋体"/>
                <w:szCs w:val="21"/>
                <w:highlight w:val="none"/>
              </w:rPr>
              <w:t>7</w:t>
            </w:r>
          </w:p>
        </w:tc>
        <w:tc>
          <w:tcPr>
            <w:tcW w:w="2523" w:type="dxa"/>
            <w:vAlign w:val="center"/>
          </w:tcPr>
          <w:p>
            <w:pPr>
              <w:pStyle w:val="234"/>
              <w:rPr>
                <w:rFonts w:hAnsi="宋体"/>
                <w:szCs w:val="21"/>
                <w:highlight w:val="none"/>
              </w:rPr>
            </w:pPr>
            <w:r>
              <w:rPr>
                <w:rFonts w:hint="eastAsia" w:hAnsi="宋体"/>
                <w:szCs w:val="21"/>
                <w:highlight w:val="none"/>
              </w:rPr>
              <w:t>总镍</w:t>
            </w:r>
          </w:p>
        </w:tc>
        <w:tc>
          <w:tcPr>
            <w:tcW w:w="1732" w:type="dxa"/>
            <w:vAlign w:val="center"/>
          </w:tcPr>
          <w:p>
            <w:pPr>
              <w:pStyle w:val="234"/>
              <w:rPr>
                <w:rFonts w:hAnsi="宋体"/>
                <w:szCs w:val="21"/>
                <w:highlight w:val="none"/>
              </w:rPr>
            </w:pPr>
            <w:r>
              <w:rPr>
                <w:rFonts w:hint="eastAsia" w:hAnsi="宋体"/>
                <w:szCs w:val="21"/>
                <w:highlight w:val="none"/>
              </w:rPr>
              <w:t>0.5</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8</w:t>
            </w:r>
          </w:p>
        </w:tc>
        <w:tc>
          <w:tcPr>
            <w:tcW w:w="2523" w:type="dxa"/>
            <w:vAlign w:val="center"/>
          </w:tcPr>
          <w:p>
            <w:pPr>
              <w:pStyle w:val="234"/>
              <w:rPr>
                <w:rFonts w:hAnsi="宋体"/>
                <w:szCs w:val="21"/>
                <w:highlight w:val="none"/>
              </w:rPr>
            </w:pPr>
            <w:r>
              <w:rPr>
                <w:rFonts w:hint="eastAsia" w:hAnsi="宋体"/>
                <w:szCs w:val="21"/>
                <w:highlight w:val="none"/>
              </w:rPr>
              <w:t>总铍</w:t>
            </w:r>
          </w:p>
        </w:tc>
        <w:tc>
          <w:tcPr>
            <w:tcW w:w="1732" w:type="dxa"/>
            <w:vAlign w:val="center"/>
          </w:tcPr>
          <w:p>
            <w:pPr>
              <w:pStyle w:val="234"/>
              <w:rPr>
                <w:rFonts w:hAnsi="宋体"/>
                <w:szCs w:val="21"/>
                <w:highlight w:val="none"/>
              </w:rPr>
            </w:pPr>
            <w:r>
              <w:rPr>
                <w:rFonts w:hint="eastAsia" w:hAnsi="宋体"/>
                <w:szCs w:val="21"/>
                <w:highlight w:val="none"/>
              </w:rPr>
              <w:t>0.003</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Align w:val="center"/>
          </w:tcPr>
          <w:p>
            <w:pPr>
              <w:pStyle w:val="234"/>
              <w:rPr>
                <w:rFonts w:hAnsi="宋体"/>
                <w:szCs w:val="21"/>
                <w:highlight w:val="none"/>
              </w:rPr>
            </w:pPr>
            <w:r>
              <w:rPr>
                <w:rFonts w:hint="eastAsia" w:hAnsi="宋体"/>
                <w:szCs w:val="21"/>
                <w:highlight w:val="none"/>
              </w:rPr>
              <w:t>9</w:t>
            </w:r>
          </w:p>
        </w:tc>
        <w:tc>
          <w:tcPr>
            <w:tcW w:w="2523" w:type="dxa"/>
            <w:vAlign w:val="center"/>
          </w:tcPr>
          <w:p>
            <w:pPr>
              <w:pStyle w:val="234"/>
              <w:rPr>
                <w:rFonts w:hAnsi="宋体"/>
                <w:szCs w:val="21"/>
                <w:highlight w:val="none"/>
              </w:rPr>
            </w:pPr>
            <w:r>
              <w:rPr>
                <w:rFonts w:hint="eastAsia" w:hAnsi="宋体"/>
                <w:szCs w:val="21"/>
                <w:highlight w:val="none"/>
              </w:rPr>
              <w:t>总银</w:t>
            </w:r>
          </w:p>
        </w:tc>
        <w:tc>
          <w:tcPr>
            <w:tcW w:w="1732" w:type="dxa"/>
            <w:vAlign w:val="center"/>
          </w:tcPr>
          <w:p>
            <w:pPr>
              <w:pStyle w:val="234"/>
              <w:rPr>
                <w:rFonts w:hAnsi="宋体"/>
                <w:szCs w:val="21"/>
                <w:highlight w:val="none"/>
              </w:rPr>
            </w:pPr>
            <w:r>
              <w:rPr>
                <w:rFonts w:hint="eastAsia" w:hAnsi="宋体"/>
                <w:szCs w:val="21"/>
                <w:highlight w:val="none"/>
              </w:rPr>
              <w:t>0.2</w:t>
            </w:r>
          </w:p>
        </w:tc>
        <w:tc>
          <w:tcPr>
            <w:tcW w:w="2741" w:type="dxa"/>
            <w:vMerge w:val="continue"/>
            <w:vAlign w:val="center"/>
          </w:tcPr>
          <w:p>
            <w:pPr>
              <w:pStyle w:val="23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950" w:type="dxa"/>
            <w:vMerge w:val="restart"/>
            <w:vAlign w:val="center"/>
          </w:tcPr>
          <w:p>
            <w:pPr>
              <w:pStyle w:val="234"/>
              <w:rPr>
                <w:rFonts w:hAnsi="宋体"/>
                <w:szCs w:val="21"/>
                <w:highlight w:val="none"/>
              </w:rPr>
            </w:pPr>
            <w:r>
              <w:rPr>
                <w:rFonts w:hint="eastAsia" w:hAnsi="宋体"/>
                <w:szCs w:val="21"/>
                <w:highlight w:val="none"/>
              </w:rPr>
              <w:t>单位产品基准排水量(m</w:t>
            </w:r>
            <w:r>
              <w:rPr>
                <w:rFonts w:hint="eastAsia" w:hAnsi="宋体"/>
                <w:szCs w:val="21"/>
                <w:highlight w:val="none"/>
                <w:vertAlign w:val="superscript"/>
              </w:rPr>
              <w:t>3</w:t>
            </w:r>
            <w:r>
              <w:rPr>
                <w:rFonts w:hint="eastAsia" w:hAnsi="宋体"/>
                <w:szCs w:val="21"/>
                <w:highlight w:val="none"/>
              </w:rPr>
              <w:t>/t矿石)</w:t>
            </w:r>
          </w:p>
        </w:tc>
        <w:tc>
          <w:tcPr>
            <w:tcW w:w="2523" w:type="dxa"/>
            <w:vAlign w:val="center"/>
          </w:tcPr>
          <w:p>
            <w:pPr>
              <w:pStyle w:val="234"/>
              <w:rPr>
                <w:rFonts w:hAnsi="宋体"/>
                <w:szCs w:val="21"/>
                <w:highlight w:val="none"/>
              </w:rPr>
            </w:pPr>
            <w:r>
              <w:rPr>
                <w:rFonts w:hint="eastAsia" w:hAnsi="宋体"/>
                <w:szCs w:val="21"/>
                <w:highlight w:val="none"/>
              </w:rPr>
              <w:t>采矿</w:t>
            </w:r>
          </w:p>
        </w:tc>
        <w:tc>
          <w:tcPr>
            <w:tcW w:w="1732" w:type="dxa"/>
            <w:vAlign w:val="center"/>
          </w:tcPr>
          <w:p>
            <w:pPr>
              <w:pStyle w:val="234"/>
              <w:rPr>
                <w:rFonts w:hAnsi="宋体"/>
                <w:szCs w:val="21"/>
                <w:highlight w:val="none"/>
              </w:rPr>
            </w:pPr>
            <w:r>
              <w:rPr>
                <w:rFonts w:hint="eastAsia" w:hAnsi="宋体"/>
                <w:szCs w:val="21"/>
                <w:highlight w:val="none"/>
              </w:rPr>
              <w:t>-</w:t>
            </w:r>
          </w:p>
        </w:tc>
        <w:tc>
          <w:tcPr>
            <w:tcW w:w="2741" w:type="dxa"/>
            <w:vMerge w:val="restart"/>
            <w:vAlign w:val="center"/>
          </w:tcPr>
          <w:p>
            <w:pPr>
              <w:pStyle w:val="234"/>
              <w:rPr>
                <w:rFonts w:hAnsi="宋体"/>
                <w:szCs w:val="21"/>
                <w:highlight w:val="none"/>
              </w:rPr>
            </w:pPr>
            <w:r>
              <w:rPr>
                <w:rFonts w:hint="eastAsia" w:hAnsi="宋体"/>
                <w:szCs w:val="21"/>
                <w:highlight w:val="none"/>
              </w:rPr>
              <w:t>排水量计量位置与污染物排放监控位置相同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950" w:type="dxa"/>
            <w:vMerge w:val="continue"/>
            <w:vAlign w:val="center"/>
          </w:tcPr>
          <w:p>
            <w:pPr>
              <w:pStyle w:val="234"/>
              <w:rPr>
                <w:rFonts w:hAnsi="宋体"/>
                <w:szCs w:val="21"/>
                <w:highlight w:val="none"/>
              </w:rPr>
            </w:pPr>
          </w:p>
        </w:tc>
        <w:tc>
          <w:tcPr>
            <w:tcW w:w="2523" w:type="dxa"/>
            <w:vAlign w:val="center"/>
          </w:tcPr>
          <w:p>
            <w:pPr>
              <w:pStyle w:val="234"/>
              <w:rPr>
                <w:rFonts w:hAnsi="宋体"/>
                <w:szCs w:val="21"/>
                <w:highlight w:val="none"/>
              </w:rPr>
            </w:pPr>
            <w:r>
              <w:rPr>
                <w:rFonts w:hint="eastAsia" w:hAnsi="宋体"/>
                <w:szCs w:val="21"/>
                <w:highlight w:val="none"/>
              </w:rPr>
              <w:t>选矿</w:t>
            </w:r>
          </w:p>
        </w:tc>
        <w:tc>
          <w:tcPr>
            <w:tcW w:w="1732" w:type="dxa"/>
            <w:vAlign w:val="center"/>
          </w:tcPr>
          <w:p>
            <w:pPr>
              <w:pStyle w:val="234"/>
              <w:rPr>
                <w:rFonts w:hAnsi="宋体"/>
                <w:szCs w:val="21"/>
                <w:highlight w:val="none"/>
              </w:rPr>
            </w:pPr>
            <w:r>
              <w:rPr>
                <w:rFonts w:hint="eastAsia" w:hAnsi="宋体"/>
                <w:szCs w:val="21"/>
                <w:highlight w:val="none"/>
              </w:rPr>
              <w:t>2.0</w:t>
            </w:r>
          </w:p>
        </w:tc>
        <w:tc>
          <w:tcPr>
            <w:tcW w:w="2741" w:type="dxa"/>
            <w:vMerge w:val="continue"/>
            <w:vAlign w:val="center"/>
          </w:tcPr>
          <w:p>
            <w:pPr>
              <w:pStyle w:val="234"/>
              <w:rPr>
                <w:rFonts w:hAnsi="宋体"/>
                <w:szCs w:val="21"/>
                <w:highlight w:val="none"/>
              </w:rPr>
            </w:pPr>
          </w:p>
        </w:tc>
      </w:tr>
    </w:tbl>
    <w:p>
      <w:pPr>
        <w:pStyle w:val="62"/>
        <w:ind w:firstLine="480"/>
        <w:rPr>
          <w:rFonts w:hAnsi="宋体"/>
          <w:highlight w:val="none"/>
        </w:rPr>
      </w:pPr>
      <w:r>
        <w:rPr>
          <w:rFonts w:hAnsi="宋体"/>
          <w:highlight w:val="none"/>
        </w:rPr>
        <w:t>2.3.2.3噪声</w:t>
      </w:r>
    </w:p>
    <w:p>
      <w:pPr>
        <w:ind w:firstLine="480"/>
        <w:rPr>
          <w:rFonts w:ascii="宋体" w:hAnsi="宋体"/>
          <w:highlight w:val="none"/>
        </w:rPr>
      </w:pPr>
      <w:r>
        <w:rPr>
          <w:rFonts w:ascii="宋体" w:hAnsi="宋体"/>
          <w:highlight w:val="none"/>
        </w:rPr>
        <w:t>施工期执行《建筑施工厂界环境噪声排放标准》(GBl2523-2011)中标准。运营期厂界执行《工业企业厂界环境噪声排放标准》(GB12348-2008)中的2类标准。</w:t>
      </w:r>
    </w:p>
    <w:p>
      <w:pPr>
        <w:pStyle w:val="65"/>
        <w:rPr>
          <w:rFonts w:hAnsi="宋体"/>
          <w:highlight w:val="none"/>
        </w:rPr>
      </w:pPr>
      <w:r>
        <w:rPr>
          <w:rFonts w:hAnsi="宋体"/>
          <w:highlight w:val="none"/>
        </w:rPr>
        <w:t>表2.3-</w:t>
      </w:r>
      <w:r>
        <w:rPr>
          <w:rFonts w:hint="eastAsia" w:hAnsi="宋体"/>
          <w:highlight w:val="none"/>
        </w:rPr>
        <w:t xml:space="preserve">8  </w:t>
      </w:r>
      <w:r>
        <w:rPr>
          <w:rFonts w:hAnsi="宋体"/>
          <w:highlight w:val="none"/>
        </w:rPr>
        <w:t>《建筑施工厂界环境噪声排放标准》（GB12523-2011）单位：dB（A）</w:t>
      </w:r>
    </w:p>
    <w:tbl>
      <w:tblPr>
        <w:tblStyle w:val="44"/>
        <w:tblW w:w="89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231"/>
        <w:gridCol w:w="471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231" w:type="dxa"/>
          </w:tcPr>
          <w:p>
            <w:pPr>
              <w:pStyle w:val="64"/>
              <w:rPr>
                <w:rFonts w:hAnsi="宋体"/>
                <w:highlight w:val="none"/>
              </w:rPr>
            </w:pPr>
            <w:r>
              <w:rPr>
                <w:rFonts w:hAnsi="宋体"/>
                <w:highlight w:val="none"/>
              </w:rPr>
              <w:t>昼间</w:t>
            </w:r>
          </w:p>
        </w:tc>
        <w:tc>
          <w:tcPr>
            <w:tcW w:w="4715" w:type="dxa"/>
          </w:tcPr>
          <w:p>
            <w:pPr>
              <w:pStyle w:val="64"/>
              <w:rPr>
                <w:rFonts w:hAnsi="宋体"/>
                <w:highlight w:val="none"/>
              </w:rPr>
            </w:pPr>
            <w:r>
              <w:rPr>
                <w:rFonts w:hAnsi="宋体"/>
                <w:highlight w:val="none"/>
              </w:rPr>
              <w:t>夜间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231" w:type="dxa"/>
          </w:tcPr>
          <w:p>
            <w:pPr>
              <w:pStyle w:val="64"/>
              <w:rPr>
                <w:rFonts w:hAnsi="宋体"/>
                <w:highlight w:val="none"/>
              </w:rPr>
            </w:pPr>
            <w:r>
              <w:rPr>
                <w:rFonts w:hAnsi="宋体"/>
                <w:highlight w:val="none"/>
              </w:rPr>
              <w:t>70</w:t>
            </w:r>
          </w:p>
        </w:tc>
        <w:tc>
          <w:tcPr>
            <w:tcW w:w="4715" w:type="dxa"/>
          </w:tcPr>
          <w:p>
            <w:pPr>
              <w:pStyle w:val="64"/>
              <w:rPr>
                <w:rFonts w:hAnsi="宋体"/>
                <w:highlight w:val="none"/>
              </w:rPr>
            </w:pPr>
            <w:r>
              <w:rPr>
                <w:rFonts w:hAnsi="宋体"/>
                <w:highlight w:val="none"/>
              </w:rPr>
              <w:t>55</w:t>
            </w:r>
          </w:p>
        </w:tc>
      </w:tr>
    </w:tbl>
    <w:p>
      <w:pPr>
        <w:pStyle w:val="65"/>
        <w:rPr>
          <w:rFonts w:hAnsi="宋体"/>
          <w:highlight w:val="none"/>
        </w:rPr>
      </w:pPr>
      <w:r>
        <w:rPr>
          <w:rFonts w:hAnsi="宋体"/>
          <w:highlight w:val="none"/>
        </w:rPr>
        <w:t>表2.3-</w:t>
      </w:r>
      <w:r>
        <w:rPr>
          <w:rFonts w:hint="eastAsia" w:hAnsi="宋体"/>
          <w:highlight w:val="none"/>
        </w:rPr>
        <w:t xml:space="preserve">9  </w:t>
      </w:r>
      <w:r>
        <w:rPr>
          <w:rFonts w:hAnsi="宋体"/>
          <w:highlight w:val="none"/>
        </w:rPr>
        <w:t>《工业企业厂界环境噪声排放标准》（GB12348-2008）单位：dB（A）</w:t>
      </w:r>
    </w:p>
    <w:tbl>
      <w:tblPr>
        <w:tblStyle w:val="44"/>
        <w:tblW w:w="89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2875"/>
        <w:gridCol w:w="2872"/>
        <w:gridCol w:w="319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75" w:type="dxa"/>
          </w:tcPr>
          <w:p>
            <w:pPr>
              <w:pStyle w:val="64"/>
              <w:rPr>
                <w:rFonts w:hAnsi="宋体"/>
                <w:highlight w:val="none"/>
              </w:rPr>
            </w:pPr>
            <w:r>
              <w:rPr>
                <w:rFonts w:hAnsi="宋体"/>
                <w:highlight w:val="none"/>
              </w:rPr>
              <w:t>类别</w:t>
            </w:r>
          </w:p>
        </w:tc>
        <w:tc>
          <w:tcPr>
            <w:tcW w:w="2872" w:type="dxa"/>
          </w:tcPr>
          <w:p>
            <w:pPr>
              <w:pStyle w:val="64"/>
              <w:rPr>
                <w:rFonts w:hAnsi="宋体"/>
                <w:highlight w:val="none"/>
              </w:rPr>
            </w:pPr>
            <w:r>
              <w:rPr>
                <w:rFonts w:hAnsi="宋体"/>
                <w:highlight w:val="none"/>
              </w:rPr>
              <w:t>昼间</w:t>
            </w:r>
          </w:p>
        </w:tc>
        <w:tc>
          <w:tcPr>
            <w:tcW w:w="3199" w:type="dxa"/>
          </w:tcPr>
          <w:p>
            <w:pPr>
              <w:pStyle w:val="64"/>
              <w:rPr>
                <w:rFonts w:hAnsi="宋体"/>
                <w:highlight w:val="none"/>
              </w:rPr>
            </w:pPr>
            <w:r>
              <w:rPr>
                <w:rFonts w:hAnsi="宋体"/>
                <w:highlight w:val="none"/>
              </w:rPr>
              <w:t>夜间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75" w:type="dxa"/>
          </w:tcPr>
          <w:p>
            <w:pPr>
              <w:pStyle w:val="64"/>
              <w:rPr>
                <w:rFonts w:hAnsi="宋体"/>
                <w:highlight w:val="none"/>
              </w:rPr>
            </w:pPr>
            <w:r>
              <w:rPr>
                <w:rFonts w:hAnsi="宋体"/>
                <w:highlight w:val="none"/>
              </w:rPr>
              <w:t>2</w:t>
            </w:r>
          </w:p>
        </w:tc>
        <w:tc>
          <w:tcPr>
            <w:tcW w:w="2872" w:type="dxa"/>
          </w:tcPr>
          <w:p>
            <w:pPr>
              <w:pStyle w:val="64"/>
              <w:rPr>
                <w:rFonts w:hAnsi="宋体"/>
                <w:highlight w:val="none"/>
              </w:rPr>
            </w:pPr>
            <w:r>
              <w:rPr>
                <w:rFonts w:hAnsi="宋体"/>
                <w:highlight w:val="none"/>
              </w:rPr>
              <w:t>60</w:t>
            </w:r>
          </w:p>
        </w:tc>
        <w:tc>
          <w:tcPr>
            <w:tcW w:w="3199" w:type="dxa"/>
          </w:tcPr>
          <w:p>
            <w:pPr>
              <w:pStyle w:val="64"/>
              <w:rPr>
                <w:rFonts w:hAnsi="宋体"/>
                <w:highlight w:val="none"/>
              </w:rPr>
            </w:pPr>
            <w:r>
              <w:rPr>
                <w:rFonts w:hAnsi="宋体"/>
                <w:highlight w:val="none"/>
              </w:rPr>
              <w:t>50</w:t>
            </w:r>
          </w:p>
        </w:tc>
      </w:tr>
    </w:tbl>
    <w:p>
      <w:pPr>
        <w:pStyle w:val="62"/>
        <w:ind w:firstLine="480"/>
        <w:rPr>
          <w:rFonts w:hAnsi="宋体"/>
          <w:highlight w:val="none"/>
        </w:rPr>
      </w:pPr>
      <w:r>
        <w:rPr>
          <w:rFonts w:hAnsi="宋体"/>
          <w:highlight w:val="none"/>
        </w:rPr>
        <w:t>2.3.2.4固体废物</w:t>
      </w:r>
    </w:p>
    <w:p>
      <w:pPr>
        <w:ind w:firstLine="480"/>
        <w:rPr>
          <w:rFonts w:ascii="宋体" w:hAnsi="宋体"/>
          <w:highlight w:val="none"/>
        </w:rPr>
      </w:pPr>
      <w:r>
        <w:rPr>
          <w:rFonts w:ascii="宋体" w:hAnsi="宋体"/>
          <w:highlight w:val="none"/>
        </w:rPr>
        <w:t>工业固废处置执行《</w:t>
      </w:r>
      <w:r>
        <w:rPr>
          <w:rFonts w:hint="eastAsia" w:ascii="宋体" w:hAnsi="宋体"/>
          <w:highlight w:val="none"/>
        </w:rPr>
        <w:t>一般工业固体废物贮存和填埋污染控制标准</w:t>
      </w:r>
      <w:r>
        <w:rPr>
          <w:rFonts w:ascii="宋体" w:hAnsi="宋体"/>
          <w:highlight w:val="none"/>
        </w:rPr>
        <w:t>》（GB18599-20</w:t>
      </w:r>
      <w:r>
        <w:rPr>
          <w:rFonts w:hint="eastAsia" w:ascii="宋体" w:hAnsi="宋体"/>
          <w:highlight w:val="none"/>
        </w:rPr>
        <w:t>20</w:t>
      </w:r>
      <w:r>
        <w:rPr>
          <w:rFonts w:ascii="宋体" w:hAnsi="宋体"/>
          <w:highlight w:val="none"/>
        </w:rPr>
        <w:t>）；</w:t>
      </w:r>
    </w:p>
    <w:p>
      <w:pPr>
        <w:ind w:firstLine="480"/>
        <w:rPr>
          <w:rFonts w:ascii="宋体" w:hAnsi="宋体"/>
          <w:highlight w:val="none"/>
        </w:rPr>
      </w:pPr>
      <w:r>
        <w:rPr>
          <w:rFonts w:ascii="宋体" w:hAnsi="宋体"/>
          <w:highlight w:val="none"/>
        </w:rPr>
        <w:t>危险废物的暂存执行《危险废物贮存污染控制标准》（GB18597-2001）及其2013修改单中相关要求。</w:t>
      </w:r>
    </w:p>
    <w:p>
      <w:pPr>
        <w:pStyle w:val="3"/>
        <w:ind w:firstLine="643"/>
        <w:rPr>
          <w:rFonts w:hAnsi="宋体"/>
          <w:highlight w:val="none"/>
        </w:rPr>
      </w:pPr>
      <w:bookmarkStart w:id="80" w:name="_Toc1460915"/>
      <w:bookmarkStart w:id="81" w:name="_Toc70201013"/>
      <w:bookmarkStart w:id="82" w:name="_Toc4678384"/>
      <w:r>
        <w:rPr>
          <w:rFonts w:hAnsi="宋体"/>
          <w:highlight w:val="none"/>
        </w:rPr>
        <w:t>2.4评价等级</w:t>
      </w:r>
      <w:bookmarkEnd w:id="80"/>
      <w:bookmarkEnd w:id="81"/>
      <w:bookmarkEnd w:id="82"/>
    </w:p>
    <w:p>
      <w:pPr>
        <w:pStyle w:val="4"/>
        <w:ind w:firstLine="562"/>
        <w:rPr>
          <w:rFonts w:hAnsi="宋体"/>
          <w:highlight w:val="none"/>
        </w:rPr>
      </w:pPr>
      <w:bookmarkStart w:id="83" w:name="_Toc4678385"/>
      <w:bookmarkStart w:id="84" w:name="_Toc487302034"/>
      <w:bookmarkStart w:id="85" w:name="_Toc478404430"/>
      <w:r>
        <w:rPr>
          <w:rFonts w:hAnsi="宋体"/>
          <w:highlight w:val="none"/>
        </w:rPr>
        <w:t>2.4.1大气环境</w:t>
      </w:r>
      <w:bookmarkEnd w:id="83"/>
      <w:bookmarkEnd w:id="84"/>
      <w:bookmarkEnd w:id="85"/>
    </w:p>
    <w:p>
      <w:pPr>
        <w:ind w:firstLine="480"/>
        <w:rPr>
          <w:rFonts w:ascii="宋体" w:hAnsi="宋体"/>
          <w:highlight w:val="none"/>
        </w:rPr>
      </w:pPr>
      <w:r>
        <w:rPr>
          <w:rFonts w:ascii="宋体" w:hAnsi="宋体"/>
          <w:highlight w:val="none"/>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ind w:firstLine="480"/>
        <w:rPr>
          <w:rFonts w:ascii="宋体" w:hAnsi="宋体"/>
          <w:highlight w:val="none"/>
        </w:rPr>
      </w:pPr>
      <w:r>
        <w:rPr>
          <w:rFonts w:ascii="宋体" w:hAnsi="宋体"/>
          <w:highlight w:val="none"/>
        </w:rPr>
        <w:t>（1）P</w:t>
      </w:r>
      <w:r>
        <w:rPr>
          <w:rFonts w:ascii="宋体" w:hAnsi="宋体"/>
          <w:highlight w:val="none"/>
          <w:vertAlign w:val="subscript"/>
        </w:rPr>
        <w:t>max</w:t>
      </w:r>
      <w:r>
        <w:rPr>
          <w:rFonts w:ascii="宋体" w:hAnsi="宋体"/>
          <w:highlight w:val="none"/>
        </w:rPr>
        <w:t>及D</w:t>
      </w:r>
      <w:r>
        <w:rPr>
          <w:rFonts w:ascii="宋体" w:hAnsi="宋体"/>
          <w:highlight w:val="none"/>
          <w:vertAlign w:val="subscript"/>
        </w:rPr>
        <w:t>10%</w:t>
      </w:r>
      <w:r>
        <w:rPr>
          <w:rFonts w:ascii="宋体" w:hAnsi="宋体"/>
          <w:highlight w:val="none"/>
        </w:rPr>
        <w:t>的确定</w:t>
      </w:r>
    </w:p>
    <w:p>
      <w:pPr>
        <w:ind w:firstLine="480"/>
        <w:rPr>
          <w:rFonts w:ascii="宋体" w:hAnsi="宋体"/>
          <w:highlight w:val="none"/>
        </w:rPr>
      </w:pPr>
      <w:r>
        <w:rPr>
          <w:rFonts w:ascii="宋体" w:hAnsi="宋体"/>
          <w:highlight w:val="none"/>
        </w:rPr>
        <w:t>根据项目污染源初步调查结果，分别计算项目排放主要污染物的最大地面浓度占标率Pi（第i种污染物）及第i种污染物的地面浓度达标限值的10%所对应的最远距离D10%，其中，Pi定义为：</w:t>
      </w:r>
    </w:p>
    <w:p>
      <w:pPr>
        <w:adjustRightInd w:val="0"/>
        <w:snapToGrid w:val="0"/>
        <w:spacing w:line="240" w:lineRule="atLeast"/>
        <w:ind w:firstLine="480"/>
        <w:rPr>
          <w:rFonts w:ascii="宋体" w:hAnsi="宋体"/>
          <w:bCs/>
          <w:highlight w:val="none"/>
        </w:rPr>
      </w:pPr>
      <m:oMathPara>
        <m:oMath>
          <m:sSub>
            <m:sSubPr>
              <m:ctrlPr>
                <w:rPr>
                  <w:rFonts w:ascii="Cambria Math" w:hAnsi="Cambria Math"/>
                  <w:bCs/>
                  <w:highlight w:val="none"/>
                </w:rPr>
              </m:ctrlPr>
            </m:sSubPr>
            <m:e>
              <m:r>
                <m:rPr>
                  <m:sty m:val="p"/>
                </m:rPr>
                <w:rPr>
                  <w:rFonts w:ascii="Cambria Math" w:hAnsi="Cambria Math"/>
                  <w:highlight w:val="none"/>
                </w:rPr>
                <m:t>P</m:t>
              </m:r>
              <m:ctrlPr>
                <w:rPr>
                  <w:rFonts w:ascii="Cambria Math" w:hAnsi="Cambria Math"/>
                  <w:bCs/>
                  <w:highlight w:val="none"/>
                </w:rPr>
              </m:ctrlPr>
            </m:e>
            <m:sub>
              <m:r>
                <m:rPr/>
                <w:rPr>
                  <w:rFonts w:ascii="Cambria Math" w:hAnsi="Cambria Math"/>
                  <w:highlight w:val="none"/>
                </w:rPr>
                <m:t>i</m:t>
              </m:r>
              <m:ctrlPr>
                <w:rPr>
                  <w:rFonts w:ascii="Cambria Math" w:hAnsi="Cambria Math"/>
                  <w:bCs/>
                  <w:highlight w:val="none"/>
                </w:rPr>
              </m:ctrlPr>
            </m:sub>
          </m:sSub>
          <m:r>
            <m:rPr/>
            <w:rPr>
              <w:rFonts w:ascii="Cambria Math" w:hAnsi="Cambria Math"/>
              <w:highlight w:val="none"/>
            </w:rPr>
            <m:t>=</m:t>
          </m:r>
          <m:f>
            <m:fPr>
              <m:ctrlPr>
                <w:rPr>
                  <w:rFonts w:ascii="Cambria Math" w:hAnsi="Cambria Math"/>
                  <w:bCs/>
                  <w:i/>
                  <w:highlight w:val="none"/>
                </w:rPr>
              </m:ctrlPr>
            </m:fPr>
            <m:num>
              <m:sSub>
                <m:sSubPr>
                  <m:ctrlPr>
                    <w:rPr>
                      <w:rFonts w:ascii="Cambria Math" w:hAnsi="Cambria Math"/>
                      <w:bCs/>
                      <w:i/>
                      <w:highlight w:val="none"/>
                    </w:rPr>
                  </m:ctrlPr>
                </m:sSubPr>
                <m:e>
                  <m:r>
                    <m:rPr/>
                    <w:rPr>
                      <w:rFonts w:ascii="Cambria Math" w:hAnsi="Cambria Math"/>
                      <w:highlight w:val="none"/>
                    </w:rPr>
                    <m:t>C</m:t>
                  </m:r>
                  <m:ctrlPr>
                    <w:rPr>
                      <w:rFonts w:ascii="Cambria Math" w:hAnsi="Cambria Math"/>
                      <w:bCs/>
                      <w:i/>
                      <w:highlight w:val="none"/>
                    </w:rPr>
                  </m:ctrlPr>
                </m:e>
                <m:sub>
                  <m:r>
                    <m:rPr/>
                    <w:rPr>
                      <w:rFonts w:ascii="Cambria Math" w:hAnsi="Cambria Math"/>
                      <w:highlight w:val="none"/>
                    </w:rPr>
                    <m:t>i</m:t>
                  </m:r>
                  <m:ctrlPr>
                    <w:rPr>
                      <w:rFonts w:ascii="Cambria Math" w:hAnsi="Cambria Math"/>
                      <w:bCs/>
                      <w:i/>
                      <w:highlight w:val="none"/>
                    </w:rPr>
                  </m:ctrlPr>
                </m:sub>
              </m:sSub>
              <m:ctrlPr>
                <w:rPr>
                  <w:rFonts w:ascii="Cambria Math" w:hAnsi="Cambria Math"/>
                  <w:bCs/>
                  <w:i/>
                  <w:highlight w:val="none"/>
                </w:rPr>
              </m:ctrlPr>
            </m:num>
            <m:den>
              <m:sSub>
                <m:sSubPr>
                  <m:ctrlPr>
                    <w:rPr>
                      <w:rFonts w:ascii="Cambria Math" w:hAnsi="Cambria Math"/>
                      <w:bCs/>
                      <w:i/>
                      <w:highlight w:val="none"/>
                    </w:rPr>
                  </m:ctrlPr>
                </m:sSubPr>
                <m:e>
                  <m:r>
                    <m:rPr/>
                    <w:rPr>
                      <w:rFonts w:ascii="Cambria Math" w:hAnsi="Cambria Math"/>
                      <w:highlight w:val="none"/>
                    </w:rPr>
                    <m:t>C</m:t>
                  </m:r>
                  <m:ctrlPr>
                    <w:rPr>
                      <w:rFonts w:ascii="Cambria Math" w:hAnsi="Cambria Math"/>
                      <w:bCs/>
                      <w:i/>
                      <w:highlight w:val="none"/>
                    </w:rPr>
                  </m:ctrlPr>
                </m:e>
                <m:sub>
                  <m:r>
                    <m:rPr/>
                    <w:rPr>
                      <w:rFonts w:ascii="Cambria Math" w:hAnsi="Cambria Math"/>
                      <w:highlight w:val="none"/>
                    </w:rPr>
                    <m:t>oi</m:t>
                  </m:r>
                  <m:ctrlPr>
                    <w:rPr>
                      <w:rFonts w:ascii="Cambria Math" w:hAnsi="Cambria Math"/>
                      <w:bCs/>
                      <w:i/>
                      <w:highlight w:val="none"/>
                    </w:rPr>
                  </m:ctrlPr>
                </m:sub>
              </m:sSub>
              <m:ctrlPr>
                <w:rPr>
                  <w:rFonts w:ascii="Cambria Math" w:hAnsi="Cambria Math"/>
                  <w:bCs/>
                  <w:i/>
                  <w:highlight w:val="none"/>
                </w:rPr>
              </m:ctrlPr>
            </m:den>
          </m:f>
          <m:r>
            <m:rPr/>
            <w:rPr>
              <w:rFonts w:ascii="Cambria Math" w:hAnsi="Cambria Math"/>
              <w:highlight w:val="none"/>
            </w:rPr>
            <m:t>×100%</m:t>
          </m:r>
        </m:oMath>
      </m:oMathPara>
    </w:p>
    <w:p>
      <w:pPr>
        <w:ind w:firstLine="480"/>
        <w:rPr>
          <w:rFonts w:ascii="宋体" w:hAnsi="宋体"/>
          <w:highlight w:val="none"/>
        </w:rPr>
      </w:pPr>
      <w:r>
        <w:rPr>
          <w:rFonts w:ascii="宋体" w:hAnsi="宋体"/>
          <w:highlight w:val="none"/>
        </w:rPr>
        <w:t>式中：Pi——第i中污染物的最大地面浓度占标率，%；</w:t>
      </w:r>
    </w:p>
    <w:p>
      <w:pPr>
        <w:ind w:firstLine="1200" w:firstLineChars="500"/>
        <w:rPr>
          <w:rFonts w:ascii="宋体" w:hAnsi="宋体"/>
          <w:highlight w:val="none"/>
        </w:rPr>
      </w:pPr>
      <w:r>
        <w:rPr>
          <w:rFonts w:ascii="宋体" w:hAnsi="宋体"/>
          <w:highlight w:val="none"/>
        </w:rPr>
        <w:t>Ci——采用估算模型计算出的第i种污染物的最大地面浓度，μg/m</w:t>
      </w:r>
      <w:r>
        <w:rPr>
          <w:rFonts w:ascii="宋体" w:hAnsi="宋体"/>
          <w:highlight w:val="none"/>
          <w:vertAlign w:val="superscript"/>
        </w:rPr>
        <w:t>3</w:t>
      </w:r>
      <w:r>
        <w:rPr>
          <w:rFonts w:ascii="宋体" w:hAnsi="宋体"/>
          <w:highlight w:val="none"/>
        </w:rPr>
        <w:t>；</w:t>
      </w:r>
    </w:p>
    <w:p>
      <w:pPr>
        <w:ind w:firstLine="1200" w:firstLineChars="500"/>
        <w:rPr>
          <w:rFonts w:ascii="宋体" w:hAnsi="宋体"/>
          <w:highlight w:val="none"/>
        </w:rPr>
      </w:pPr>
      <w:r>
        <w:rPr>
          <w:rFonts w:ascii="宋体" w:hAnsi="宋体"/>
          <w:highlight w:val="none"/>
        </w:rPr>
        <w:t>C</w:t>
      </w:r>
      <w:r>
        <w:rPr>
          <w:rFonts w:ascii="宋体" w:hAnsi="宋体"/>
          <w:highlight w:val="none"/>
          <w:vertAlign w:val="subscript"/>
        </w:rPr>
        <w:t>0i</w:t>
      </w:r>
      <w:r>
        <w:rPr>
          <w:rFonts w:ascii="宋体" w:hAnsi="宋体"/>
          <w:highlight w:val="none"/>
        </w:rPr>
        <w:t>——第i种污染物的环境空气质量标准，μg/m</w:t>
      </w:r>
      <w:r>
        <w:rPr>
          <w:rFonts w:ascii="宋体" w:hAnsi="宋体"/>
          <w:highlight w:val="none"/>
          <w:vertAlign w:val="superscript"/>
        </w:rPr>
        <w:t>3</w:t>
      </w:r>
      <w:r>
        <w:rPr>
          <w:rFonts w:ascii="宋体" w:hAnsi="宋体"/>
          <w:highlight w:val="none"/>
        </w:rPr>
        <w:t>。</w:t>
      </w:r>
    </w:p>
    <w:p>
      <w:pPr>
        <w:ind w:firstLine="480"/>
        <w:rPr>
          <w:rFonts w:ascii="宋体" w:hAnsi="宋体"/>
          <w:highlight w:val="none"/>
        </w:rPr>
      </w:pPr>
      <w:r>
        <w:rPr>
          <w:rFonts w:ascii="宋体" w:hAnsi="宋体"/>
          <w:highlight w:val="none"/>
        </w:rPr>
        <w:t>（2）评价等级判别表</w:t>
      </w:r>
    </w:p>
    <w:p>
      <w:pPr>
        <w:ind w:firstLine="480"/>
        <w:rPr>
          <w:rFonts w:ascii="宋体" w:hAnsi="宋体"/>
          <w:highlight w:val="none"/>
        </w:rPr>
      </w:pPr>
      <w:r>
        <w:rPr>
          <w:rFonts w:ascii="宋体" w:hAnsi="宋体"/>
          <w:highlight w:val="none"/>
        </w:rPr>
        <w:t>评价等级按下表的分级判据进行划分</w:t>
      </w:r>
    </w:p>
    <w:p>
      <w:pPr>
        <w:pStyle w:val="65"/>
        <w:rPr>
          <w:rFonts w:hAnsi="宋体"/>
          <w:highlight w:val="none"/>
        </w:rPr>
      </w:pPr>
      <w:r>
        <w:rPr>
          <w:rFonts w:hAnsi="宋体"/>
          <w:highlight w:val="none"/>
        </w:rPr>
        <w:t>表2.4-1</w:t>
      </w:r>
      <w:r>
        <w:rPr>
          <w:rFonts w:hint="eastAsia" w:hAnsi="宋体"/>
          <w:highlight w:val="none"/>
        </w:rPr>
        <w:t xml:space="preserve">  </w:t>
      </w:r>
      <w:r>
        <w:rPr>
          <w:rFonts w:hAnsi="宋体"/>
          <w:highlight w:val="none"/>
        </w:rPr>
        <w:t>评价等级判别表</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449"/>
        <w:gridCol w:w="44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4449" w:type="dxa"/>
            <w:vAlign w:val="center"/>
          </w:tcPr>
          <w:p>
            <w:pPr>
              <w:pStyle w:val="64"/>
              <w:rPr>
                <w:rFonts w:hAnsi="宋体"/>
                <w:highlight w:val="none"/>
              </w:rPr>
            </w:pPr>
            <w:r>
              <w:rPr>
                <w:rFonts w:hAnsi="宋体"/>
                <w:highlight w:val="none"/>
              </w:rPr>
              <w:t>评价工作等级</w:t>
            </w:r>
          </w:p>
        </w:tc>
        <w:tc>
          <w:tcPr>
            <w:tcW w:w="4497" w:type="dxa"/>
            <w:vAlign w:val="center"/>
          </w:tcPr>
          <w:p>
            <w:pPr>
              <w:pStyle w:val="64"/>
              <w:rPr>
                <w:rFonts w:hAnsi="宋体"/>
                <w:highlight w:val="none"/>
              </w:rPr>
            </w:pPr>
            <w:r>
              <w:rPr>
                <w:rFonts w:hAnsi="宋体"/>
                <w:highlight w:val="none"/>
              </w:rPr>
              <w:t>评价工作分级判据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4449" w:type="dxa"/>
            <w:vAlign w:val="center"/>
          </w:tcPr>
          <w:p>
            <w:pPr>
              <w:pStyle w:val="64"/>
              <w:rPr>
                <w:rFonts w:hAnsi="宋体"/>
                <w:highlight w:val="none"/>
              </w:rPr>
            </w:pPr>
            <w:r>
              <w:rPr>
                <w:rFonts w:hAnsi="宋体"/>
                <w:highlight w:val="none"/>
              </w:rPr>
              <w:t>一级评价</w:t>
            </w:r>
          </w:p>
        </w:tc>
        <w:tc>
          <w:tcPr>
            <w:tcW w:w="4497" w:type="dxa"/>
            <w:vAlign w:val="center"/>
          </w:tcPr>
          <w:p>
            <w:pPr>
              <w:pStyle w:val="64"/>
              <w:rPr>
                <w:rFonts w:hAnsi="宋体"/>
                <w:highlight w:val="none"/>
              </w:rPr>
            </w:pPr>
            <w:r>
              <w:rPr>
                <w:rFonts w:hAnsi="宋体"/>
                <w:highlight w:val="none"/>
              </w:rPr>
              <w:t>Pmax≥10%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4449" w:type="dxa"/>
            <w:vAlign w:val="center"/>
          </w:tcPr>
          <w:p>
            <w:pPr>
              <w:pStyle w:val="64"/>
              <w:rPr>
                <w:rFonts w:hAnsi="宋体"/>
                <w:highlight w:val="none"/>
              </w:rPr>
            </w:pPr>
            <w:r>
              <w:rPr>
                <w:rFonts w:hAnsi="宋体"/>
                <w:highlight w:val="none"/>
              </w:rPr>
              <w:t>二级评价</w:t>
            </w:r>
          </w:p>
        </w:tc>
        <w:tc>
          <w:tcPr>
            <w:tcW w:w="4497" w:type="dxa"/>
            <w:vAlign w:val="center"/>
          </w:tcPr>
          <w:p>
            <w:pPr>
              <w:pStyle w:val="64"/>
              <w:rPr>
                <w:rFonts w:hAnsi="宋体"/>
                <w:highlight w:val="none"/>
              </w:rPr>
            </w:pPr>
            <w:r>
              <w:rPr>
                <w:rFonts w:hAnsi="宋体"/>
                <w:highlight w:val="none"/>
              </w:rPr>
              <w:t>1%≤Pmax&lt;10%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4449" w:type="dxa"/>
            <w:vAlign w:val="center"/>
          </w:tcPr>
          <w:p>
            <w:pPr>
              <w:pStyle w:val="64"/>
              <w:rPr>
                <w:rFonts w:hAnsi="宋体"/>
                <w:highlight w:val="none"/>
              </w:rPr>
            </w:pPr>
            <w:r>
              <w:rPr>
                <w:rFonts w:hAnsi="宋体"/>
                <w:highlight w:val="none"/>
              </w:rPr>
              <w:t>三级评价</w:t>
            </w:r>
          </w:p>
        </w:tc>
        <w:tc>
          <w:tcPr>
            <w:tcW w:w="4497" w:type="dxa"/>
            <w:vAlign w:val="center"/>
          </w:tcPr>
          <w:p>
            <w:pPr>
              <w:pStyle w:val="64"/>
              <w:rPr>
                <w:rFonts w:hAnsi="宋体"/>
                <w:highlight w:val="none"/>
              </w:rPr>
            </w:pPr>
            <w:r>
              <w:rPr>
                <w:rFonts w:hAnsi="宋体"/>
                <w:highlight w:val="none"/>
              </w:rPr>
              <w:t>Pmax&lt;1%</w:t>
            </w:r>
          </w:p>
        </w:tc>
      </w:tr>
    </w:tbl>
    <w:p>
      <w:pPr>
        <w:ind w:firstLine="480"/>
        <w:rPr>
          <w:rFonts w:ascii="宋体" w:hAnsi="宋体"/>
          <w:highlight w:val="none"/>
        </w:rPr>
      </w:pPr>
      <w:r>
        <w:rPr>
          <w:rFonts w:ascii="宋体" w:hAnsi="宋体"/>
          <w:highlight w:val="none"/>
        </w:rPr>
        <w:t>（3）评价等级判定</w:t>
      </w:r>
    </w:p>
    <w:p>
      <w:pPr>
        <w:pStyle w:val="65"/>
        <w:rPr>
          <w:rFonts w:hAnsi="宋体"/>
          <w:highlight w:val="none"/>
        </w:rPr>
      </w:pPr>
      <w:r>
        <w:rPr>
          <w:rFonts w:hAnsi="宋体"/>
          <w:highlight w:val="none"/>
        </w:rPr>
        <w:t>表2.4-2</w:t>
      </w:r>
      <w:r>
        <w:rPr>
          <w:rFonts w:hint="eastAsia" w:hAnsi="宋体"/>
          <w:highlight w:val="none"/>
        </w:rPr>
        <w:t xml:space="preserve">  </w:t>
      </w:r>
      <w:r>
        <w:rPr>
          <w:rFonts w:hAnsi="宋体"/>
          <w:highlight w:val="none"/>
        </w:rPr>
        <w:t>P</w:t>
      </w:r>
      <w:r>
        <w:rPr>
          <w:rFonts w:hAnsi="宋体"/>
          <w:highlight w:val="none"/>
          <w:vertAlign w:val="subscript"/>
        </w:rPr>
        <w:t>max</w:t>
      </w:r>
      <w:r>
        <w:rPr>
          <w:rFonts w:hAnsi="宋体"/>
          <w:highlight w:val="none"/>
        </w:rPr>
        <w:t>和D</w:t>
      </w:r>
      <w:r>
        <w:rPr>
          <w:rFonts w:hAnsi="宋体"/>
          <w:highlight w:val="none"/>
          <w:vertAlign w:val="subscript"/>
        </w:rPr>
        <w:t>10%</w:t>
      </w:r>
      <w:r>
        <w:rPr>
          <w:rFonts w:hAnsi="宋体"/>
          <w:highlight w:val="none"/>
        </w:rPr>
        <w:t>预测和计算结果一览表</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1278"/>
        <w:gridCol w:w="1278"/>
        <w:gridCol w:w="1519"/>
        <w:gridCol w:w="1276"/>
        <w:gridCol w:w="1040"/>
        <w:gridCol w:w="127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78" w:type="dxa"/>
            <w:vAlign w:val="center"/>
          </w:tcPr>
          <w:p>
            <w:pPr>
              <w:pStyle w:val="64"/>
              <w:rPr>
                <w:rFonts w:hAnsi="宋体"/>
                <w:highlight w:val="none"/>
              </w:rPr>
            </w:pPr>
            <w:r>
              <w:rPr>
                <w:rFonts w:hAnsi="宋体"/>
                <w:highlight w:val="none"/>
              </w:rPr>
              <w:t>污染源名称</w:t>
            </w:r>
          </w:p>
        </w:tc>
        <w:tc>
          <w:tcPr>
            <w:tcW w:w="1278" w:type="dxa"/>
            <w:vAlign w:val="center"/>
          </w:tcPr>
          <w:p>
            <w:pPr>
              <w:pStyle w:val="64"/>
              <w:rPr>
                <w:rFonts w:hAnsi="宋体"/>
                <w:highlight w:val="none"/>
              </w:rPr>
            </w:pPr>
            <w:r>
              <w:rPr>
                <w:rFonts w:hAnsi="宋体"/>
                <w:highlight w:val="none"/>
              </w:rPr>
              <w:t>评价因子</w:t>
            </w:r>
          </w:p>
        </w:tc>
        <w:tc>
          <w:tcPr>
            <w:tcW w:w="1278" w:type="dxa"/>
            <w:vAlign w:val="center"/>
          </w:tcPr>
          <w:p>
            <w:pPr>
              <w:pStyle w:val="64"/>
              <w:rPr>
                <w:rFonts w:hAnsi="宋体"/>
                <w:highlight w:val="none"/>
              </w:rPr>
            </w:pPr>
            <w:r>
              <w:rPr>
                <w:rFonts w:hAnsi="宋体"/>
                <w:highlight w:val="none"/>
              </w:rPr>
              <w:t>评价标准(μg/m³)</w:t>
            </w:r>
          </w:p>
        </w:tc>
        <w:tc>
          <w:tcPr>
            <w:tcW w:w="1519" w:type="dxa"/>
            <w:vAlign w:val="center"/>
          </w:tcPr>
          <w:p>
            <w:pPr>
              <w:pStyle w:val="64"/>
              <w:rPr>
                <w:rFonts w:hAnsi="宋体"/>
                <w:highlight w:val="none"/>
              </w:rPr>
            </w:pPr>
            <w:r>
              <w:rPr>
                <w:rFonts w:hAnsi="宋体"/>
                <w:highlight w:val="none"/>
              </w:rPr>
              <w:t>Cmax(μg/m³)</w:t>
            </w:r>
          </w:p>
        </w:tc>
        <w:tc>
          <w:tcPr>
            <w:tcW w:w="1276" w:type="dxa"/>
            <w:vAlign w:val="center"/>
          </w:tcPr>
          <w:p>
            <w:pPr>
              <w:pStyle w:val="64"/>
              <w:rPr>
                <w:rFonts w:hAnsi="宋体"/>
                <w:highlight w:val="none"/>
              </w:rPr>
            </w:pPr>
            <w:r>
              <w:rPr>
                <w:rFonts w:hAnsi="宋体"/>
                <w:highlight w:val="none"/>
              </w:rPr>
              <w:t>Pmax(%)</w:t>
            </w:r>
          </w:p>
        </w:tc>
        <w:tc>
          <w:tcPr>
            <w:tcW w:w="1040" w:type="dxa"/>
            <w:vAlign w:val="center"/>
          </w:tcPr>
          <w:p>
            <w:pPr>
              <w:pStyle w:val="64"/>
              <w:rPr>
                <w:rFonts w:hAnsi="宋体"/>
                <w:highlight w:val="none"/>
              </w:rPr>
            </w:pPr>
            <w:r>
              <w:rPr>
                <w:rFonts w:hAnsi="宋体"/>
                <w:highlight w:val="none"/>
              </w:rPr>
              <w:t>D10%(m)</w:t>
            </w:r>
          </w:p>
        </w:tc>
        <w:tc>
          <w:tcPr>
            <w:tcW w:w="1277" w:type="dxa"/>
            <w:vAlign w:val="center"/>
          </w:tcPr>
          <w:p>
            <w:pPr>
              <w:pStyle w:val="64"/>
              <w:rPr>
                <w:rFonts w:hAnsi="宋体"/>
                <w:highlight w:val="none"/>
              </w:rPr>
            </w:pPr>
            <w:r>
              <w:rPr>
                <w:rFonts w:hAnsi="宋体"/>
                <w:highlight w:val="none"/>
              </w:rPr>
              <w:t>评价等级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78" w:type="dxa"/>
            <w:vAlign w:val="center"/>
          </w:tcPr>
          <w:p>
            <w:pPr>
              <w:pStyle w:val="64"/>
              <w:rPr>
                <w:rFonts w:hAnsi="宋体"/>
                <w:highlight w:val="none"/>
              </w:rPr>
            </w:pPr>
            <w:r>
              <w:rPr>
                <w:rFonts w:hint="eastAsia" w:hAnsi="宋体"/>
                <w:highlight w:val="none"/>
              </w:rPr>
              <w:t>破碎</w:t>
            </w:r>
            <w:r>
              <w:rPr>
                <w:rFonts w:hAnsi="宋体"/>
                <w:highlight w:val="none"/>
              </w:rPr>
              <w:t>排气筒</w:t>
            </w:r>
          </w:p>
        </w:tc>
        <w:tc>
          <w:tcPr>
            <w:tcW w:w="1278" w:type="dxa"/>
            <w:vAlign w:val="center"/>
          </w:tcPr>
          <w:p>
            <w:pPr>
              <w:pStyle w:val="64"/>
              <w:rPr>
                <w:rFonts w:hAnsi="宋体"/>
                <w:highlight w:val="none"/>
              </w:rPr>
            </w:pPr>
            <w:r>
              <w:rPr>
                <w:rFonts w:hAnsi="宋体"/>
                <w:highlight w:val="none"/>
              </w:rPr>
              <w:t>PM</w:t>
            </w:r>
            <w:r>
              <w:rPr>
                <w:rFonts w:hAnsi="宋体"/>
                <w:highlight w:val="none"/>
                <w:vertAlign w:val="subscript"/>
              </w:rPr>
              <w:t>10</w:t>
            </w:r>
          </w:p>
        </w:tc>
        <w:tc>
          <w:tcPr>
            <w:tcW w:w="1278" w:type="dxa"/>
            <w:vAlign w:val="center"/>
          </w:tcPr>
          <w:p>
            <w:pPr>
              <w:pStyle w:val="64"/>
              <w:rPr>
                <w:rFonts w:hAnsi="宋体"/>
                <w:highlight w:val="none"/>
              </w:rPr>
            </w:pPr>
            <w:r>
              <w:rPr>
                <w:rFonts w:hAnsi="宋体"/>
                <w:highlight w:val="none"/>
              </w:rPr>
              <w:t>450.0</w:t>
            </w:r>
          </w:p>
        </w:tc>
        <w:tc>
          <w:tcPr>
            <w:tcW w:w="1519" w:type="dxa"/>
            <w:vAlign w:val="center"/>
          </w:tcPr>
          <w:p>
            <w:pPr>
              <w:pStyle w:val="64"/>
              <w:rPr>
                <w:rFonts w:hAnsi="宋体"/>
                <w:highlight w:val="none"/>
              </w:rPr>
            </w:pPr>
            <w:r>
              <w:rPr>
                <w:rFonts w:hAnsi="宋体"/>
                <w:highlight w:val="none"/>
              </w:rPr>
              <w:t>35.7680</w:t>
            </w:r>
          </w:p>
        </w:tc>
        <w:tc>
          <w:tcPr>
            <w:tcW w:w="1276" w:type="dxa"/>
            <w:vAlign w:val="center"/>
          </w:tcPr>
          <w:p>
            <w:pPr>
              <w:pStyle w:val="64"/>
              <w:rPr>
                <w:rFonts w:hAnsi="宋体"/>
                <w:highlight w:val="none"/>
              </w:rPr>
            </w:pPr>
            <w:r>
              <w:rPr>
                <w:rFonts w:hAnsi="宋体"/>
                <w:highlight w:val="none"/>
              </w:rPr>
              <w:t>7.9480</w:t>
            </w:r>
          </w:p>
        </w:tc>
        <w:tc>
          <w:tcPr>
            <w:tcW w:w="1040" w:type="dxa"/>
            <w:vAlign w:val="center"/>
          </w:tcPr>
          <w:p>
            <w:pPr>
              <w:pStyle w:val="64"/>
              <w:rPr>
                <w:rFonts w:hAnsi="宋体"/>
                <w:highlight w:val="none"/>
              </w:rPr>
            </w:pPr>
            <w:r>
              <w:rPr>
                <w:rFonts w:hAnsi="宋体"/>
                <w:highlight w:val="none"/>
              </w:rPr>
              <w:t>/</w:t>
            </w:r>
          </w:p>
        </w:tc>
        <w:tc>
          <w:tcPr>
            <w:tcW w:w="1277" w:type="dxa"/>
            <w:vAlign w:val="center"/>
          </w:tcPr>
          <w:p>
            <w:pPr>
              <w:pStyle w:val="64"/>
              <w:rPr>
                <w:rFonts w:hAnsi="宋体"/>
                <w:highlight w:val="none"/>
              </w:rPr>
            </w:pPr>
            <w:r>
              <w:rPr>
                <w:rFonts w:hAnsi="宋体"/>
                <w:highlight w:val="none"/>
              </w:rPr>
              <w:t>二级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78" w:type="dxa"/>
            <w:vAlign w:val="center"/>
          </w:tcPr>
          <w:p>
            <w:pPr>
              <w:pStyle w:val="64"/>
              <w:rPr>
                <w:rFonts w:hAnsi="宋体"/>
                <w:highlight w:val="none"/>
              </w:rPr>
            </w:pPr>
            <w:r>
              <w:rPr>
                <w:rFonts w:hint="eastAsia" w:hAnsi="宋体"/>
                <w:highlight w:val="none"/>
              </w:rPr>
              <w:t>废石库</w:t>
            </w:r>
          </w:p>
        </w:tc>
        <w:tc>
          <w:tcPr>
            <w:tcW w:w="1278" w:type="dxa"/>
            <w:vAlign w:val="center"/>
          </w:tcPr>
          <w:p>
            <w:pPr>
              <w:pStyle w:val="64"/>
              <w:rPr>
                <w:rFonts w:hAnsi="宋体"/>
                <w:highlight w:val="none"/>
              </w:rPr>
            </w:pPr>
            <w:r>
              <w:rPr>
                <w:rFonts w:hAnsi="宋体"/>
                <w:highlight w:val="none"/>
              </w:rPr>
              <w:t>TSP</w:t>
            </w:r>
          </w:p>
        </w:tc>
        <w:tc>
          <w:tcPr>
            <w:tcW w:w="1278" w:type="dxa"/>
            <w:vAlign w:val="center"/>
          </w:tcPr>
          <w:p>
            <w:pPr>
              <w:pStyle w:val="64"/>
              <w:rPr>
                <w:rFonts w:hAnsi="宋体"/>
                <w:highlight w:val="none"/>
              </w:rPr>
            </w:pPr>
            <w:r>
              <w:rPr>
                <w:rFonts w:hAnsi="宋体"/>
                <w:highlight w:val="none"/>
              </w:rPr>
              <w:t>900.0</w:t>
            </w:r>
          </w:p>
        </w:tc>
        <w:tc>
          <w:tcPr>
            <w:tcW w:w="1519" w:type="dxa"/>
            <w:vAlign w:val="center"/>
          </w:tcPr>
          <w:p>
            <w:pPr>
              <w:pStyle w:val="64"/>
              <w:rPr>
                <w:rFonts w:hAnsi="宋体"/>
                <w:highlight w:val="none"/>
              </w:rPr>
            </w:pPr>
            <w:r>
              <w:rPr>
                <w:rFonts w:hAnsi="宋体"/>
                <w:highlight w:val="none"/>
              </w:rPr>
              <w:t>61.5070</w:t>
            </w:r>
          </w:p>
        </w:tc>
        <w:tc>
          <w:tcPr>
            <w:tcW w:w="1276" w:type="dxa"/>
            <w:vAlign w:val="center"/>
          </w:tcPr>
          <w:p>
            <w:pPr>
              <w:pStyle w:val="64"/>
              <w:rPr>
                <w:rFonts w:hAnsi="宋体"/>
                <w:highlight w:val="none"/>
              </w:rPr>
            </w:pPr>
            <w:r>
              <w:rPr>
                <w:rFonts w:hAnsi="宋体"/>
                <w:highlight w:val="none"/>
              </w:rPr>
              <w:t>6.8340</w:t>
            </w:r>
          </w:p>
        </w:tc>
        <w:tc>
          <w:tcPr>
            <w:tcW w:w="1040" w:type="dxa"/>
            <w:vAlign w:val="center"/>
          </w:tcPr>
          <w:p>
            <w:pPr>
              <w:pStyle w:val="64"/>
              <w:rPr>
                <w:rFonts w:hAnsi="宋体"/>
                <w:highlight w:val="none"/>
              </w:rPr>
            </w:pPr>
            <w:r>
              <w:rPr>
                <w:rFonts w:hAnsi="宋体"/>
                <w:highlight w:val="none"/>
              </w:rPr>
              <w:t>/</w:t>
            </w:r>
          </w:p>
        </w:tc>
        <w:tc>
          <w:tcPr>
            <w:tcW w:w="1277" w:type="dxa"/>
          </w:tcPr>
          <w:p>
            <w:pPr>
              <w:pStyle w:val="64"/>
              <w:rPr>
                <w:rFonts w:hAnsi="宋体"/>
                <w:highlight w:val="none"/>
              </w:rPr>
            </w:pPr>
            <w:r>
              <w:rPr>
                <w:rFonts w:hAnsi="宋体"/>
                <w:highlight w:val="none"/>
              </w:rPr>
              <w:t>二级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278" w:type="dxa"/>
            <w:vAlign w:val="center"/>
          </w:tcPr>
          <w:p>
            <w:pPr>
              <w:pStyle w:val="64"/>
              <w:rPr>
                <w:rFonts w:hAnsi="宋体"/>
                <w:highlight w:val="none"/>
              </w:rPr>
            </w:pPr>
            <w:r>
              <w:rPr>
                <w:rFonts w:hint="eastAsia" w:hAnsi="宋体"/>
                <w:highlight w:val="none"/>
              </w:rPr>
              <w:t>原料</w:t>
            </w:r>
            <w:r>
              <w:rPr>
                <w:rFonts w:hAnsi="宋体"/>
                <w:highlight w:val="none"/>
              </w:rPr>
              <w:t>库</w:t>
            </w:r>
          </w:p>
        </w:tc>
        <w:tc>
          <w:tcPr>
            <w:tcW w:w="1278" w:type="dxa"/>
            <w:vAlign w:val="center"/>
          </w:tcPr>
          <w:p>
            <w:pPr>
              <w:pStyle w:val="64"/>
              <w:rPr>
                <w:rFonts w:hAnsi="宋体"/>
                <w:highlight w:val="none"/>
              </w:rPr>
            </w:pPr>
            <w:r>
              <w:rPr>
                <w:rFonts w:hAnsi="宋体"/>
                <w:highlight w:val="none"/>
              </w:rPr>
              <w:t>TSP</w:t>
            </w:r>
          </w:p>
        </w:tc>
        <w:tc>
          <w:tcPr>
            <w:tcW w:w="1278" w:type="dxa"/>
            <w:vAlign w:val="center"/>
          </w:tcPr>
          <w:p>
            <w:pPr>
              <w:pStyle w:val="64"/>
              <w:rPr>
                <w:rFonts w:hAnsi="宋体"/>
                <w:highlight w:val="none"/>
              </w:rPr>
            </w:pPr>
            <w:r>
              <w:rPr>
                <w:rFonts w:hAnsi="宋体"/>
                <w:highlight w:val="none"/>
              </w:rPr>
              <w:t>900.0</w:t>
            </w:r>
          </w:p>
        </w:tc>
        <w:tc>
          <w:tcPr>
            <w:tcW w:w="1519" w:type="dxa"/>
            <w:vAlign w:val="center"/>
          </w:tcPr>
          <w:p>
            <w:pPr>
              <w:pStyle w:val="64"/>
              <w:rPr>
                <w:rFonts w:hAnsi="宋体"/>
                <w:highlight w:val="none"/>
              </w:rPr>
            </w:pPr>
            <w:r>
              <w:rPr>
                <w:rFonts w:hAnsi="宋体"/>
                <w:highlight w:val="none"/>
              </w:rPr>
              <w:t>80.5950</w:t>
            </w:r>
          </w:p>
        </w:tc>
        <w:tc>
          <w:tcPr>
            <w:tcW w:w="1276" w:type="dxa"/>
            <w:vAlign w:val="center"/>
          </w:tcPr>
          <w:p>
            <w:pPr>
              <w:pStyle w:val="64"/>
              <w:rPr>
                <w:rFonts w:hAnsi="宋体"/>
                <w:highlight w:val="none"/>
              </w:rPr>
            </w:pPr>
            <w:r>
              <w:rPr>
                <w:rFonts w:hAnsi="宋体"/>
                <w:highlight w:val="none"/>
              </w:rPr>
              <w:t>8.9550</w:t>
            </w:r>
          </w:p>
        </w:tc>
        <w:tc>
          <w:tcPr>
            <w:tcW w:w="1040" w:type="dxa"/>
            <w:vAlign w:val="center"/>
          </w:tcPr>
          <w:p>
            <w:pPr>
              <w:pStyle w:val="64"/>
              <w:rPr>
                <w:rFonts w:hAnsi="宋体"/>
                <w:highlight w:val="none"/>
              </w:rPr>
            </w:pPr>
            <w:r>
              <w:rPr>
                <w:rFonts w:hAnsi="宋体"/>
                <w:highlight w:val="none"/>
              </w:rPr>
              <w:t>/</w:t>
            </w:r>
          </w:p>
        </w:tc>
        <w:tc>
          <w:tcPr>
            <w:tcW w:w="1277" w:type="dxa"/>
          </w:tcPr>
          <w:p>
            <w:pPr>
              <w:pStyle w:val="64"/>
              <w:rPr>
                <w:rFonts w:hAnsi="宋体"/>
                <w:highlight w:val="none"/>
              </w:rPr>
            </w:pPr>
            <w:r>
              <w:rPr>
                <w:rFonts w:hAnsi="宋体"/>
                <w:highlight w:val="none"/>
              </w:rPr>
              <w:t>二级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78" w:type="dxa"/>
            <w:vAlign w:val="center"/>
          </w:tcPr>
          <w:p>
            <w:pPr>
              <w:pStyle w:val="64"/>
              <w:rPr>
                <w:rFonts w:hAnsi="宋体"/>
                <w:highlight w:val="none"/>
              </w:rPr>
            </w:pPr>
            <w:r>
              <w:rPr>
                <w:rFonts w:hint="eastAsia" w:hAnsi="宋体"/>
                <w:highlight w:val="none"/>
              </w:rPr>
              <w:t>尾矿库</w:t>
            </w:r>
          </w:p>
        </w:tc>
        <w:tc>
          <w:tcPr>
            <w:tcW w:w="1278" w:type="dxa"/>
            <w:vAlign w:val="center"/>
          </w:tcPr>
          <w:p>
            <w:pPr>
              <w:pStyle w:val="64"/>
              <w:rPr>
                <w:rFonts w:hAnsi="宋体"/>
                <w:highlight w:val="none"/>
              </w:rPr>
            </w:pPr>
            <w:r>
              <w:rPr>
                <w:rFonts w:hAnsi="宋体"/>
                <w:highlight w:val="none"/>
              </w:rPr>
              <w:t>TSP</w:t>
            </w:r>
          </w:p>
        </w:tc>
        <w:tc>
          <w:tcPr>
            <w:tcW w:w="1278" w:type="dxa"/>
            <w:vAlign w:val="center"/>
          </w:tcPr>
          <w:p>
            <w:pPr>
              <w:pStyle w:val="64"/>
              <w:rPr>
                <w:rFonts w:hAnsi="宋体"/>
                <w:highlight w:val="none"/>
              </w:rPr>
            </w:pPr>
            <w:r>
              <w:rPr>
                <w:rFonts w:hAnsi="宋体"/>
                <w:highlight w:val="none"/>
              </w:rPr>
              <w:t>900.0</w:t>
            </w:r>
          </w:p>
        </w:tc>
        <w:tc>
          <w:tcPr>
            <w:tcW w:w="1519" w:type="dxa"/>
            <w:vAlign w:val="center"/>
          </w:tcPr>
          <w:p>
            <w:pPr>
              <w:pStyle w:val="64"/>
              <w:rPr>
                <w:rFonts w:hAnsi="宋体"/>
                <w:highlight w:val="none"/>
              </w:rPr>
            </w:pPr>
            <w:r>
              <w:rPr>
                <w:rFonts w:hAnsi="宋体"/>
                <w:highlight w:val="none"/>
              </w:rPr>
              <w:t>15.3790</w:t>
            </w:r>
          </w:p>
        </w:tc>
        <w:tc>
          <w:tcPr>
            <w:tcW w:w="1276" w:type="dxa"/>
            <w:vAlign w:val="center"/>
          </w:tcPr>
          <w:p>
            <w:pPr>
              <w:pStyle w:val="64"/>
              <w:rPr>
                <w:rFonts w:hAnsi="宋体"/>
                <w:highlight w:val="none"/>
              </w:rPr>
            </w:pPr>
            <w:r>
              <w:rPr>
                <w:rFonts w:hAnsi="宋体"/>
                <w:highlight w:val="none"/>
              </w:rPr>
              <w:t>1.7090</w:t>
            </w:r>
          </w:p>
        </w:tc>
        <w:tc>
          <w:tcPr>
            <w:tcW w:w="1040" w:type="dxa"/>
            <w:vAlign w:val="center"/>
          </w:tcPr>
          <w:p>
            <w:pPr>
              <w:pStyle w:val="64"/>
              <w:rPr>
                <w:rFonts w:hAnsi="宋体"/>
                <w:highlight w:val="none"/>
              </w:rPr>
            </w:pPr>
            <w:r>
              <w:rPr>
                <w:rFonts w:hAnsi="宋体"/>
                <w:highlight w:val="none"/>
              </w:rPr>
              <w:t>/</w:t>
            </w:r>
          </w:p>
        </w:tc>
        <w:tc>
          <w:tcPr>
            <w:tcW w:w="1277" w:type="dxa"/>
          </w:tcPr>
          <w:p>
            <w:pPr>
              <w:pStyle w:val="64"/>
              <w:rPr>
                <w:rFonts w:hAnsi="宋体"/>
                <w:highlight w:val="none"/>
              </w:rPr>
            </w:pPr>
            <w:r>
              <w:rPr>
                <w:rFonts w:hAnsi="宋体"/>
                <w:highlight w:val="none"/>
              </w:rPr>
              <w:t>二级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78" w:type="dxa"/>
            <w:vAlign w:val="center"/>
          </w:tcPr>
          <w:p>
            <w:pPr>
              <w:pStyle w:val="64"/>
              <w:rPr>
                <w:rFonts w:hAnsi="宋体"/>
                <w:highlight w:val="none"/>
              </w:rPr>
            </w:pPr>
            <w:r>
              <w:rPr>
                <w:rFonts w:hint="eastAsia" w:hAnsi="宋体"/>
                <w:highlight w:val="none"/>
              </w:rPr>
              <w:t>成品</w:t>
            </w:r>
            <w:r>
              <w:rPr>
                <w:rFonts w:hAnsi="宋体"/>
                <w:highlight w:val="none"/>
              </w:rPr>
              <w:t>库</w:t>
            </w:r>
          </w:p>
        </w:tc>
        <w:tc>
          <w:tcPr>
            <w:tcW w:w="1278" w:type="dxa"/>
            <w:vAlign w:val="center"/>
          </w:tcPr>
          <w:p>
            <w:pPr>
              <w:pStyle w:val="64"/>
              <w:rPr>
                <w:rFonts w:hAnsi="宋体"/>
                <w:highlight w:val="none"/>
              </w:rPr>
            </w:pPr>
            <w:r>
              <w:rPr>
                <w:rFonts w:hAnsi="宋体"/>
                <w:highlight w:val="none"/>
              </w:rPr>
              <w:t>TSP</w:t>
            </w:r>
          </w:p>
        </w:tc>
        <w:tc>
          <w:tcPr>
            <w:tcW w:w="1278" w:type="dxa"/>
            <w:vAlign w:val="center"/>
          </w:tcPr>
          <w:p>
            <w:pPr>
              <w:pStyle w:val="64"/>
              <w:rPr>
                <w:rFonts w:hAnsi="宋体"/>
                <w:highlight w:val="none"/>
              </w:rPr>
            </w:pPr>
            <w:r>
              <w:rPr>
                <w:rFonts w:hAnsi="宋体"/>
                <w:highlight w:val="none"/>
              </w:rPr>
              <w:t>900.0</w:t>
            </w:r>
          </w:p>
        </w:tc>
        <w:tc>
          <w:tcPr>
            <w:tcW w:w="1519" w:type="dxa"/>
            <w:vAlign w:val="center"/>
          </w:tcPr>
          <w:p>
            <w:pPr>
              <w:pStyle w:val="64"/>
              <w:rPr>
                <w:rFonts w:hAnsi="宋体"/>
                <w:highlight w:val="none"/>
              </w:rPr>
            </w:pPr>
            <w:r>
              <w:rPr>
                <w:rFonts w:hAnsi="宋体"/>
                <w:highlight w:val="none"/>
              </w:rPr>
              <w:t>4.5941</w:t>
            </w:r>
          </w:p>
        </w:tc>
        <w:tc>
          <w:tcPr>
            <w:tcW w:w="1276" w:type="dxa"/>
            <w:vAlign w:val="center"/>
          </w:tcPr>
          <w:p>
            <w:pPr>
              <w:pStyle w:val="64"/>
              <w:rPr>
                <w:rFonts w:hAnsi="宋体"/>
                <w:highlight w:val="none"/>
              </w:rPr>
            </w:pPr>
            <w:r>
              <w:rPr>
                <w:rFonts w:hAnsi="宋体"/>
                <w:highlight w:val="none"/>
              </w:rPr>
              <w:t>0.5100</w:t>
            </w:r>
          </w:p>
        </w:tc>
        <w:tc>
          <w:tcPr>
            <w:tcW w:w="1040" w:type="dxa"/>
            <w:vAlign w:val="center"/>
          </w:tcPr>
          <w:p>
            <w:pPr>
              <w:pStyle w:val="64"/>
              <w:rPr>
                <w:rFonts w:hAnsi="宋体"/>
                <w:highlight w:val="none"/>
              </w:rPr>
            </w:pPr>
            <w:r>
              <w:rPr>
                <w:rFonts w:hAnsi="宋体"/>
                <w:highlight w:val="none"/>
              </w:rPr>
              <w:t>/</w:t>
            </w:r>
          </w:p>
        </w:tc>
        <w:tc>
          <w:tcPr>
            <w:tcW w:w="1277" w:type="dxa"/>
          </w:tcPr>
          <w:p>
            <w:pPr>
              <w:pStyle w:val="64"/>
              <w:rPr>
                <w:rFonts w:hAnsi="宋体"/>
                <w:highlight w:val="none"/>
              </w:rPr>
            </w:pPr>
            <w:r>
              <w:rPr>
                <w:rFonts w:hint="eastAsia" w:hAnsi="宋体"/>
                <w:highlight w:val="none"/>
              </w:rPr>
              <w:t>三</w:t>
            </w:r>
            <w:r>
              <w:rPr>
                <w:rFonts w:hAnsi="宋体"/>
                <w:highlight w:val="none"/>
              </w:rPr>
              <w:t>级</w:t>
            </w:r>
          </w:p>
        </w:tc>
      </w:tr>
    </w:tbl>
    <w:p>
      <w:pPr>
        <w:pStyle w:val="62"/>
        <w:ind w:firstLine="480"/>
        <w:rPr>
          <w:rFonts w:hAnsi="宋体"/>
          <w:highlight w:val="none"/>
        </w:rPr>
      </w:pPr>
      <w:bookmarkStart w:id="86" w:name="_Toc4678386"/>
      <w:r>
        <w:rPr>
          <w:rFonts w:hint="eastAsia" w:hAnsi="宋体"/>
          <w:highlight w:val="none"/>
        </w:rPr>
        <w:t>本项目Pmax最大值出现为原料库排放的TSPPmax值为8.955%,Cmax为80.595μg/m</w:t>
      </w:r>
      <w:r>
        <w:rPr>
          <w:rFonts w:hint="eastAsia" w:hAnsi="宋体"/>
          <w:highlight w:val="none"/>
          <w:vertAlign w:val="superscript"/>
        </w:rPr>
        <w:t>3</w:t>
      </w:r>
      <w:r>
        <w:rPr>
          <w:rFonts w:hint="eastAsia" w:hAnsi="宋体"/>
          <w:highlight w:val="none"/>
        </w:rPr>
        <w:t>，根据《环境影响评价技术导则 大气环境》（HJ2.2-2018）分级判据，确定本项目大气环境影响评价工作等级为二级。</w:t>
      </w:r>
    </w:p>
    <w:p>
      <w:pPr>
        <w:pStyle w:val="4"/>
        <w:ind w:firstLine="562"/>
        <w:rPr>
          <w:rFonts w:hAnsi="宋体"/>
          <w:highlight w:val="none"/>
        </w:rPr>
      </w:pPr>
      <w:r>
        <w:rPr>
          <w:rFonts w:hAnsi="宋体"/>
          <w:highlight w:val="none"/>
        </w:rPr>
        <w:t>2.4.2地表水</w:t>
      </w:r>
      <w:bookmarkEnd w:id="86"/>
    </w:p>
    <w:p>
      <w:pPr>
        <w:ind w:firstLine="480"/>
        <w:rPr>
          <w:rFonts w:ascii="宋体" w:hAnsi="宋体"/>
          <w:highlight w:val="none"/>
        </w:rPr>
      </w:pPr>
      <w:r>
        <w:rPr>
          <w:rFonts w:ascii="宋体" w:hAnsi="宋体"/>
          <w:highlight w:val="none"/>
        </w:rPr>
        <w:t>厂区设置1座2m</w:t>
      </w:r>
      <w:r>
        <w:rPr>
          <w:rFonts w:ascii="宋体" w:hAnsi="宋体"/>
          <w:highlight w:val="none"/>
          <w:vertAlign w:val="superscript"/>
        </w:rPr>
        <w:t>3</w:t>
      </w:r>
      <w:r>
        <w:rPr>
          <w:rFonts w:ascii="宋体" w:hAnsi="宋体"/>
          <w:highlight w:val="none"/>
        </w:rPr>
        <w:t>的沉淀池，生活污水经简单沉淀后用于厂区和道路洒水、绿化用水；旱厕定期清掏用于农田施肥。洗车废水循环使用不外排，尾矿浆经浓缩池浓缩后全部回用不外排。根据《环境影响评价技术导则地表水环境》（HJ2.3-2018）评价等级判断标准，本项目地表水环境影响评价等级为三级B。具体见表2.4-3。</w:t>
      </w:r>
    </w:p>
    <w:p>
      <w:pPr>
        <w:pStyle w:val="65"/>
        <w:rPr>
          <w:rFonts w:hAnsi="宋体"/>
          <w:highlight w:val="none"/>
        </w:rPr>
      </w:pPr>
      <w:r>
        <w:rPr>
          <w:rFonts w:hAnsi="宋体"/>
          <w:highlight w:val="none"/>
        </w:rPr>
        <w:t>表2.4-3</w:t>
      </w:r>
      <w:r>
        <w:rPr>
          <w:rFonts w:hint="eastAsia" w:hAnsi="宋体"/>
          <w:highlight w:val="none"/>
        </w:rPr>
        <w:t xml:space="preserve">  </w:t>
      </w:r>
      <w:r>
        <w:rPr>
          <w:rFonts w:hAnsi="宋体"/>
          <w:highlight w:val="none"/>
        </w:rPr>
        <w:t>水污染影响型建设项目评价等级判定</w:t>
      </w:r>
    </w:p>
    <w:tbl>
      <w:tblPr>
        <w:tblStyle w:val="44"/>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971"/>
        <w:gridCol w:w="5014"/>
        <w:gridCol w:w="164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16"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评价等级</w:t>
            </w:r>
          </w:p>
        </w:tc>
        <w:tc>
          <w:tcPr>
            <w:tcW w:w="5985" w:type="dxa"/>
            <w:gridSpan w:val="2"/>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判定依据</w:t>
            </w:r>
          </w:p>
        </w:tc>
        <w:tc>
          <w:tcPr>
            <w:tcW w:w="1649" w:type="dxa"/>
            <w:vMerge w:val="restart"/>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项项目判定情况</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16"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评价等级</w:t>
            </w:r>
          </w:p>
        </w:tc>
        <w:tc>
          <w:tcPr>
            <w:tcW w:w="971"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排放方式</w:t>
            </w:r>
          </w:p>
        </w:tc>
        <w:tc>
          <w:tcPr>
            <w:tcW w:w="5014"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废水排放量Q/(m</w:t>
            </w:r>
            <w:r>
              <w:rPr>
                <w:rFonts w:ascii="宋体" w:hAnsi="宋体"/>
                <w:kern w:val="0"/>
                <w:sz w:val="21"/>
                <w:highlight w:val="none"/>
                <w:vertAlign w:val="superscript"/>
              </w:rPr>
              <w:t>3</w:t>
            </w:r>
            <w:r>
              <w:rPr>
                <w:rFonts w:ascii="宋体" w:hAnsi="宋体"/>
                <w:kern w:val="0"/>
                <w:sz w:val="21"/>
                <w:highlight w:val="none"/>
              </w:rPr>
              <w:t>/d)；水污染物当量数W/(无量纲）</w:t>
            </w:r>
          </w:p>
        </w:tc>
        <w:tc>
          <w:tcPr>
            <w:tcW w:w="1649" w:type="dxa"/>
            <w:vMerge w:val="continue"/>
            <w:shd w:val="clear" w:color="auto" w:fill="FFFFFF"/>
            <w:vAlign w:val="center"/>
          </w:tcPr>
          <w:p>
            <w:pPr>
              <w:snapToGrid w:val="0"/>
              <w:spacing w:line="320" w:lineRule="exact"/>
              <w:ind w:firstLine="0" w:firstLineChars="0"/>
              <w:jc w:val="center"/>
              <w:rPr>
                <w:rFonts w:ascii="宋体" w:hAnsi="宋体"/>
                <w:kern w:val="0"/>
                <w:sz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16"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一级</w:t>
            </w:r>
          </w:p>
        </w:tc>
        <w:tc>
          <w:tcPr>
            <w:tcW w:w="971"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直接排放</w:t>
            </w:r>
          </w:p>
        </w:tc>
        <w:tc>
          <w:tcPr>
            <w:tcW w:w="5014"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Q≥20000或W≥600000</w:t>
            </w:r>
          </w:p>
        </w:tc>
        <w:tc>
          <w:tcPr>
            <w:tcW w:w="1649"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16"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二级</w:t>
            </w:r>
          </w:p>
        </w:tc>
        <w:tc>
          <w:tcPr>
            <w:tcW w:w="971"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直接排放</w:t>
            </w:r>
          </w:p>
        </w:tc>
        <w:tc>
          <w:tcPr>
            <w:tcW w:w="5014"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其他</w:t>
            </w:r>
          </w:p>
        </w:tc>
        <w:tc>
          <w:tcPr>
            <w:tcW w:w="1649"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16"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三级A</w:t>
            </w:r>
          </w:p>
        </w:tc>
        <w:tc>
          <w:tcPr>
            <w:tcW w:w="971"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直接排放</w:t>
            </w:r>
          </w:p>
        </w:tc>
        <w:tc>
          <w:tcPr>
            <w:tcW w:w="5014"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Q＜200且W＜6000</w:t>
            </w:r>
          </w:p>
        </w:tc>
        <w:tc>
          <w:tcPr>
            <w:tcW w:w="1649"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16"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三级B</w:t>
            </w:r>
          </w:p>
        </w:tc>
        <w:tc>
          <w:tcPr>
            <w:tcW w:w="971"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间接排放</w:t>
            </w:r>
          </w:p>
        </w:tc>
        <w:tc>
          <w:tcPr>
            <w:tcW w:w="5014"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w:t>
            </w:r>
          </w:p>
        </w:tc>
        <w:tc>
          <w:tcPr>
            <w:tcW w:w="1649" w:type="dxa"/>
            <w:shd w:val="clear" w:color="auto" w:fill="FFFFFF"/>
            <w:vAlign w:val="center"/>
          </w:tcPr>
          <w:p>
            <w:pPr>
              <w:snapToGrid w:val="0"/>
              <w:spacing w:line="320" w:lineRule="exact"/>
              <w:ind w:firstLine="0" w:firstLineChars="0"/>
              <w:jc w:val="center"/>
              <w:rPr>
                <w:rFonts w:ascii="宋体" w:hAnsi="宋体"/>
                <w:kern w:val="0"/>
                <w:sz w:val="21"/>
                <w:highlight w:val="none"/>
              </w:rPr>
            </w:pPr>
            <w:r>
              <w:rPr>
                <w:rFonts w:ascii="宋体" w:hAnsi="宋体"/>
                <w:kern w:val="0"/>
                <w:sz w:val="21"/>
                <w:highlight w:val="none"/>
              </w:rPr>
              <w:t>三级B</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8750" w:type="dxa"/>
            <w:gridSpan w:val="4"/>
            <w:shd w:val="clear" w:color="auto" w:fill="FFFFFF"/>
            <w:vAlign w:val="center"/>
          </w:tcPr>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注3：厂区存在堆积物（露天堆放的原料、燃料、废渣等以及垃圾堆放场）、降尘污染的，应将初期雨污水纳入废水排放量，相应的主要污染物纳入水污染当量计算。</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注4：建设项目直接排放第一类污染物的，其评价等级为一级；建设项目直接排放的污染物为受纳水体超标因子的，评价等级不低于二级。</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注5：直接排放受纳水体影响范围涉及饮用水水源保护区、饮用水取水口、重点保护与珍稀水生生物的栖息地、重要水生生物的自然产卵场等保护目标时，评价等级不低于二级。</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注6：建设项目向河流、湖库排放温排水引起受纳水体水温变化超过水环境质量标准要求，且评价范围有水温敏感目标时，评价等级为一级。</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7：建设项目利用海水作为调节温度的介质，排水量≥500万m</w:t>
            </w:r>
            <w:r>
              <w:rPr>
                <w:rFonts w:ascii="宋体" w:hAnsi="宋体"/>
                <w:kern w:val="0"/>
                <w:sz w:val="18"/>
                <w:szCs w:val="18"/>
                <w:highlight w:val="none"/>
                <w:vertAlign w:val="superscript"/>
              </w:rPr>
              <w:t>3</w:t>
            </w:r>
            <w:r>
              <w:rPr>
                <w:rFonts w:ascii="宋体" w:hAnsi="宋体"/>
                <w:kern w:val="0"/>
                <w:sz w:val="18"/>
                <w:szCs w:val="18"/>
                <w:highlight w:val="none"/>
              </w:rPr>
              <w:t>/d，评价等级为一级，排水量≤500万m</w:t>
            </w:r>
            <w:r>
              <w:rPr>
                <w:rFonts w:ascii="宋体" w:hAnsi="宋体"/>
                <w:kern w:val="0"/>
                <w:sz w:val="18"/>
                <w:szCs w:val="18"/>
                <w:highlight w:val="none"/>
                <w:vertAlign w:val="superscript"/>
              </w:rPr>
              <w:t>3</w:t>
            </w:r>
            <w:r>
              <w:rPr>
                <w:rFonts w:ascii="宋体" w:hAnsi="宋体"/>
                <w:kern w:val="0"/>
                <w:sz w:val="18"/>
                <w:szCs w:val="18"/>
                <w:highlight w:val="none"/>
              </w:rPr>
              <w:t>/d，评价等级为二级。</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注8：仅涉及清净下水排放的，如其排放水质满足受纳水体水环境质量标准要求的，评价等级为三级A。</w:t>
            </w:r>
          </w:p>
          <w:p>
            <w:pPr>
              <w:snapToGrid w:val="0"/>
              <w:spacing w:line="320" w:lineRule="exact"/>
              <w:ind w:firstLine="0" w:firstLineChars="0"/>
              <w:jc w:val="left"/>
              <w:rPr>
                <w:rFonts w:ascii="宋体" w:hAnsi="宋体"/>
                <w:kern w:val="0"/>
                <w:sz w:val="18"/>
                <w:szCs w:val="18"/>
                <w:highlight w:val="none"/>
              </w:rPr>
            </w:pPr>
            <w:r>
              <w:rPr>
                <w:rFonts w:ascii="宋体" w:hAnsi="宋体"/>
                <w:kern w:val="0"/>
                <w:sz w:val="18"/>
                <w:szCs w:val="18"/>
                <w:highlight w:val="none"/>
              </w:rPr>
              <w:t>注9：依托现有排放口，且对外环境未新增排放污染物的直接排放建设项目，评价等级参照间接排放，定为三级B。</w:t>
            </w:r>
          </w:p>
          <w:p>
            <w:pPr>
              <w:snapToGrid w:val="0"/>
              <w:spacing w:line="320" w:lineRule="exact"/>
              <w:ind w:firstLine="0" w:firstLineChars="0"/>
              <w:jc w:val="left"/>
              <w:rPr>
                <w:rFonts w:ascii="宋体" w:hAnsi="宋体"/>
                <w:kern w:val="0"/>
                <w:sz w:val="21"/>
                <w:highlight w:val="none"/>
              </w:rPr>
            </w:pPr>
            <w:r>
              <w:rPr>
                <w:rFonts w:ascii="宋体" w:hAnsi="宋体"/>
                <w:kern w:val="0"/>
                <w:sz w:val="18"/>
                <w:szCs w:val="18"/>
                <w:highlight w:val="none"/>
              </w:rPr>
              <w:t>注10：建设项目生产工艺中有废水产生，但作为回水利用，不排放到外环境的，按三级B评价。</w:t>
            </w:r>
          </w:p>
        </w:tc>
      </w:tr>
    </w:tbl>
    <w:p>
      <w:pPr>
        <w:pStyle w:val="4"/>
        <w:ind w:firstLine="562"/>
        <w:rPr>
          <w:rFonts w:hAnsi="宋体"/>
          <w:highlight w:val="none"/>
        </w:rPr>
      </w:pPr>
      <w:bookmarkStart w:id="87" w:name="_Toc4678387"/>
      <w:r>
        <w:rPr>
          <w:rFonts w:hAnsi="宋体"/>
          <w:highlight w:val="none"/>
        </w:rPr>
        <w:t>2.4.3地下水</w:t>
      </w:r>
      <w:bookmarkEnd w:id="87"/>
    </w:p>
    <w:p>
      <w:pPr>
        <w:adjustRightInd w:val="0"/>
        <w:snapToGrid w:val="0"/>
        <w:ind w:firstLine="480"/>
        <w:rPr>
          <w:rFonts w:ascii="宋体" w:hAnsi="宋体"/>
          <w:highlight w:val="none"/>
        </w:rPr>
      </w:pPr>
      <w:r>
        <w:rPr>
          <w:rFonts w:ascii="宋体" w:hAnsi="宋体"/>
          <w:highlight w:val="none"/>
        </w:rPr>
        <w:t>建设项目地下水环境影响评价工作等级划分是依据建设项目行业分类和地下水环境敏感程度分级进行判定。地下水评价工作等级分级表见2.4-4。</w:t>
      </w:r>
    </w:p>
    <w:p>
      <w:pPr>
        <w:pStyle w:val="65"/>
        <w:rPr>
          <w:rFonts w:hAnsi="宋体"/>
          <w:highlight w:val="none"/>
        </w:rPr>
      </w:pPr>
      <w:r>
        <w:rPr>
          <w:rFonts w:hAnsi="宋体"/>
          <w:highlight w:val="none"/>
        </w:rPr>
        <w:t>表2.4-4</w:t>
      </w:r>
      <w:r>
        <w:rPr>
          <w:rFonts w:hint="eastAsia" w:hAnsi="宋体"/>
          <w:highlight w:val="none"/>
        </w:rPr>
        <w:t xml:space="preserve">  </w:t>
      </w:r>
      <w:r>
        <w:rPr>
          <w:rFonts w:hAnsi="宋体"/>
          <w:highlight w:val="none"/>
        </w:rPr>
        <w:t>地下水评价工作等级分级表</w:t>
      </w:r>
    </w:p>
    <w:tbl>
      <w:tblPr>
        <w:tblStyle w:val="44"/>
        <w:tblW w:w="878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2347"/>
        <w:gridCol w:w="2146"/>
        <w:gridCol w:w="2146"/>
        <w:gridCol w:w="214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2347" w:type="dxa"/>
            <w:vAlign w:val="center"/>
          </w:tcPr>
          <w:p>
            <w:pPr>
              <w:pStyle w:val="64"/>
              <w:rPr>
                <w:rFonts w:hAnsi="宋体"/>
                <w:highlight w:val="none"/>
              </w:rPr>
            </w:pPr>
            <w:r>
              <w:rPr>
                <w:rFonts w:hint="eastAsia" w:hAnsi="宋体"/>
                <w:highlight w:val="none"/>
              </w:rPr>
              <w:t xml:space="preserve">         </w:t>
            </w:r>
            <w:r>
              <w:rPr>
                <w:rFonts w:hAnsi="宋体"/>
                <w:highlight w:val="none"/>
              </w:rPr>
              <w:t>项目类别</w:t>
            </w:r>
          </w:p>
          <w:p>
            <w:pPr>
              <w:pStyle w:val="64"/>
              <w:jc w:val="both"/>
              <w:rPr>
                <w:rFonts w:hAnsi="宋体"/>
                <w:highlight w:val="none"/>
              </w:rPr>
            </w:pPr>
            <w:r>
              <w:rPr>
                <w:rFonts w:hAnsi="宋体"/>
                <w:highlight w:val="none"/>
              </w:rPr>
              <w:t>环境敏感程度</w:t>
            </w:r>
          </w:p>
        </w:tc>
        <w:tc>
          <w:tcPr>
            <w:tcW w:w="2146" w:type="dxa"/>
            <w:vAlign w:val="center"/>
          </w:tcPr>
          <w:p>
            <w:pPr>
              <w:pStyle w:val="64"/>
              <w:rPr>
                <w:rFonts w:hAnsi="宋体"/>
                <w:highlight w:val="none"/>
              </w:rPr>
            </w:pPr>
            <w:r>
              <w:rPr>
                <w:rFonts w:hAnsi="宋体"/>
                <w:highlight w:val="none"/>
              </w:rPr>
              <w:fldChar w:fldCharType="begin"/>
            </w:r>
            <w:r>
              <w:rPr>
                <w:rFonts w:hAnsi="宋体"/>
                <w:highlight w:val="none"/>
              </w:rPr>
              <w:instrText xml:space="preserve"> = 1 \* ROMAN </w:instrText>
            </w:r>
            <w:r>
              <w:rPr>
                <w:rFonts w:hAnsi="宋体"/>
                <w:highlight w:val="none"/>
              </w:rPr>
              <w:fldChar w:fldCharType="separate"/>
            </w:r>
            <w:r>
              <w:rPr>
                <w:rFonts w:hAnsi="宋体"/>
                <w:highlight w:val="none"/>
              </w:rPr>
              <w:t>I</w:t>
            </w:r>
            <w:r>
              <w:rPr>
                <w:rFonts w:hAnsi="宋体"/>
                <w:highlight w:val="none"/>
              </w:rPr>
              <w:fldChar w:fldCharType="end"/>
            </w:r>
            <w:r>
              <w:rPr>
                <w:rFonts w:hAnsi="宋体"/>
                <w:highlight w:val="none"/>
              </w:rPr>
              <w:t>类项目</w:t>
            </w:r>
          </w:p>
        </w:tc>
        <w:tc>
          <w:tcPr>
            <w:tcW w:w="2146" w:type="dxa"/>
            <w:vAlign w:val="center"/>
          </w:tcPr>
          <w:p>
            <w:pPr>
              <w:pStyle w:val="64"/>
              <w:rPr>
                <w:rFonts w:hAnsi="宋体"/>
                <w:highlight w:val="none"/>
              </w:rPr>
            </w:pPr>
            <w:r>
              <w:rPr>
                <w:rFonts w:hAnsi="宋体"/>
                <w:highlight w:val="none"/>
              </w:rPr>
              <w:fldChar w:fldCharType="begin"/>
            </w:r>
            <w:r>
              <w:rPr>
                <w:rFonts w:hAnsi="宋体"/>
                <w:highlight w:val="none"/>
              </w:rPr>
              <w:instrText xml:space="preserve"> = 2 \* ROMAN </w:instrText>
            </w:r>
            <w:r>
              <w:rPr>
                <w:rFonts w:hAnsi="宋体"/>
                <w:highlight w:val="none"/>
              </w:rPr>
              <w:fldChar w:fldCharType="separate"/>
            </w:r>
            <w:r>
              <w:rPr>
                <w:rFonts w:hAnsi="宋体"/>
                <w:highlight w:val="none"/>
              </w:rPr>
              <w:t>II</w:t>
            </w:r>
            <w:r>
              <w:rPr>
                <w:rFonts w:hAnsi="宋体"/>
                <w:highlight w:val="none"/>
              </w:rPr>
              <w:fldChar w:fldCharType="end"/>
            </w:r>
            <w:r>
              <w:rPr>
                <w:rFonts w:hAnsi="宋体"/>
                <w:highlight w:val="none"/>
              </w:rPr>
              <w:t>类项目</w:t>
            </w:r>
          </w:p>
        </w:tc>
        <w:tc>
          <w:tcPr>
            <w:tcW w:w="2147" w:type="dxa"/>
            <w:vAlign w:val="center"/>
          </w:tcPr>
          <w:p>
            <w:pPr>
              <w:pStyle w:val="64"/>
              <w:rPr>
                <w:rFonts w:hAnsi="宋体"/>
                <w:highlight w:val="none"/>
              </w:rPr>
            </w:pPr>
            <w:r>
              <w:rPr>
                <w:rFonts w:hAnsi="宋体"/>
                <w:highlight w:val="none"/>
              </w:rPr>
              <w:fldChar w:fldCharType="begin"/>
            </w:r>
            <w:r>
              <w:rPr>
                <w:rFonts w:hAnsi="宋体"/>
                <w:highlight w:val="none"/>
              </w:rPr>
              <w:instrText xml:space="preserve"> = 3 \* ROMAN </w:instrText>
            </w:r>
            <w:r>
              <w:rPr>
                <w:rFonts w:hAnsi="宋体"/>
                <w:highlight w:val="none"/>
              </w:rPr>
              <w:fldChar w:fldCharType="separate"/>
            </w:r>
            <w:r>
              <w:rPr>
                <w:rFonts w:hint="eastAsia" w:hAnsi="宋体" w:cs="宋体"/>
                <w:highlight w:val="none"/>
              </w:rPr>
              <w:t>Ⅲ</w:t>
            </w:r>
            <w:r>
              <w:rPr>
                <w:rFonts w:hAnsi="宋体"/>
                <w:highlight w:val="none"/>
              </w:rPr>
              <w:fldChar w:fldCharType="end"/>
            </w:r>
            <w:r>
              <w:rPr>
                <w:rFonts w:hAnsi="宋体"/>
                <w:highlight w:val="none"/>
              </w:rPr>
              <w:t>类项目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2347" w:type="dxa"/>
            <w:vAlign w:val="center"/>
          </w:tcPr>
          <w:p>
            <w:pPr>
              <w:pStyle w:val="64"/>
              <w:rPr>
                <w:rFonts w:hAnsi="宋体"/>
                <w:highlight w:val="none"/>
              </w:rPr>
            </w:pPr>
            <w:r>
              <w:rPr>
                <w:rFonts w:hAnsi="宋体"/>
                <w:highlight w:val="none"/>
              </w:rPr>
              <w:t>敏感</w:t>
            </w:r>
          </w:p>
        </w:tc>
        <w:tc>
          <w:tcPr>
            <w:tcW w:w="2146" w:type="dxa"/>
            <w:vAlign w:val="center"/>
          </w:tcPr>
          <w:p>
            <w:pPr>
              <w:pStyle w:val="64"/>
              <w:rPr>
                <w:rFonts w:hAnsi="宋体"/>
                <w:highlight w:val="none"/>
              </w:rPr>
            </w:pPr>
            <w:r>
              <w:rPr>
                <w:rFonts w:hAnsi="宋体"/>
                <w:highlight w:val="none"/>
              </w:rPr>
              <w:t>一</w:t>
            </w:r>
          </w:p>
        </w:tc>
        <w:tc>
          <w:tcPr>
            <w:tcW w:w="2146" w:type="dxa"/>
            <w:vAlign w:val="center"/>
          </w:tcPr>
          <w:p>
            <w:pPr>
              <w:pStyle w:val="64"/>
              <w:rPr>
                <w:rFonts w:hAnsi="宋体"/>
                <w:highlight w:val="none"/>
              </w:rPr>
            </w:pPr>
            <w:r>
              <w:rPr>
                <w:rFonts w:hAnsi="宋体"/>
                <w:highlight w:val="none"/>
              </w:rPr>
              <w:t>一</w:t>
            </w:r>
          </w:p>
        </w:tc>
        <w:tc>
          <w:tcPr>
            <w:tcW w:w="2147" w:type="dxa"/>
            <w:vAlign w:val="center"/>
          </w:tcPr>
          <w:p>
            <w:pPr>
              <w:pStyle w:val="64"/>
              <w:rPr>
                <w:rFonts w:hAnsi="宋体"/>
                <w:highlight w:val="none"/>
              </w:rPr>
            </w:pPr>
            <w:r>
              <w:rPr>
                <w:rFonts w:hAnsi="宋体"/>
                <w:highlight w:val="none"/>
              </w:rPr>
              <w:t>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2347" w:type="dxa"/>
            <w:vAlign w:val="center"/>
          </w:tcPr>
          <w:p>
            <w:pPr>
              <w:pStyle w:val="64"/>
              <w:rPr>
                <w:rFonts w:hAnsi="宋体"/>
                <w:highlight w:val="none"/>
              </w:rPr>
            </w:pPr>
            <w:r>
              <w:rPr>
                <w:rFonts w:hAnsi="宋体"/>
                <w:highlight w:val="none"/>
              </w:rPr>
              <w:t>较敏感</w:t>
            </w:r>
          </w:p>
        </w:tc>
        <w:tc>
          <w:tcPr>
            <w:tcW w:w="2146" w:type="dxa"/>
            <w:vAlign w:val="center"/>
          </w:tcPr>
          <w:p>
            <w:pPr>
              <w:pStyle w:val="64"/>
              <w:rPr>
                <w:rFonts w:hAnsi="宋体"/>
                <w:highlight w:val="none"/>
              </w:rPr>
            </w:pPr>
            <w:r>
              <w:rPr>
                <w:rFonts w:hAnsi="宋体"/>
                <w:highlight w:val="none"/>
              </w:rPr>
              <w:t>一</w:t>
            </w:r>
          </w:p>
        </w:tc>
        <w:tc>
          <w:tcPr>
            <w:tcW w:w="2146" w:type="dxa"/>
            <w:vAlign w:val="center"/>
          </w:tcPr>
          <w:p>
            <w:pPr>
              <w:pStyle w:val="64"/>
              <w:rPr>
                <w:rFonts w:hAnsi="宋体"/>
                <w:highlight w:val="none"/>
              </w:rPr>
            </w:pPr>
            <w:r>
              <w:rPr>
                <w:rFonts w:hAnsi="宋体"/>
                <w:highlight w:val="none"/>
              </w:rPr>
              <w:t>二</w:t>
            </w:r>
          </w:p>
        </w:tc>
        <w:tc>
          <w:tcPr>
            <w:tcW w:w="2147" w:type="dxa"/>
            <w:vAlign w:val="center"/>
          </w:tcPr>
          <w:p>
            <w:pPr>
              <w:pStyle w:val="64"/>
              <w:rPr>
                <w:rFonts w:hAnsi="宋体"/>
                <w:highlight w:val="none"/>
              </w:rPr>
            </w:pPr>
            <w:r>
              <w:rPr>
                <w:rFonts w:hAnsi="宋体"/>
                <w:highlight w:val="none"/>
              </w:rPr>
              <w:t>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2347" w:type="dxa"/>
            <w:vAlign w:val="center"/>
          </w:tcPr>
          <w:p>
            <w:pPr>
              <w:pStyle w:val="64"/>
              <w:rPr>
                <w:rFonts w:hAnsi="宋体"/>
                <w:highlight w:val="none"/>
              </w:rPr>
            </w:pPr>
            <w:r>
              <w:rPr>
                <w:rFonts w:hAnsi="宋体"/>
                <w:highlight w:val="none"/>
              </w:rPr>
              <w:t>不敏感</w:t>
            </w:r>
          </w:p>
        </w:tc>
        <w:tc>
          <w:tcPr>
            <w:tcW w:w="2146" w:type="dxa"/>
            <w:vAlign w:val="center"/>
          </w:tcPr>
          <w:p>
            <w:pPr>
              <w:pStyle w:val="64"/>
              <w:rPr>
                <w:rFonts w:hAnsi="宋体"/>
                <w:highlight w:val="none"/>
              </w:rPr>
            </w:pPr>
            <w:r>
              <w:rPr>
                <w:rFonts w:hAnsi="宋体"/>
                <w:highlight w:val="none"/>
              </w:rPr>
              <w:t>二</w:t>
            </w:r>
          </w:p>
        </w:tc>
        <w:tc>
          <w:tcPr>
            <w:tcW w:w="2146" w:type="dxa"/>
            <w:vAlign w:val="center"/>
          </w:tcPr>
          <w:p>
            <w:pPr>
              <w:pStyle w:val="64"/>
              <w:rPr>
                <w:rFonts w:hAnsi="宋体"/>
                <w:highlight w:val="none"/>
              </w:rPr>
            </w:pPr>
            <w:r>
              <w:rPr>
                <w:rFonts w:hAnsi="宋体"/>
                <w:highlight w:val="none"/>
              </w:rPr>
              <w:t>三</w:t>
            </w:r>
          </w:p>
        </w:tc>
        <w:tc>
          <w:tcPr>
            <w:tcW w:w="2147" w:type="dxa"/>
            <w:vAlign w:val="center"/>
          </w:tcPr>
          <w:p>
            <w:pPr>
              <w:pStyle w:val="64"/>
              <w:rPr>
                <w:rFonts w:hAnsi="宋体"/>
                <w:highlight w:val="none"/>
              </w:rPr>
            </w:pPr>
            <w:r>
              <w:rPr>
                <w:rFonts w:hAnsi="宋体"/>
                <w:highlight w:val="none"/>
              </w:rPr>
              <w:t>三</w:t>
            </w:r>
          </w:p>
        </w:tc>
      </w:tr>
    </w:tbl>
    <w:p>
      <w:pPr>
        <w:pStyle w:val="65"/>
        <w:rPr>
          <w:rFonts w:hAnsi="宋体"/>
          <w:highlight w:val="none"/>
        </w:rPr>
      </w:pPr>
      <w:r>
        <w:rPr>
          <w:rFonts w:hAnsi="宋体"/>
          <w:highlight w:val="none"/>
        </w:rPr>
        <w:t>续表2.4-4</w:t>
      </w:r>
      <w:r>
        <w:rPr>
          <w:rFonts w:hint="eastAsia" w:hAnsi="宋体"/>
          <w:highlight w:val="none"/>
        </w:rPr>
        <w:t xml:space="preserve">  </w:t>
      </w:r>
      <w:r>
        <w:rPr>
          <w:rFonts w:hAnsi="宋体"/>
          <w:highlight w:val="none"/>
        </w:rPr>
        <w:t>建设项目的地下水环境敏感程度分级表</w:t>
      </w:r>
    </w:p>
    <w:tbl>
      <w:tblPr>
        <w:tblStyle w:val="44"/>
        <w:tblW w:w="8844"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57" w:type="dxa"/>
          <w:bottom w:w="0" w:type="dxa"/>
          <w:right w:w="57" w:type="dxa"/>
        </w:tblCellMar>
      </w:tblPr>
      <w:tblGrid>
        <w:gridCol w:w="996"/>
        <w:gridCol w:w="784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6" w:type="dxa"/>
            <w:vAlign w:val="center"/>
          </w:tcPr>
          <w:p>
            <w:pPr>
              <w:pStyle w:val="64"/>
              <w:rPr>
                <w:rFonts w:hAnsi="宋体"/>
                <w:highlight w:val="none"/>
              </w:rPr>
            </w:pPr>
            <w:r>
              <w:rPr>
                <w:rFonts w:hAnsi="宋体"/>
                <w:highlight w:val="none"/>
              </w:rPr>
              <w:t>分级</w:t>
            </w:r>
          </w:p>
        </w:tc>
        <w:tc>
          <w:tcPr>
            <w:tcW w:w="7848" w:type="dxa"/>
            <w:vAlign w:val="center"/>
          </w:tcPr>
          <w:p>
            <w:pPr>
              <w:pStyle w:val="64"/>
              <w:rPr>
                <w:rFonts w:hAnsi="宋体"/>
                <w:highlight w:val="none"/>
              </w:rPr>
            </w:pPr>
            <w:r>
              <w:rPr>
                <w:rFonts w:hAnsi="宋体"/>
                <w:highlight w:val="none"/>
              </w:rPr>
              <w:t>地下水环境敏感特征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6" w:type="dxa"/>
            <w:vAlign w:val="center"/>
          </w:tcPr>
          <w:p>
            <w:pPr>
              <w:pStyle w:val="64"/>
              <w:rPr>
                <w:rFonts w:hAnsi="宋体"/>
                <w:highlight w:val="none"/>
              </w:rPr>
            </w:pPr>
            <w:r>
              <w:rPr>
                <w:rFonts w:hAnsi="宋体"/>
                <w:highlight w:val="none"/>
              </w:rPr>
              <w:t>敏感</w:t>
            </w:r>
          </w:p>
        </w:tc>
        <w:tc>
          <w:tcPr>
            <w:tcW w:w="7848" w:type="dxa"/>
            <w:vAlign w:val="center"/>
          </w:tcPr>
          <w:p>
            <w:pPr>
              <w:pStyle w:val="64"/>
              <w:rPr>
                <w:rFonts w:hAnsi="宋体"/>
                <w:highlight w:val="none"/>
              </w:rPr>
            </w:pPr>
            <w:r>
              <w:rPr>
                <w:rFonts w:hAnsi="宋体"/>
                <w:highlight w:val="none"/>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6" w:type="dxa"/>
            <w:vAlign w:val="center"/>
          </w:tcPr>
          <w:p>
            <w:pPr>
              <w:pStyle w:val="64"/>
              <w:rPr>
                <w:rFonts w:hAnsi="宋体"/>
                <w:highlight w:val="none"/>
              </w:rPr>
            </w:pPr>
            <w:r>
              <w:rPr>
                <w:rFonts w:hAnsi="宋体"/>
                <w:highlight w:val="none"/>
              </w:rPr>
              <w:t>较敏感</w:t>
            </w:r>
          </w:p>
        </w:tc>
        <w:tc>
          <w:tcPr>
            <w:tcW w:w="7848" w:type="dxa"/>
            <w:vAlign w:val="center"/>
          </w:tcPr>
          <w:p>
            <w:pPr>
              <w:pStyle w:val="64"/>
              <w:rPr>
                <w:rFonts w:hAnsi="宋体"/>
                <w:highlight w:val="none"/>
              </w:rPr>
            </w:pPr>
            <w:r>
              <w:rPr>
                <w:rFonts w:hAnsi="宋体"/>
                <w:highlight w:val="none"/>
              </w:rPr>
              <w:t>集中式饮用水水源地（包括已建成的在用、备用、应急水源地，在建和规划的水源地）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6" w:type="dxa"/>
            <w:vAlign w:val="center"/>
          </w:tcPr>
          <w:p>
            <w:pPr>
              <w:pStyle w:val="64"/>
              <w:rPr>
                <w:rFonts w:hAnsi="宋体"/>
                <w:highlight w:val="none"/>
              </w:rPr>
            </w:pPr>
            <w:r>
              <w:rPr>
                <w:rFonts w:hAnsi="宋体"/>
                <w:highlight w:val="none"/>
              </w:rPr>
              <w:t>不敏感</w:t>
            </w:r>
          </w:p>
        </w:tc>
        <w:tc>
          <w:tcPr>
            <w:tcW w:w="7848" w:type="dxa"/>
            <w:vAlign w:val="center"/>
          </w:tcPr>
          <w:p>
            <w:pPr>
              <w:pStyle w:val="64"/>
              <w:rPr>
                <w:rFonts w:hAnsi="宋体"/>
                <w:highlight w:val="none"/>
              </w:rPr>
            </w:pPr>
            <w:r>
              <w:rPr>
                <w:rFonts w:hAnsi="宋体"/>
                <w:highlight w:val="none"/>
              </w:rPr>
              <w:t>上述地区之外的其它地区。</w:t>
            </w:r>
          </w:p>
        </w:tc>
      </w:tr>
    </w:tbl>
    <w:p>
      <w:pPr>
        <w:pStyle w:val="62"/>
        <w:ind w:firstLine="480"/>
        <w:rPr>
          <w:rFonts w:hAnsi="宋体"/>
          <w:highlight w:val="none"/>
        </w:rPr>
      </w:pPr>
      <w:r>
        <w:rPr>
          <w:rFonts w:hint="eastAsia" w:hAnsi="宋体" w:cs="宋体"/>
          <w:highlight w:val="none"/>
        </w:rPr>
        <w:t>①</w:t>
      </w:r>
      <w:r>
        <w:rPr>
          <w:rFonts w:hAnsi="宋体"/>
          <w:highlight w:val="none"/>
        </w:rPr>
        <w:t>项目行业类别</w:t>
      </w:r>
      <w:bookmarkStart w:id="88" w:name="OLE_LINK21"/>
    </w:p>
    <w:bookmarkEnd w:id="88"/>
    <w:p>
      <w:pPr>
        <w:pStyle w:val="62"/>
        <w:ind w:firstLine="480"/>
        <w:rPr>
          <w:rFonts w:hAnsi="宋体"/>
          <w:highlight w:val="none"/>
        </w:rPr>
      </w:pPr>
      <w:r>
        <w:rPr>
          <w:rFonts w:hint="eastAsia" w:hAnsi="宋体"/>
          <w:highlight w:val="none"/>
        </w:rPr>
        <w:t>据《环境影响评价技术导则  地下水环境》（HJ610-2016）附录A地下水环境影响评价行业分类表，确定本项目行业类别：G黑色金属-42、采选（含单独尾矿库），排土场、尾矿库Ⅰ类，选矿厂Ⅱ类。</w:t>
      </w:r>
    </w:p>
    <w:p>
      <w:pPr>
        <w:pStyle w:val="62"/>
        <w:ind w:firstLine="480"/>
        <w:rPr>
          <w:rFonts w:hAnsi="宋体"/>
          <w:highlight w:val="none"/>
        </w:rPr>
      </w:pPr>
      <w:r>
        <w:rPr>
          <w:rFonts w:hint="eastAsia" w:hAnsi="宋体" w:cs="宋体"/>
          <w:highlight w:val="none"/>
        </w:rPr>
        <w:t>②</w:t>
      </w:r>
      <w:r>
        <w:rPr>
          <w:rFonts w:hAnsi="宋体"/>
          <w:highlight w:val="none"/>
        </w:rPr>
        <w:t>地下水环境敏感程度</w:t>
      </w:r>
    </w:p>
    <w:p>
      <w:pPr>
        <w:pStyle w:val="62"/>
        <w:ind w:firstLine="480"/>
        <w:rPr>
          <w:rFonts w:hAnsi="宋体"/>
          <w:highlight w:val="none"/>
        </w:rPr>
      </w:pPr>
      <w:r>
        <w:rPr>
          <w:rFonts w:hAnsi="宋体"/>
          <w:highlight w:val="none"/>
        </w:rPr>
        <w:t>本项目地下水调查评价范围内</w:t>
      </w:r>
      <w:r>
        <w:rPr>
          <w:rFonts w:hint="eastAsia" w:hAnsi="宋体"/>
          <w:highlight w:val="none"/>
        </w:rPr>
        <w:t>除分散式饮用水水源外，无国家或地方政府设定的与地下水相关的其它保护区，因此地下水敏感程度属于“较敏感”。</w:t>
      </w:r>
    </w:p>
    <w:p>
      <w:pPr>
        <w:pStyle w:val="62"/>
        <w:ind w:firstLine="480"/>
        <w:rPr>
          <w:rFonts w:hAnsi="宋体"/>
          <w:highlight w:val="none"/>
        </w:rPr>
      </w:pPr>
      <w:r>
        <w:rPr>
          <w:rFonts w:hint="eastAsia" w:hAnsi="宋体" w:cs="宋体"/>
          <w:highlight w:val="none"/>
        </w:rPr>
        <w:t>③</w:t>
      </w:r>
      <w:r>
        <w:rPr>
          <w:rFonts w:hAnsi="宋体"/>
          <w:highlight w:val="none"/>
        </w:rPr>
        <w:t>评价工作等级划分</w:t>
      </w:r>
    </w:p>
    <w:p>
      <w:pPr>
        <w:pStyle w:val="62"/>
        <w:ind w:firstLine="480"/>
        <w:rPr>
          <w:rFonts w:hAnsi="宋体"/>
          <w:highlight w:val="none"/>
        </w:rPr>
      </w:pPr>
      <w:bookmarkStart w:id="89" w:name="_Toc4678388"/>
      <w:r>
        <w:rPr>
          <w:rFonts w:hAnsi="宋体"/>
          <w:highlight w:val="none"/>
        </w:rPr>
        <w:t>根据项目类别划分和地下水环境敏感程度分级，确定</w:t>
      </w:r>
      <w:r>
        <w:rPr>
          <w:rFonts w:hint="eastAsia" w:hAnsi="宋体"/>
          <w:highlight w:val="none"/>
        </w:rPr>
        <w:t>尾矿库</w:t>
      </w:r>
      <w:r>
        <w:rPr>
          <w:rFonts w:hAnsi="宋体"/>
          <w:highlight w:val="none"/>
        </w:rPr>
        <w:t>评价工作等级为一级</w:t>
      </w:r>
      <w:r>
        <w:rPr>
          <w:rFonts w:hint="eastAsia" w:hAnsi="宋体"/>
          <w:highlight w:val="none"/>
        </w:rPr>
        <w:t>，</w:t>
      </w:r>
      <w:r>
        <w:rPr>
          <w:rFonts w:hAnsi="宋体"/>
          <w:highlight w:val="none"/>
        </w:rPr>
        <w:t>选矿厂评价工作等级为</w:t>
      </w:r>
      <w:r>
        <w:rPr>
          <w:rFonts w:hint="eastAsia" w:hAnsi="宋体"/>
          <w:highlight w:val="none"/>
        </w:rPr>
        <w:t>二</w:t>
      </w:r>
      <w:r>
        <w:rPr>
          <w:rFonts w:hAnsi="宋体"/>
          <w:highlight w:val="none"/>
        </w:rPr>
        <w:t>级，最终确定本项目地下水工作等级为一级。</w:t>
      </w:r>
    </w:p>
    <w:p>
      <w:pPr>
        <w:pStyle w:val="4"/>
        <w:ind w:firstLine="562"/>
        <w:rPr>
          <w:rFonts w:hAnsi="宋体"/>
          <w:highlight w:val="none"/>
        </w:rPr>
      </w:pPr>
      <w:r>
        <w:rPr>
          <w:rFonts w:hAnsi="宋体"/>
          <w:highlight w:val="none"/>
        </w:rPr>
        <w:t>2.4.4声环境</w:t>
      </w:r>
      <w:bookmarkEnd w:id="89"/>
    </w:p>
    <w:p>
      <w:pPr>
        <w:pStyle w:val="62"/>
        <w:ind w:firstLine="480"/>
        <w:rPr>
          <w:rFonts w:hAnsi="宋体"/>
          <w:highlight w:val="none"/>
        </w:rPr>
      </w:pPr>
      <w:r>
        <w:rPr>
          <w:rFonts w:hAnsi="宋体"/>
          <w:highlight w:val="none"/>
        </w:rPr>
        <w:t>根据《环境影响评价技术导则声环境》（HJ2.4-</w:t>
      </w:r>
      <w:r>
        <w:rPr>
          <w:rFonts w:hint="eastAsia" w:hAnsi="宋体"/>
          <w:highlight w:val="none"/>
          <w:lang w:eastAsia="zh-CN"/>
        </w:rPr>
        <w:t>2021</w:t>
      </w:r>
      <w:r>
        <w:rPr>
          <w:rFonts w:hAnsi="宋体"/>
          <w:highlight w:val="none"/>
        </w:rPr>
        <w:t>）中评价工作级别确定的方法，建设项目所处的声环境功能区为GB3096规定的1类地区，本项目建成前后噪声级不增加，且受影响人口无变化，综合上述情况，噪声评价等级确定为二级。</w:t>
      </w:r>
    </w:p>
    <w:p>
      <w:pPr>
        <w:pStyle w:val="4"/>
        <w:ind w:firstLine="562"/>
        <w:rPr>
          <w:rFonts w:hAnsi="宋体"/>
          <w:highlight w:val="none"/>
        </w:rPr>
      </w:pPr>
      <w:bookmarkStart w:id="90" w:name="_Toc4678389"/>
      <w:r>
        <w:rPr>
          <w:rFonts w:hAnsi="宋体"/>
          <w:highlight w:val="none"/>
        </w:rPr>
        <w:t>2.4.5生态环境</w:t>
      </w:r>
      <w:bookmarkEnd w:id="90"/>
    </w:p>
    <w:p>
      <w:pPr>
        <w:adjustRightInd w:val="0"/>
        <w:snapToGrid w:val="0"/>
        <w:ind w:firstLine="480"/>
        <w:rPr>
          <w:rFonts w:hint="eastAsia" w:ascii="宋体" w:hAnsi="宋体" w:eastAsia="宋体" w:cs="Times New Roman"/>
          <w:kern w:val="0"/>
          <w:szCs w:val="20"/>
        </w:rPr>
      </w:pPr>
      <w:r>
        <w:rPr>
          <w:rFonts w:hint="eastAsia" w:ascii="宋体" w:hAnsi="宋体" w:eastAsia="宋体" w:cs="Times New Roman"/>
          <w:kern w:val="0"/>
          <w:szCs w:val="20"/>
        </w:rPr>
        <w:t>依据《环境影响评价技术导则-生态影响》（HJ19-</w:t>
      </w:r>
      <w:r>
        <w:rPr>
          <w:rFonts w:hint="eastAsia" w:ascii="宋体" w:hAnsi="宋体" w:eastAsia="宋体" w:cs="Times New Roman"/>
          <w:kern w:val="0"/>
          <w:szCs w:val="20"/>
          <w:lang w:eastAsia="zh-CN"/>
        </w:rPr>
        <w:t>2022</w:t>
      </w:r>
      <w:r>
        <w:rPr>
          <w:rFonts w:hint="eastAsia" w:ascii="宋体" w:hAnsi="宋体" w:eastAsia="宋体" w:cs="Times New Roman"/>
          <w:kern w:val="0"/>
          <w:szCs w:val="20"/>
        </w:rPr>
        <w:t>）</w:t>
      </w:r>
      <w:r>
        <w:rPr>
          <w:rFonts w:hint="default" w:ascii="宋体" w:hAnsi="宋体" w:eastAsia="宋体" w:cs="Times New Roman"/>
          <w:kern w:val="0"/>
          <w:szCs w:val="20"/>
        </w:rPr>
        <w:t>按以下原则确定评价等级：</w:t>
      </w:r>
    </w:p>
    <w:p>
      <w:pPr>
        <w:adjustRightInd w:val="0"/>
        <w:snapToGrid w:val="0"/>
        <w:ind w:firstLine="480"/>
        <w:rPr>
          <w:rFonts w:hint="default" w:ascii="宋体" w:hAnsi="宋体" w:eastAsia="宋体" w:cs="Times New Roman"/>
          <w:kern w:val="0"/>
          <w:szCs w:val="20"/>
        </w:rPr>
      </w:pPr>
      <w:r>
        <w:rPr>
          <w:rFonts w:hint="default" w:ascii="宋体" w:hAnsi="宋体" w:eastAsia="宋体" w:cs="Times New Roman"/>
          <w:kern w:val="0"/>
          <w:szCs w:val="20"/>
        </w:rPr>
        <w:t>a）涉及国家公园、自然保护区、世界自然遗产、重要生境时，评价等级为一级；</w:t>
      </w:r>
    </w:p>
    <w:p>
      <w:pPr>
        <w:adjustRightInd w:val="0"/>
        <w:snapToGrid w:val="0"/>
        <w:ind w:firstLine="480"/>
        <w:rPr>
          <w:rFonts w:hint="default" w:ascii="宋体" w:hAnsi="宋体" w:eastAsia="宋体" w:cs="Times New Roman"/>
          <w:kern w:val="0"/>
          <w:szCs w:val="20"/>
        </w:rPr>
      </w:pPr>
      <w:r>
        <w:rPr>
          <w:rFonts w:hint="default" w:ascii="宋体" w:hAnsi="宋体" w:eastAsia="宋体" w:cs="Times New Roman"/>
          <w:kern w:val="0"/>
          <w:szCs w:val="20"/>
        </w:rPr>
        <w:t>b）涉及自然公园时，评价等级为二级；</w:t>
      </w:r>
    </w:p>
    <w:p>
      <w:pPr>
        <w:adjustRightInd w:val="0"/>
        <w:snapToGrid w:val="0"/>
        <w:ind w:firstLine="480"/>
        <w:rPr>
          <w:rFonts w:hint="eastAsia" w:ascii="宋体" w:hAnsi="宋体" w:eastAsia="宋体" w:cs="Times New Roman"/>
          <w:kern w:val="0"/>
          <w:szCs w:val="20"/>
        </w:rPr>
      </w:pPr>
      <w:r>
        <w:rPr>
          <w:rFonts w:hint="default" w:ascii="宋体" w:hAnsi="宋体" w:eastAsia="宋体" w:cs="Times New Roman"/>
          <w:kern w:val="0"/>
          <w:szCs w:val="20"/>
        </w:rPr>
        <w:t>c）涉及生态保护红线时，评价等级不低于二级；</w:t>
      </w:r>
    </w:p>
    <w:p>
      <w:pPr>
        <w:adjustRightInd w:val="0"/>
        <w:snapToGrid w:val="0"/>
        <w:ind w:firstLine="480"/>
        <w:rPr>
          <w:rFonts w:hint="eastAsia" w:ascii="宋体" w:hAnsi="宋体" w:eastAsia="宋体" w:cs="Times New Roman"/>
          <w:kern w:val="0"/>
          <w:szCs w:val="20"/>
        </w:rPr>
      </w:pPr>
      <w:r>
        <w:rPr>
          <w:rFonts w:hint="default" w:ascii="宋体" w:hAnsi="宋体" w:eastAsia="宋体" w:cs="Times New Roman"/>
          <w:kern w:val="0"/>
          <w:szCs w:val="20"/>
        </w:rPr>
        <w:t>d）根据HJ2.3判断属于水文要素影响型且地表水评价等级不低于二级的建设项目，生态影响评价等级不低于二级；</w:t>
      </w:r>
    </w:p>
    <w:p>
      <w:pPr>
        <w:adjustRightInd w:val="0"/>
        <w:snapToGrid w:val="0"/>
        <w:ind w:firstLine="480"/>
        <w:rPr>
          <w:rFonts w:hint="default" w:ascii="宋体" w:hAnsi="宋体" w:eastAsia="宋体" w:cs="Times New Roman"/>
          <w:kern w:val="0"/>
          <w:szCs w:val="20"/>
        </w:rPr>
      </w:pPr>
      <w:r>
        <w:rPr>
          <w:rFonts w:hint="default" w:ascii="宋体" w:hAnsi="宋体" w:eastAsia="宋体" w:cs="Times New Roman"/>
          <w:kern w:val="0"/>
          <w:szCs w:val="20"/>
        </w:rPr>
        <w:t>e）根据HJ610、HJ964判断地下水水位或土壤影响范围内分布有天然林、公益林、湿地等生态保护目标的建设项目，生态影响评价等级不低于二级；</w:t>
      </w:r>
    </w:p>
    <w:p>
      <w:pPr>
        <w:adjustRightInd w:val="0"/>
        <w:snapToGrid w:val="0"/>
        <w:ind w:firstLine="480"/>
        <w:rPr>
          <w:rFonts w:hint="default" w:ascii="宋体" w:hAnsi="宋体" w:eastAsia="宋体" w:cs="Times New Roman"/>
          <w:kern w:val="0"/>
          <w:szCs w:val="20"/>
        </w:rPr>
      </w:pPr>
      <w:r>
        <w:rPr>
          <w:rFonts w:hint="default" w:ascii="宋体" w:hAnsi="宋体" w:eastAsia="宋体" w:cs="Times New Roman"/>
          <w:kern w:val="0"/>
          <w:szCs w:val="20"/>
        </w:rPr>
        <w:t>f）当工程占地规模大于20km</w:t>
      </w:r>
      <w:r>
        <w:rPr>
          <w:rFonts w:hint="default" w:ascii="宋体" w:hAnsi="宋体" w:eastAsia="宋体" w:cs="Times New Roman"/>
          <w:kern w:val="0"/>
          <w:szCs w:val="20"/>
          <w:vertAlign w:val="superscript"/>
        </w:rPr>
        <w:t>2</w:t>
      </w:r>
      <w:r>
        <w:rPr>
          <w:rFonts w:hint="default" w:ascii="宋体" w:hAnsi="宋体" w:eastAsia="宋体" w:cs="Times New Roman"/>
          <w:kern w:val="0"/>
          <w:szCs w:val="20"/>
        </w:rPr>
        <w:t>时（包括永久和临时占用陆域和水域），评价等级不低于二级；改扩建项目的占地范围以新增占地（包括陆域和水域）确定；</w:t>
      </w:r>
    </w:p>
    <w:p>
      <w:pPr>
        <w:adjustRightInd w:val="0"/>
        <w:snapToGrid w:val="0"/>
        <w:ind w:firstLine="480"/>
        <w:rPr>
          <w:rFonts w:hint="default" w:ascii="宋体" w:hAnsi="宋体" w:eastAsia="宋体" w:cs="Times New Roman"/>
          <w:kern w:val="0"/>
          <w:szCs w:val="20"/>
        </w:rPr>
      </w:pPr>
      <w:r>
        <w:rPr>
          <w:rFonts w:hint="default" w:ascii="宋体" w:hAnsi="宋体" w:eastAsia="宋体" w:cs="Times New Roman"/>
          <w:kern w:val="0"/>
          <w:szCs w:val="20"/>
        </w:rPr>
        <w:t>g）除本条a）、b）、c）、d）、e）、f）以外的情况，评价等级为三级；</w:t>
      </w:r>
    </w:p>
    <w:p>
      <w:pPr>
        <w:adjustRightInd w:val="0"/>
        <w:snapToGrid w:val="0"/>
        <w:ind w:firstLine="480"/>
        <w:rPr>
          <w:rFonts w:hint="eastAsia" w:ascii="宋体" w:hAnsi="宋体" w:eastAsia="宋体" w:cs="宋体"/>
          <w:kern w:val="0"/>
          <w:szCs w:val="20"/>
          <w:lang w:val="en-US" w:eastAsia="zh-CN"/>
        </w:rPr>
      </w:pPr>
      <w:r>
        <w:rPr>
          <w:rFonts w:hint="eastAsia" w:ascii="宋体" w:hAnsi="宋体" w:eastAsia="宋体" w:cs="宋体"/>
          <w:kern w:val="0"/>
          <w:szCs w:val="20"/>
          <w:lang w:val="en-US" w:eastAsia="zh-CN"/>
        </w:rPr>
        <w:t>本项目属于污染影响型项目，本项目占地范围内不</w:t>
      </w:r>
      <w:r>
        <w:rPr>
          <w:rFonts w:hint="eastAsia" w:ascii="宋体" w:hAnsi="宋体" w:eastAsia="宋体" w:cs="宋体"/>
          <w:kern w:val="0"/>
          <w:szCs w:val="20"/>
        </w:rPr>
        <w:t>涉及国家公园、自然保护区、世界自然遗产、重要生境</w:t>
      </w:r>
      <w:r>
        <w:rPr>
          <w:rFonts w:hint="eastAsia" w:ascii="宋体" w:hAnsi="宋体" w:eastAsia="宋体" w:cs="宋体"/>
          <w:kern w:val="0"/>
          <w:szCs w:val="20"/>
          <w:lang w:eastAsia="zh-CN"/>
        </w:rPr>
        <w:t>、</w:t>
      </w:r>
      <w:r>
        <w:rPr>
          <w:rFonts w:hint="eastAsia" w:ascii="宋体" w:hAnsi="宋体" w:eastAsia="宋体" w:cs="宋体"/>
          <w:kern w:val="0"/>
          <w:szCs w:val="20"/>
        </w:rPr>
        <w:t>自然公园</w:t>
      </w:r>
      <w:r>
        <w:rPr>
          <w:rFonts w:hint="eastAsia" w:ascii="宋体" w:hAnsi="宋体" w:eastAsia="宋体" w:cs="宋体"/>
          <w:kern w:val="0"/>
          <w:szCs w:val="20"/>
          <w:lang w:eastAsia="zh-CN"/>
        </w:rPr>
        <w:t>、</w:t>
      </w:r>
      <w:r>
        <w:rPr>
          <w:rFonts w:hint="eastAsia" w:ascii="宋体" w:hAnsi="宋体" w:eastAsia="宋体" w:cs="宋体"/>
          <w:kern w:val="0"/>
          <w:szCs w:val="20"/>
        </w:rPr>
        <w:t>生态保护红线</w:t>
      </w:r>
      <w:r>
        <w:rPr>
          <w:rFonts w:hint="eastAsia" w:ascii="宋体" w:hAnsi="宋体" w:eastAsia="宋体" w:cs="宋体"/>
          <w:kern w:val="0"/>
          <w:szCs w:val="20"/>
          <w:lang w:eastAsia="zh-CN"/>
        </w:rPr>
        <w:t>。</w:t>
      </w:r>
      <w:r>
        <w:rPr>
          <w:rFonts w:hint="eastAsia" w:ascii="宋体" w:hAnsi="宋体" w:eastAsia="宋体" w:cs="宋体"/>
          <w:kern w:val="0"/>
          <w:szCs w:val="20"/>
          <w:lang w:val="en-US" w:eastAsia="zh-CN"/>
        </w:rPr>
        <w:t>本项目</w:t>
      </w:r>
      <w:r>
        <w:rPr>
          <w:rFonts w:hint="eastAsia" w:ascii="宋体" w:hAnsi="宋体" w:eastAsia="宋体" w:cs="宋体"/>
          <w:kern w:val="0"/>
          <w:szCs w:val="20"/>
        </w:rPr>
        <w:t>地下水水位或土壤影响范围内</w:t>
      </w:r>
      <w:r>
        <w:rPr>
          <w:rFonts w:hint="eastAsia" w:ascii="宋体" w:hAnsi="宋体" w:eastAsia="宋体" w:cs="宋体"/>
          <w:kern w:val="0"/>
          <w:szCs w:val="20"/>
          <w:lang w:val="en-US" w:eastAsia="zh-CN"/>
        </w:rPr>
        <w:t>无</w:t>
      </w:r>
      <w:r>
        <w:rPr>
          <w:rFonts w:hint="eastAsia" w:ascii="宋体" w:hAnsi="宋体" w:eastAsia="宋体" w:cs="宋体"/>
          <w:kern w:val="0"/>
          <w:szCs w:val="20"/>
        </w:rPr>
        <w:t>分布有天然林、公益林、湿地等生态保护目标</w:t>
      </w:r>
      <w:r>
        <w:rPr>
          <w:rFonts w:hint="eastAsia" w:ascii="宋体" w:hAnsi="宋体" w:eastAsia="宋体" w:cs="宋体"/>
          <w:kern w:val="0"/>
          <w:szCs w:val="20"/>
          <w:lang w:eastAsia="zh-CN"/>
        </w:rPr>
        <w:t>。</w:t>
      </w:r>
      <w:r>
        <w:rPr>
          <w:rFonts w:hint="eastAsia" w:ascii="宋体" w:hAnsi="宋体" w:eastAsia="宋体" w:cs="宋体"/>
          <w:kern w:val="0"/>
          <w:szCs w:val="20"/>
          <w:lang w:val="en-US" w:eastAsia="zh-CN"/>
        </w:rPr>
        <w:t>本项目占</w:t>
      </w:r>
      <w:r>
        <w:rPr>
          <w:rFonts w:hint="eastAsia" w:ascii="宋体" w:hAnsi="宋体" w:eastAsia="宋体" w:cs="宋体"/>
          <w:kern w:val="0"/>
          <w:szCs w:val="20"/>
          <w:lang w:eastAsia="zh-CN"/>
        </w:rPr>
        <w:t>地</w:t>
      </w:r>
      <w:r>
        <w:rPr>
          <w:rFonts w:hint="eastAsia" w:ascii="宋体" w:hAnsi="宋体" w:eastAsia="宋体" w:cs="宋体"/>
          <w:kern w:val="0"/>
          <w:szCs w:val="20"/>
        </w:rPr>
        <w:t>面积约</w:t>
      </w:r>
      <w:r>
        <w:rPr>
          <w:rFonts w:hint="eastAsia" w:ascii="宋体" w:hAnsi="宋体" w:eastAsia="宋体" w:cs="宋体"/>
          <w:kern w:val="0"/>
          <w:szCs w:val="20"/>
          <w:lang w:val="en-US" w:eastAsia="zh-CN"/>
        </w:rPr>
        <w:t>3.28</w:t>
      </w:r>
      <w:r>
        <w:rPr>
          <w:rFonts w:hint="eastAsia" w:ascii="宋体" w:hAnsi="宋体" w:eastAsia="宋体" w:cs="宋体"/>
          <w:kern w:val="0"/>
          <w:szCs w:val="20"/>
        </w:rPr>
        <w:t>hm</w:t>
      </w:r>
      <w:r>
        <w:rPr>
          <w:rFonts w:hint="eastAsia" w:ascii="宋体" w:hAnsi="宋体" w:eastAsia="宋体" w:cs="宋体"/>
          <w:kern w:val="0"/>
          <w:szCs w:val="20"/>
          <w:vertAlign w:val="superscript"/>
          <w:lang w:val="en-US" w:eastAsia="zh-CN"/>
        </w:rPr>
        <w:t>2</w:t>
      </w:r>
      <w:r>
        <w:rPr>
          <w:rFonts w:hint="eastAsia" w:ascii="宋体" w:hAnsi="宋体" w:eastAsia="宋体" w:cs="宋体"/>
          <w:kern w:val="0"/>
          <w:szCs w:val="20"/>
        </w:rPr>
        <w:t>，占地面积小于2</w:t>
      </w:r>
      <w:r>
        <w:rPr>
          <w:rFonts w:hint="eastAsia" w:ascii="宋体" w:hAnsi="宋体" w:eastAsia="宋体" w:cs="宋体"/>
          <w:kern w:val="0"/>
          <w:szCs w:val="20"/>
          <w:lang w:val="en-US" w:eastAsia="zh-CN"/>
        </w:rPr>
        <w:t>0</w:t>
      </w:r>
      <w:r>
        <w:rPr>
          <w:rFonts w:hint="eastAsia" w:ascii="宋体" w:hAnsi="宋体" w:eastAsia="宋体" w:cs="宋体"/>
          <w:kern w:val="0"/>
          <w:szCs w:val="20"/>
        </w:rPr>
        <w:t>km</w:t>
      </w:r>
      <w:r>
        <w:rPr>
          <w:rFonts w:hint="eastAsia" w:ascii="宋体" w:hAnsi="宋体" w:eastAsia="宋体" w:cs="宋体"/>
          <w:kern w:val="0"/>
          <w:szCs w:val="20"/>
          <w:vertAlign w:val="superscript"/>
        </w:rPr>
        <w:t>2</w:t>
      </w:r>
      <w:r>
        <w:rPr>
          <w:rFonts w:hint="eastAsia" w:ascii="宋体" w:hAnsi="宋体" w:eastAsia="宋体" w:cs="宋体"/>
          <w:kern w:val="0"/>
          <w:szCs w:val="20"/>
        </w:rPr>
        <w:t>，</w:t>
      </w:r>
      <w:r>
        <w:rPr>
          <w:rFonts w:hint="eastAsia" w:ascii="宋体" w:hAnsi="宋体" w:eastAsia="宋体" w:cs="宋体"/>
          <w:kern w:val="0"/>
          <w:szCs w:val="20"/>
          <w:lang w:val="en-US" w:eastAsia="zh-CN"/>
        </w:rPr>
        <w:t>因此本项目生态影响评价等级为三级。</w:t>
      </w:r>
    </w:p>
    <w:p>
      <w:pPr>
        <w:pStyle w:val="4"/>
        <w:ind w:firstLine="562"/>
        <w:rPr>
          <w:rFonts w:hAnsi="宋体"/>
          <w:highlight w:val="none"/>
        </w:rPr>
      </w:pPr>
      <w:r>
        <w:rPr>
          <w:rFonts w:hAnsi="宋体"/>
          <w:highlight w:val="none"/>
        </w:rPr>
        <w:t>2.4.6土壤环境</w:t>
      </w:r>
    </w:p>
    <w:p>
      <w:pPr>
        <w:pStyle w:val="62"/>
        <w:ind w:firstLine="480"/>
        <w:rPr>
          <w:rFonts w:hAnsi="宋体"/>
          <w:highlight w:val="none"/>
        </w:rPr>
      </w:pPr>
      <w:r>
        <w:rPr>
          <w:rFonts w:hint="eastAsia" w:hAnsi="宋体"/>
          <w:highlight w:val="none"/>
        </w:rPr>
        <w:t>本项目为铁矿洗选项目（含尾矿库），对土壤的影响主要为下渗影响，属污染影响型。</w:t>
      </w:r>
    </w:p>
    <w:p>
      <w:pPr>
        <w:pStyle w:val="62"/>
        <w:ind w:firstLine="480"/>
        <w:rPr>
          <w:rFonts w:hAnsi="宋体"/>
          <w:highlight w:val="none"/>
        </w:rPr>
      </w:pPr>
      <w:r>
        <w:rPr>
          <w:rFonts w:hint="eastAsia" w:hAnsi="宋体"/>
          <w:highlight w:val="none"/>
        </w:rPr>
        <w:t>根据《环境影响评价技术导则土壤环境》（HJ964-2018），污染影响型建设项目土壤评价工作等级由项目类别、占地规模、敏感程度进行判定。</w:t>
      </w:r>
    </w:p>
    <w:p>
      <w:pPr>
        <w:pStyle w:val="62"/>
        <w:ind w:firstLine="480"/>
        <w:rPr>
          <w:rFonts w:hAnsi="宋体"/>
          <w:highlight w:val="none"/>
        </w:rPr>
      </w:pPr>
      <w:r>
        <w:rPr>
          <w:rFonts w:hint="eastAsia" w:hAnsi="宋体"/>
          <w:highlight w:val="none"/>
        </w:rPr>
        <w:t>1、选矿厂判定</w:t>
      </w:r>
    </w:p>
    <w:p>
      <w:pPr>
        <w:pStyle w:val="62"/>
        <w:ind w:firstLine="480"/>
        <w:rPr>
          <w:rFonts w:hAnsi="宋体"/>
          <w:highlight w:val="none"/>
        </w:rPr>
      </w:pPr>
      <w:r>
        <w:rPr>
          <w:rFonts w:hint="eastAsia" w:hAnsi="宋体"/>
          <w:highlight w:val="none"/>
        </w:rPr>
        <w:t>1）项目类别、占地规模判定项目为铁矿洗选项目，根据《环境影响评价技术导则土壤环境》（HJ964-2018）附录A，项目属于“采矿业--其他”判定为Ⅲ类项目。选矿厂占地面积1.31hm</w:t>
      </w:r>
      <w:r>
        <w:rPr>
          <w:rFonts w:hint="eastAsia" w:hAnsi="宋体"/>
          <w:highlight w:val="none"/>
          <w:vertAlign w:val="superscript"/>
        </w:rPr>
        <w:t>2</w:t>
      </w:r>
      <w:r>
        <w:rPr>
          <w:rFonts w:hint="eastAsia" w:hAnsi="宋体"/>
          <w:highlight w:val="none"/>
        </w:rPr>
        <w:t>，小于5hm</w:t>
      </w:r>
      <w:r>
        <w:rPr>
          <w:rFonts w:hint="eastAsia" w:hAnsi="宋体"/>
          <w:highlight w:val="none"/>
          <w:vertAlign w:val="superscript"/>
        </w:rPr>
        <w:t>2</w:t>
      </w:r>
      <w:r>
        <w:rPr>
          <w:rFonts w:hint="eastAsia" w:hAnsi="宋体"/>
          <w:highlight w:val="none"/>
        </w:rPr>
        <w:t>，占地类型为小型。</w:t>
      </w:r>
    </w:p>
    <w:p>
      <w:pPr>
        <w:pStyle w:val="62"/>
        <w:ind w:firstLine="480"/>
        <w:rPr>
          <w:rFonts w:hAnsi="宋体"/>
          <w:highlight w:val="none"/>
        </w:rPr>
      </w:pPr>
      <w:r>
        <w:rPr>
          <w:rFonts w:hint="eastAsia" w:hAnsi="宋体"/>
          <w:highlight w:val="none"/>
        </w:rPr>
        <w:t>2）敏感程度判定</w:t>
      </w:r>
    </w:p>
    <w:p>
      <w:pPr>
        <w:pStyle w:val="65"/>
        <w:rPr>
          <w:rFonts w:hAnsi="宋体"/>
          <w:highlight w:val="none"/>
        </w:rPr>
      </w:pPr>
      <w:r>
        <w:rPr>
          <w:rFonts w:hAnsi="宋体"/>
          <w:highlight w:val="none"/>
        </w:rPr>
        <w:t>表2.4-</w:t>
      </w:r>
      <w:r>
        <w:rPr>
          <w:rFonts w:hint="eastAsia" w:hAnsi="宋体"/>
          <w:highlight w:val="none"/>
          <w:lang w:val="en-US" w:eastAsia="zh-CN"/>
        </w:rPr>
        <w:t>5</w:t>
      </w:r>
      <w:r>
        <w:rPr>
          <w:rFonts w:hint="eastAsia" w:hAnsi="宋体"/>
          <w:highlight w:val="none"/>
        </w:rPr>
        <w:t xml:space="preserve">  </w:t>
      </w:r>
      <w:r>
        <w:rPr>
          <w:rFonts w:hAnsi="宋体"/>
          <w:highlight w:val="none"/>
        </w:rPr>
        <w:t>污染影响型敏感程度分级表</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95"/>
        <w:gridCol w:w="745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495" w:type="dxa"/>
            <w:vAlign w:val="center"/>
          </w:tcPr>
          <w:p>
            <w:pPr>
              <w:pStyle w:val="64"/>
              <w:rPr>
                <w:rFonts w:hAnsi="宋体"/>
                <w:highlight w:val="none"/>
              </w:rPr>
            </w:pPr>
            <w:r>
              <w:rPr>
                <w:rFonts w:hAnsi="宋体"/>
                <w:highlight w:val="none"/>
              </w:rPr>
              <w:t>敏感程度</w:t>
            </w:r>
          </w:p>
        </w:tc>
        <w:tc>
          <w:tcPr>
            <w:tcW w:w="7451" w:type="dxa"/>
            <w:vAlign w:val="center"/>
          </w:tcPr>
          <w:p>
            <w:pPr>
              <w:pStyle w:val="64"/>
              <w:rPr>
                <w:rFonts w:hAnsi="宋体"/>
                <w:highlight w:val="none"/>
              </w:rPr>
            </w:pPr>
            <w:r>
              <w:rPr>
                <w:rFonts w:hAnsi="宋体"/>
                <w:highlight w:val="none"/>
              </w:rPr>
              <w:t>判别依据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495" w:type="dxa"/>
            <w:vAlign w:val="center"/>
          </w:tcPr>
          <w:p>
            <w:pPr>
              <w:pStyle w:val="64"/>
              <w:rPr>
                <w:rFonts w:hAnsi="宋体"/>
                <w:highlight w:val="none"/>
              </w:rPr>
            </w:pPr>
            <w:r>
              <w:rPr>
                <w:rFonts w:hAnsi="宋体"/>
                <w:highlight w:val="none"/>
              </w:rPr>
              <w:t>敏感</w:t>
            </w:r>
          </w:p>
        </w:tc>
        <w:tc>
          <w:tcPr>
            <w:tcW w:w="7451" w:type="dxa"/>
            <w:vAlign w:val="center"/>
          </w:tcPr>
          <w:p>
            <w:pPr>
              <w:pStyle w:val="64"/>
              <w:rPr>
                <w:rFonts w:hAnsi="宋体"/>
                <w:highlight w:val="none"/>
              </w:rPr>
            </w:pPr>
            <w:r>
              <w:rPr>
                <w:rFonts w:hAnsi="宋体"/>
                <w:highlight w:val="none"/>
              </w:rPr>
              <w:t>建设项目周边存在耕地、园地、牧草地、饮用水水源地或居民区、学校、医院、疗养院、养老院等土壤环境敏感目标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495" w:type="dxa"/>
            <w:vAlign w:val="center"/>
          </w:tcPr>
          <w:p>
            <w:pPr>
              <w:pStyle w:val="64"/>
              <w:rPr>
                <w:rFonts w:hAnsi="宋体"/>
                <w:highlight w:val="none"/>
              </w:rPr>
            </w:pPr>
            <w:r>
              <w:rPr>
                <w:rFonts w:hAnsi="宋体"/>
                <w:highlight w:val="none"/>
              </w:rPr>
              <w:t>较敏感</w:t>
            </w:r>
          </w:p>
        </w:tc>
        <w:tc>
          <w:tcPr>
            <w:tcW w:w="7451" w:type="dxa"/>
            <w:vAlign w:val="center"/>
          </w:tcPr>
          <w:p>
            <w:pPr>
              <w:pStyle w:val="64"/>
              <w:rPr>
                <w:rFonts w:hAnsi="宋体"/>
                <w:highlight w:val="none"/>
              </w:rPr>
            </w:pPr>
            <w:r>
              <w:rPr>
                <w:rFonts w:hAnsi="宋体"/>
                <w:highlight w:val="none"/>
              </w:rPr>
              <w:t>建设项目周边存在其他土壤环境敏感目标的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495" w:type="dxa"/>
            <w:vAlign w:val="center"/>
          </w:tcPr>
          <w:p>
            <w:pPr>
              <w:pStyle w:val="64"/>
              <w:rPr>
                <w:rFonts w:hAnsi="宋体"/>
                <w:highlight w:val="none"/>
              </w:rPr>
            </w:pPr>
            <w:r>
              <w:rPr>
                <w:rFonts w:hAnsi="宋体"/>
                <w:highlight w:val="none"/>
              </w:rPr>
              <w:t>不敏感</w:t>
            </w:r>
          </w:p>
        </w:tc>
        <w:tc>
          <w:tcPr>
            <w:tcW w:w="7451" w:type="dxa"/>
            <w:vAlign w:val="center"/>
          </w:tcPr>
          <w:p>
            <w:pPr>
              <w:pStyle w:val="64"/>
              <w:rPr>
                <w:rFonts w:hAnsi="宋体"/>
                <w:highlight w:val="none"/>
              </w:rPr>
            </w:pPr>
            <w:r>
              <w:rPr>
                <w:rFonts w:hAnsi="宋体"/>
                <w:highlight w:val="none"/>
              </w:rPr>
              <w:t>其他情况</w:t>
            </w:r>
          </w:p>
        </w:tc>
      </w:tr>
    </w:tbl>
    <w:p>
      <w:pPr>
        <w:pStyle w:val="62"/>
        <w:ind w:firstLine="480"/>
        <w:rPr>
          <w:rFonts w:hAnsi="宋体"/>
          <w:highlight w:val="none"/>
        </w:rPr>
      </w:pPr>
      <w:r>
        <w:rPr>
          <w:rFonts w:hAnsi="宋体"/>
          <w:highlight w:val="none"/>
        </w:rPr>
        <w:t>本项目</w:t>
      </w:r>
      <w:r>
        <w:rPr>
          <w:rFonts w:hint="eastAsia" w:hAnsi="宋体"/>
          <w:highlight w:val="none"/>
        </w:rPr>
        <w:t>选矿厂</w:t>
      </w:r>
      <w:r>
        <w:rPr>
          <w:rFonts w:hAnsi="宋体"/>
          <w:highlight w:val="none"/>
        </w:rPr>
        <w:t>周边为耕地，土壤环境敏感程度为敏感。</w:t>
      </w:r>
    </w:p>
    <w:p>
      <w:pPr>
        <w:pStyle w:val="62"/>
        <w:ind w:firstLine="480"/>
        <w:rPr>
          <w:rFonts w:hAnsi="宋体"/>
          <w:highlight w:val="none"/>
        </w:rPr>
      </w:pPr>
      <w:r>
        <w:rPr>
          <w:rFonts w:hint="eastAsia" w:hAnsi="宋体"/>
          <w:highlight w:val="none"/>
        </w:rPr>
        <w:t>3）</w:t>
      </w:r>
      <w:r>
        <w:rPr>
          <w:rFonts w:hAnsi="宋体"/>
          <w:highlight w:val="none"/>
        </w:rPr>
        <w:t>污染影响型评价工作等级划分</w:t>
      </w:r>
    </w:p>
    <w:p>
      <w:pPr>
        <w:pStyle w:val="62"/>
        <w:ind w:firstLine="480"/>
        <w:rPr>
          <w:rFonts w:hAnsi="宋体"/>
          <w:highlight w:val="none"/>
        </w:rPr>
      </w:pPr>
      <w:r>
        <w:rPr>
          <w:rFonts w:hAnsi="宋体"/>
          <w:highlight w:val="none"/>
        </w:rPr>
        <w:t>根据土壤环境影响评价项目类别、占地规模与敏感程度划分评价工作等级见表2.4-</w:t>
      </w:r>
      <w:r>
        <w:rPr>
          <w:rFonts w:hint="eastAsia" w:hAnsi="宋体"/>
          <w:highlight w:val="none"/>
          <w:lang w:val="en-US" w:eastAsia="zh-CN"/>
        </w:rPr>
        <w:t>6</w:t>
      </w:r>
      <w:r>
        <w:rPr>
          <w:rFonts w:hAnsi="宋体"/>
          <w:highlight w:val="none"/>
        </w:rPr>
        <w:t>。</w:t>
      </w:r>
    </w:p>
    <w:p>
      <w:pPr>
        <w:pStyle w:val="65"/>
        <w:rPr>
          <w:rFonts w:hAnsi="宋体"/>
          <w:highlight w:val="none"/>
        </w:rPr>
      </w:pPr>
      <w:r>
        <w:rPr>
          <w:rFonts w:hAnsi="宋体"/>
          <w:highlight w:val="none"/>
        </w:rPr>
        <w:t>表2.4-</w:t>
      </w:r>
      <w:r>
        <w:rPr>
          <w:rFonts w:hint="eastAsia" w:hAnsi="宋体"/>
          <w:highlight w:val="none"/>
          <w:lang w:val="en-US" w:eastAsia="zh-CN"/>
        </w:rPr>
        <w:t>6</w:t>
      </w:r>
      <w:r>
        <w:rPr>
          <w:rFonts w:hint="eastAsia" w:hAnsi="宋体"/>
          <w:highlight w:val="none"/>
        </w:rPr>
        <w:t xml:space="preserve">  </w:t>
      </w:r>
      <w:r>
        <w:rPr>
          <w:rFonts w:hAnsi="宋体"/>
          <w:highlight w:val="none"/>
        </w:rPr>
        <w:t>污染影响型评价工作等级划分表</w:t>
      </w:r>
    </w:p>
    <w:tbl>
      <w:tblPr>
        <w:tblStyle w:val="44"/>
        <w:tblW w:w="8833"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801"/>
        <w:gridCol w:w="674"/>
        <w:gridCol w:w="671"/>
        <w:gridCol w:w="673"/>
        <w:gridCol w:w="671"/>
        <w:gridCol w:w="671"/>
        <w:gridCol w:w="671"/>
        <w:gridCol w:w="671"/>
        <w:gridCol w:w="671"/>
        <w:gridCol w:w="6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2801" w:type="dxa"/>
            <w:vMerge w:val="restart"/>
            <w:vAlign w:val="center"/>
          </w:tcPr>
          <w:p>
            <w:pPr>
              <w:pStyle w:val="64"/>
              <w:rPr>
                <w:rFonts w:hAnsi="宋体"/>
                <w:szCs w:val="21"/>
                <w:highlight w:val="none"/>
              </w:rPr>
            </w:pPr>
            <w:r>
              <w:rPr>
                <w:rFonts w:hAnsi="宋体"/>
                <w:highlight w:val="none"/>
              </w:rPr>
              <mc:AlternateContent>
                <mc:Choice Requires="wpg">
                  <w:drawing>
                    <wp:anchor distT="0" distB="0" distL="114300" distR="114300" simplePos="0" relativeHeight="251676672" behindDoc="0" locked="0" layoutInCell="1" allowOverlap="1">
                      <wp:simplePos x="0" y="0"/>
                      <wp:positionH relativeFrom="column">
                        <wp:posOffset>10795</wp:posOffset>
                      </wp:positionH>
                      <wp:positionV relativeFrom="paragraph">
                        <wp:posOffset>13970</wp:posOffset>
                      </wp:positionV>
                      <wp:extent cx="1724660" cy="518795"/>
                      <wp:effectExtent l="10795" t="13970" r="7620" b="10160"/>
                      <wp:wrapNone/>
                      <wp:docPr id="1216" name="组合 680"/>
                      <wp:cNvGraphicFramePr/>
                      <a:graphic xmlns:a="http://schemas.openxmlformats.org/drawingml/2006/main">
                        <a:graphicData uri="http://schemas.microsoft.com/office/word/2010/wordprocessingGroup">
                          <wpg:wgp>
                            <wpg:cNvGrpSpPr/>
                            <wpg:grpSpPr>
                              <a:xfrm>
                                <a:off x="0" y="0"/>
                                <a:ext cx="1724660" cy="518795"/>
                                <a:chOff x="1321" y="7422"/>
                                <a:chExt cx="2897" cy="820"/>
                              </a:xfrm>
                            </wpg:grpSpPr>
                            <wpg:grpSp>
                              <wpg:cNvPr id="1217" name="__TH_G22五号15"/>
                              <wpg:cNvGrpSpPr/>
                              <wpg:grpSpPr>
                                <a:xfrm>
                                  <a:off x="1321" y="7422"/>
                                  <a:ext cx="2892" cy="820"/>
                                  <a:chOff x="1315" y="9664"/>
                                  <a:chExt cx="2793" cy="390"/>
                                </a:xfrm>
                              </wpg:grpSpPr>
                              <wps:wsp>
                                <wps:cNvPr id="1218" name="__TH_L13"/>
                                <wps:cNvCnPr/>
                                <wps:spPr bwMode="auto">
                                  <a:xfrm>
                                    <a:off x="2558" y="9664"/>
                                    <a:ext cx="1550" cy="390"/>
                                  </a:xfrm>
                                  <a:prstGeom prst="line">
                                    <a:avLst/>
                                  </a:prstGeom>
                                  <a:noFill/>
                                  <a:ln w="6350">
                                    <a:solidFill>
                                      <a:srgbClr val="000000"/>
                                    </a:solidFill>
                                    <a:round/>
                                  </a:ln>
                                </wps:spPr>
                                <wps:bodyPr/>
                              </wps:wsp>
                              <wps:wsp>
                                <wps:cNvPr id="1219" name="__TH_L14"/>
                                <wps:cNvCnPr/>
                                <wps:spPr bwMode="auto">
                                  <a:xfrm>
                                    <a:off x="1315" y="9859"/>
                                    <a:ext cx="2793" cy="195"/>
                                  </a:xfrm>
                                  <a:prstGeom prst="line">
                                    <a:avLst/>
                                  </a:prstGeom>
                                  <a:noFill/>
                                  <a:ln w="6350">
                                    <a:solidFill>
                                      <a:srgbClr val="000000"/>
                                    </a:solidFill>
                                    <a:round/>
                                  </a:ln>
                                </wps:spPr>
                                <wps:bodyPr/>
                              </wps:wsp>
                            </wpg:grpSp>
                            <wps:wsp>
                              <wps:cNvPr id="1220" name="文本框 3685"/>
                              <wps:cNvSpPr txBox="1">
                                <a:spLocks noChangeArrowheads="1"/>
                              </wps:cNvSpPr>
                              <wps:spPr bwMode="auto">
                                <a:xfrm>
                                  <a:off x="3145" y="7422"/>
                                  <a:ext cx="1073" cy="410"/>
                                </a:xfrm>
                                <a:prstGeom prst="rect">
                                  <a:avLst/>
                                </a:prstGeom>
                                <a:noFill/>
                                <a:ln>
                                  <a:noFill/>
                                </a:ln>
                              </wps:spPr>
                              <wps:txbx>
                                <w:txbxContent>
                                  <w:p>
                                    <w:pPr>
                                      <w:ind w:firstLine="0" w:firstLineChars="0"/>
                                      <w:rPr>
                                        <w:sz w:val="21"/>
                                        <w:szCs w:val="21"/>
                                      </w:rPr>
                                    </w:pPr>
                                    <w:r>
                                      <w:rPr>
                                        <w:rFonts w:hint="eastAsia"/>
                                        <w:sz w:val="21"/>
                                        <w:szCs w:val="21"/>
                                      </w:rPr>
                                      <w:t>占地规模</w:t>
                                    </w:r>
                                  </w:p>
                                </w:txbxContent>
                              </wps:txbx>
                              <wps:bodyPr rot="0" vert="horz" wrap="square" lIns="0" tIns="0" rIns="0" bIns="0" anchor="t" anchorCtr="0" upright="1">
                                <a:noAutofit/>
                              </wps:bodyPr>
                            </wps:wsp>
                            <wps:wsp>
                              <wps:cNvPr id="1221" name="文本框 3686"/>
                              <wps:cNvSpPr txBox="1">
                                <a:spLocks noChangeArrowheads="1"/>
                              </wps:cNvSpPr>
                              <wps:spPr bwMode="auto">
                                <a:xfrm>
                                  <a:off x="1409" y="7490"/>
                                  <a:ext cx="1736" cy="406"/>
                                </a:xfrm>
                                <a:prstGeom prst="rect">
                                  <a:avLst/>
                                </a:prstGeom>
                                <a:noFill/>
                                <a:ln>
                                  <a:noFill/>
                                </a:ln>
                              </wps:spPr>
                              <wps:txbx>
                                <w:txbxContent>
                                  <w:p>
                                    <w:pPr>
                                      <w:ind w:firstLine="0" w:firstLineChars="0"/>
                                      <w:rPr>
                                        <w:sz w:val="21"/>
                                        <w:szCs w:val="21"/>
                                      </w:rPr>
                                    </w:pPr>
                                    <w:r>
                                      <w:rPr>
                                        <w:rFonts w:hint="eastAsia"/>
                                        <w:sz w:val="21"/>
                                        <w:szCs w:val="21"/>
                                      </w:rPr>
                                      <w:t>评价工作等级</w:t>
                                    </w:r>
                                  </w:p>
                                </w:txbxContent>
                              </wps:txbx>
                              <wps:bodyPr rot="0" vert="horz" wrap="square" lIns="0" tIns="0" rIns="0" bIns="0" anchor="t" anchorCtr="0" upright="1">
                                <a:noAutofit/>
                              </wps:bodyPr>
                            </wps:wsp>
                            <wps:wsp>
                              <wps:cNvPr id="1222" name="文本框 3687"/>
                              <wps:cNvSpPr txBox="1">
                                <a:spLocks noChangeArrowheads="1"/>
                              </wps:cNvSpPr>
                              <wps:spPr bwMode="auto">
                                <a:xfrm>
                                  <a:off x="1321" y="7869"/>
                                  <a:ext cx="1287" cy="373"/>
                                </a:xfrm>
                                <a:prstGeom prst="rect">
                                  <a:avLst/>
                                </a:prstGeom>
                                <a:noFill/>
                                <a:ln>
                                  <a:noFill/>
                                </a:ln>
                              </wps:spPr>
                              <wps:txbx>
                                <w:txbxContent>
                                  <w:p>
                                    <w:pPr>
                                      <w:ind w:firstLine="0" w:firstLineChars="0"/>
                                      <w:rPr>
                                        <w:sz w:val="21"/>
                                        <w:szCs w:val="21"/>
                                      </w:rPr>
                                    </w:pPr>
                                    <w:r>
                                      <w:rPr>
                                        <w:rFonts w:hint="eastAsia"/>
                                        <w:sz w:val="21"/>
                                        <w:szCs w:val="21"/>
                                      </w:rPr>
                                      <w:t>敏感程度</w:t>
                                    </w:r>
                                  </w:p>
                                </w:txbxContent>
                              </wps:txbx>
                              <wps:bodyPr rot="0" vert="horz" wrap="square" lIns="0" tIns="0" rIns="0" bIns="0" anchor="t" anchorCtr="0" upright="1">
                                <a:noAutofit/>
                              </wps:bodyPr>
                            </wps:wsp>
                          </wpg:wgp>
                        </a:graphicData>
                      </a:graphic>
                    </wp:anchor>
                  </w:drawing>
                </mc:Choice>
                <mc:Fallback>
                  <w:pict>
                    <v:group id="组合 680" o:spid="_x0000_s1026" o:spt="203" style="position:absolute;left:0pt;margin-left:0.85pt;margin-top:1.1pt;height:40.85pt;width:135.8pt;z-index:251676672;mso-width-relative:page;mso-height-relative:page;" coordorigin="1321,7422" coordsize="2897,820" o:gfxdata="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V16/kNYAAAAGAQAADwAAAAAAAAABACAAAAAiAAAAZHJzL2Rvd25yZXYueG1sUEsBAhQAFAAA&#10;AAgAh07iQLkcQkO5AwAACQ4AAA4AAAAAAAAAAQAgAAAAJQEAAGRycy9lMm9Eb2MueG1sUEsFBgAA&#10;AAAGAAYAWQEAAFAHAAAAAA==&#10;">
                      <o:lock v:ext="edit" aspectratio="f"/>
                      <v:group id="__TH_G22五号15" o:spid="_x0000_s1026" o:spt="203" style="position:absolute;left:1321;top:7422;height:820;width:2892;" coordorigin="1315,9664" coordsize="2793,390" o:gfxdata="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6DWb0AAADdAAAADwAAAAAAAAABACAAAAAiAAAAZHJzL2Rvd25yZXYueG1s&#10;UEsBAhQAFAAAAAgAh07iQDMvBZ47AAAAOQAAABUAAAAAAAAAAQAgAAAADAEAAGRycy9ncm91cHNo&#10;YXBleG1sLnhtbFBLBQYAAAAABgAGAGABAADJAwAAAAA=&#10;">
                        <o:lock v:ext="edit" aspectratio="f"/>
                        <v:line id="__TH_L13" o:spid="_x0000_s1026" o:spt="20" style="position:absolute;left:2558;top:9664;height:390;width:1550;" filled="f" stroked="t" coordsize="21600,21600" o:gfxdata="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l8b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_TH_L14" o:spid="_x0000_s1026" o:spt="20" style="position:absolute;left:1315;top:9859;height:195;width:2793;" filled="f" stroked="t" coordsize="21600,21600" o:gfxdata="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b6g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shape id="文本框 3685" o:spid="_x0000_s1026" o:spt="202" type="#_x0000_t202" style="position:absolute;left:3145;top:7422;height:410;width:1073;" filled="f" stroked="f" coordsize="21600,21600" o:gfxdata="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dl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0" w:firstLineChars="0"/>
                                <w:rPr>
                                  <w:sz w:val="21"/>
                                  <w:szCs w:val="21"/>
                                </w:rPr>
                              </w:pPr>
                              <w:r>
                                <w:rPr>
                                  <w:rFonts w:hint="eastAsia"/>
                                  <w:sz w:val="21"/>
                                  <w:szCs w:val="21"/>
                                </w:rPr>
                                <w:t>占地规模</w:t>
                              </w:r>
                            </w:p>
                          </w:txbxContent>
                        </v:textbox>
                      </v:shape>
                      <v:shape id="文本框 3686" o:spid="_x0000_s1026" o:spt="202" type="#_x0000_t202" style="position:absolute;left:1409;top:7490;height:406;width:1736;" filled="f" stroked="f" coordsize="21600,21600" o:gfxdata="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Xz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0" w:firstLineChars="0"/>
                                <w:rPr>
                                  <w:sz w:val="21"/>
                                  <w:szCs w:val="21"/>
                                </w:rPr>
                              </w:pPr>
                              <w:r>
                                <w:rPr>
                                  <w:rFonts w:hint="eastAsia"/>
                                  <w:sz w:val="21"/>
                                  <w:szCs w:val="21"/>
                                </w:rPr>
                                <w:t>评价工作等级</w:t>
                              </w:r>
                            </w:p>
                          </w:txbxContent>
                        </v:textbox>
                      </v:shape>
                      <v:shape id="文本框 3687" o:spid="_x0000_s1026" o:spt="202" type="#_x0000_t202" style="position:absolute;left:1321;top:7869;height:373;width:1287;" filled="f" stroked="f" coordsize="21600,21600" o:gfxdata="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K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0" w:firstLineChars="0"/>
                                <w:rPr>
                                  <w:sz w:val="21"/>
                                  <w:szCs w:val="21"/>
                                </w:rPr>
                              </w:pPr>
                              <w:r>
                                <w:rPr>
                                  <w:rFonts w:hint="eastAsia"/>
                                  <w:sz w:val="21"/>
                                  <w:szCs w:val="21"/>
                                </w:rPr>
                                <w:t>敏感程度</w:t>
                              </w:r>
                            </w:p>
                          </w:txbxContent>
                        </v:textbox>
                      </v:shape>
                    </v:group>
                  </w:pict>
                </mc:Fallback>
              </mc:AlternateContent>
            </w:r>
          </w:p>
        </w:tc>
        <w:tc>
          <w:tcPr>
            <w:tcW w:w="2018" w:type="dxa"/>
            <w:gridSpan w:val="3"/>
            <w:vAlign w:val="center"/>
          </w:tcPr>
          <w:p>
            <w:pPr>
              <w:pStyle w:val="64"/>
              <w:rPr>
                <w:rFonts w:hAnsi="宋体"/>
                <w:szCs w:val="21"/>
                <w:highlight w:val="none"/>
              </w:rPr>
            </w:pPr>
            <w:r>
              <w:rPr>
                <w:rFonts w:hAnsi="宋体"/>
                <w:szCs w:val="21"/>
                <w:highlight w:val="none"/>
              </w:rPr>
              <w:t>I类</w:t>
            </w:r>
          </w:p>
        </w:tc>
        <w:tc>
          <w:tcPr>
            <w:tcW w:w="2013" w:type="dxa"/>
            <w:gridSpan w:val="3"/>
            <w:vAlign w:val="center"/>
          </w:tcPr>
          <w:p>
            <w:pPr>
              <w:pStyle w:val="64"/>
              <w:rPr>
                <w:rFonts w:hAnsi="宋体"/>
                <w:szCs w:val="21"/>
                <w:highlight w:val="none"/>
              </w:rPr>
            </w:pPr>
            <w:r>
              <w:rPr>
                <w:rFonts w:hint="eastAsia" w:hAnsi="宋体" w:cs="宋体"/>
                <w:szCs w:val="21"/>
                <w:highlight w:val="none"/>
              </w:rPr>
              <w:t>Ⅱ</w:t>
            </w:r>
            <w:r>
              <w:rPr>
                <w:rFonts w:hAnsi="宋体"/>
                <w:szCs w:val="21"/>
                <w:highlight w:val="none"/>
              </w:rPr>
              <w:t>类</w:t>
            </w:r>
          </w:p>
        </w:tc>
        <w:tc>
          <w:tcPr>
            <w:tcW w:w="2001" w:type="dxa"/>
            <w:gridSpan w:val="3"/>
            <w:vAlign w:val="center"/>
          </w:tcPr>
          <w:p>
            <w:pPr>
              <w:pStyle w:val="64"/>
              <w:rPr>
                <w:rFonts w:hAnsi="宋体"/>
                <w:szCs w:val="21"/>
                <w:highlight w:val="none"/>
              </w:rPr>
            </w:pPr>
            <w:r>
              <w:rPr>
                <w:rFonts w:hint="eastAsia" w:hAnsi="宋体" w:cs="宋体"/>
                <w:szCs w:val="21"/>
                <w:highlight w:val="none"/>
              </w:rPr>
              <w:t>Ⅲ</w:t>
            </w:r>
            <w:r>
              <w:rPr>
                <w:rFonts w:hAnsi="宋体"/>
                <w:szCs w:val="21"/>
                <w:highlight w:val="none"/>
              </w:rPr>
              <w:t>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2801" w:type="dxa"/>
            <w:vMerge w:val="continue"/>
            <w:vAlign w:val="center"/>
          </w:tcPr>
          <w:p>
            <w:pPr>
              <w:pStyle w:val="64"/>
              <w:rPr>
                <w:rFonts w:hAnsi="宋体"/>
                <w:szCs w:val="21"/>
                <w:highlight w:val="none"/>
              </w:rPr>
            </w:pPr>
          </w:p>
        </w:tc>
        <w:tc>
          <w:tcPr>
            <w:tcW w:w="674" w:type="dxa"/>
            <w:vAlign w:val="center"/>
          </w:tcPr>
          <w:p>
            <w:pPr>
              <w:pStyle w:val="64"/>
              <w:rPr>
                <w:rFonts w:hAnsi="宋体"/>
                <w:szCs w:val="21"/>
                <w:highlight w:val="none"/>
              </w:rPr>
            </w:pPr>
            <w:r>
              <w:rPr>
                <w:rFonts w:hAnsi="宋体"/>
                <w:szCs w:val="21"/>
                <w:highlight w:val="none"/>
              </w:rPr>
              <w:t>大</w:t>
            </w:r>
          </w:p>
        </w:tc>
        <w:tc>
          <w:tcPr>
            <w:tcW w:w="671" w:type="dxa"/>
            <w:vAlign w:val="center"/>
          </w:tcPr>
          <w:p>
            <w:pPr>
              <w:pStyle w:val="64"/>
              <w:rPr>
                <w:rFonts w:hAnsi="宋体"/>
                <w:szCs w:val="21"/>
                <w:highlight w:val="none"/>
              </w:rPr>
            </w:pPr>
            <w:r>
              <w:rPr>
                <w:rFonts w:hAnsi="宋体"/>
                <w:szCs w:val="21"/>
                <w:highlight w:val="none"/>
              </w:rPr>
              <w:t>中</w:t>
            </w:r>
          </w:p>
        </w:tc>
        <w:tc>
          <w:tcPr>
            <w:tcW w:w="673" w:type="dxa"/>
            <w:vAlign w:val="center"/>
          </w:tcPr>
          <w:p>
            <w:pPr>
              <w:pStyle w:val="64"/>
              <w:rPr>
                <w:rFonts w:hAnsi="宋体"/>
                <w:szCs w:val="21"/>
                <w:highlight w:val="none"/>
              </w:rPr>
            </w:pPr>
            <w:r>
              <w:rPr>
                <w:rFonts w:hAnsi="宋体"/>
                <w:szCs w:val="21"/>
                <w:highlight w:val="none"/>
              </w:rPr>
              <w:t>小</w:t>
            </w:r>
          </w:p>
        </w:tc>
        <w:tc>
          <w:tcPr>
            <w:tcW w:w="671" w:type="dxa"/>
            <w:vAlign w:val="center"/>
          </w:tcPr>
          <w:p>
            <w:pPr>
              <w:pStyle w:val="64"/>
              <w:rPr>
                <w:rFonts w:hAnsi="宋体"/>
                <w:szCs w:val="21"/>
                <w:highlight w:val="none"/>
              </w:rPr>
            </w:pPr>
            <w:r>
              <w:rPr>
                <w:rFonts w:hAnsi="宋体"/>
                <w:szCs w:val="21"/>
                <w:highlight w:val="none"/>
              </w:rPr>
              <w:t>大</w:t>
            </w:r>
          </w:p>
        </w:tc>
        <w:tc>
          <w:tcPr>
            <w:tcW w:w="671" w:type="dxa"/>
            <w:vAlign w:val="center"/>
          </w:tcPr>
          <w:p>
            <w:pPr>
              <w:pStyle w:val="64"/>
              <w:rPr>
                <w:rFonts w:hAnsi="宋体"/>
                <w:szCs w:val="21"/>
                <w:highlight w:val="none"/>
              </w:rPr>
            </w:pPr>
            <w:r>
              <w:rPr>
                <w:rFonts w:hAnsi="宋体"/>
                <w:szCs w:val="21"/>
                <w:highlight w:val="none"/>
              </w:rPr>
              <w:t>中</w:t>
            </w:r>
          </w:p>
        </w:tc>
        <w:tc>
          <w:tcPr>
            <w:tcW w:w="671" w:type="dxa"/>
            <w:vAlign w:val="center"/>
          </w:tcPr>
          <w:p>
            <w:pPr>
              <w:pStyle w:val="64"/>
              <w:rPr>
                <w:rFonts w:hAnsi="宋体"/>
                <w:szCs w:val="21"/>
                <w:highlight w:val="none"/>
              </w:rPr>
            </w:pPr>
            <w:r>
              <w:rPr>
                <w:rFonts w:hAnsi="宋体"/>
                <w:szCs w:val="21"/>
                <w:highlight w:val="none"/>
              </w:rPr>
              <w:t>小</w:t>
            </w:r>
          </w:p>
        </w:tc>
        <w:tc>
          <w:tcPr>
            <w:tcW w:w="671" w:type="dxa"/>
            <w:vAlign w:val="center"/>
          </w:tcPr>
          <w:p>
            <w:pPr>
              <w:pStyle w:val="64"/>
              <w:rPr>
                <w:rFonts w:hAnsi="宋体"/>
                <w:szCs w:val="21"/>
                <w:highlight w:val="none"/>
              </w:rPr>
            </w:pPr>
            <w:r>
              <w:rPr>
                <w:rFonts w:hAnsi="宋体"/>
                <w:szCs w:val="21"/>
                <w:highlight w:val="none"/>
              </w:rPr>
              <w:t>大</w:t>
            </w:r>
          </w:p>
        </w:tc>
        <w:tc>
          <w:tcPr>
            <w:tcW w:w="671" w:type="dxa"/>
            <w:vAlign w:val="center"/>
          </w:tcPr>
          <w:p>
            <w:pPr>
              <w:pStyle w:val="64"/>
              <w:rPr>
                <w:rFonts w:hAnsi="宋体"/>
                <w:szCs w:val="21"/>
                <w:highlight w:val="none"/>
              </w:rPr>
            </w:pPr>
            <w:r>
              <w:rPr>
                <w:rFonts w:hAnsi="宋体"/>
                <w:szCs w:val="21"/>
                <w:highlight w:val="none"/>
              </w:rPr>
              <w:t>中</w:t>
            </w:r>
          </w:p>
        </w:tc>
        <w:tc>
          <w:tcPr>
            <w:tcW w:w="659" w:type="dxa"/>
            <w:vAlign w:val="center"/>
          </w:tcPr>
          <w:p>
            <w:pPr>
              <w:pStyle w:val="64"/>
              <w:rPr>
                <w:rFonts w:hAnsi="宋体"/>
                <w:szCs w:val="21"/>
                <w:highlight w:val="none"/>
              </w:rPr>
            </w:pPr>
            <w:r>
              <w:rPr>
                <w:rFonts w:hAnsi="宋体"/>
                <w:szCs w:val="21"/>
                <w:highlight w:val="none"/>
              </w:rPr>
              <w:t>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801" w:type="dxa"/>
            <w:vAlign w:val="center"/>
          </w:tcPr>
          <w:p>
            <w:pPr>
              <w:pStyle w:val="64"/>
              <w:rPr>
                <w:rFonts w:hAnsi="宋体"/>
                <w:szCs w:val="21"/>
                <w:highlight w:val="none"/>
              </w:rPr>
            </w:pPr>
            <w:r>
              <w:rPr>
                <w:rFonts w:hAnsi="宋体"/>
                <w:szCs w:val="21"/>
                <w:highlight w:val="none"/>
              </w:rPr>
              <w:t>敏感</w:t>
            </w:r>
          </w:p>
        </w:tc>
        <w:tc>
          <w:tcPr>
            <w:tcW w:w="674" w:type="dxa"/>
            <w:vAlign w:val="center"/>
          </w:tcPr>
          <w:p>
            <w:pPr>
              <w:pStyle w:val="64"/>
              <w:rPr>
                <w:rFonts w:hAnsi="宋体"/>
                <w:szCs w:val="21"/>
                <w:highlight w:val="none"/>
              </w:rPr>
            </w:pPr>
            <w:r>
              <w:rPr>
                <w:rFonts w:hAnsi="宋体"/>
                <w:szCs w:val="21"/>
                <w:highlight w:val="none"/>
              </w:rPr>
              <w:t>一级</w:t>
            </w:r>
          </w:p>
        </w:tc>
        <w:tc>
          <w:tcPr>
            <w:tcW w:w="671" w:type="dxa"/>
            <w:vAlign w:val="center"/>
          </w:tcPr>
          <w:p>
            <w:pPr>
              <w:pStyle w:val="64"/>
              <w:rPr>
                <w:rFonts w:hAnsi="宋体"/>
                <w:szCs w:val="21"/>
                <w:highlight w:val="none"/>
              </w:rPr>
            </w:pPr>
            <w:r>
              <w:rPr>
                <w:rFonts w:hAnsi="宋体"/>
                <w:szCs w:val="21"/>
                <w:highlight w:val="none"/>
              </w:rPr>
              <w:t>一级</w:t>
            </w:r>
          </w:p>
        </w:tc>
        <w:tc>
          <w:tcPr>
            <w:tcW w:w="673" w:type="dxa"/>
            <w:vAlign w:val="center"/>
          </w:tcPr>
          <w:p>
            <w:pPr>
              <w:pStyle w:val="64"/>
              <w:rPr>
                <w:rFonts w:hAnsi="宋体"/>
                <w:szCs w:val="21"/>
                <w:highlight w:val="none"/>
              </w:rPr>
            </w:pPr>
            <w:r>
              <w:rPr>
                <w:rFonts w:hAnsi="宋体"/>
                <w:szCs w:val="21"/>
                <w:highlight w:val="none"/>
              </w:rPr>
              <w:t>一级</w:t>
            </w:r>
          </w:p>
        </w:tc>
        <w:tc>
          <w:tcPr>
            <w:tcW w:w="671"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三级</w:t>
            </w:r>
          </w:p>
        </w:tc>
        <w:tc>
          <w:tcPr>
            <w:tcW w:w="671" w:type="dxa"/>
            <w:vAlign w:val="center"/>
          </w:tcPr>
          <w:p>
            <w:pPr>
              <w:pStyle w:val="64"/>
              <w:rPr>
                <w:rFonts w:hAnsi="宋体"/>
                <w:szCs w:val="21"/>
                <w:highlight w:val="none"/>
              </w:rPr>
            </w:pPr>
            <w:r>
              <w:rPr>
                <w:rFonts w:hAnsi="宋体"/>
                <w:szCs w:val="21"/>
                <w:highlight w:val="none"/>
              </w:rPr>
              <w:t>三级</w:t>
            </w:r>
          </w:p>
        </w:tc>
        <w:tc>
          <w:tcPr>
            <w:tcW w:w="659" w:type="dxa"/>
            <w:vAlign w:val="center"/>
          </w:tcPr>
          <w:p>
            <w:pPr>
              <w:pStyle w:val="64"/>
              <w:rPr>
                <w:rFonts w:hAnsi="宋体"/>
                <w:szCs w:val="21"/>
                <w:highlight w:val="none"/>
              </w:rPr>
            </w:pPr>
            <w:r>
              <w:rPr>
                <w:rFonts w:hAnsi="宋体"/>
                <w:szCs w:val="21"/>
                <w:highlight w:val="none"/>
              </w:rPr>
              <w:t>三级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801" w:type="dxa"/>
            <w:vAlign w:val="center"/>
          </w:tcPr>
          <w:p>
            <w:pPr>
              <w:pStyle w:val="64"/>
              <w:rPr>
                <w:rFonts w:hAnsi="宋体"/>
                <w:szCs w:val="21"/>
                <w:highlight w:val="none"/>
              </w:rPr>
            </w:pPr>
            <w:r>
              <w:rPr>
                <w:rFonts w:hAnsi="宋体"/>
                <w:szCs w:val="21"/>
                <w:highlight w:val="none"/>
              </w:rPr>
              <w:t>较敏感</w:t>
            </w:r>
          </w:p>
        </w:tc>
        <w:tc>
          <w:tcPr>
            <w:tcW w:w="674" w:type="dxa"/>
            <w:vAlign w:val="center"/>
          </w:tcPr>
          <w:p>
            <w:pPr>
              <w:pStyle w:val="64"/>
              <w:rPr>
                <w:rFonts w:hAnsi="宋体"/>
                <w:szCs w:val="21"/>
                <w:highlight w:val="none"/>
              </w:rPr>
            </w:pPr>
            <w:r>
              <w:rPr>
                <w:rFonts w:hAnsi="宋体"/>
                <w:szCs w:val="21"/>
                <w:highlight w:val="none"/>
              </w:rPr>
              <w:t>一级</w:t>
            </w:r>
          </w:p>
        </w:tc>
        <w:tc>
          <w:tcPr>
            <w:tcW w:w="671" w:type="dxa"/>
            <w:vAlign w:val="center"/>
          </w:tcPr>
          <w:p>
            <w:pPr>
              <w:pStyle w:val="64"/>
              <w:rPr>
                <w:rFonts w:hAnsi="宋体"/>
                <w:szCs w:val="21"/>
                <w:highlight w:val="none"/>
              </w:rPr>
            </w:pPr>
            <w:r>
              <w:rPr>
                <w:rFonts w:hAnsi="宋体"/>
                <w:szCs w:val="21"/>
                <w:highlight w:val="none"/>
              </w:rPr>
              <w:t>一级</w:t>
            </w:r>
          </w:p>
        </w:tc>
        <w:tc>
          <w:tcPr>
            <w:tcW w:w="673"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三级</w:t>
            </w:r>
          </w:p>
        </w:tc>
        <w:tc>
          <w:tcPr>
            <w:tcW w:w="671" w:type="dxa"/>
            <w:vAlign w:val="center"/>
          </w:tcPr>
          <w:p>
            <w:pPr>
              <w:pStyle w:val="64"/>
              <w:rPr>
                <w:rFonts w:hAnsi="宋体"/>
                <w:szCs w:val="21"/>
                <w:highlight w:val="none"/>
              </w:rPr>
            </w:pPr>
            <w:r>
              <w:rPr>
                <w:rFonts w:hAnsi="宋体"/>
                <w:szCs w:val="21"/>
                <w:highlight w:val="none"/>
              </w:rPr>
              <w:t>三级</w:t>
            </w:r>
          </w:p>
        </w:tc>
        <w:tc>
          <w:tcPr>
            <w:tcW w:w="671" w:type="dxa"/>
            <w:vAlign w:val="center"/>
          </w:tcPr>
          <w:p>
            <w:pPr>
              <w:pStyle w:val="64"/>
              <w:rPr>
                <w:rFonts w:hAnsi="宋体"/>
                <w:szCs w:val="21"/>
                <w:highlight w:val="none"/>
              </w:rPr>
            </w:pPr>
            <w:r>
              <w:rPr>
                <w:rFonts w:hAnsi="宋体"/>
                <w:szCs w:val="21"/>
                <w:highlight w:val="none"/>
              </w:rPr>
              <w:t>三级</w:t>
            </w:r>
          </w:p>
        </w:tc>
        <w:tc>
          <w:tcPr>
            <w:tcW w:w="659" w:type="dxa"/>
            <w:vAlign w:val="center"/>
          </w:tcPr>
          <w:p>
            <w:pPr>
              <w:pStyle w:val="64"/>
              <w:rPr>
                <w:rFonts w:hAnsi="宋体"/>
                <w:szCs w:val="21"/>
                <w:highlight w:val="none"/>
              </w:rPr>
            </w:pPr>
            <w:r>
              <w:rPr>
                <w:rFonts w:hAnsi="宋体"/>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801" w:type="dxa"/>
            <w:vAlign w:val="center"/>
          </w:tcPr>
          <w:p>
            <w:pPr>
              <w:pStyle w:val="64"/>
              <w:rPr>
                <w:rFonts w:hAnsi="宋体"/>
                <w:szCs w:val="21"/>
                <w:highlight w:val="none"/>
              </w:rPr>
            </w:pPr>
            <w:r>
              <w:rPr>
                <w:rFonts w:hAnsi="宋体"/>
                <w:szCs w:val="21"/>
                <w:highlight w:val="none"/>
              </w:rPr>
              <w:t>不敏感</w:t>
            </w:r>
          </w:p>
        </w:tc>
        <w:tc>
          <w:tcPr>
            <w:tcW w:w="674" w:type="dxa"/>
            <w:vAlign w:val="center"/>
          </w:tcPr>
          <w:p>
            <w:pPr>
              <w:pStyle w:val="64"/>
              <w:rPr>
                <w:rFonts w:hAnsi="宋体"/>
                <w:szCs w:val="21"/>
                <w:highlight w:val="none"/>
              </w:rPr>
            </w:pPr>
            <w:r>
              <w:rPr>
                <w:rFonts w:hAnsi="宋体"/>
                <w:szCs w:val="21"/>
                <w:highlight w:val="none"/>
              </w:rPr>
              <w:t>一级</w:t>
            </w:r>
          </w:p>
        </w:tc>
        <w:tc>
          <w:tcPr>
            <w:tcW w:w="671" w:type="dxa"/>
            <w:vAlign w:val="center"/>
          </w:tcPr>
          <w:p>
            <w:pPr>
              <w:pStyle w:val="64"/>
              <w:rPr>
                <w:rFonts w:hAnsi="宋体"/>
                <w:szCs w:val="21"/>
                <w:highlight w:val="none"/>
              </w:rPr>
            </w:pPr>
            <w:r>
              <w:rPr>
                <w:rFonts w:hAnsi="宋体"/>
                <w:szCs w:val="21"/>
                <w:highlight w:val="none"/>
              </w:rPr>
              <w:t>二级</w:t>
            </w:r>
          </w:p>
        </w:tc>
        <w:tc>
          <w:tcPr>
            <w:tcW w:w="673"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二级</w:t>
            </w:r>
          </w:p>
        </w:tc>
        <w:tc>
          <w:tcPr>
            <w:tcW w:w="671" w:type="dxa"/>
            <w:vAlign w:val="center"/>
          </w:tcPr>
          <w:p>
            <w:pPr>
              <w:pStyle w:val="64"/>
              <w:rPr>
                <w:rFonts w:hAnsi="宋体"/>
                <w:szCs w:val="21"/>
                <w:highlight w:val="none"/>
              </w:rPr>
            </w:pPr>
            <w:r>
              <w:rPr>
                <w:rFonts w:hAnsi="宋体"/>
                <w:szCs w:val="21"/>
                <w:highlight w:val="none"/>
              </w:rPr>
              <w:t>三级</w:t>
            </w:r>
          </w:p>
        </w:tc>
        <w:tc>
          <w:tcPr>
            <w:tcW w:w="671" w:type="dxa"/>
            <w:vAlign w:val="center"/>
          </w:tcPr>
          <w:p>
            <w:pPr>
              <w:pStyle w:val="64"/>
              <w:rPr>
                <w:rFonts w:hAnsi="宋体"/>
                <w:szCs w:val="21"/>
                <w:highlight w:val="none"/>
              </w:rPr>
            </w:pPr>
            <w:r>
              <w:rPr>
                <w:rFonts w:hAnsi="宋体"/>
                <w:szCs w:val="21"/>
                <w:highlight w:val="none"/>
              </w:rPr>
              <w:t>三级</w:t>
            </w:r>
          </w:p>
        </w:tc>
        <w:tc>
          <w:tcPr>
            <w:tcW w:w="671" w:type="dxa"/>
            <w:vAlign w:val="center"/>
          </w:tcPr>
          <w:p>
            <w:pPr>
              <w:pStyle w:val="64"/>
              <w:rPr>
                <w:rFonts w:hAnsi="宋体"/>
                <w:szCs w:val="21"/>
                <w:highlight w:val="none"/>
              </w:rPr>
            </w:pPr>
            <w:r>
              <w:rPr>
                <w:rFonts w:hAnsi="宋体"/>
                <w:szCs w:val="21"/>
                <w:highlight w:val="none"/>
              </w:rPr>
              <w:t>三级</w:t>
            </w:r>
          </w:p>
        </w:tc>
        <w:tc>
          <w:tcPr>
            <w:tcW w:w="671" w:type="dxa"/>
            <w:vAlign w:val="center"/>
          </w:tcPr>
          <w:p>
            <w:pPr>
              <w:pStyle w:val="64"/>
              <w:rPr>
                <w:rFonts w:hAnsi="宋体"/>
                <w:szCs w:val="21"/>
                <w:highlight w:val="none"/>
              </w:rPr>
            </w:pPr>
            <w:r>
              <w:rPr>
                <w:rFonts w:hAnsi="宋体"/>
                <w:szCs w:val="21"/>
                <w:highlight w:val="none"/>
              </w:rPr>
              <w:t>-</w:t>
            </w:r>
          </w:p>
        </w:tc>
        <w:tc>
          <w:tcPr>
            <w:tcW w:w="659" w:type="dxa"/>
            <w:vAlign w:val="center"/>
          </w:tcPr>
          <w:p>
            <w:pPr>
              <w:pStyle w:val="64"/>
              <w:rPr>
                <w:rFonts w:hAnsi="宋体"/>
                <w:szCs w:val="21"/>
                <w:highlight w:val="none"/>
              </w:rPr>
            </w:pPr>
            <w:r>
              <w:rPr>
                <w:rFonts w:hAnsi="宋体"/>
                <w:szCs w:val="21"/>
                <w:highlight w:val="none"/>
              </w:rPr>
              <w:t>-</w:t>
            </w:r>
          </w:p>
        </w:tc>
      </w:tr>
    </w:tbl>
    <w:p>
      <w:pPr>
        <w:pStyle w:val="62"/>
        <w:ind w:firstLine="480"/>
        <w:rPr>
          <w:rFonts w:hAnsi="宋体"/>
          <w:highlight w:val="none"/>
        </w:rPr>
      </w:pPr>
      <w:r>
        <w:rPr>
          <w:rFonts w:hAnsi="宋体"/>
          <w:highlight w:val="none"/>
        </w:rPr>
        <w:t>根据《环境影响评价技术导则土壤环境》(HJ964-2018)，确定本项目厂区土壤影响评价级别为三级。</w:t>
      </w:r>
    </w:p>
    <w:p>
      <w:pPr>
        <w:pStyle w:val="62"/>
        <w:ind w:firstLine="480"/>
        <w:rPr>
          <w:rFonts w:hAnsi="宋体"/>
          <w:highlight w:val="none"/>
        </w:rPr>
      </w:pPr>
      <w:r>
        <w:rPr>
          <w:rFonts w:hint="eastAsia" w:hAnsi="宋体"/>
          <w:highlight w:val="none"/>
        </w:rPr>
        <w:t>2、尾矿库判定</w:t>
      </w:r>
    </w:p>
    <w:p>
      <w:pPr>
        <w:pStyle w:val="62"/>
        <w:ind w:firstLine="480"/>
        <w:rPr>
          <w:rFonts w:hAnsi="宋体"/>
          <w:highlight w:val="none"/>
        </w:rPr>
      </w:pPr>
      <w:r>
        <w:rPr>
          <w:rFonts w:hint="eastAsia" w:hAnsi="宋体"/>
          <w:highlight w:val="none"/>
        </w:rPr>
        <w:t>根据《环境影响评价技术导则土壤环境》（HJ964-2018），尾矿库属于“以填埋方式处置一般工业固废”，属II类项目，尾矿库占地面积1.97hm</w:t>
      </w:r>
      <w:r>
        <w:rPr>
          <w:rFonts w:hint="eastAsia" w:hAnsi="宋体"/>
          <w:highlight w:val="none"/>
          <w:vertAlign w:val="superscript"/>
        </w:rPr>
        <w:t>2</w:t>
      </w:r>
      <w:r>
        <w:rPr>
          <w:rFonts w:hint="eastAsia" w:hAnsi="宋体"/>
          <w:highlight w:val="none"/>
        </w:rPr>
        <w:t>，占地类型为小型，周边存在耕地，敏感程度为敏感。因此，</w:t>
      </w:r>
      <w:r>
        <w:rPr>
          <w:rFonts w:hAnsi="宋体"/>
          <w:highlight w:val="none"/>
        </w:rPr>
        <w:t>根据《环境影响评价技术导则土壤环境》(HJ964-2018)，确定本项目</w:t>
      </w:r>
      <w:r>
        <w:rPr>
          <w:rFonts w:hint="eastAsia" w:hAnsi="宋体"/>
          <w:highlight w:val="none"/>
        </w:rPr>
        <w:t>尾矿库</w:t>
      </w:r>
      <w:r>
        <w:rPr>
          <w:rFonts w:hAnsi="宋体"/>
          <w:highlight w:val="none"/>
        </w:rPr>
        <w:t>土壤影响评价级别为</w:t>
      </w:r>
      <w:r>
        <w:rPr>
          <w:rFonts w:hint="eastAsia" w:hAnsi="宋体"/>
          <w:highlight w:val="none"/>
        </w:rPr>
        <w:t>二级。</w:t>
      </w:r>
    </w:p>
    <w:p>
      <w:pPr>
        <w:pStyle w:val="4"/>
        <w:ind w:firstLine="562"/>
        <w:rPr>
          <w:rFonts w:hAnsi="宋体"/>
          <w:highlight w:val="none"/>
        </w:rPr>
      </w:pPr>
      <w:r>
        <w:rPr>
          <w:rFonts w:hAnsi="宋体"/>
          <w:highlight w:val="none"/>
        </w:rPr>
        <w:t>2.4.7环境风险</w:t>
      </w:r>
    </w:p>
    <w:p>
      <w:pPr>
        <w:pStyle w:val="62"/>
        <w:ind w:firstLine="480"/>
        <w:rPr>
          <w:rFonts w:hAnsi="宋体"/>
          <w:highlight w:val="none"/>
        </w:rPr>
      </w:pPr>
      <w:r>
        <w:rPr>
          <w:rFonts w:hint="eastAsia" w:hAnsi="宋体"/>
          <w:highlight w:val="none"/>
        </w:rPr>
        <w:t>1、</w:t>
      </w:r>
      <w:r>
        <w:rPr>
          <w:rFonts w:hAnsi="宋体"/>
          <w:highlight w:val="none"/>
        </w:rPr>
        <w:t>危险物质数量与临界量比值(Q)</w:t>
      </w:r>
    </w:p>
    <w:p>
      <w:pPr>
        <w:pStyle w:val="62"/>
        <w:ind w:firstLine="480"/>
        <w:rPr>
          <w:rFonts w:hAnsi="宋体"/>
          <w:highlight w:val="none"/>
        </w:rPr>
      </w:pPr>
      <w:r>
        <w:rPr>
          <w:rFonts w:hAnsi="宋体"/>
          <w:highlight w:val="none"/>
        </w:rPr>
        <w:t>计算所涉及的每种危险物质在厂界内的最大存在总量与其在附录B中对应临界量的比值Q。在不同厂区的同一种物质，按其在厂界内的最大存在总量计算。当只涉及一种危险物质时，计算该物质的总量与其临界量比值，即为Q当存在多种危险物质时，则按式(C.1)计算物质总量与其临界量比值(Q)。</w:t>
      </w:r>
    </w:p>
    <w:p>
      <w:pPr>
        <w:spacing w:line="460" w:lineRule="atLeast"/>
        <w:ind w:left="240" w:leftChars="100" w:right="240" w:rightChars="100" w:firstLine="480" w:firstLineChars="0"/>
        <w:jc w:val="center"/>
        <w:rPr>
          <w:rFonts w:ascii="宋体" w:hAnsi="宋体"/>
          <w:kern w:val="0"/>
          <w:sz w:val="20"/>
          <w:szCs w:val="20"/>
          <w:highlight w:val="none"/>
        </w:rPr>
      </w:pPr>
      <w:r>
        <w:rPr>
          <w:rFonts w:ascii="宋体" w:hAnsi="宋体"/>
          <w:kern w:val="0"/>
          <w:sz w:val="20"/>
          <w:szCs w:val="20"/>
          <w:highlight w:val="none"/>
        </w:rPr>
        <w:drawing>
          <wp:inline distT="0" distB="0" distL="0" distR="0">
            <wp:extent cx="1614805" cy="487045"/>
            <wp:effectExtent l="0" t="0" r="4445" b="8255"/>
            <wp:docPr id="92" name="图片 92" descr="1553328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55332896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4805" cy="487045"/>
                    </a:xfrm>
                    <a:prstGeom prst="rect">
                      <a:avLst/>
                    </a:prstGeom>
                    <a:noFill/>
                    <a:ln>
                      <a:noFill/>
                    </a:ln>
                  </pic:spPr>
                </pic:pic>
              </a:graphicData>
            </a:graphic>
          </wp:inline>
        </w:drawing>
      </w:r>
    </w:p>
    <w:p>
      <w:pPr>
        <w:pStyle w:val="62"/>
        <w:ind w:firstLine="480"/>
        <w:rPr>
          <w:rFonts w:hAnsi="宋体"/>
          <w:highlight w:val="none"/>
        </w:rPr>
      </w:pPr>
      <w:r>
        <w:rPr>
          <w:rFonts w:hAnsi="宋体"/>
          <w:highlight w:val="none"/>
        </w:rPr>
        <w:t>式中：q1，q2，qn—每种危险物质的最大存在总量，t。</w:t>
      </w:r>
    </w:p>
    <w:p>
      <w:pPr>
        <w:pStyle w:val="62"/>
        <w:ind w:firstLine="480"/>
        <w:rPr>
          <w:rFonts w:hAnsi="宋体"/>
          <w:highlight w:val="none"/>
        </w:rPr>
      </w:pPr>
      <w:r>
        <w:rPr>
          <w:rFonts w:hAnsi="宋体"/>
          <w:highlight w:val="none"/>
        </w:rPr>
        <w:t>Q1，Q2，Qn—每种危险物质的临界量，t。</w:t>
      </w:r>
    </w:p>
    <w:p>
      <w:pPr>
        <w:pStyle w:val="62"/>
        <w:ind w:firstLine="480"/>
        <w:rPr>
          <w:rFonts w:hAnsi="宋体"/>
          <w:highlight w:val="none"/>
        </w:rPr>
      </w:pPr>
      <w:r>
        <w:rPr>
          <w:rFonts w:hAnsi="宋体"/>
          <w:highlight w:val="none"/>
        </w:rPr>
        <w:t>当Q&lt;1时，该项目环境风险潜势为I。当Q≥1时，将Q值划分为(1)1≤Q&lt;10；(2)10≤Q&lt;100；(3)Q≥100。</w:t>
      </w:r>
    </w:p>
    <w:p>
      <w:pPr>
        <w:pStyle w:val="62"/>
        <w:ind w:firstLine="480"/>
        <w:rPr>
          <w:rFonts w:hAnsi="宋体"/>
          <w:highlight w:val="none"/>
        </w:rPr>
      </w:pPr>
      <w:r>
        <w:rPr>
          <w:rFonts w:hAnsi="宋体"/>
          <w:highlight w:val="none"/>
        </w:rPr>
        <w:t>本项目涉及的危险物质主要为废机油，日常最大储量为0.</w:t>
      </w:r>
      <w:r>
        <w:rPr>
          <w:rFonts w:hint="eastAsia" w:hAnsi="宋体"/>
          <w:highlight w:val="none"/>
        </w:rPr>
        <w:t>5</w:t>
      </w:r>
      <w:r>
        <w:rPr>
          <w:rFonts w:hAnsi="宋体"/>
          <w:highlight w:val="none"/>
        </w:rPr>
        <w:t>t。由《建设项目环境风险评价技术导则》(HJ169-2018)附录B，油类物质（矿物油类）临界量为2500t，由公式计算可知，本项目Q=0.000</w:t>
      </w:r>
      <w:r>
        <w:rPr>
          <w:rFonts w:hint="eastAsia" w:hAnsi="宋体"/>
          <w:highlight w:val="none"/>
        </w:rPr>
        <w:t>2</w:t>
      </w:r>
      <w:r>
        <w:rPr>
          <w:rFonts w:hAnsi="宋体"/>
          <w:highlight w:val="none"/>
        </w:rPr>
        <w:t>，即Q&lt;1。由此可知，本项目危险物质数量与临界量比值（Q）小于1，该项目环境风险潜势为I。</w:t>
      </w:r>
    </w:p>
    <w:p>
      <w:pPr>
        <w:pStyle w:val="62"/>
        <w:ind w:firstLine="480"/>
        <w:rPr>
          <w:rFonts w:hAnsi="宋体"/>
          <w:highlight w:val="none"/>
        </w:rPr>
      </w:pPr>
      <w:r>
        <w:rPr>
          <w:rFonts w:hint="eastAsia" w:hAnsi="宋体"/>
          <w:highlight w:val="none"/>
        </w:rPr>
        <w:t>2、</w:t>
      </w:r>
      <w:r>
        <w:rPr>
          <w:rFonts w:hAnsi="宋体"/>
          <w:highlight w:val="none"/>
        </w:rPr>
        <w:t>评价工作等级划分</w:t>
      </w:r>
    </w:p>
    <w:p>
      <w:pPr>
        <w:pStyle w:val="62"/>
        <w:ind w:firstLine="480"/>
        <w:rPr>
          <w:rFonts w:hAnsi="宋体"/>
          <w:highlight w:val="none"/>
        </w:rPr>
      </w:pPr>
      <w:r>
        <w:rPr>
          <w:rFonts w:hAnsi="宋体"/>
          <w:highlight w:val="none"/>
        </w:rPr>
        <w:t>根据《建设项目环境风险评价技术导则》（HJ169-2018），环境风险评价等级划分依据见表2.4-</w:t>
      </w:r>
      <w:r>
        <w:rPr>
          <w:rFonts w:hint="eastAsia" w:hAnsi="宋体"/>
          <w:highlight w:val="none"/>
          <w:lang w:val="en-US" w:eastAsia="zh-CN"/>
        </w:rPr>
        <w:t>7</w:t>
      </w:r>
      <w:r>
        <w:rPr>
          <w:rFonts w:hAnsi="宋体"/>
          <w:highlight w:val="none"/>
        </w:rPr>
        <w:t>。</w:t>
      </w:r>
    </w:p>
    <w:p>
      <w:pPr>
        <w:pStyle w:val="65"/>
        <w:rPr>
          <w:rFonts w:hAnsi="宋体"/>
          <w:highlight w:val="none"/>
        </w:rPr>
      </w:pPr>
      <w:r>
        <w:rPr>
          <w:rFonts w:hAnsi="宋体"/>
          <w:highlight w:val="none"/>
        </w:rPr>
        <w:t>表2.4-</w:t>
      </w:r>
      <w:r>
        <w:rPr>
          <w:rFonts w:hint="eastAsia" w:hAnsi="宋体"/>
          <w:highlight w:val="none"/>
          <w:lang w:val="en-US" w:eastAsia="zh-CN"/>
        </w:rPr>
        <w:t>7</w:t>
      </w:r>
      <w:r>
        <w:rPr>
          <w:rFonts w:hint="eastAsia" w:hAnsi="宋体"/>
          <w:highlight w:val="none"/>
        </w:rPr>
        <w:t xml:space="preserve">  </w:t>
      </w:r>
      <w:r>
        <w:rPr>
          <w:rFonts w:hAnsi="宋体"/>
          <w:highlight w:val="none"/>
        </w:rPr>
        <w:t>评价工作等级划分</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86"/>
        <w:gridCol w:w="1789"/>
        <w:gridCol w:w="1789"/>
        <w:gridCol w:w="1789"/>
        <w:gridCol w:w="17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86" w:type="dxa"/>
            <w:vAlign w:val="center"/>
          </w:tcPr>
          <w:p>
            <w:pPr>
              <w:pStyle w:val="64"/>
              <w:rPr>
                <w:rFonts w:hAnsi="宋体"/>
                <w:highlight w:val="none"/>
              </w:rPr>
            </w:pPr>
            <w:r>
              <w:rPr>
                <w:rFonts w:hAnsi="宋体"/>
                <w:highlight w:val="none"/>
              </w:rPr>
              <w:t>环境风险潜势</w:t>
            </w:r>
          </w:p>
        </w:tc>
        <w:tc>
          <w:tcPr>
            <w:tcW w:w="1789" w:type="dxa"/>
            <w:vAlign w:val="center"/>
          </w:tcPr>
          <w:p>
            <w:pPr>
              <w:pStyle w:val="64"/>
              <w:rPr>
                <w:rFonts w:hAnsi="宋体"/>
                <w:highlight w:val="none"/>
              </w:rPr>
            </w:pPr>
            <w:r>
              <w:rPr>
                <w:rFonts w:hint="eastAsia" w:hAnsi="宋体"/>
                <w:highlight w:val="none"/>
              </w:rPr>
              <w:t>Ⅳ</w:t>
            </w:r>
            <w:r>
              <w:rPr>
                <w:rFonts w:hAnsi="宋体"/>
                <w:highlight w:val="none"/>
              </w:rPr>
              <w:t>、</w:t>
            </w:r>
            <w:r>
              <w:rPr>
                <w:rFonts w:hint="eastAsia" w:hAnsi="宋体"/>
                <w:highlight w:val="none"/>
              </w:rPr>
              <w:t>Ⅳ</w:t>
            </w:r>
            <w:r>
              <w:rPr>
                <w:rFonts w:hAnsi="宋体"/>
                <w:highlight w:val="none"/>
              </w:rPr>
              <w:t>+</w:t>
            </w:r>
          </w:p>
        </w:tc>
        <w:tc>
          <w:tcPr>
            <w:tcW w:w="1789" w:type="dxa"/>
            <w:vAlign w:val="center"/>
          </w:tcPr>
          <w:p>
            <w:pPr>
              <w:pStyle w:val="64"/>
              <w:rPr>
                <w:rFonts w:hAnsi="宋体"/>
                <w:highlight w:val="none"/>
              </w:rPr>
            </w:pPr>
            <w:r>
              <w:rPr>
                <w:rFonts w:hint="eastAsia" w:hAnsi="宋体"/>
                <w:highlight w:val="none"/>
              </w:rPr>
              <w:t>Ⅲ</w:t>
            </w:r>
          </w:p>
        </w:tc>
        <w:tc>
          <w:tcPr>
            <w:tcW w:w="1789" w:type="dxa"/>
            <w:vAlign w:val="center"/>
          </w:tcPr>
          <w:p>
            <w:pPr>
              <w:pStyle w:val="64"/>
              <w:rPr>
                <w:rFonts w:hAnsi="宋体"/>
                <w:highlight w:val="none"/>
              </w:rPr>
            </w:pPr>
            <w:r>
              <w:rPr>
                <w:rFonts w:hint="eastAsia" w:hAnsi="宋体"/>
                <w:highlight w:val="none"/>
              </w:rPr>
              <w:t>Ⅱ</w:t>
            </w:r>
          </w:p>
        </w:tc>
        <w:tc>
          <w:tcPr>
            <w:tcW w:w="1793" w:type="dxa"/>
            <w:vAlign w:val="center"/>
          </w:tcPr>
          <w:p>
            <w:pPr>
              <w:pStyle w:val="64"/>
              <w:rPr>
                <w:rFonts w:hAnsi="宋体"/>
                <w:highlight w:val="none"/>
              </w:rPr>
            </w:pPr>
            <w:r>
              <w:rPr>
                <w:rFonts w:hint="eastAsia" w:hAnsi="宋体"/>
                <w:highlight w:val="none"/>
              </w:rPr>
              <w:t>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86" w:type="dxa"/>
            <w:vAlign w:val="center"/>
          </w:tcPr>
          <w:p>
            <w:pPr>
              <w:pStyle w:val="64"/>
              <w:rPr>
                <w:rFonts w:hAnsi="宋体"/>
                <w:highlight w:val="none"/>
              </w:rPr>
            </w:pPr>
            <w:r>
              <w:rPr>
                <w:rFonts w:hAnsi="宋体"/>
                <w:highlight w:val="none"/>
              </w:rPr>
              <w:t>评价工作等级</w:t>
            </w:r>
          </w:p>
        </w:tc>
        <w:tc>
          <w:tcPr>
            <w:tcW w:w="1789" w:type="dxa"/>
            <w:vAlign w:val="center"/>
          </w:tcPr>
          <w:p>
            <w:pPr>
              <w:pStyle w:val="64"/>
              <w:rPr>
                <w:rFonts w:hAnsi="宋体"/>
                <w:highlight w:val="none"/>
              </w:rPr>
            </w:pPr>
            <w:r>
              <w:rPr>
                <w:rFonts w:hAnsi="宋体"/>
                <w:highlight w:val="none"/>
              </w:rPr>
              <w:t>一</w:t>
            </w:r>
          </w:p>
        </w:tc>
        <w:tc>
          <w:tcPr>
            <w:tcW w:w="1789" w:type="dxa"/>
            <w:vAlign w:val="center"/>
          </w:tcPr>
          <w:p>
            <w:pPr>
              <w:pStyle w:val="64"/>
              <w:rPr>
                <w:rFonts w:hAnsi="宋体"/>
                <w:highlight w:val="none"/>
              </w:rPr>
            </w:pPr>
            <w:r>
              <w:rPr>
                <w:rFonts w:hAnsi="宋体"/>
                <w:highlight w:val="none"/>
              </w:rPr>
              <w:t>二</w:t>
            </w:r>
          </w:p>
        </w:tc>
        <w:tc>
          <w:tcPr>
            <w:tcW w:w="1789" w:type="dxa"/>
            <w:vAlign w:val="center"/>
          </w:tcPr>
          <w:p>
            <w:pPr>
              <w:pStyle w:val="64"/>
              <w:rPr>
                <w:rFonts w:hAnsi="宋体"/>
                <w:highlight w:val="none"/>
              </w:rPr>
            </w:pPr>
            <w:r>
              <w:rPr>
                <w:rFonts w:hAnsi="宋体"/>
                <w:highlight w:val="none"/>
              </w:rPr>
              <w:t>三</w:t>
            </w:r>
          </w:p>
        </w:tc>
        <w:tc>
          <w:tcPr>
            <w:tcW w:w="1793" w:type="dxa"/>
            <w:vAlign w:val="center"/>
          </w:tcPr>
          <w:p>
            <w:pPr>
              <w:pStyle w:val="64"/>
              <w:rPr>
                <w:rFonts w:hAnsi="宋体"/>
                <w:highlight w:val="none"/>
              </w:rPr>
            </w:pPr>
            <w:r>
              <w:rPr>
                <w:rFonts w:hAnsi="宋体"/>
                <w:highlight w:val="none"/>
              </w:rPr>
              <w:t>简单分析a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946" w:type="dxa"/>
            <w:gridSpan w:val="5"/>
            <w:vAlign w:val="center"/>
          </w:tcPr>
          <w:p>
            <w:pPr>
              <w:pStyle w:val="64"/>
              <w:jc w:val="left"/>
              <w:rPr>
                <w:rFonts w:hAnsi="宋体"/>
                <w:highlight w:val="none"/>
              </w:rPr>
            </w:pPr>
            <w:r>
              <w:rPr>
                <w:rFonts w:hAnsi="宋体"/>
                <w:highlight w:val="none"/>
              </w:rPr>
              <w:t>a是相对于详细评价工作内容而言，在描述危险物质、环境影响途径、环境危害后果、风险防范措施等方面给出定性的说明。</w:t>
            </w:r>
          </w:p>
        </w:tc>
      </w:tr>
    </w:tbl>
    <w:p>
      <w:pPr>
        <w:pStyle w:val="62"/>
        <w:ind w:firstLine="480"/>
        <w:rPr>
          <w:rFonts w:hAnsi="宋体"/>
          <w:highlight w:val="none"/>
        </w:rPr>
      </w:pPr>
      <w:r>
        <w:rPr>
          <w:rFonts w:hAnsi="宋体"/>
          <w:highlight w:val="none"/>
        </w:rPr>
        <w:t>根据以上分析，评价工作等级划分，本项目环境风险评价工作等级为简单分析。</w:t>
      </w:r>
    </w:p>
    <w:p>
      <w:pPr>
        <w:pStyle w:val="3"/>
        <w:ind w:firstLine="643"/>
        <w:rPr>
          <w:rFonts w:hAnsi="宋体"/>
          <w:highlight w:val="none"/>
        </w:rPr>
      </w:pPr>
      <w:bookmarkStart w:id="91" w:name="_Toc1460917"/>
      <w:bookmarkStart w:id="92" w:name="_Toc70201014"/>
      <w:bookmarkStart w:id="93" w:name="_Toc4678391"/>
      <w:r>
        <w:rPr>
          <w:rFonts w:hAnsi="宋体"/>
          <w:highlight w:val="none"/>
        </w:rPr>
        <w:t>2.5评价范围</w:t>
      </w:r>
      <w:bookmarkEnd w:id="91"/>
      <w:bookmarkEnd w:id="92"/>
      <w:bookmarkEnd w:id="93"/>
    </w:p>
    <w:p>
      <w:pPr>
        <w:pStyle w:val="4"/>
        <w:ind w:firstLine="562"/>
        <w:rPr>
          <w:rFonts w:hAnsi="宋体"/>
          <w:highlight w:val="none"/>
        </w:rPr>
      </w:pPr>
      <w:bookmarkStart w:id="94" w:name="_Toc478404437"/>
      <w:bookmarkStart w:id="95" w:name="_Toc487302041"/>
      <w:bookmarkStart w:id="96" w:name="_Toc4678392"/>
      <w:r>
        <w:rPr>
          <w:rFonts w:hAnsi="宋体"/>
          <w:highlight w:val="none"/>
        </w:rPr>
        <w:t>2.5.1环境空气</w:t>
      </w:r>
      <w:bookmarkEnd w:id="94"/>
      <w:bookmarkEnd w:id="95"/>
      <w:r>
        <w:rPr>
          <w:rFonts w:hAnsi="宋体"/>
          <w:highlight w:val="none"/>
        </w:rPr>
        <w:t>评价范围</w:t>
      </w:r>
      <w:bookmarkEnd w:id="96"/>
    </w:p>
    <w:p>
      <w:pPr>
        <w:pStyle w:val="62"/>
        <w:ind w:firstLine="480"/>
        <w:rPr>
          <w:rFonts w:hAnsi="宋体"/>
          <w:highlight w:val="none"/>
        </w:rPr>
      </w:pPr>
      <w:bookmarkStart w:id="97" w:name="_Toc237404377"/>
      <w:bookmarkStart w:id="98" w:name="_Toc168481424"/>
      <w:bookmarkStart w:id="99" w:name="_Toc90519237"/>
      <w:r>
        <w:rPr>
          <w:rFonts w:hAnsi="宋体"/>
          <w:highlight w:val="none"/>
        </w:rPr>
        <w:t>根据《环境影响评价技术导则大气环境》（HJ2.2-2018）中评价范围的确定方法，结合本次工程大气污染排放特征、该地区主导风向、厂址周围关心点分布以及该地区地形地貌，确定本次大气环境影响评价范围以选矿厂为中心，边长为5km的矩形区域，共计约25km</w:t>
      </w:r>
      <w:r>
        <w:rPr>
          <w:rFonts w:hAnsi="宋体"/>
          <w:highlight w:val="none"/>
          <w:vertAlign w:val="superscript"/>
        </w:rPr>
        <w:t>2</w:t>
      </w:r>
      <w:bookmarkEnd w:id="97"/>
      <w:bookmarkEnd w:id="98"/>
      <w:bookmarkEnd w:id="99"/>
      <w:r>
        <w:rPr>
          <w:rFonts w:hAnsi="宋体"/>
          <w:highlight w:val="none"/>
        </w:rPr>
        <w:t>。</w:t>
      </w:r>
    </w:p>
    <w:p>
      <w:pPr>
        <w:pStyle w:val="4"/>
        <w:ind w:firstLine="562"/>
        <w:rPr>
          <w:rFonts w:hAnsi="宋体"/>
          <w:highlight w:val="none"/>
        </w:rPr>
      </w:pPr>
      <w:bookmarkStart w:id="100" w:name="_Toc4678393"/>
      <w:r>
        <w:rPr>
          <w:rFonts w:hAnsi="宋体"/>
          <w:highlight w:val="none"/>
        </w:rPr>
        <w:t>2.5.2地下水评价范围</w:t>
      </w:r>
      <w:bookmarkEnd w:id="100"/>
    </w:p>
    <w:p>
      <w:pPr>
        <w:pStyle w:val="62"/>
        <w:ind w:firstLine="480"/>
        <w:rPr>
          <w:b/>
          <w:bCs/>
          <w:highlight w:val="none"/>
        </w:rPr>
      </w:pPr>
      <w:bookmarkStart w:id="101" w:name="_Toc4678394"/>
      <w:r>
        <w:rPr>
          <w:rFonts w:hint="eastAsia"/>
          <w:highlight w:val="none"/>
        </w:rPr>
        <w:t>由于公式计算法和查表法均不能包括项目场地周边地下水环境保护目标，因此本次项目调查评价范围采用自定义法。根据本项目周边的地形地貌、地质、水文地质条件，结合地下水保护目标及周边特别是下游地下水可能被影响的区域，确定本项目现状调查评价范围为：北部以滹沱河为界，南部以1100m等水位线为界，西部、东部分别以厂区为中心外扩2.0km垂直等水位线为界，面积约20.41km</w:t>
      </w:r>
      <w:r>
        <w:rPr>
          <w:rFonts w:hint="eastAsia"/>
          <w:highlight w:val="none"/>
          <w:vertAlign w:val="superscript"/>
        </w:rPr>
        <w:t>2</w:t>
      </w:r>
      <w:r>
        <w:rPr>
          <w:rFonts w:hint="eastAsia"/>
          <w:highlight w:val="none"/>
        </w:rPr>
        <w:t>。</w:t>
      </w:r>
    </w:p>
    <w:p>
      <w:pPr>
        <w:pStyle w:val="4"/>
        <w:ind w:firstLine="562"/>
        <w:rPr>
          <w:rFonts w:hAnsi="宋体"/>
          <w:highlight w:val="none"/>
        </w:rPr>
      </w:pPr>
      <w:r>
        <w:rPr>
          <w:rFonts w:hAnsi="宋体"/>
          <w:highlight w:val="none"/>
        </w:rPr>
        <w:t>2.5.3声环境评价范围</w:t>
      </w:r>
      <w:bookmarkEnd w:id="101"/>
    </w:p>
    <w:p>
      <w:pPr>
        <w:pStyle w:val="62"/>
        <w:ind w:firstLine="480"/>
        <w:rPr>
          <w:rFonts w:hAnsi="宋体"/>
          <w:highlight w:val="none"/>
        </w:rPr>
      </w:pPr>
      <w:bookmarkStart w:id="102" w:name="_Toc323737984"/>
      <w:bookmarkStart w:id="103" w:name="_Toc478404440"/>
      <w:bookmarkStart w:id="104" w:name="_Toc487302044"/>
      <w:bookmarkStart w:id="105" w:name="_Toc4678395"/>
      <w:r>
        <w:rPr>
          <w:rFonts w:hAnsi="宋体"/>
          <w:highlight w:val="none"/>
        </w:rPr>
        <w:t>声环境评价范围为厂界范围外扩200m范围。</w:t>
      </w:r>
    </w:p>
    <w:p>
      <w:pPr>
        <w:pStyle w:val="4"/>
        <w:ind w:firstLine="562"/>
        <w:rPr>
          <w:rFonts w:hAnsi="宋体"/>
          <w:highlight w:val="none"/>
        </w:rPr>
      </w:pPr>
      <w:r>
        <w:rPr>
          <w:rFonts w:hAnsi="宋体"/>
          <w:highlight w:val="none"/>
        </w:rPr>
        <w:t>2.5.4生态环境</w:t>
      </w:r>
      <w:bookmarkEnd w:id="102"/>
      <w:bookmarkEnd w:id="103"/>
      <w:bookmarkEnd w:id="104"/>
      <w:r>
        <w:rPr>
          <w:rFonts w:hAnsi="宋体"/>
          <w:highlight w:val="none"/>
        </w:rPr>
        <w:t>评价范围</w:t>
      </w:r>
      <w:bookmarkEnd w:id="105"/>
    </w:p>
    <w:p>
      <w:pPr>
        <w:pStyle w:val="62"/>
        <w:ind w:firstLine="480"/>
        <w:rPr>
          <w:rFonts w:hAnsi="宋体"/>
          <w:highlight w:val="none"/>
        </w:rPr>
      </w:pPr>
      <w:r>
        <w:rPr>
          <w:rFonts w:hint="eastAsia" w:hAnsi="宋体"/>
          <w:highlight w:val="none"/>
        </w:rPr>
        <w:t>根据《导则》生态评价范围需充分考虑生态完整性，依据评价项目对生态因子的影响方式、影响程度和生态因子之间的相互影响和相互依存关系确定。本项目区域内无国家和山西省重点保护的野生动植物种类，考虑项目选矿厂、尾矿库施工期、运营期对四周的耕地、草地、动植物的扰动等影响方式、影响程度，500m范围外的生态环境基本不会受到本项目的影响，最终确定生态评价范围为：</w:t>
      </w:r>
    </w:p>
    <w:p>
      <w:pPr>
        <w:pStyle w:val="62"/>
        <w:ind w:firstLine="480"/>
        <w:rPr>
          <w:rFonts w:hAnsi="宋体"/>
          <w:highlight w:val="none"/>
        </w:rPr>
      </w:pPr>
      <w:r>
        <w:rPr>
          <w:rFonts w:hint="eastAsia" w:hAnsi="宋体"/>
          <w:highlight w:val="none"/>
        </w:rPr>
        <w:t>项目选矿场地用地范围内；</w:t>
      </w:r>
    </w:p>
    <w:p>
      <w:pPr>
        <w:pStyle w:val="62"/>
        <w:ind w:firstLine="480"/>
        <w:rPr>
          <w:rFonts w:hAnsi="宋体"/>
          <w:highlight w:val="none"/>
        </w:rPr>
      </w:pPr>
      <w:r>
        <w:rPr>
          <w:rFonts w:hint="eastAsia" w:hAnsi="宋体"/>
          <w:highlight w:val="none"/>
        </w:rPr>
        <w:t>项目尾矿库边界外扩500m。</w:t>
      </w:r>
    </w:p>
    <w:p>
      <w:pPr>
        <w:pStyle w:val="4"/>
        <w:ind w:firstLine="562"/>
        <w:rPr>
          <w:rFonts w:hAnsi="宋体"/>
          <w:highlight w:val="none"/>
        </w:rPr>
      </w:pPr>
      <w:r>
        <w:rPr>
          <w:rFonts w:hAnsi="宋体"/>
          <w:highlight w:val="none"/>
        </w:rPr>
        <w:t>2.5.5土壤环境评价范围</w:t>
      </w:r>
    </w:p>
    <w:p>
      <w:pPr>
        <w:pStyle w:val="62"/>
        <w:ind w:firstLine="480"/>
        <w:rPr>
          <w:rFonts w:hAnsi="宋体"/>
          <w:highlight w:val="none"/>
        </w:rPr>
      </w:pPr>
      <w:r>
        <w:rPr>
          <w:rFonts w:hAnsi="宋体"/>
          <w:highlight w:val="none"/>
        </w:rPr>
        <w:t>根据《环境影响评价技术导则土壤环境（试行）》（HJ964-2018）判定，</w:t>
      </w:r>
      <w:r>
        <w:rPr>
          <w:rFonts w:hint="eastAsia" w:hAnsi="宋体"/>
          <w:highlight w:val="none"/>
        </w:rPr>
        <w:t>项目选厂土壤为三级评价，尾矿库为二级评价。</w:t>
      </w:r>
    </w:p>
    <w:p>
      <w:pPr>
        <w:pStyle w:val="62"/>
        <w:ind w:firstLine="480"/>
        <w:rPr>
          <w:rFonts w:hAnsi="宋体"/>
          <w:highlight w:val="none"/>
        </w:rPr>
      </w:pPr>
      <w:r>
        <w:rPr>
          <w:rFonts w:hint="eastAsia" w:hAnsi="宋体"/>
          <w:highlight w:val="none"/>
        </w:rPr>
        <w:t>确定土壤评价范围为：</w:t>
      </w:r>
    </w:p>
    <w:p>
      <w:pPr>
        <w:pStyle w:val="62"/>
        <w:ind w:firstLine="480"/>
        <w:rPr>
          <w:rFonts w:hAnsi="宋体"/>
          <w:highlight w:val="none"/>
        </w:rPr>
      </w:pPr>
      <w:r>
        <w:rPr>
          <w:rFonts w:hint="eastAsia" w:hAnsi="宋体"/>
          <w:highlight w:val="none"/>
        </w:rPr>
        <w:t>1、厂址占地范围内的全部区域及边界外扩50米；</w:t>
      </w:r>
    </w:p>
    <w:p>
      <w:pPr>
        <w:pStyle w:val="62"/>
        <w:ind w:firstLine="480"/>
        <w:rPr>
          <w:rFonts w:hAnsi="宋体"/>
          <w:spacing w:val="4"/>
          <w:highlight w:val="none"/>
        </w:rPr>
      </w:pPr>
      <w:r>
        <w:rPr>
          <w:rFonts w:hint="eastAsia" w:hAnsi="宋体"/>
          <w:highlight w:val="none"/>
        </w:rPr>
        <w:t>2、尾矿库占地范围内</w:t>
      </w:r>
      <w:r>
        <w:rPr>
          <w:rFonts w:hint="eastAsia" w:hAnsi="宋体"/>
          <w:spacing w:val="4"/>
          <w:highlight w:val="none"/>
        </w:rPr>
        <w:t>的全部区域及边界外扩200米。</w:t>
      </w:r>
    </w:p>
    <w:p>
      <w:pPr>
        <w:pStyle w:val="3"/>
        <w:ind w:firstLine="643"/>
        <w:rPr>
          <w:rFonts w:hAnsi="宋体"/>
          <w:highlight w:val="none"/>
        </w:rPr>
      </w:pPr>
      <w:bookmarkStart w:id="106" w:name="_Toc1460918"/>
      <w:bookmarkStart w:id="107" w:name="_Toc4678397"/>
      <w:bookmarkStart w:id="108" w:name="_Toc70201015"/>
      <w:r>
        <w:rPr>
          <w:rFonts w:hAnsi="宋体"/>
          <w:highlight w:val="none"/>
        </w:rPr>
        <w:t>2.</w:t>
      </w:r>
      <w:bookmarkEnd w:id="106"/>
      <w:bookmarkEnd w:id="107"/>
      <w:r>
        <w:rPr>
          <w:rFonts w:hAnsi="宋体"/>
          <w:highlight w:val="none"/>
        </w:rPr>
        <w:t>6相关规划及环境功能区划</w:t>
      </w:r>
      <w:bookmarkEnd w:id="108"/>
    </w:p>
    <w:p>
      <w:pPr>
        <w:pStyle w:val="4"/>
        <w:ind w:firstLine="562"/>
        <w:rPr>
          <w:rFonts w:hAnsi="宋体"/>
          <w:highlight w:val="none"/>
        </w:rPr>
      </w:pPr>
      <w:bookmarkStart w:id="109" w:name="_Toc4678398"/>
      <w:bookmarkStart w:id="110" w:name="_Toc4678400"/>
      <w:r>
        <w:rPr>
          <w:rFonts w:hAnsi="宋体"/>
          <w:highlight w:val="none"/>
        </w:rPr>
        <w:t>2.6.1环境空气功能区划</w:t>
      </w:r>
      <w:bookmarkEnd w:id="109"/>
    </w:p>
    <w:p>
      <w:pPr>
        <w:adjustRightInd w:val="0"/>
        <w:snapToGrid w:val="0"/>
        <w:ind w:firstLine="496"/>
        <w:rPr>
          <w:rFonts w:ascii="宋体" w:hAnsi="宋体"/>
          <w:spacing w:val="4"/>
          <w:highlight w:val="none"/>
        </w:rPr>
      </w:pPr>
      <w:bookmarkStart w:id="111" w:name="_Toc4678399"/>
      <w:r>
        <w:rPr>
          <w:rFonts w:ascii="宋体" w:hAnsi="宋体"/>
          <w:spacing w:val="4"/>
          <w:highlight w:val="none"/>
        </w:rPr>
        <w:t>根据《环境空气质量标准》（GB3095-2012）的规定，本项目所在区域为二类区，执行《环境空气质量标准》中二级标准。</w:t>
      </w:r>
    </w:p>
    <w:p>
      <w:pPr>
        <w:pStyle w:val="4"/>
        <w:ind w:firstLine="562"/>
        <w:rPr>
          <w:rFonts w:hAnsi="宋体"/>
          <w:highlight w:val="none"/>
        </w:rPr>
      </w:pPr>
      <w:r>
        <w:rPr>
          <w:rFonts w:hAnsi="宋体"/>
          <w:highlight w:val="none"/>
        </w:rPr>
        <w:t>2.6.2地表水功能区划</w:t>
      </w:r>
    </w:p>
    <w:p>
      <w:pPr>
        <w:adjustRightInd w:val="0"/>
        <w:snapToGrid w:val="0"/>
        <w:ind w:firstLine="480"/>
        <w:rPr>
          <w:rFonts w:ascii="宋体" w:hAnsi="宋体"/>
          <w:spacing w:val="4"/>
          <w:highlight w:val="none"/>
        </w:rPr>
      </w:pPr>
      <w:r>
        <w:rPr>
          <w:rFonts w:hint="eastAsia" w:ascii="宋体" w:hAnsi="宋体"/>
          <w:highlight w:val="none"/>
        </w:rPr>
        <w:t>根据《山西省地表水环境功能区划》（DB14/67-2019），本项目受纳水体滹沱河，属源头—下茹越水库出口段，水环境功能为一般源头水、地表水饮用水源补给区水源保护，功能代码为32一般鱼类用水与一般源头水区、22地表水饮用水源补给区和地下水水质重点保护河段，水质要求为Ⅲ类</w:t>
      </w:r>
      <w:r>
        <w:rPr>
          <w:rFonts w:ascii="宋体" w:hAnsi="宋体"/>
          <w:highlight w:val="none"/>
        </w:rPr>
        <w:t>。</w:t>
      </w:r>
    </w:p>
    <w:p>
      <w:pPr>
        <w:pStyle w:val="4"/>
        <w:ind w:firstLine="562"/>
        <w:rPr>
          <w:rFonts w:hAnsi="宋体"/>
          <w:highlight w:val="none"/>
        </w:rPr>
      </w:pPr>
      <w:r>
        <w:rPr>
          <w:rFonts w:hAnsi="宋体"/>
          <w:highlight w:val="none"/>
        </w:rPr>
        <w:t>2.6.3地下水环境功能区划</w:t>
      </w:r>
      <w:bookmarkEnd w:id="111"/>
    </w:p>
    <w:p>
      <w:pPr>
        <w:adjustRightInd w:val="0"/>
        <w:snapToGrid w:val="0"/>
        <w:ind w:firstLine="496"/>
        <w:rPr>
          <w:rFonts w:ascii="宋体" w:hAnsi="宋体"/>
          <w:spacing w:val="4"/>
          <w:highlight w:val="none"/>
        </w:rPr>
      </w:pPr>
      <w:r>
        <w:rPr>
          <w:rFonts w:ascii="宋体" w:hAnsi="宋体"/>
          <w:spacing w:val="4"/>
          <w:highlight w:val="none"/>
        </w:rPr>
        <w:t>根据《地下水质量标准》（GB/T14848-2017），评价区执行地下水Ⅲ类标准。</w:t>
      </w:r>
    </w:p>
    <w:p>
      <w:pPr>
        <w:pStyle w:val="4"/>
        <w:ind w:firstLine="562"/>
        <w:rPr>
          <w:rFonts w:hAnsi="宋体"/>
          <w:highlight w:val="none"/>
        </w:rPr>
      </w:pPr>
      <w:r>
        <w:rPr>
          <w:rFonts w:hAnsi="宋体"/>
          <w:highlight w:val="none"/>
        </w:rPr>
        <w:t>2.6.4声环境功能区划</w:t>
      </w:r>
      <w:bookmarkEnd w:id="110"/>
    </w:p>
    <w:p>
      <w:pPr>
        <w:adjustRightInd w:val="0"/>
        <w:snapToGrid w:val="0"/>
        <w:ind w:firstLine="496"/>
        <w:rPr>
          <w:rFonts w:ascii="宋体" w:hAnsi="宋体"/>
          <w:spacing w:val="4"/>
          <w:highlight w:val="none"/>
        </w:rPr>
      </w:pPr>
      <w:r>
        <w:rPr>
          <w:rFonts w:ascii="宋体" w:hAnsi="宋体"/>
          <w:spacing w:val="4"/>
          <w:highlight w:val="none"/>
        </w:rPr>
        <w:t>本项目所处区域属于农村地区，项目周边声环境执行《声环境质量标准》（GB3096-2008）1类标准。</w:t>
      </w:r>
    </w:p>
    <w:p>
      <w:pPr>
        <w:pStyle w:val="4"/>
        <w:ind w:firstLine="562"/>
        <w:rPr>
          <w:rFonts w:hAnsi="宋体"/>
          <w:highlight w:val="none"/>
        </w:rPr>
      </w:pPr>
      <w:bookmarkStart w:id="112" w:name="_Toc4678401"/>
      <w:r>
        <w:rPr>
          <w:rFonts w:hAnsi="宋体"/>
          <w:highlight w:val="none"/>
        </w:rPr>
        <w:t>2.6.5</w:t>
      </w:r>
      <w:r>
        <w:rPr>
          <w:rFonts w:hint="eastAsia" w:hAnsi="宋体"/>
          <w:highlight w:val="none"/>
        </w:rPr>
        <w:t>《</w:t>
      </w:r>
      <w:r>
        <w:rPr>
          <w:rFonts w:hAnsi="宋体"/>
          <w:highlight w:val="none"/>
        </w:rPr>
        <w:t>山西省主体功能区划</w:t>
      </w:r>
      <w:r>
        <w:rPr>
          <w:rFonts w:hint="eastAsia" w:hAnsi="宋体"/>
          <w:highlight w:val="none"/>
        </w:rPr>
        <w:t>》</w:t>
      </w:r>
    </w:p>
    <w:p>
      <w:pPr>
        <w:ind w:firstLine="496"/>
        <w:rPr>
          <w:rFonts w:ascii="宋体" w:hAnsi="宋体"/>
          <w:bCs/>
          <w:spacing w:val="4"/>
          <w:highlight w:val="none"/>
        </w:rPr>
      </w:pPr>
      <w:r>
        <w:rPr>
          <w:rFonts w:hint="eastAsia" w:ascii="宋体" w:hAnsi="宋体"/>
          <w:bCs/>
          <w:spacing w:val="4"/>
          <w:highlight w:val="none"/>
        </w:rPr>
        <w:t>《山西省生态功能区划》分为5个生态区、15个生态亚区、44个生态功能区。</w:t>
      </w:r>
    </w:p>
    <w:p>
      <w:pPr>
        <w:ind w:firstLine="496"/>
        <w:rPr>
          <w:rFonts w:ascii="宋体" w:hAnsi="宋体"/>
          <w:bCs/>
          <w:spacing w:val="4"/>
          <w:highlight w:val="none"/>
        </w:rPr>
      </w:pPr>
      <w:r>
        <w:rPr>
          <w:rFonts w:hint="eastAsia" w:ascii="宋体" w:hAnsi="宋体"/>
          <w:bCs/>
          <w:spacing w:val="4"/>
          <w:highlight w:val="none"/>
        </w:rPr>
        <w:t>依据区域主导生态功能，44个生态功能区可归属为6类生态功能区。其中：水土保持和风沙控制类型生态功能区8个，煤炭、有色金属开发与生态系统恢复类型生态功能区8个，山地丘陵水源涵养、生物多样性保护和自然景观保护类型生态功能区8个，农牧业生产类型为主的生态功能区13个，水库调蓄与水土保持类型生态功能区1个，城市发展与城郊、盆地农业类型生态功能区6个。</w:t>
      </w:r>
    </w:p>
    <w:p>
      <w:pPr>
        <w:ind w:firstLine="496"/>
        <w:rPr>
          <w:rFonts w:ascii="宋体" w:hAnsi="宋体"/>
          <w:bCs/>
          <w:spacing w:val="4"/>
          <w:highlight w:val="none"/>
        </w:rPr>
      </w:pPr>
      <w:r>
        <w:rPr>
          <w:rFonts w:hint="eastAsia" w:ascii="宋体" w:hAnsi="宋体"/>
          <w:bCs/>
          <w:spacing w:val="4"/>
          <w:highlight w:val="none"/>
        </w:rPr>
        <w:t>本项目位于“ⅢA-1滹沱河上游农林牧业及风沙控制生态功能区”，主要产业发展方向为：</w:t>
      </w:r>
    </w:p>
    <w:p>
      <w:pPr>
        <w:ind w:firstLine="496"/>
        <w:rPr>
          <w:rFonts w:ascii="宋体" w:hAnsi="宋体"/>
          <w:bCs/>
          <w:spacing w:val="4"/>
          <w:highlight w:val="none"/>
        </w:rPr>
      </w:pPr>
      <w:r>
        <w:rPr>
          <w:rFonts w:hint="eastAsia" w:ascii="宋体" w:hAnsi="宋体"/>
          <w:bCs/>
          <w:spacing w:val="4"/>
          <w:highlight w:val="none"/>
        </w:rPr>
        <w:t>1、农业：调整农业结构。结构调整要向深层次推进，统一规划，因地制宜，合理、优化配置资源，突出主导产业和主导产品的培育和发展，发挥特色资源优势，建立合理的农业生态系统。整合资源，充分发挥区域优势，实施特色农业工程。</w:t>
      </w:r>
    </w:p>
    <w:p>
      <w:pPr>
        <w:ind w:firstLine="496"/>
        <w:rPr>
          <w:rFonts w:ascii="宋体" w:hAnsi="宋体"/>
          <w:bCs/>
          <w:spacing w:val="4"/>
          <w:highlight w:val="none"/>
        </w:rPr>
      </w:pPr>
      <w:r>
        <w:rPr>
          <w:rFonts w:hint="eastAsia" w:ascii="宋体" w:hAnsi="宋体"/>
          <w:bCs/>
          <w:spacing w:val="4"/>
          <w:highlight w:val="none"/>
        </w:rPr>
        <w:t>2、农副产品加工业：大力推进农村工业化，发展农副产品加工业。围绕特色农业和农产品基地建设，培育和壮大一批生产规模大，农副产品流通快，市场覆盖广，辐射能力强，能带动农民增收致富的农副产品加工龙头企业。</w:t>
      </w:r>
    </w:p>
    <w:p>
      <w:pPr>
        <w:ind w:firstLine="496"/>
        <w:rPr>
          <w:rFonts w:ascii="宋体" w:hAnsi="宋体"/>
          <w:bCs/>
          <w:spacing w:val="4"/>
          <w:highlight w:val="none"/>
        </w:rPr>
      </w:pPr>
      <w:r>
        <w:rPr>
          <w:rFonts w:hint="eastAsia" w:ascii="宋体" w:hAnsi="宋体"/>
          <w:bCs/>
          <w:spacing w:val="4"/>
          <w:highlight w:val="none"/>
        </w:rPr>
        <w:t>3、旅游：合理开发旅游资源。从严控制重点风景名胜区的旅游开发，合理设计旅游线路，确定旅游区的游客容量，使旅游容量与有效保护文物古迹和生态环境承载能力相适应；旅游设施建设要与自然景观相协调。</w:t>
      </w:r>
    </w:p>
    <w:p>
      <w:pPr>
        <w:ind w:firstLine="496"/>
        <w:rPr>
          <w:rFonts w:ascii="宋体" w:hAnsi="宋体"/>
          <w:bCs/>
          <w:spacing w:val="4"/>
          <w:highlight w:val="none"/>
        </w:rPr>
      </w:pPr>
      <w:r>
        <w:rPr>
          <w:rFonts w:hint="eastAsia" w:ascii="宋体" w:hAnsi="宋体"/>
          <w:bCs/>
          <w:spacing w:val="4"/>
          <w:highlight w:val="none"/>
        </w:rPr>
        <w:t>本项目位于繁峙县光裕堡乡富家庄村东南1.52km处，占地不属于基本农田，不违背山西省生态功能区划的要求。</w:t>
      </w:r>
    </w:p>
    <w:p>
      <w:pPr>
        <w:ind w:firstLine="496"/>
        <w:rPr>
          <w:rFonts w:ascii="宋体" w:hAnsi="宋体"/>
          <w:bCs/>
          <w:spacing w:val="4"/>
          <w:highlight w:val="none"/>
        </w:rPr>
      </w:pPr>
      <w:r>
        <w:rPr>
          <w:rFonts w:ascii="宋体" w:hAnsi="宋体"/>
          <w:bCs/>
          <w:spacing w:val="4"/>
          <w:highlight w:val="none"/>
        </w:rPr>
        <w:t>本项目施工期严格控制施工范围，并做好生态保护措施，减缓对四周的破坏；项目建设后加强硬化和绿化，大气污染物达标排放，生产废水全部回用不外排，减少水土流失。因此项目建设不违背《山西省主体功能区划》的发展方向要求。</w:t>
      </w:r>
    </w:p>
    <w:p>
      <w:pPr>
        <w:ind w:firstLine="480"/>
        <w:rPr>
          <w:rFonts w:ascii="宋体" w:hAnsi="宋体"/>
          <w:highlight w:val="none"/>
        </w:rPr>
      </w:pPr>
      <w:r>
        <w:rPr>
          <w:rFonts w:hint="eastAsia" w:ascii="宋体" w:hAnsi="宋体"/>
          <w:highlight w:val="none"/>
        </w:rPr>
        <w:t>本项目与山西省主体功能区划图相对位置关系图见附图2-1。</w:t>
      </w:r>
    </w:p>
    <w:p>
      <w:pPr>
        <w:pStyle w:val="4"/>
        <w:ind w:firstLine="562"/>
        <w:rPr>
          <w:rFonts w:hAnsi="宋体"/>
          <w:highlight w:val="none"/>
        </w:rPr>
      </w:pPr>
      <w:r>
        <w:rPr>
          <w:rFonts w:hint="eastAsia" w:hAnsi="宋体"/>
          <w:highlight w:val="none"/>
        </w:rPr>
        <w:t>2.6.6繁峙县城市总体规划(2012-2030)</w:t>
      </w:r>
    </w:p>
    <w:p>
      <w:pPr>
        <w:ind w:firstLine="496"/>
        <w:rPr>
          <w:rFonts w:hint="eastAsia" w:ascii="宋体" w:hAnsi="宋体"/>
          <w:spacing w:val="4"/>
          <w:highlight w:val="none"/>
          <w:lang w:val="en-US" w:eastAsia="zh-CN"/>
        </w:rPr>
      </w:pPr>
      <w:r>
        <w:rPr>
          <w:rFonts w:hint="eastAsia" w:ascii="宋体" w:hAnsi="宋体"/>
          <w:spacing w:val="4"/>
          <w:highlight w:val="none"/>
          <w:lang w:val="en-US" w:eastAsia="zh-CN"/>
        </w:rPr>
        <w:t>略</w:t>
      </w:r>
    </w:p>
    <w:p>
      <w:pPr>
        <w:pStyle w:val="4"/>
        <w:ind w:firstLine="562"/>
        <w:rPr>
          <w:rFonts w:hAnsi="宋体"/>
          <w:highlight w:val="none"/>
        </w:rPr>
      </w:pPr>
      <w:r>
        <w:rPr>
          <w:rFonts w:hAnsi="宋体"/>
          <w:highlight w:val="none"/>
        </w:rPr>
        <w:t>2.6.</w:t>
      </w:r>
      <w:r>
        <w:rPr>
          <w:rFonts w:hint="eastAsia" w:hAnsi="宋体"/>
          <w:highlight w:val="none"/>
        </w:rPr>
        <w:t>7</w:t>
      </w:r>
      <w:r>
        <w:rPr>
          <w:rFonts w:hAnsi="宋体"/>
          <w:highlight w:val="none"/>
        </w:rPr>
        <w:t>繁峙县生态功能区划</w:t>
      </w:r>
      <w:bookmarkEnd w:id="112"/>
    </w:p>
    <w:p>
      <w:pPr>
        <w:ind w:firstLine="496"/>
        <w:rPr>
          <w:rFonts w:hint="eastAsia" w:ascii="宋体" w:hAnsi="宋体"/>
          <w:spacing w:val="4"/>
          <w:highlight w:val="none"/>
          <w:lang w:val="en-US" w:eastAsia="zh-CN"/>
        </w:rPr>
      </w:pPr>
      <w:r>
        <w:rPr>
          <w:rFonts w:hint="eastAsia" w:ascii="宋体" w:hAnsi="宋体"/>
          <w:spacing w:val="4"/>
          <w:highlight w:val="none"/>
          <w:lang w:val="en-US" w:eastAsia="zh-CN"/>
        </w:rPr>
        <w:t>略</w:t>
      </w:r>
    </w:p>
    <w:p>
      <w:pPr>
        <w:pStyle w:val="4"/>
        <w:ind w:firstLine="562"/>
        <w:rPr>
          <w:rFonts w:hAnsi="宋体"/>
          <w:highlight w:val="none"/>
        </w:rPr>
      </w:pPr>
      <w:r>
        <w:rPr>
          <w:rFonts w:hAnsi="宋体"/>
          <w:highlight w:val="none"/>
        </w:rPr>
        <w:t>2.6.</w:t>
      </w:r>
      <w:r>
        <w:rPr>
          <w:rFonts w:hint="eastAsia" w:hAnsi="宋体"/>
          <w:highlight w:val="none"/>
        </w:rPr>
        <w:t>8</w:t>
      </w:r>
      <w:r>
        <w:rPr>
          <w:rFonts w:hAnsi="宋体"/>
          <w:highlight w:val="none"/>
        </w:rPr>
        <w:t>繁峙县生态经济区划</w:t>
      </w:r>
    </w:p>
    <w:p>
      <w:pPr>
        <w:ind w:firstLine="496"/>
        <w:rPr>
          <w:rFonts w:hint="eastAsia" w:ascii="宋体" w:hAnsi="宋体" w:eastAsia="宋体"/>
          <w:spacing w:val="4"/>
          <w:highlight w:val="none"/>
          <w:lang w:eastAsia="zh-CN"/>
        </w:rPr>
      </w:pPr>
      <w:bookmarkStart w:id="113" w:name="_Toc4678402"/>
      <w:bookmarkStart w:id="114" w:name="_Toc1460919"/>
      <w:r>
        <w:rPr>
          <w:rFonts w:hint="eastAsia" w:ascii="宋体" w:hAnsi="宋体"/>
          <w:spacing w:val="4"/>
          <w:highlight w:val="none"/>
          <w:lang w:eastAsia="zh-CN"/>
        </w:rPr>
        <w:t>略</w:t>
      </w:r>
    </w:p>
    <w:p>
      <w:pPr>
        <w:pStyle w:val="3"/>
        <w:ind w:firstLine="643"/>
        <w:rPr>
          <w:rFonts w:hAnsi="宋体"/>
          <w:highlight w:val="none"/>
        </w:rPr>
      </w:pPr>
      <w:bookmarkStart w:id="115" w:name="_Toc70201016"/>
      <w:r>
        <w:rPr>
          <w:rFonts w:hAnsi="宋体"/>
          <w:highlight w:val="none"/>
        </w:rPr>
        <w:t>2.7环境保护目标</w:t>
      </w:r>
      <w:bookmarkEnd w:id="113"/>
      <w:bookmarkEnd w:id="114"/>
      <w:bookmarkEnd w:id="115"/>
    </w:p>
    <w:p>
      <w:pPr>
        <w:snapToGrid w:val="0"/>
        <w:ind w:firstLine="480"/>
        <w:jc w:val="left"/>
        <w:rPr>
          <w:rFonts w:ascii="宋体" w:hAnsi="宋体"/>
          <w:highlight w:val="none"/>
        </w:rPr>
      </w:pPr>
      <w:r>
        <w:rPr>
          <w:rFonts w:ascii="宋体" w:hAnsi="宋体"/>
          <w:highlight w:val="none"/>
        </w:rPr>
        <w:t>根据建设项目工程分析和当地自然环境及生态环境状况，确定本项目环境保护目标</w:t>
      </w:r>
      <w:r>
        <w:rPr>
          <w:rFonts w:hint="eastAsia" w:ascii="宋体" w:hAnsi="宋体"/>
          <w:highlight w:val="none"/>
        </w:rPr>
        <w:t>。</w:t>
      </w:r>
      <w:r>
        <w:rPr>
          <w:rFonts w:ascii="宋体" w:hAnsi="宋体"/>
          <w:highlight w:val="none"/>
        </w:rPr>
        <w:t>项目厂址环境保护目标及敏感点见表2.7-1和表2.7-2</w:t>
      </w:r>
      <w:r>
        <w:rPr>
          <w:rFonts w:hint="eastAsia" w:ascii="宋体" w:hAnsi="宋体"/>
          <w:highlight w:val="none"/>
        </w:rPr>
        <w:t>。本</w:t>
      </w:r>
      <w:r>
        <w:rPr>
          <w:rFonts w:ascii="宋体" w:hAnsi="宋体"/>
          <w:highlight w:val="none"/>
        </w:rPr>
        <w:t>项目</w:t>
      </w:r>
      <w:r>
        <w:rPr>
          <w:rFonts w:hint="eastAsia" w:ascii="宋体" w:hAnsi="宋体"/>
          <w:highlight w:val="none"/>
        </w:rPr>
        <w:t>大气</w:t>
      </w:r>
      <w:r>
        <w:rPr>
          <w:rFonts w:ascii="宋体" w:hAnsi="宋体"/>
          <w:highlight w:val="none"/>
        </w:rPr>
        <w:t>环境保护目标图见</w:t>
      </w:r>
      <w:r>
        <w:rPr>
          <w:rFonts w:hint="eastAsia" w:ascii="宋体" w:hAnsi="宋体"/>
          <w:highlight w:val="none"/>
        </w:rPr>
        <w:t>附</w:t>
      </w:r>
      <w:r>
        <w:rPr>
          <w:rFonts w:ascii="宋体" w:hAnsi="宋体"/>
          <w:highlight w:val="none"/>
        </w:rPr>
        <w:t>图2</w:t>
      </w:r>
      <w:r>
        <w:rPr>
          <w:rFonts w:hint="eastAsia" w:ascii="宋体" w:hAnsi="宋体"/>
          <w:highlight w:val="none"/>
        </w:rPr>
        <w:t>-5</w:t>
      </w:r>
      <w:r>
        <w:rPr>
          <w:rFonts w:ascii="宋体" w:hAnsi="宋体"/>
          <w:highlight w:val="none"/>
        </w:rPr>
        <w:t>和</w:t>
      </w:r>
      <w:r>
        <w:rPr>
          <w:rFonts w:hint="eastAsia" w:ascii="宋体" w:hAnsi="宋体"/>
          <w:highlight w:val="none"/>
        </w:rPr>
        <w:t>本</w:t>
      </w:r>
      <w:r>
        <w:rPr>
          <w:rFonts w:ascii="宋体" w:hAnsi="宋体"/>
          <w:highlight w:val="none"/>
        </w:rPr>
        <w:t>项目</w:t>
      </w:r>
      <w:r>
        <w:rPr>
          <w:rFonts w:hint="eastAsia" w:ascii="宋体" w:hAnsi="宋体"/>
          <w:highlight w:val="none"/>
        </w:rPr>
        <w:t>地下水</w:t>
      </w:r>
      <w:r>
        <w:rPr>
          <w:rFonts w:ascii="宋体" w:hAnsi="宋体"/>
          <w:highlight w:val="none"/>
        </w:rPr>
        <w:t>环境保护目标图见</w:t>
      </w:r>
      <w:r>
        <w:rPr>
          <w:rFonts w:hint="eastAsia" w:ascii="宋体" w:hAnsi="宋体"/>
          <w:highlight w:val="none"/>
        </w:rPr>
        <w:t>附</w:t>
      </w:r>
      <w:r>
        <w:rPr>
          <w:rFonts w:ascii="宋体" w:hAnsi="宋体"/>
          <w:highlight w:val="none"/>
        </w:rPr>
        <w:t>图2</w:t>
      </w:r>
      <w:r>
        <w:rPr>
          <w:rFonts w:hint="eastAsia" w:ascii="宋体" w:hAnsi="宋体"/>
          <w:highlight w:val="none"/>
        </w:rPr>
        <w:t>-6</w:t>
      </w:r>
      <w:r>
        <w:rPr>
          <w:rFonts w:ascii="宋体" w:hAnsi="宋体"/>
          <w:highlight w:val="none"/>
        </w:rPr>
        <w:t>。</w:t>
      </w:r>
    </w:p>
    <w:p>
      <w:pPr>
        <w:pStyle w:val="65"/>
        <w:rPr>
          <w:rFonts w:hAnsi="宋体"/>
          <w:highlight w:val="none"/>
        </w:rPr>
      </w:pPr>
      <w:r>
        <w:rPr>
          <w:rFonts w:hAnsi="宋体"/>
          <w:highlight w:val="none"/>
        </w:rPr>
        <w:t>表2.7-1</w:t>
      </w:r>
      <w:r>
        <w:rPr>
          <w:rFonts w:hint="eastAsia" w:hAnsi="宋体"/>
          <w:highlight w:val="none"/>
          <w:lang w:val="en-US" w:eastAsia="zh-CN"/>
        </w:rPr>
        <w:t xml:space="preserve">  </w:t>
      </w:r>
      <w:r>
        <w:rPr>
          <w:rFonts w:hAnsi="宋体"/>
          <w:highlight w:val="none"/>
        </w:rPr>
        <w:t>本项目环境空气环境保护目标表</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76"/>
        <w:gridCol w:w="1302"/>
        <w:gridCol w:w="1186"/>
        <w:gridCol w:w="734"/>
        <w:gridCol w:w="1202"/>
        <w:gridCol w:w="1696"/>
        <w:gridCol w:w="850"/>
        <w:gridCol w:w="9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7" w:hRule="atLeast"/>
        </w:trPr>
        <w:tc>
          <w:tcPr>
            <w:tcW w:w="1076" w:type="dxa"/>
            <w:vMerge w:val="restart"/>
            <w:vAlign w:val="center"/>
          </w:tcPr>
          <w:p>
            <w:pPr>
              <w:pStyle w:val="64"/>
              <w:rPr>
                <w:rFonts w:hAnsi="宋体"/>
                <w:highlight w:val="none"/>
              </w:rPr>
            </w:pPr>
            <w:r>
              <w:rPr>
                <w:rFonts w:hint="eastAsia" w:hAnsi="宋体"/>
                <w:highlight w:val="none"/>
              </w:rPr>
              <w:t>名称</w:t>
            </w:r>
          </w:p>
        </w:tc>
        <w:tc>
          <w:tcPr>
            <w:tcW w:w="2488" w:type="dxa"/>
            <w:gridSpan w:val="2"/>
            <w:vAlign w:val="center"/>
          </w:tcPr>
          <w:p>
            <w:pPr>
              <w:pStyle w:val="64"/>
              <w:rPr>
                <w:rFonts w:hAnsi="宋体"/>
                <w:highlight w:val="none"/>
              </w:rPr>
            </w:pPr>
            <w:r>
              <w:rPr>
                <w:rFonts w:hint="eastAsia" w:hAnsi="宋体"/>
                <w:highlight w:val="none"/>
              </w:rPr>
              <w:t>坐标</w:t>
            </w:r>
          </w:p>
        </w:tc>
        <w:tc>
          <w:tcPr>
            <w:tcW w:w="734" w:type="dxa"/>
            <w:vMerge w:val="restart"/>
            <w:vAlign w:val="center"/>
          </w:tcPr>
          <w:p>
            <w:pPr>
              <w:pStyle w:val="64"/>
              <w:rPr>
                <w:rFonts w:hAnsi="宋体"/>
                <w:highlight w:val="none"/>
              </w:rPr>
            </w:pPr>
            <w:r>
              <w:rPr>
                <w:rFonts w:hint="eastAsia" w:hAnsi="宋体"/>
                <w:highlight w:val="none"/>
              </w:rPr>
              <w:t>保护</w:t>
            </w:r>
          </w:p>
          <w:p>
            <w:pPr>
              <w:pStyle w:val="64"/>
              <w:rPr>
                <w:rFonts w:hAnsi="宋体"/>
                <w:highlight w:val="none"/>
              </w:rPr>
            </w:pPr>
            <w:r>
              <w:rPr>
                <w:rFonts w:hint="eastAsia" w:hAnsi="宋体"/>
                <w:highlight w:val="none"/>
              </w:rPr>
              <w:t>对象</w:t>
            </w:r>
          </w:p>
        </w:tc>
        <w:tc>
          <w:tcPr>
            <w:tcW w:w="1202" w:type="dxa"/>
            <w:vMerge w:val="restart"/>
            <w:vAlign w:val="center"/>
          </w:tcPr>
          <w:p>
            <w:pPr>
              <w:pStyle w:val="64"/>
              <w:rPr>
                <w:rFonts w:hAnsi="宋体"/>
                <w:highlight w:val="none"/>
              </w:rPr>
            </w:pPr>
            <w:r>
              <w:rPr>
                <w:rFonts w:hint="eastAsia" w:hAnsi="宋体"/>
                <w:highlight w:val="none"/>
              </w:rPr>
              <w:t>保护内容</w:t>
            </w:r>
          </w:p>
        </w:tc>
        <w:tc>
          <w:tcPr>
            <w:tcW w:w="1696" w:type="dxa"/>
            <w:vMerge w:val="restart"/>
            <w:vAlign w:val="center"/>
          </w:tcPr>
          <w:p>
            <w:pPr>
              <w:pStyle w:val="64"/>
              <w:rPr>
                <w:rFonts w:hAnsi="宋体"/>
                <w:highlight w:val="none"/>
              </w:rPr>
            </w:pPr>
            <w:r>
              <w:rPr>
                <w:rFonts w:hint="eastAsia" w:hAnsi="宋体"/>
                <w:highlight w:val="none"/>
              </w:rPr>
              <w:t>控制目标</w:t>
            </w:r>
          </w:p>
        </w:tc>
        <w:tc>
          <w:tcPr>
            <w:tcW w:w="850" w:type="dxa"/>
            <w:vMerge w:val="restart"/>
            <w:vAlign w:val="center"/>
          </w:tcPr>
          <w:p>
            <w:pPr>
              <w:pStyle w:val="64"/>
              <w:rPr>
                <w:rFonts w:hAnsi="宋体"/>
                <w:highlight w:val="none"/>
              </w:rPr>
            </w:pPr>
            <w:r>
              <w:rPr>
                <w:rFonts w:hint="eastAsia" w:hAnsi="宋体"/>
                <w:highlight w:val="none"/>
              </w:rPr>
              <w:t>相对厂址方位</w:t>
            </w:r>
          </w:p>
        </w:tc>
        <w:tc>
          <w:tcPr>
            <w:tcW w:w="900" w:type="dxa"/>
            <w:vMerge w:val="restart"/>
            <w:vAlign w:val="center"/>
          </w:tcPr>
          <w:p>
            <w:pPr>
              <w:pStyle w:val="64"/>
              <w:rPr>
                <w:rFonts w:hAnsi="宋体"/>
                <w:highlight w:val="none"/>
              </w:rPr>
            </w:pPr>
            <w:r>
              <w:rPr>
                <w:rFonts w:hint="eastAsia" w:hAnsi="宋体"/>
                <w:highlight w:val="none"/>
              </w:rPr>
              <w:t>距厂界（km）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4" w:hRule="atLeast"/>
        </w:trPr>
        <w:tc>
          <w:tcPr>
            <w:tcW w:w="1076" w:type="dxa"/>
            <w:vMerge w:val="continue"/>
            <w:vAlign w:val="center"/>
          </w:tcPr>
          <w:p>
            <w:pPr>
              <w:pStyle w:val="64"/>
              <w:rPr>
                <w:rFonts w:hAnsi="宋体"/>
                <w:highlight w:val="none"/>
              </w:rPr>
            </w:pPr>
          </w:p>
        </w:tc>
        <w:tc>
          <w:tcPr>
            <w:tcW w:w="1302" w:type="dxa"/>
            <w:vAlign w:val="center"/>
          </w:tcPr>
          <w:p>
            <w:pPr>
              <w:pStyle w:val="64"/>
              <w:rPr>
                <w:rFonts w:hAnsi="宋体"/>
                <w:highlight w:val="none"/>
              </w:rPr>
            </w:pPr>
            <w:r>
              <w:rPr>
                <w:rFonts w:hint="eastAsia" w:hAnsi="宋体"/>
                <w:highlight w:val="none"/>
              </w:rPr>
              <w:t>X</w:t>
            </w:r>
          </w:p>
        </w:tc>
        <w:tc>
          <w:tcPr>
            <w:tcW w:w="1186" w:type="dxa"/>
            <w:vAlign w:val="center"/>
          </w:tcPr>
          <w:p>
            <w:pPr>
              <w:pStyle w:val="64"/>
              <w:rPr>
                <w:rFonts w:hAnsi="宋体"/>
                <w:highlight w:val="none"/>
              </w:rPr>
            </w:pPr>
            <w:r>
              <w:rPr>
                <w:rFonts w:hint="eastAsia" w:hAnsi="宋体"/>
                <w:highlight w:val="none"/>
              </w:rPr>
              <w:t>Y</w:t>
            </w:r>
          </w:p>
        </w:tc>
        <w:tc>
          <w:tcPr>
            <w:tcW w:w="734" w:type="dxa"/>
            <w:vMerge w:val="continue"/>
            <w:vAlign w:val="center"/>
          </w:tcPr>
          <w:p>
            <w:pPr>
              <w:pStyle w:val="64"/>
              <w:rPr>
                <w:rFonts w:hAnsi="宋体"/>
                <w:highlight w:val="none"/>
              </w:rPr>
            </w:pPr>
          </w:p>
        </w:tc>
        <w:tc>
          <w:tcPr>
            <w:tcW w:w="1202" w:type="dxa"/>
            <w:vMerge w:val="continue"/>
            <w:vAlign w:val="center"/>
          </w:tcPr>
          <w:p>
            <w:pPr>
              <w:pStyle w:val="64"/>
              <w:rPr>
                <w:rFonts w:hAnsi="宋体"/>
                <w:highlight w:val="none"/>
              </w:rPr>
            </w:pPr>
          </w:p>
        </w:tc>
        <w:tc>
          <w:tcPr>
            <w:tcW w:w="1696" w:type="dxa"/>
            <w:vMerge w:val="continue"/>
            <w:vAlign w:val="center"/>
          </w:tcPr>
          <w:p>
            <w:pPr>
              <w:pStyle w:val="64"/>
              <w:rPr>
                <w:rFonts w:hAnsi="宋体"/>
                <w:highlight w:val="none"/>
              </w:rPr>
            </w:pPr>
          </w:p>
        </w:tc>
        <w:tc>
          <w:tcPr>
            <w:tcW w:w="850" w:type="dxa"/>
            <w:vMerge w:val="continue"/>
            <w:vAlign w:val="center"/>
          </w:tcPr>
          <w:p>
            <w:pPr>
              <w:pStyle w:val="64"/>
              <w:rPr>
                <w:rFonts w:hAnsi="宋体"/>
                <w:highlight w:val="none"/>
              </w:rPr>
            </w:pPr>
          </w:p>
        </w:tc>
        <w:tc>
          <w:tcPr>
            <w:tcW w:w="900"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076" w:type="dxa"/>
            <w:vAlign w:val="center"/>
          </w:tcPr>
          <w:p>
            <w:pPr>
              <w:pStyle w:val="64"/>
              <w:rPr>
                <w:rFonts w:hAnsi="宋体"/>
                <w:highlight w:val="none"/>
              </w:rPr>
            </w:pPr>
            <w:r>
              <w:rPr>
                <w:rFonts w:hint="eastAsia" w:hAnsi="宋体"/>
                <w:highlight w:val="none"/>
              </w:rPr>
              <w:t>富家庄村</w:t>
            </w:r>
          </w:p>
        </w:tc>
        <w:tc>
          <w:tcPr>
            <w:tcW w:w="1302" w:type="dxa"/>
            <w:vAlign w:val="center"/>
          </w:tcPr>
          <w:p>
            <w:pPr>
              <w:pStyle w:val="64"/>
              <w:rPr>
                <w:rFonts w:hAnsi="宋体"/>
                <w:highlight w:val="none"/>
              </w:rPr>
            </w:pPr>
            <w:r>
              <w:rPr>
                <w:rFonts w:hAnsi="宋体"/>
                <w:highlight w:val="none"/>
              </w:rPr>
              <w:t>113.43293</w:t>
            </w:r>
            <w:r>
              <w:rPr>
                <w:rFonts w:hint="eastAsia" w:hAnsi="宋体"/>
                <w:highlight w:val="none"/>
              </w:rPr>
              <w:t>7</w:t>
            </w:r>
          </w:p>
        </w:tc>
        <w:tc>
          <w:tcPr>
            <w:tcW w:w="1186" w:type="dxa"/>
            <w:vAlign w:val="center"/>
          </w:tcPr>
          <w:p>
            <w:pPr>
              <w:pStyle w:val="64"/>
              <w:rPr>
                <w:rFonts w:hAnsi="宋体"/>
                <w:highlight w:val="none"/>
              </w:rPr>
            </w:pPr>
            <w:r>
              <w:rPr>
                <w:rFonts w:hAnsi="宋体"/>
                <w:highlight w:val="none"/>
              </w:rPr>
              <w:t>39.214666</w:t>
            </w:r>
          </w:p>
        </w:tc>
        <w:tc>
          <w:tcPr>
            <w:tcW w:w="734" w:type="dxa"/>
            <w:vAlign w:val="center"/>
          </w:tcPr>
          <w:p>
            <w:pPr>
              <w:pStyle w:val="64"/>
              <w:rPr>
                <w:rFonts w:hAnsi="宋体"/>
                <w:highlight w:val="none"/>
              </w:rPr>
            </w:pPr>
            <w:r>
              <w:rPr>
                <w:rFonts w:hint="eastAsia" w:hAnsi="宋体"/>
                <w:highlight w:val="none"/>
              </w:rPr>
              <w:t>居民</w:t>
            </w:r>
          </w:p>
        </w:tc>
        <w:tc>
          <w:tcPr>
            <w:tcW w:w="1202" w:type="dxa"/>
            <w:vAlign w:val="center"/>
          </w:tcPr>
          <w:p>
            <w:pPr>
              <w:pStyle w:val="64"/>
              <w:rPr>
                <w:rFonts w:hAnsi="宋体"/>
                <w:highlight w:val="none"/>
              </w:rPr>
            </w:pPr>
            <w:r>
              <w:rPr>
                <w:rFonts w:hint="eastAsia" w:hAnsi="宋体"/>
                <w:highlight w:val="none"/>
              </w:rPr>
              <w:t>环境空气</w:t>
            </w:r>
          </w:p>
        </w:tc>
        <w:tc>
          <w:tcPr>
            <w:tcW w:w="1696" w:type="dxa"/>
            <w:vMerge w:val="restart"/>
            <w:vAlign w:val="center"/>
          </w:tcPr>
          <w:p>
            <w:pPr>
              <w:pStyle w:val="64"/>
              <w:rPr>
                <w:rFonts w:hAnsi="宋体"/>
                <w:highlight w:val="none"/>
              </w:rPr>
            </w:pPr>
            <w:r>
              <w:rPr>
                <w:rFonts w:hint="eastAsia" w:hAnsi="宋体"/>
                <w:highlight w:val="none"/>
              </w:rPr>
              <w:t>《环境空气质量标准》</w:t>
            </w:r>
            <w:r>
              <w:rPr>
                <w:rFonts w:hAnsi="宋体"/>
                <w:highlight w:val="none"/>
              </w:rPr>
              <w:t>(GB30952012)</w:t>
            </w:r>
            <w:r>
              <w:rPr>
                <w:rFonts w:hint="eastAsia" w:hAnsi="宋体"/>
                <w:highlight w:val="none"/>
              </w:rPr>
              <w:t>中二级标准</w:t>
            </w:r>
          </w:p>
        </w:tc>
        <w:tc>
          <w:tcPr>
            <w:tcW w:w="850" w:type="dxa"/>
            <w:vAlign w:val="center"/>
          </w:tcPr>
          <w:p>
            <w:pPr>
              <w:pStyle w:val="64"/>
              <w:rPr>
                <w:rFonts w:hAnsi="宋体"/>
                <w:highlight w:val="none"/>
              </w:rPr>
            </w:pPr>
            <w:r>
              <w:rPr>
                <w:rFonts w:hint="eastAsia" w:hAnsi="宋体"/>
                <w:highlight w:val="none"/>
              </w:rPr>
              <w:t>西北</w:t>
            </w:r>
          </w:p>
        </w:tc>
        <w:tc>
          <w:tcPr>
            <w:tcW w:w="900" w:type="dxa"/>
            <w:vAlign w:val="center"/>
          </w:tcPr>
          <w:p>
            <w:pPr>
              <w:pStyle w:val="64"/>
              <w:rPr>
                <w:rFonts w:hAnsi="宋体"/>
                <w:highlight w:val="none"/>
              </w:rPr>
            </w:pPr>
            <w:r>
              <w:rPr>
                <w:rFonts w:hint="eastAsia" w:hAnsi="宋体"/>
                <w:highlight w:val="none"/>
              </w:rPr>
              <w:t>1.52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076" w:type="dxa"/>
            <w:vAlign w:val="center"/>
          </w:tcPr>
          <w:p>
            <w:pPr>
              <w:pStyle w:val="64"/>
              <w:rPr>
                <w:rFonts w:hAnsi="宋体"/>
                <w:highlight w:val="none"/>
              </w:rPr>
            </w:pPr>
            <w:r>
              <w:rPr>
                <w:rFonts w:hint="eastAsia" w:hAnsi="宋体"/>
                <w:highlight w:val="none"/>
              </w:rPr>
              <w:t>西坡头村</w:t>
            </w:r>
          </w:p>
        </w:tc>
        <w:tc>
          <w:tcPr>
            <w:tcW w:w="1302" w:type="dxa"/>
            <w:vAlign w:val="center"/>
          </w:tcPr>
          <w:p>
            <w:pPr>
              <w:pStyle w:val="64"/>
              <w:rPr>
                <w:rFonts w:hAnsi="宋体"/>
                <w:highlight w:val="none"/>
              </w:rPr>
            </w:pPr>
            <w:r>
              <w:rPr>
                <w:rFonts w:hAnsi="宋体"/>
                <w:highlight w:val="none"/>
              </w:rPr>
              <w:t>113.45761</w:t>
            </w:r>
            <w:r>
              <w:rPr>
                <w:rFonts w:hint="eastAsia" w:hAnsi="宋体"/>
                <w:highlight w:val="none"/>
              </w:rPr>
              <w:t>3</w:t>
            </w:r>
          </w:p>
        </w:tc>
        <w:tc>
          <w:tcPr>
            <w:tcW w:w="1186" w:type="dxa"/>
            <w:vAlign w:val="center"/>
          </w:tcPr>
          <w:p>
            <w:pPr>
              <w:pStyle w:val="64"/>
              <w:rPr>
                <w:rFonts w:hAnsi="宋体"/>
                <w:highlight w:val="none"/>
              </w:rPr>
            </w:pPr>
            <w:r>
              <w:rPr>
                <w:rFonts w:hAnsi="宋体"/>
                <w:highlight w:val="none"/>
              </w:rPr>
              <w:t>39.22254</w:t>
            </w:r>
            <w:r>
              <w:rPr>
                <w:rFonts w:hint="eastAsia" w:hAnsi="宋体"/>
                <w:highlight w:val="none"/>
              </w:rPr>
              <w:t>6</w:t>
            </w:r>
          </w:p>
        </w:tc>
        <w:tc>
          <w:tcPr>
            <w:tcW w:w="734" w:type="dxa"/>
            <w:vAlign w:val="center"/>
          </w:tcPr>
          <w:p>
            <w:pPr>
              <w:pStyle w:val="64"/>
              <w:rPr>
                <w:rFonts w:hAnsi="宋体"/>
                <w:highlight w:val="none"/>
              </w:rPr>
            </w:pPr>
            <w:r>
              <w:rPr>
                <w:rFonts w:hint="eastAsia" w:hAnsi="宋体"/>
                <w:highlight w:val="none"/>
              </w:rPr>
              <w:t>居民</w:t>
            </w:r>
          </w:p>
        </w:tc>
        <w:tc>
          <w:tcPr>
            <w:tcW w:w="1202" w:type="dxa"/>
            <w:vAlign w:val="center"/>
          </w:tcPr>
          <w:p>
            <w:pPr>
              <w:pStyle w:val="64"/>
              <w:rPr>
                <w:rFonts w:hAnsi="宋体"/>
                <w:highlight w:val="none"/>
              </w:rPr>
            </w:pPr>
            <w:r>
              <w:rPr>
                <w:rFonts w:hint="eastAsia" w:hAnsi="宋体"/>
                <w:highlight w:val="none"/>
              </w:rPr>
              <w:t>环境空气</w:t>
            </w:r>
          </w:p>
        </w:tc>
        <w:tc>
          <w:tcPr>
            <w:tcW w:w="1696" w:type="dxa"/>
            <w:vMerge w:val="continue"/>
            <w:vAlign w:val="center"/>
          </w:tcPr>
          <w:p>
            <w:pPr>
              <w:pStyle w:val="64"/>
              <w:rPr>
                <w:rFonts w:hAnsi="宋体"/>
                <w:highlight w:val="none"/>
              </w:rPr>
            </w:pPr>
          </w:p>
        </w:tc>
        <w:tc>
          <w:tcPr>
            <w:tcW w:w="850" w:type="dxa"/>
            <w:vAlign w:val="center"/>
          </w:tcPr>
          <w:p>
            <w:pPr>
              <w:pStyle w:val="64"/>
              <w:rPr>
                <w:rFonts w:hAnsi="宋体"/>
                <w:highlight w:val="none"/>
              </w:rPr>
            </w:pPr>
            <w:r>
              <w:rPr>
                <w:rFonts w:hint="eastAsia" w:hAnsi="宋体"/>
                <w:highlight w:val="none"/>
              </w:rPr>
              <w:t>东北</w:t>
            </w:r>
          </w:p>
        </w:tc>
        <w:tc>
          <w:tcPr>
            <w:tcW w:w="900" w:type="dxa"/>
            <w:vAlign w:val="center"/>
          </w:tcPr>
          <w:p>
            <w:pPr>
              <w:pStyle w:val="64"/>
              <w:rPr>
                <w:rFonts w:hAnsi="宋体"/>
                <w:highlight w:val="none"/>
              </w:rPr>
            </w:pPr>
            <w:r>
              <w:rPr>
                <w:rFonts w:hint="eastAsia" w:hAnsi="宋体"/>
                <w:highlight w:val="none"/>
              </w:rPr>
              <w:t>2.13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076" w:type="dxa"/>
            <w:vAlign w:val="center"/>
          </w:tcPr>
          <w:p>
            <w:pPr>
              <w:pStyle w:val="64"/>
              <w:rPr>
                <w:rFonts w:hAnsi="宋体"/>
                <w:highlight w:val="none"/>
              </w:rPr>
            </w:pPr>
            <w:r>
              <w:rPr>
                <w:rFonts w:hint="eastAsia" w:hAnsi="宋体"/>
                <w:highlight w:val="none"/>
              </w:rPr>
              <w:t>东坡头村</w:t>
            </w:r>
          </w:p>
        </w:tc>
        <w:tc>
          <w:tcPr>
            <w:tcW w:w="1302" w:type="dxa"/>
            <w:vAlign w:val="center"/>
          </w:tcPr>
          <w:p>
            <w:pPr>
              <w:pStyle w:val="64"/>
              <w:rPr>
                <w:rFonts w:hAnsi="宋体"/>
                <w:highlight w:val="none"/>
              </w:rPr>
            </w:pPr>
            <w:r>
              <w:rPr>
                <w:rFonts w:hAnsi="宋体"/>
                <w:highlight w:val="none"/>
              </w:rPr>
              <w:t>113.46379</w:t>
            </w:r>
            <w:r>
              <w:rPr>
                <w:rFonts w:hint="eastAsia" w:hAnsi="宋体"/>
                <w:highlight w:val="none"/>
              </w:rPr>
              <w:t>3</w:t>
            </w:r>
          </w:p>
        </w:tc>
        <w:tc>
          <w:tcPr>
            <w:tcW w:w="1186" w:type="dxa"/>
            <w:vAlign w:val="center"/>
          </w:tcPr>
          <w:p>
            <w:pPr>
              <w:pStyle w:val="64"/>
              <w:rPr>
                <w:rFonts w:hAnsi="宋体"/>
                <w:highlight w:val="none"/>
              </w:rPr>
            </w:pPr>
            <w:r>
              <w:rPr>
                <w:rFonts w:hAnsi="宋体"/>
                <w:highlight w:val="none"/>
              </w:rPr>
              <w:t>39.224906</w:t>
            </w:r>
          </w:p>
        </w:tc>
        <w:tc>
          <w:tcPr>
            <w:tcW w:w="734" w:type="dxa"/>
            <w:vAlign w:val="center"/>
          </w:tcPr>
          <w:p>
            <w:pPr>
              <w:pStyle w:val="64"/>
              <w:rPr>
                <w:rFonts w:hAnsi="宋体"/>
                <w:highlight w:val="none"/>
              </w:rPr>
            </w:pPr>
            <w:r>
              <w:rPr>
                <w:rFonts w:hint="eastAsia" w:hAnsi="宋体"/>
                <w:highlight w:val="none"/>
              </w:rPr>
              <w:t>居民</w:t>
            </w:r>
          </w:p>
        </w:tc>
        <w:tc>
          <w:tcPr>
            <w:tcW w:w="1202" w:type="dxa"/>
            <w:vAlign w:val="center"/>
          </w:tcPr>
          <w:p>
            <w:pPr>
              <w:pStyle w:val="64"/>
              <w:rPr>
                <w:rFonts w:hAnsi="宋体"/>
                <w:highlight w:val="none"/>
              </w:rPr>
            </w:pPr>
            <w:r>
              <w:rPr>
                <w:rFonts w:hint="eastAsia" w:hAnsi="宋体"/>
                <w:highlight w:val="none"/>
              </w:rPr>
              <w:t>环境空气</w:t>
            </w:r>
          </w:p>
        </w:tc>
        <w:tc>
          <w:tcPr>
            <w:tcW w:w="1696" w:type="dxa"/>
            <w:vMerge w:val="continue"/>
            <w:vAlign w:val="center"/>
          </w:tcPr>
          <w:p>
            <w:pPr>
              <w:pStyle w:val="64"/>
              <w:rPr>
                <w:rFonts w:hAnsi="宋体"/>
                <w:highlight w:val="none"/>
              </w:rPr>
            </w:pPr>
          </w:p>
        </w:tc>
        <w:tc>
          <w:tcPr>
            <w:tcW w:w="850" w:type="dxa"/>
            <w:vAlign w:val="center"/>
          </w:tcPr>
          <w:p>
            <w:pPr>
              <w:pStyle w:val="64"/>
              <w:rPr>
                <w:rFonts w:hAnsi="宋体"/>
                <w:highlight w:val="none"/>
              </w:rPr>
            </w:pPr>
            <w:r>
              <w:rPr>
                <w:rFonts w:hint="eastAsia" w:hAnsi="宋体"/>
                <w:highlight w:val="none"/>
              </w:rPr>
              <w:t>东北</w:t>
            </w:r>
          </w:p>
        </w:tc>
        <w:tc>
          <w:tcPr>
            <w:tcW w:w="900" w:type="dxa"/>
            <w:vAlign w:val="center"/>
          </w:tcPr>
          <w:p>
            <w:pPr>
              <w:pStyle w:val="64"/>
              <w:rPr>
                <w:rFonts w:hAnsi="宋体"/>
                <w:highlight w:val="none"/>
              </w:rPr>
            </w:pPr>
            <w:r>
              <w:rPr>
                <w:rFonts w:hint="eastAsia" w:hAnsi="宋体"/>
                <w:highlight w:val="none"/>
              </w:rPr>
              <w:t>2.6</w:t>
            </w:r>
          </w:p>
        </w:tc>
      </w:tr>
    </w:tbl>
    <w:p>
      <w:pPr>
        <w:pStyle w:val="65"/>
        <w:rPr>
          <w:rFonts w:hAnsi="宋体"/>
          <w:highlight w:val="none"/>
        </w:rPr>
      </w:pPr>
      <w:r>
        <w:rPr>
          <w:rFonts w:hAnsi="宋体"/>
          <w:highlight w:val="none"/>
        </w:rPr>
        <w:t>续表2</w:t>
      </w:r>
      <w:r>
        <w:rPr>
          <w:rFonts w:hint="eastAsia" w:hAnsi="宋体"/>
          <w:highlight w:val="none"/>
        </w:rPr>
        <w:t>.7</w:t>
      </w:r>
      <w:r>
        <w:rPr>
          <w:rFonts w:hAnsi="宋体"/>
          <w:highlight w:val="none"/>
        </w:rPr>
        <w:t>-</w:t>
      </w:r>
      <w:r>
        <w:rPr>
          <w:rFonts w:hint="eastAsia" w:hAnsi="宋体"/>
          <w:highlight w:val="none"/>
        </w:rPr>
        <w:t>1</w:t>
      </w:r>
      <w:r>
        <w:rPr>
          <w:rFonts w:hint="eastAsia" w:hAnsi="宋体"/>
          <w:highlight w:val="none"/>
          <w:lang w:val="en-US" w:eastAsia="zh-CN"/>
        </w:rPr>
        <w:t xml:space="preserve">  </w:t>
      </w:r>
      <w:r>
        <w:rPr>
          <w:rFonts w:hAnsi="宋体"/>
          <w:highlight w:val="none"/>
        </w:rPr>
        <w:t>本项目环境保护目标表</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31"/>
        <w:gridCol w:w="954"/>
        <w:gridCol w:w="932"/>
        <w:gridCol w:w="691"/>
        <w:gridCol w:w="968"/>
        <w:gridCol w:w="970"/>
        <w:gridCol w:w="3043"/>
        <w:gridCol w:w="9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31" w:type="dxa"/>
            <w:vAlign w:val="center"/>
          </w:tcPr>
          <w:p>
            <w:pPr>
              <w:pStyle w:val="64"/>
              <w:rPr>
                <w:rFonts w:hAnsi="宋体"/>
                <w:highlight w:val="none"/>
              </w:rPr>
            </w:pPr>
            <w:r>
              <w:rPr>
                <w:rFonts w:hAnsi="宋体"/>
                <w:highlight w:val="none"/>
              </w:rPr>
              <w:t>序号</w:t>
            </w:r>
          </w:p>
        </w:tc>
        <w:tc>
          <w:tcPr>
            <w:tcW w:w="954" w:type="dxa"/>
            <w:vAlign w:val="center"/>
          </w:tcPr>
          <w:p>
            <w:pPr>
              <w:pStyle w:val="64"/>
              <w:rPr>
                <w:rFonts w:hAnsi="宋体"/>
                <w:highlight w:val="none"/>
              </w:rPr>
            </w:pPr>
            <w:r>
              <w:rPr>
                <w:rFonts w:hAnsi="宋体"/>
                <w:highlight w:val="none"/>
              </w:rPr>
              <w:t>类别</w:t>
            </w:r>
          </w:p>
        </w:tc>
        <w:tc>
          <w:tcPr>
            <w:tcW w:w="932" w:type="dxa"/>
            <w:vAlign w:val="center"/>
          </w:tcPr>
          <w:p>
            <w:pPr>
              <w:pStyle w:val="64"/>
              <w:rPr>
                <w:rFonts w:hAnsi="宋体"/>
                <w:highlight w:val="none"/>
              </w:rPr>
            </w:pPr>
            <w:r>
              <w:rPr>
                <w:rFonts w:hAnsi="宋体"/>
                <w:highlight w:val="none"/>
              </w:rPr>
              <w:t>保护目标</w:t>
            </w:r>
          </w:p>
        </w:tc>
        <w:tc>
          <w:tcPr>
            <w:tcW w:w="691" w:type="dxa"/>
            <w:vAlign w:val="center"/>
          </w:tcPr>
          <w:p>
            <w:pPr>
              <w:pStyle w:val="64"/>
              <w:rPr>
                <w:rFonts w:hAnsi="宋体"/>
                <w:highlight w:val="none"/>
              </w:rPr>
            </w:pPr>
            <w:r>
              <w:rPr>
                <w:rFonts w:hAnsi="宋体"/>
                <w:highlight w:val="none"/>
              </w:rPr>
              <w:t>方位</w:t>
            </w:r>
          </w:p>
        </w:tc>
        <w:tc>
          <w:tcPr>
            <w:tcW w:w="968" w:type="dxa"/>
            <w:vAlign w:val="center"/>
          </w:tcPr>
          <w:p>
            <w:pPr>
              <w:pStyle w:val="64"/>
              <w:rPr>
                <w:rFonts w:hAnsi="宋体"/>
                <w:highlight w:val="none"/>
              </w:rPr>
            </w:pPr>
            <w:r>
              <w:rPr>
                <w:rFonts w:hAnsi="宋体"/>
                <w:highlight w:val="none"/>
              </w:rPr>
              <w:t>距厂界（km）</w:t>
            </w:r>
          </w:p>
        </w:tc>
        <w:tc>
          <w:tcPr>
            <w:tcW w:w="970" w:type="dxa"/>
            <w:vAlign w:val="center"/>
          </w:tcPr>
          <w:p>
            <w:pPr>
              <w:pStyle w:val="64"/>
              <w:rPr>
                <w:rFonts w:hAnsi="宋体"/>
                <w:highlight w:val="none"/>
              </w:rPr>
            </w:pPr>
            <w:r>
              <w:rPr>
                <w:rFonts w:hAnsi="宋体"/>
                <w:highlight w:val="none"/>
              </w:rPr>
              <w:t>保护对象</w:t>
            </w:r>
          </w:p>
        </w:tc>
        <w:tc>
          <w:tcPr>
            <w:tcW w:w="3043" w:type="dxa"/>
            <w:vAlign w:val="center"/>
          </w:tcPr>
          <w:p>
            <w:pPr>
              <w:pStyle w:val="64"/>
              <w:rPr>
                <w:rFonts w:hAnsi="宋体"/>
                <w:highlight w:val="none"/>
              </w:rPr>
            </w:pPr>
            <w:r>
              <w:rPr>
                <w:rFonts w:hAnsi="宋体"/>
                <w:highlight w:val="none"/>
              </w:rPr>
              <w:t>控制目标</w:t>
            </w:r>
          </w:p>
        </w:tc>
        <w:tc>
          <w:tcPr>
            <w:tcW w:w="957" w:type="dxa"/>
            <w:vAlign w:val="center"/>
          </w:tcPr>
          <w:p>
            <w:pPr>
              <w:pStyle w:val="64"/>
              <w:rPr>
                <w:rFonts w:hAnsi="宋体"/>
                <w:highlight w:val="none"/>
              </w:rPr>
            </w:pPr>
            <w:r>
              <w:rPr>
                <w:rFonts w:hAnsi="宋体"/>
                <w:highlight w:val="none"/>
              </w:rPr>
              <w:t>主要保护时期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31" w:type="dxa"/>
            <w:vAlign w:val="center"/>
          </w:tcPr>
          <w:p>
            <w:pPr>
              <w:pStyle w:val="64"/>
              <w:rPr>
                <w:rFonts w:hAnsi="宋体"/>
                <w:highlight w:val="none"/>
              </w:rPr>
            </w:pPr>
            <w:r>
              <w:rPr>
                <w:rFonts w:hint="eastAsia" w:hAnsi="宋体"/>
                <w:highlight w:val="none"/>
              </w:rPr>
              <w:t>1</w:t>
            </w:r>
          </w:p>
        </w:tc>
        <w:tc>
          <w:tcPr>
            <w:tcW w:w="954" w:type="dxa"/>
            <w:vAlign w:val="center"/>
          </w:tcPr>
          <w:p>
            <w:pPr>
              <w:pStyle w:val="64"/>
              <w:rPr>
                <w:rFonts w:hAnsi="宋体"/>
                <w:highlight w:val="none"/>
              </w:rPr>
            </w:pPr>
            <w:r>
              <w:rPr>
                <w:rFonts w:hAnsi="宋体"/>
                <w:highlight w:val="none"/>
              </w:rPr>
              <w:t>地表水</w:t>
            </w:r>
          </w:p>
        </w:tc>
        <w:tc>
          <w:tcPr>
            <w:tcW w:w="932" w:type="dxa"/>
            <w:vAlign w:val="center"/>
          </w:tcPr>
          <w:p>
            <w:pPr>
              <w:pStyle w:val="64"/>
              <w:rPr>
                <w:rFonts w:hAnsi="宋体"/>
                <w:highlight w:val="none"/>
              </w:rPr>
            </w:pPr>
            <w:r>
              <w:rPr>
                <w:rFonts w:hint="eastAsia" w:hAnsi="宋体"/>
                <w:highlight w:val="none"/>
              </w:rPr>
              <w:t>滹沱河</w:t>
            </w:r>
          </w:p>
        </w:tc>
        <w:tc>
          <w:tcPr>
            <w:tcW w:w="691" w:type="dxa"/>
            <w:vAlign w:val="center"/>
          </w:tcPr>
          <w:p>
            <w:pPr>
              <w:pStyle w:val="64"/>
              <w:rPr>
                <w:rFonts w:hAnsi="宋体"/>
                <w:highlight w:val="none"/>
              </w:rPr>
            </w:pPr>
            <w:r>
              <w:rPr>
                <w:rFonts w:hint="eastAsia" w:hAnsi="宋体"/>
                <w:highlight w:val="none"/>
              </w:rPr>
              <w:t>西北</w:t>
            </w:r>
          </w:p>
        </w:tc>
        <w:tc>
          <w:tcPr>
            <w:tcW w:w="968" w:type="dxa"/>
            <w:vAlign w:val="center"/>
          </w:tcPr>
          <w:p>
            <w:pPr>
              <w:pStyle w:val="64"/>
              <w:rPr>
                <w:rFonts w:hAnsi="宋体"/>
                <w:highlight w:val="none"/>
              </w:rPr>
            </w:pPr>
            <w:r>
              <w:rPr>
                <w:rFonts w:hint="eastAsia" w:hAnsi="宋体"/>
                <w:highlight w:val="none"/>
              </w:rPr>
              <w:t>1.59</w:t>
            </w:r>
          </w:p>
        </w:tc>
        <w:tc>
          <w:tcPr>
            <w:tcW w:w="970" w:type="dxa"/>
            <w:vAlign w:val="center"/>
          </w:tcPr>
          <w:p>
            <w:pPr>
              <w:pStyle w:val="64"/>
              <w:rPr>
                <w:rFonts w:hAnsi="宋体"/>
                <w:highlight w:val="none"/>
              </w:rPr>
            </w:pPr>
            <w:r>
              <w:rPr>
                <w:rFonts w:hAnsi="宋体"/>
                <w:highlight w:val="none"/>
              </w:rPr>
              <w:t>地表水</w:t>
            </w:r>
          </w:p>
        </w:tc>
        <w:tc>
          <w:tcPr>
            <w:tcW w:w="3043" w:type="dxa"/>
            <w:vAlign w:val="center"/>
          </w:tcPr>
          <w:p>
            <w:pPr>
              <w:pStyle w:val="64"/>
              <w:rPr>
                <w:rFonts w:hAnsi="宋体"/>
                <w:highlight w:val="none"/>
              </w:rPr>
            </w:pPr>
            <w:r>
              <w:rPr>
                <w:rFonts w:hAnsi="宋体"/>
                <w:highlight w:val="none"/>
              </w:rPr>
              <w:t>《地表水环境质量标准》</w:t>
            </w:r>
          </w:p>
          <w:p>
            <w:pPr>
              <w:pStyle w:val="64"/>
              <w:rPr>
                <w:rFonts w:hAnsi="宋体"/>
                <w:highlight w:val="none"/>
              </w:rPr>
            </w:pPr>
            <w:r>
              <w:rPr>
                <w:rFonts w:hAnsi="宋体"/>
                <w:highlight w:val="none"/>
              </w:rPr>
              <w:t>（GB3838-2002）中</w:t>
            </w:r>
            <w:r>
              <w:rPr>
                <w:rFonts w:hint="eastAsia" w:hAnsi="宋体"/>
                <w:highlight w:val="none"/>
              </w:rPr>
              <w:t>Ⅲ</w:t>
            </w:r>
            <w:r>
              <w:rPr>
                <w:rFonts w:hAnsi="宋体"/>
                <w:highlight w:val="none"/>
              </w:rPr>
              <w:t>类标准</w:t>
            </w:r>
          </w:p>
        </w:tc>
        <w:tc>
          <w:tcPr>
            <w:tcW w:w="957" w:type="dxa"/>
            <w:vAlign w:val="center"/>
          </w:tcPr>
          <w:p>
            <w:pPr>
              <w:pStyle w:val="64"/>
              <w:rPr>
                <w:rFonts w:hAnsi="宋体"/>
                <w:highlight w:val="none"/>
              </w:rPr>
            </w:pPr>
            <w:r>
              <w:rPr>
                <w:rFonts w:hAnsi="宋体"/>
                <w:highlight w:val="none"/>
              </w:rPr>
              <w:t>施工期</w:t>
            </w:r>
          </w:p>
          <w:p>
            <w:pPr>
              <w:pStyle w:val="64"/>
              <w:rPr>
                <w:rFonts w:hAnsi="宋体"/>
                <w:highlight w:val="none"/>
              </w:rPr>
            </w:pPr>
            <w:r>
              <w:rPr>
                <w:rFonts w:hAnsi="宋体"/>
                <w:highlight w:val="none"/>
              </w:rPr>
              <w:t>运营期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31" w:type="dxa"/>
            <w:vAlign w:val="center"/>
          </w:tcPr>
          <w:p>
            <w:pPr>
              <w:pStyle w:val="64"/>
              <w:rPr>
                <w:rFonts w:hAnsi="宋体"/>
                <w:highlight w:val="none"/>
              </w:rPr>
            </w:pPr>
            <w:r>
              <w:rPr>
                <w:rFonts w:hint="eastAsia" w:hAnsi="宋体"/>
                <w:highlight w:val="none"/>
              </w:rPr>
              <w:t>2</w:t>
            </w:r>
          </w:p>
        </w:tc>
        <w:tc>
          <w:tcPr>
            <w:tcW w:w="954" w:type="dxa"/>
            <w:vAlign w:val="center"/>
          </w:tcPr>
          <w:p>
            <w:pPr>
              <w:pStyle w:val="64"/>
              <w:rPr>
                <w:rFonts w:hAnsi="宋体"/>
                <w:highlight w:val="none"/>
              </w:rPr>
            </w:pPr>
            <w:r>
              <w:rPr>
                <w:rFonts w:hAnsi="宋体"/>
                <w:highlight w:val="none"/>
              </w:rPr>
              <w:t>生态环境</w:t>
            </w:r>
          </w:p>
        </w:tc>
        <w:tc>
          <w:tcPr>
            <w:tcW w:w="3561" w:type="dxa"/>
            <w:gridSpan w:val="4"/>
            <w:vAlign w:val="center"/>
          </w:tcPr>
          <w:p>
            <w:pPr>
              <w:pStyle w:val="64"/>
              <w:rPr>
                <w:rFonts w:hAnsi="宋体"/>
                <w:highlight w:val="none"/>
              </w:rPr>
            </w:pPr>
            <w:r>
              <w:rPr>
                <w:rFonts w:hAnsi="宋体"/>
                <w:highlight w:val="none"/>
              </w:rPr>
              <w:t>评价区内土地、植被</w:t>
            </w:r>
          </w:p>
        </w:tc>
        <w:tc>
          <w:tcPr>
            <w:tcW w:w="3043" w:type="dxa"/>
            <w:vAlign w:val="center"/>
          </w:tcPr>
          <w:p>
            <w:pPr>
              <w:pStyle w:val="64"/>
              <w:rPr>
                <w:rFonts w:hAnsi="宋体"/>
                <w:highlight w:val="none"/>
              </w:rPr>
            </w:pPr>
            <w:r>
              <w:rPr>
                <w:rFonts w:hAnsi="宋体"/>
                <w:highlight w:val="none"/>
              </w:rPr>
              <w:t>在严格控制项目生态影响的前提下，加强区域生态建设，防止评价区生态环境恶化</w:t>
            </w:r>
          </w:p>
        </w:tc>
        <w:tc>
          <w:tcPr>
            <w:tcW w:w="957" w:type="dxa"/>
            <w:vAlign w:val="center"/>
          </w:tcPr>
          <w:p>
            <w:pPr>
              <w:pStyle w:val="64"/>
              <w:rPr>
                <w:rFonts w:hAnsi="宋体"/>
                <w:highlight w:val="none"/>
              </w:rPr>
            </w:pPr>
            <w:r>
              <w:rPr>
                <w:rFonts w:hAnsi="宋体"/>
                <w:highlight w:val="none"/>
              </w:rPr>
              <w:t>施工期</w:t>
            </w:r>
          </w:p>
          <w:p>
            <w:pPr>
              <w:pStyle w:val="64"/>
              <w:rPr>
                <w:rFonts w:hAnsi="宋体"/>
                <w:highlight w:val="none"/>
              </w:rPr>
            </w:pPr>
            <w:r>
              <w:rPr>
                <w:rFonts w:hAnsi="宋体"/>
                <w:highlight w:val="none"/>
              </w:rPr>
              <w:t>运营期</w:t>
            </w:r>
          </w:p>
        </w:tc>
      </w:tr>
    </w:tbl>
    <w:p>
      <w:pPr>
        <w:pStyle w:val="65"/>
        <w:rPr>
          <w:rFonts w:hAnsi="宋体"/>
          <w:highlight w:val="none"/>
        </w:rPr>
      </w:pPr>
      <w:r>
        <w:rPr>
          <w:rFonts w:hAnsi="宋体"/>
          <w:highlight w:val="none"/>
        </w:rPr>
        <w:t>表2.7-2</w:t>
      </w:r>
      <w:r>
        <w:rPr>
          <w:rFonts w:hint="eastAsia" w:hAnsi="宋体"/>
          <w:highlight w:val="none"/>
          <w:lang w:val="en-US" w:eastAsia="zh-CN"/>
        </w:rPr>
        <w:t xml:space="preserve">  </w:t>
      </w:r>
      <w:r>
        <w:rPr>
          <w:rFonts w:hAnsi="宋体"/>
          <w:highlight w:val="none"/>
        </w:rPr>
        <w:t>地下水环境保护目标</w:t>
      </w:r>
    </w:p>
    <w:tbl>
      <w:tblPr>
        <w:tblStyle w:val="44"/>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331"/>
        <w:gridCol w:w="875"/>
        <w:gridCol w:w="873"/>
        <w:gridCol w:w="710"/>
        <w:gridCol w:w="2836"/>
        <w:gridCol w:w="1134"/>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gridSpan w:val="3"/>
            <w:vAlign w:val="center"/>
          </w:tcPr>
          <w:p>
            <w:pPr>
              <w:pStyle w:val="64"/>
              <w:rPr>
                <w:highlight w:val="none"/>
              </w:rPr>
            </w:pPr>
            <w:r>
              <w:rPr>
                <w:highlight w:val="none"/>
              </w:rPr>
              <w:t>保护对象</w:t>
            </w:r>
          </w:p>
        </w:tc>
        <w:tc>
          <w:tcPr>
            <w:tcW w:w="5553" w:type="dxa"/>
            <w:gridSpan w:val="4"/>
            <w:vAlign w:val="center"/>
          </w:tcPr>
          <w:p>
            <w:pPr>
              <w:pStyle w:val="64"/>
              <w:rPr>
                <w:highlight w:val="none"/>
              </w:rPr>
            </w:pPr>
            <w:r>
              <w:rPr>
                <w:highlight w:val="none"/>
              </w:rPr>
              <w:t>基本情况</w:t>
            </w:r>
          </w:p>
        </w:tc>
        <w:tc>
          <w:tcPr>
            <w:tcW w:w="1748" w:type="dxa"/>
            <w:vAlign w:val="center"/>
          </w:tcPr>
          <w:p>
            <w:pPr>
              <w:pStyle w:val="64"/>
              <w:rPr>
                <w:highlight w:val="none"/>
              </w:rPr>
            </w:pPr>
            <w:r>
              <w:rPr>
                <w:highlight w:val="none"/>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dxa"/>
            <w:vMerge w:val="restart"/>
            <w:vAlign w:val="center"/>
          </w:tcPr>
          <w:p>
            <w:pPr>
              <w:pStyle w:val="64"/>
              <w:rPr>
                <w:highlight w:val="none"/>
              </w:rPr>
            </w:pPr>
            <w:r>
              <w:rPr>
                <w:highlight w:val="none"/>
              </w:rPr>
              <w:t>村</w:t>
            </w:r>
          </w:p>
          <w:p>
            <w:pPr>
              <w:pStyle w:val="64"/>
              <w:rPr>
                <w:highlight w:val="none"/>
              </w:rPr>
            </w:pPr>
            <w:r>
              <w:rPr>
                <w:highlight w:val="none"/>
              </w:rPr>
              <w:t>庄</w:t>
            </w:r>
          </w:p>
          <w:p>
            <w:pPr>
              <w:pStyle w:val="64"/>
              <w:rPr>
                <w:highlight w:val="none"/>
              </w:rPr>
            </w:pPr>
            <w:r>
              <w:rPr>
                <w:highlight w:val="none"/>
              </w:rPr>
              <w:t>水</w:t>
            </w:r>
          </w:p>
          <w:p>
            <w:pPr>
              <w:pStyle w:val="64"/>
              <w:rPr>
                <w:highlight w:val="none"/>
              </w:rPr>
            </w:pPr>
            <w:r>
              <w:rPr>
                <w:highlight w:val="none"/>
              </w:rPr>
              <w:t>井</w:t>
            </w:r>
          </w:p>
        </w:tc>
        <w:tc>
          <w:tcPr>
            <w:tcW w:w="1206" w:type="dxa"/>
            <w:gridSpan w:val="2"/>
            <w:vAlign w:val="center"/>
          </w:tcPr>
          <w:p>
            <w:pPr>
              <w:pStyle w:val="64"/>
              <w:rPr>
                <w:highlight w:val="none"/>
              </w:rPr>
            </w:pPr>
            <w:r>
              <w:rPr>
                <w:highlight w:val="none"/>
              </w:rPr>
              <w:t>村庄</w:t>
            </w:r>
          </w:p>
        </w:tc>
        <w:tc>
          <w:tcPr>
            <w:tcW w:w="873" w:type="dxa"/>
            <w:vAlign w:val="center"/>
          </w:tcPr>
          <w:p>
            <w:pPr>
              <w:pStyle w:val="64"/>
              <w:rPr>
                <w:kern w:val="24"/>
                <w:highlight w:val="none"/>
              </w:rPr>
            </w:pPr>
            <w:r>
              <w:rPr>
                <w:kern w:val="24"/>
                <w:highlight w:val="none"/>
              </w:rPr>
              <w:t>井深</w:t>
            </w:r>
          </w:p>
          <w:p>
            <w:pPr>
              <w:pStyle w:val="64"/>
              <w:rPr>
                <w:kern w:val="24"/>
                <w:highlight w:val="none"/>
              </w:rPr>
            </w:pPr>
            <w:r>
              <w:rPr>
                <w:kern w:val="24"/>
                <w:highlight w:val="none"/>
              </w:rPr>
              <w:t>（m）</w:t>
            </w:r>
          </w:p>
        </w:tc>
        <w:tc>
          <w:tcPr>
            <w:tcW w:w="710" w:type="dxa"/>
            <w:vAlign w:val="center"/>
          </w:tcPr>
          <w:p>
            <w:pPr>
              <w:pStyle w:val="64"/>
              <w:rPr>
                <w:kern w:val="24"/>
                <w:highlight w:val="none"/>
              </w:rPr>
            </w:pPr>
            <w:r>
              <w:rPr>
                <w:rFonts w:hint="eastAsia"/>
                <w:kern w:val="24"/>
                <w:highlight w:val="none"/>
              </w:rPr>
              <w:t>供水</w:t>
            </w:r>
          </w:p>
          <w:p>
            <w:pPr>
              <w:pStyle w:val="64"/>
              <w:rPr>
                <w:kern w:val="24"/>
                <w:highlight w:val="none"/>
              </w:rPr>
            </w:pPr>
            <w:r>
              <w:rPr>
                <w:rFonts w:hint="eastAsia"/>
                <w:kern w:val="24"/>
                <w:highlight w:val="none"/>
              </w:rPr>
              <w:t>人口</w:t>
            </w:r>
          </w:p>
        </w:tc>
        <w:tc>
          <w:tcPr>
            <w:tcW w:w="2836" w:type="dxa"/>
            <w:vAlign w:val="center"/>
          </w:tcPr>
          <w:p>
            <w:pPr>
              <w:pStyle w:val="64"/>
              <w:rPr>
                <w:highlight w:val="none"/>
              </w:rPr>
            </w:pPr>
            <w:r>
              <w:rPr>
                <w:highlight w:val="none"/>
              </w:rPr>
              <w:t>所属含水层</w:t>
            </w:r>
          </w:p>
        </w:tc>
        <w:tc>
          <w:tcPr>
            <w:tcW w:w="1134" w:type="dxa"/>
            <w:vAlign w:val="center"/>
          </w:tcPr>
          <w:p>
            <w:pPr>
              <w:pStyle w:val="64"/>
              <w:rPr>
                <w:highlight w:val="none"/>
              </w:rPr>
            </w:pPr>
            <w:r>
              <w:rPr>
                <w:highlight w:val="none"/>
              </w:rPr>
              <w:t>用途</w:t>
            </w:r>
          </w:p>
        </w:tc>
        <w:tc>
          <w:tcPr>
            <w:tcW w:w="1748" w:type="dxa"/>
            <w:vMerge w:val="restart"/>
            <w:vAlign w:val="center"/>
          </w:tcPr>
          <w:p>
            <w:pPr>
              <w:pStyle w:val="64"/>
              <w:rPr>
                <w:highlight w:val="none"/>
              </w:rPr>
            </w:pPr>
            <w:r>
              <w:rPr>
                <w:highlight w:val="none"/>
              </w:rPr>
              <w:t>达地下水</w:t>
            </w:r>
            <w:r>
              <w:rPr>
                <w:rFonts w:hint="eastAsia" w:hAnsi="宋体" w:cs="宋体"/>
                <w:highlight w:val="none"/>
              </w:rPr>
              <w:t>Ⅲ</w:t>
            </w:r>
            <w:r>
              <w:rPr>
                <w:highlight w:val="none"/>
              </w:rPr>
              <w:t>类标准水质不受影响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dxa"/>
            <w:vMerge w:val="continue"/>
            <w:vAlign w:val="center"/>
          </w:tcPr>
          <w:p>
            <w:pPr>
              <w:pStyle w:val="64"/>
              <w:rPr>
                <w:highlight w:val="none"/>
              </w:rPr>
            </w:pPr>
          </w:p>
        </w:tc>
        <w:tc>
          <w:tcPr>
            <w:tcW w:w="331" w:type="dxa"/>
            <w:vAlign w:val="center"/>
          </w:tcPr>
          <w:p>
            <w:pPr>
              <w:pStyle w:val="64"/>
              <w:rPr>
                <w:kern w:val="24"/>
                <w:highlight w:val="none"/>
              </w:rPr>
            </w:pPr>
            <w:r>
              <w:rPr>
                <w:rFonts w:hint="eastAsia"/>
                <w:kern w:val="24"/>
                <w:highlight w:val="none"/>
              </w:rPr>
              <w:t>1</w:t>
            </w:r>
          </w:p>
        </w:tc>
        <w:tc>
          <w:tcPr>
            <w:tcW w:w="875" w:type="dxa"/>
            <w:vAlign w:val="center"/>
          </w:tcPr>
          <w:p>
            <w:pPr>
              <w:pStyle w:val="64"/>
              <w:rPr>
                <w:highlight w:val="none"/>
              </w:rPr>
            </w:pPr>
            <w:r>
              <w:rPr>
                <w:rFonts w:hint="eastAsia"/>
                <w:highlight w:val="none"/>
              </w:rPr>
              <w:t>西坡头</w:t>
            </w:r>
          </w:p>
        </w:tc>
        <w:tc>
          <w:tcPr>
            <w:tcW w:w="873" w:type="dxa"/>
            <w:vAlign w:val="center"/>
          </w:tcPr>
          <w:p>
            <w:pPr>
              <w:pStyle w:val="64"/>
              <w:rPr>
                <w:kern w:val="24"/>
                <w:highlight w:val="none"/>
              </w:rPr>
            </w:pPr>
            <w:r>
              <w:rPr>
                <w:kern w:val="24"/>
                <w:highlight w:val="none"/>
              </w:rPr>
              <w:t>124</w:t>
            </w:r>
          </w:p>
        </w:tc>
        <w:tc>
          <w:tcPr>
            <w:tcW w:w="710" w:type="dxa"/>
            <w:vAlign w:val="center"/>
          </w:tcPr>
          <w:p>
            <w:pPr>
              <w:pStyle w:val="64"/>
              <w:rPr>
                <w:kern w:val="24"/>
                <w:highlight w:val="none"/>
              </w:rPr>
            </w:pPr>
            <w:r>
              <w:rPr>
                <w:rFonts w:hint="eastAsia"/>
                <w:kern w:val="24"/>
                <w:highlight w:val="none"/>
              </w:rPr>
              <w:t>1</w:t>
            </w:r>
            <w:r>
              <w:rPr>
                <w:kern w:val="24"/>
                <w:highlight w:val="none"/>
              </w:rPr>
              <w:t>35</w:t>
            </w:r>
          </w:p>
        </w:tc>
        <w:tc>
          <w:tcPr>
            <w:tcW w:w="2836" w:type="dxa"/>
            <w:vAlign w:val="center"/>
          </w:tcPr>
          <w:p>
            <w:pPr>
              <w:pStyle w:val="64"/>
              <w:rPr>
                <w:kern w:val="24"/>
                <w:highlight w:val="none"/>
              </w:rPr>
            </w:pPr>
            <w:r>
              <w:rPr>
                <w:rFonts w:hint="eastAsia"/>
                <w:kern w:val="24"/>
                <w:highlight w:val="none"/>
              </w:rPr>
              <w:t>第四系松散岩类孔隙承压水</w:t>
            </w:r>
          </w:p>
        </w:tc>
        <w:tc>
          <w:tcPr>
            <w:tcW w:w="1134" w:type="dxa"/>
            <w:vAlign w:val="center"/>
          </w:tcPr>
          <w:p>
            <w:pPr>
              <w:pStyle w:val="64"/>
              <w:rPr>
                <w:kern w:val="24"/>
                <w:highlight w:val="none"/>
              </w:rPr>
            </w:pPr>
            <w:r>
              <w:rPr>
                <w:rFonts w:hint="eastAsia"/>
                <w:kern w:val="24"/>
                <w:highlight w:val="none"/>
              </w:rPr>
              <w:t>生活饮用</w:t>
            </w:r>
          </w:p>
        </w:tc>
        <w:tc>
          <w:tcPr>
            <w:tcW w:w="1748" w:type="dxa"/>
            <w:vMerge w:val="continue"/>
            <w:vAlign w:val="center"/>
          </w:tcPr>
          <w:p>
            <w:pPr>
              <w:pStyle w:val="64"/>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dxa"/>
            <w:vMerge w:val="continue"/>
            <w:vAlign w:val="center"/>
          </w:tcPr>
          <w:p>
            <w:pPr>
              <w:pStyle w:val="64"/>
              <w:rPr>
                <w:highlight w:val="none"/>
              </w:rPr>
            </w:pPr>
          </w:p>
        </w:tc>
        <w:tc>
          <w:tcPr>
            <w:tcW w:w="331" w:type="dxa"/>
            <w:vAlign w:val="center"/>
          </w:tcPr>
          <w:p>
            <w:pPr>
              <w:pStyle w:val="64"/>
              <w:rPr>
                <w:kern w:val="24"/>
                <w:highlight w:val="none"/>
              </w:rPr>
            </w:pPr>
            <w:r>
              <w:rPr>
                <w:rFonts w:hint="eastAsia"/>
                <w:kern w:val="24"/>
                <w:highlight w:val="none"/>
              </w:rPr>
              <w:t>2</w:t>
            </w:r>
          </w:p>
        </w:tc>
        <w:tc>
          <w:tcPr>
            <w:tcW w:w="875" w:type="dxa"/>
            <w:vAlign w:val="center"/>
          </w:tcPr>
          <w:p>
            <w:pPr>
              <w:pStyle w:val="64"/>
              <w:rPr>
                <w:highlight w:val="none"/>
              </w:rPr>
            </w:pPr>
            <w:r>
              <w:rPr>
                <w:rFonts w:hint="eastAsia"/>
                <w:highlight w:val="none"/>
              </w:rPr>
              <w:t>东堡</w:t>
            </w:r>
          </w:p>
        </w:tc>
        <w:tc>
          <w:tcPr>
            <w:tcW w:w="873" w:type="dxa"/>
            <w:vAlign w:val="center"/>
          </w:tcPr>
          <w:p>
            <w:pPr>
              <w:pStyle w:val="64"/>
              <w:rPr>
                <w:kern w:val="24"/>
                <w:highlight w:val="none"/>
              </w:rPr>
            </w:pPr>
            <w:r>
              <w:rPr>
                <w:kern w:val="24"/>
                <w:highlight w:val="none"/>
              </w:rPr>
              <w:t>84</w:t>
            </w:r>
          </w:p>
        </w:tc>
        <w:tc>
          <w:tcPr>
            <w:tcW w:w="710" w:type="dxa"/>
            <w:vAlign w:val="center"/>
          </w:tcPr>
          <w:p>
            <w:pPr>
              <w:pStyle w:val="64"/>
              <w:rPr>
                <w:kern w:val="24"/>
                <w:highlight w:val="none"/>
              </w:rPr>
            </w:pPr>
            <w:r>
              <w:rPr>
                <w:rFonts w:hint="eastAsia"/>
                <w:kern w:val="24"/>
                <w:highlight w:val="none"/>
              </w:rPr>
              <w:t>6</w:t>
            </w:r>
            <w:r>
              <w:rPr>
                <w:kern w:val="24"/>
                <w:highlight w:val="none"/>
              </w:rPr>
              <w:t>7</w:t>
            </w:r>
          </w:p>
        </w:tc>
        <w:tc>
          <w:tcPr>
            <w:tcW w:w="2836" w:type="dxa"/>
            <w:vAlign w:val="center"/>
          </w:tcPr>
          <w:p>
            <w:pPr>
              <w:pStyle w:val="64"/>
              <w:rPr>
                <w:highlight w:val="none"/>
              </w:rPr>
            </w:pPr>
            <w:r>
              <w:rPr>
                <w:rFonts w:hint="eastAsia"/>
                <w:highlight w:val="none"/>
              </w:rPr>
              <w:t>第四系松散岩类孔隙</w:t>
            </w:r>
            <w:r>
              <w:rPr>
                <w:rFonts w:hint="eastAsia"/>
                <w:kern w:val="24"/>
                <w:highlight w:val="none"/>
              </w:rPr>
              <w:t>承压</w:t>
            </w:r>
            <w:r>
              <w:rPr>
                <w:rFonts w:hint="eastAsia"/>
                <w:highlight w:val="none"/>
              </w:rPr>
              <w:t>水</w:t>
            </w:r>
          </w:p>
        </w:tc>
        <w:tc>
          <w:tcPr>
            <w:tcW w:w="1134" w:type="dxa"/>
            <w:vAlign w:val="center"/>
          </w:tcPr>
          <w:p>
            <w:pPr>
              <w:pStyle w:val="64"/>
              <w:rPr>
                <w:kern w:val="24"/>
                <w:highlight w:val="none"/>
              </w:rPr>
            </w:pPr>
            <w:r>
              <w:rPr>
                <w:rFonts w:hint="eastAsia"/>
                <w:kern w:val="24"/>
                <w:highlight w:val="none"/>
              </w:rPr>
              <w:t>生活饮用</w:t>
            </w:r>
          </w:p>
        </w:tc>
        <w:tc>
          <w:tcPr>
            <w:tcW w:w="1748" w:type="dxa"/>
            <w:vMerge w:val="continue"/>
            <w:vAlign w:val="center"/>
          </w:tcPr>
          <w:p>
            <w:pPr>
              <w:pStyle w:val="64"/>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dxa"/>
            <w:vMerge w:val="continue"/>
            <w:vAlign w:val="center"/>
          </w:tcPr>
          <w:p>
            <w:pPr>
              <w:pStyle w:val="64"/>
              <w:rPr>
                <w:highlight w:val="none"/>
              </w:rPr>
            </w:pPr>
          </w:p>
        </w:tc>
        <w:tc>
          <w:tcPr>
            <w:tcW w:w="331" w:type="dxa"/>
            <w:vAlign w:val="center"/>
          </w:tcPr>
          <w:p>
            <w:pPr>
              <w:pStyle w:val="64"/>
              <w:rPr>
                <w:kern w:val="24"/>
                <w:highlight w:val="none"/>
              </w:rPr>
            </w:pPr>
            <w:r>
              <w:rPr>
                <w:rFonts w:hint="eastAsia"/>
                <w:kern w:val="24"/>
                <w:highlight w:val="none"/>
              </w:rPr>
              <w:t>3</w:t>
            </w:r>
          </w:p>
        </w:tc>
        <w:tc>
          <w:tcPr>
            <w:tcW w:w="875" w:type="dxa"/>
            <w:vAlign w:val="center"/>
          </w:tcPr>
          <w:p>
            <w:pPr>
              <w:pStyle w:val="64"/>
              <w:rPr>
                <w:highlight w:val="none"/>
              </w:rPr>
            </w:pPr>
            <w:r>
              <w:rPr>
                <w:rFonts w:hint="eastAsia"/>
                <w:highlight w:val="none"/>
              </w:rPr>
              <w:t>富家庄</w:t>
            </w:r>
          </w:p>
        </w:tc>
        <w:tc>
          <w:tcPr>
            <w:tcW w:w="873" w:type="dxa"/>
            <w:vAlign w:val="center"/>
          </w:tcPr>
          <w:p>
            <w:pPr>
              <w:pStyle w:val="64"/>
              <w:rPr>
                <w:kern w:val="24"/>
                <w:highlight w:val="none"/>
              </w:rPr>
            </w:pPr>
            <w:r>
              <w:rPr>
                <w:kern w:val="24"/>
                <w:highlight w:val="none"/>
              </w:rPr>
              <w:t>152</w:t>
            </w:r>
          </w:p>
        </w:tc>
        <w:tc>
          <w:tcPr>
            <w:tcW w:w="710" w:type="dxa"/>
            <w:vAlign w:val="center"/>
          </w:tcPr>
          <w:p>
            <w:pPr>
              <w:pStyle w:val="64"/>
              <w:rPr>
                <w:kern w:val="24"/>
                <w:highlight w:val="none"/>
              </w:rPr>
            </w:pPr>
            <w:r>
              <w:rPr>
                <w:rFonts w:hint="eastAsia"/>
                <w:kern w:val="24"/>
                <w:highlight w:val="none"/>
              </w:rPr>
              <w:t>3</w:t>
            </w:r>
            <w:r>
              <w:rPr>
                <w:kern w:val="24"/>
                <w:highlight w:val="none"/>
              </w:rPr>
              <w:t>03</w:t>
            </w:r>
          </w:p>
        </w:tc>
        <w:tc>
          <w:tcPr>
            <w:tcW w:w="2836" w:type="dxa"/>
            <w:vAlign w:val="center"/>
          </w:tcPr>
          <w:p>
            <w:pPr>
              <w:pStyle w:val="64"/>
              <w:rPr>
                <w:highlight w:val="none"/>
              </w:rPr>
            </w:pPr>
            <w:r>
              <w:rPr>
                <w:rFonts w:hint="eastAsia"/>
                <w:highlight w:val="none"/>
              </w:rPr>
              <w:t>第四系松散岩类孔隙</w:t>
            </w:r>
            <w:r>
              <w:rPr>
                <w:rFonts w:hint="eastAsia"/>
                <w:kern w:val="24"/>
                <w:highlight w:val="none"/>
              </w:rPr>
              <w:t>承压</w:t>
            </w:r>
            <w:r>
              <w:rPr>
                <w:rFonts w:hint="eastAsia"/>
                <w:highlight w:val="none"/>
              </w:rPr>
              <w:t>水</w:t>
            </w:r>
          </w:p>
        </w:tc>
        <w:tc>
          <w:tcPr>
            <w:tcW w:w="1134" w:type="dxa"/>
            <w:vAlign w:val="center"/>
          </w:tcPr>
          <w:p>
            <w:pPr>
              <w:pStyle w:val="64"/>
              <w:rPr>
                <w:kern w:val="24"/>
                <w:highlight w:val="none"/>
              </w:rPr>
            </w:pPr>
            <w:r>
              <w:rPr>
                <w:rFonts w:hint="eastAsia"/>
                <w:kern w:val="24"/>
                <w:highlight w:val="none"/>
              </w:rPr>
              <w:t>生活饮用</w:t>
            </w:r>
          </w:p>
        </w:tc>
        <w:tc>
          <w:tcPr>
            <w:tcW w:w="1748" w:type="dxa"/>
            <w:vMerge w:val="continue"/>
            <w:vAlign w:val="center"/>
          </w:tcPr>
          <w:p>
            <w:pPr>
              <w:pStyle w:val="64"/>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dxa"/>
            <w:vMerge w:val="continue"/>
            <w:vAlign w:val="center"/>
          </w:tcPr>
          <w:p>
            <w:pPr>
              <w:pStyle w:val="64"/>
              <w:rPr>
                <w:highlight w:val="none"/>
              </w:rPr>
            </w:pPr>
          </w:p>
        </w:tc>
        <w:tc>
          <w:tcPr>
            <w:tcW w:w="331" w:type="dxa"/>
            <w:vAlign w:val="center"/>
          </w:tcPr>
          <w:p>
            <w:pPr>
              <w:pStyle w:val="64"/>
              <w:rPr>
                <w:kern w:val="24"/>
                <w:highlight w:val="none"/>
              </w:rPr>
            </w:pPr>
            <w:r>
              <w:rPr>
                <w:rFonts w:hint="eastAsia"/>
                <w:kern w:val="24"/>
                <w:highlight w:val="none"/>
              </w:rPr>
              <w:t>4</w:t>
            </w:r>
          </w:p>
        </w:tc>
        <w:tc>
          <w:tcPr>
            <w:tcW w:w="875" w:type="dxa"/>
            <w:vAlign w:val="center"/>
          </w:tcPr>
          <w:p>
            <w:pPr>
              <w:pStyle w:val="64"/>
              <w:rPr>
                <w:highlight w:val="none"/>
              </w:rPr>
            </w:pPr>
            <w:r>
              <w:rPr>
                <w:rFonts w:hint="eastAsia"/>
                <w:highlight w:val="none"/>
              </w:rPr>
              <w:t>东坡头</w:t>
            </w:r>
          </w:p>
        </w:tc>
        <w:tc>
          <w:tcPr>
            <w:tcW w:w="873" w:type="dxa"/>
            <w:vAlign w:val="center"/>
          </w:tcPr>
          <w:p>
            <w:pPr>
              <w:pStyle w:val="64"/>
              <w:rPr>
                <w:kern w:val="24"/>
                <w:highlight w:val="none"/>
              </w:rPr>
            </w:pPr>
            <w:r>
              <w:rPr>
                <w:kern w:val="24"/>
                <w:highlight w:val="none"/>
              </w:rPr>
              <w:t>124</w:t>
            </w:r>
          </w:p>
        </w:tc>
        <w:tc>
          <w:tcPr>
            <w:tcW w:w="710" w:type="dxa"/>
            <w:vAlign w:val="center"/>
          </w:tcPr>
          <w:p>
            <w:pPr>
              <w:pStyle w:val="64"/>
              <w:rPr>
                <w:kern w:val="24"/>
                <w:highlight w:val="none"/>
              </w:rPr>
            </w:pPr>
            <w:r>
              <w:rPr>
                <w:rFonts w:hint="eastAsia"/>
                <w:kern w:val="24"/>
                <w:highlight w:val="none"/>
              </w:rPr>
              <w:t>1</w:t>
            </w:r>
            <w:r>
              <w:rPr>
                <w:kern w:val="24"/>
                <w:highlight w:val="none"/>
              </w:rPr>
              <w:t>02</w:t>
            </w:r>
          </w:p>
        </w:tc>
        <w:tc>
          <w:tcPr>
            <w:tcW w:w="2836" w:type="dxa"/>
            <w:vAlign w:val="center"/>
          </w:tcPr>
          <w:p>
            <w:pPr>
              <w:pStyle w:val="64"/>
              <w:rPr>
                <w:highlight w:val="none"/>
              </w:rPr>
            </w:pPr>
            <w:r>
              <w:rPr>
                <w:rFonts w:hint="eastAsia"/>
                <w:highlight w:val="none"/>
              </w:rPr>
              <w:t>第四系松散岩类孔隙</w:t>
            </w:r>
            <w:r>
              <w:rPr>
                <w:rFonts w:hint="eastAsia"/>
                <w:kern w:val="24"/>
                <w:highlight w:val="none"/>
              </w:rPr>
              <w:t>承压</w:t>
            </w:r>
            <w:r>
              <w:rPr>
                <w:rFonts w:hint="eastAsia"/>
                <w:highlight w:val="none"/>
              </w:rPr>
              <w:t>水</w:t>
            </w:r>
          </w:p>
        </w:tc>
        <w:tc>
          <w:tcPr>
            <w:tcW w:w="1134" w:type="dxa"/>
            <w:vAlign w:val="center"/>
          </w:tcPr>
          <w:p>
            <w:pPr>
              <w:pStyle w:val="64"/>
              <w:rPr>
                <w:kern w:val="24"/>
                <w:highlight w:val="none"/>
              </w:rPr>
            </w:pPr>
            <w:r>
              <w:rPr>
                <w:rFonts w:hint="eastAsia"/>
                <w:kern w:val="24"/>
                <w:highlight w:val="none"/>
              </w:rPr>
              <w:t>生活饮用</w:t>
            </w:r>
          </w:p>
        </w:tc>
        <w:tc>
          <w:tcPr>
            <w:tcW w:w="1748" w:type="dxa"/>
            <w:vMerge w:val="continue"/>
            <w:vAlign w:val="center"/>
          </w:tcPr>
          <w:p>
            <w:pPr>
              <w:pStyle w:val="64"/>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gridSpan w:val="3"/>
            <w:vAlign w:val="center"/>
          </w:tcPr>
          <w:p>
            <w:pPr>
              <w:pStyle w:val="64"/>
              <w:rPr>
                <w:highlight w:val="none"/>
              </w:rPr>
            </w:pPr>
            <w:r>
              <w:rPr>
                <w:highlight w:val="none"/>
              </w:rPr>
              <w:t>含水层</w:t>
            </w:r>
          </w:p>
        </w:tc>
        <w:tc>
          <w:tcPr>
            <w:tcW w:w="5553" w:type="dxa"/>
            <w:gridSpan w:val="4"/>
            <w:vAlign w:val="center"/>
          </w:tcPr>
          <w:p>
            <w:pPr>
              <w:pStyle w:val="64"/>
              <w:rPr>
                <w:highlight w:val="none"/>
              </w:rPr>
            </w:pPr>
            <w:r>
              <w:rPr>
                <w:rFonts w:hint="eastAsia"/>
                <w:highlight w:val="none"/>
              </w:rPr>
              <w:t>第四系松散孔隙水承压含水层</w:t>
            </w:r>
          </w:p>
        </w:tc>
        <w:tc>
          <w:tcPr>
            <w:tcW w:w="1748" w:type="dxa"/>
            <w:vMerge w:val="continue"/>
            <w:vAlign w:val="center"/>
          </w:tcPr>
          <w:p>
            <w:pPr>
              <w:pStyle w:val="64"/>
              <w:rPr>
                <w:highlight w:val="none"/>
              </w:rPr>
            </w:pPr>
          </w:p>
        </w:tc>
      </w:tr>
    </w:tbl>
    <w:p>
      <w:pPr>
        <w:snapToGrid w:val="0"/>
        <w:ind w:firstLine="480"/>
        <w:jc w:val="left"/>
        <w:rPr>
          <w:rFonts w:ascii="宋体" w:hAnsi="宋体"/>
          <w:highlight w:val="none"/>
        </w:rPr>
      </w:pPr>
      <w:r>
        <w:rPr>
          <w:rFonts w:ascii="宋体" w:hAnsi="宋体"/>
          <w:highlight w:val="none"/>
        </w:rPr>
        <w:t>本项目</w:t>
      </w:r>
      <w:r>
        <w:rPr>
          <w:rFonts w:hint="eastAsia" w:ascii="宋体" w:hAnsi="宋体"/>
          <w:highlight w:val="none"/>
        </w:rPr>
        <w:t>南</w:t>
      </w:r>
      <w:r>
        <w:rPr>
          <w:rFonts w:ascii="宋体" w:hAnsi="宋体"/>
          <w:highlight w:val="none"/>
        </w:rPr>
        <w:t>侧紧邻</w:t>
      </w:r>
      <w:r>
        <w:rPr>
          <w:rFonts w:hint="eastAsia" w:ascii="宋体" w:hAnsi="宋体"/>
          <w:highlight w:val="none"/>
        </w:rPr>
        <w:t>025乡</w:t>
      </w:r>
      <w:r>
        <w:rPr>
          <w:rFonts w:ascii="宋体" w:hAnsi="宋体"/>
          <w:highlight w:val="none"/>
        </w:rPr>
        <w:t>道，本项目采用汽车运输，</w:t>
      </w:r>
      <w:r>
        <w:rPr>
          <w:rFonts w:hint="eastAsia" w:ascii="宋体" w:hAnsi="宋体"/>
          <w:highlight w:val="none"/>
        </w:rPr>
        <w:t>025乡</w:t>
      </w:r>
      <w:r>
        <w:rPr>
          <w:rFonts w:ascii="宋体" w:hAnsi="宋体"/>
          <w:highlight w:val="none"/>
        </w:rPr>
        <w:t>道向东行驶</w:t>
      </w:r>
      <w:r>
        <w:rPr>
          <w:rFonts w:hint="eastAsia" w:ascii="宋体" w:hAnsi="宋体"/>
          <w:highlight w:val="none"/>
        </w:rPr>
        <w:t>860m，然后折向北，行驶1.9km连接国道108。运输道路沿线环境敏感目标表见表2.7-3，本项目运输路线见图2-1。</w:t>
      </w:r>
    </w:p>
    <w:p>
      <w:pPr>
        <w:pStyle w:val="65"/>
        <w:rPr>
          <w:rFonts w:hAnsi="宋体"/>
          <w:highlight w:val="none"/>
        </w:rPr>
      </w:pPr>
      <w:r>
        <w:rPr>
          <w:rFonts w:hAnsi="宋体"/>
          <w:highlight w:val="none"/>
        </w:rPr>
        <w:t>表2.7-3</w:t>
      </w:r>
      <w:r>
        <w:rPr>
          <w:rFonts w:hint="eastAsia" w:hAnsi="宋体"/>
          <w:highlight w:val="none"/>
        </w:rPr>
        <w:t xml:space="preserve">  </w:t>
      </w:r>
      <w:r>
        <w:rPr>
          <w:rFonts w:hAnsi="宋体"/>
          <w:highlight w:val="none"/>
        </w:rPr>
        <w:t>运输道路沿线保护目标</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50"/>
        <w:gridCol w:w="777"/>
        <w:gridCol w:w="850"/>
        <w:gridCol w:w="853"/>
        <w:gridCol w:w="565"/>
        <w:gridCol w:w="1415"/>
        <w:gridCol w:w="710"/>
        <w:gridCol w:w="302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750" w:type="dxa"/>
            <w:vMerge w:val="restart"/>
            <w:vAlign w:val="center"/>
          </w:tcPr>
          <w:p>
            <w:pPr>
              <w:pStyle w:val="64"/>
              <w:rPr>
                <w:rFonts w:hAnsi="宋体"/>
                <w:highlight w:val="none"/>
              </w:rPr>
            </w:pPr>
            <w:r>
              <w:rPr>
                <w:rFonts w:hAnsi="宋体"/>
                <w:highlight w:val="none"/>
              </w:rPr>
              <w:t>环境</w:t>
            </w:r>
          </w:p>
          <w:p>
            <w:pPr>
              <w:pStyle w:val="64"/>
              <w:rPr>
                <w:rFonts w:hAnsi="宋体"/>
                <w:highlight w:val="none"/>
              </w:rPr>
            </w:pPr>
            <w:r>
              <w:rPr>
                <w:rFonts w:hAnsi="宋体"/>
                <w:highlight w:val="none"/>
              </w:rPr>
              <w:t>要素</w:t>
            </w:r>
          </w:p>
        </w:tc>
        <w:tc>
          <w:tcPr>
            <w:tcW w:w="2480" w:type="dxa"/>
            <w:gridSpan w:val="3"/>
            <w:vAlign w:val="center"/>
          </w:tcPr>
          <w:p>
            <w:pPr>
              <w:pStyle w:val="64"/>
              <w:rPr>
                <w:rFonts w:hAnsi="宋体"/>
                <w:highlight w:val="none"/>
              </w:rPr>
            </w:pPr>
            <w:r>
              <w:rPr>
                <w:rFonts w:hAnsi="宋体"/>
                <w:highlight w:val="none"/>
              </w:rPr>
              <w:t>保护目标</w:t>
            </w:r>
          </w:p>
        </w:tc>
        <w:tc>
          <w:tcPr>
            <w:tcW w:w="565" w:type="dxa"/>
            <w:vMerge w:val="restart"/>
            <w:vAlign w:val="center"/>
          </w:tcPr>
          <w:p>
            <w:pPr>
              <w:pStyle w:val="64"/>
              <w:rPr>
                <w:rFonts w:hAnsi="宋体"/>
                <w:highlight w:val="none"/>
              </w:rPr>
            </w:pPr>
            <w:r>
              <w:rPr>
                <w:rFonts w:hAnsi="宋体"/>
                <w:highlight w:val="none"/>
              </w:rPr>
              <w:t>方位</w:t>
            </w:r>
          </w:p>
        </w:tc>
        <w:tc>
          <w:tcPr>
            <w:tcW w:w="1415" w:type="dxa"/>
            <w:vMerge w:val="restart"/>
            <w:vAlign w:val="center"/>
          </w:tcPr>
          <w:p>
            <w:pPr>
              <w:pStyle w:val="64"/>
              <w:rPr>
                <w:rFonts w:hAnsi="宋体"/>
                <w:highlight w:val="none"/>
              </w:rPr>
            </w:pPr>
            <w:r>
              <w:rPr>
                <w:rFonts w:hAnsi="宋体"/>
                <w:highlight w:val="none"/>
              </w:rPr>
              <w:t>与运输线路的距离(km)</w:t>
            </w:r>
          </w:p>
        </w:tc>
        <w:tc>
          <w:tcPr>
            <w:tcW w:w="710" w:type="dxa"/>
            <w:vMerge w:val="restart"/>
            <w:vAlign w:val="center"/>
          </w:tcPr>
          <w:p>
            <w:pPr>
              <w:pStyle w:val="64"/>
              <w:rPr>
                <w:rFonts w:hAnsi="宋体"/>
                <w:highlight w:val="none"/>
              </w:rPr>
            </w:pPr>
            <w:r>
              <w:rPr>
                <w:rFonts w:hAnsi="宋体"/>
                <w:highlight w:val="none"/>
              </w:rPr>
              <w:t>保护对象</w:t>
            </w:r>
          </w:p>
        </w:tc>
        <w:tc>
          <w:tcPr>
            <w:tcW w:w="3026" w:type="dxa"/>
            <w:vMerge w:val="restart"/>
            <w:vAlign w:val="center"/>
          </w:tcPr>
          <w:p>
            <w:pPr>
              <w:pStyle w:val="64"/>
              <w:rPr>
                <w:rFonts w:hAnsi="宋体"/>
                <w:highlight w:val="none"/>
              </w:rPr>
            </w:pPr>
            <w:r>
              <w:rPr>
                <w:rFonts w:hAnsi="宋体"/>
                <w:highlight w:val="none"/>
              </w:rPr>
              <w:t>保护要求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750" w:type="dxa"/>
            <w:vMerge w:val="continue"/>
            <w:vAlign w:val="center"/>
          </w:tcPr>
          <w:p>
            <w:pPr>
              <w:pStyle w:val="64"/>
              <w:rPr>
                <w:rFonts w:hAnsi="宋体"/>
                <w:highlight w:val="none"/>
              </w:rPr>
            </w:pPr>
          </w:p>
        </w:tc>
        <w:tc>
          <w:tcPr>
            <w:tcW w:w="777" w:type="dxa"/>
            <w:vAlign w:val="center"/>
          </w:tcPr>
          <w:p>
            <w:pPr>
              <w:pStyle w:val="64"/>
              <w:rPr>
                <w:rFonts w:hAnsi="宋体"/>
                <w:highlight w:val="none"/>
              </w:rPr>
            </w:pPr>
            <w:r>
              <w:rPr>
                <w:rFonts w:hAnsi="宋体"/>
                <w:highlight w:val="none"/>
              </w:rPr>
              <w:t>名称</w:t>
            </w:r>
          </w:p>
        </w:tc>
        <w:tc>
          <w:tcPr>
            <w:tcW w:w="850" w:type="dxa"/>
            <w:vAlign w:val="center"/>
          </w:tcPr>
          <w:p>
            <w:pPr>
              <w:pStyle w:val="64"/>
              <w:rPr>
                <w:rFonts w:hAnsi="宋体"/>
                <w:highlight w:val="none"/>
              </w:rPr>
            </w:pPr>
            <w:r>
              <w:rPr>
                <w:rFonts w:hAnsi="宋体"/>
                <w:highlight w:val="none"/>
              </w:rPr>
              <w:t>经度</w:t>
            </w:r>
          </w:p>
        </w:tc>
        <w:tc>
          <w:tcPr>
            <w:tcW w:w="853" w:type="dxa"/>
            <w:vAlign w:val="center"/>
          </w:tcPr>
          <w:p>
            <w:pPr>
              <w:pStyle w:val="64"/>
              <w:rPr>
                <w:rFonts w:hAnsi="宋体"/>
                <w:highlight w:val="none"/>
              </w:rPr>
            </w:pPr>
            <w:r>
              <w:rPr>
                <w:rFonts w:hAnsi="宋体"/>
                <w:highlight w:val="none"/>
              </w:rPr>
              <w:t>纬度</w:t>
            </w:r>
          </w:p>
        </w:tc>
        <w:tc>
          <w:tcPr>
            <w:tcW w:w="565" w:type="dxa"/>
            <w:vMerge w:val="continue"/>
            <w:vAlign w:val="center"/>
          </w:tcPr>
          <w:p>
            <w:pPr>
              <w:pStyle w:val="64"/>
              <w:rPr>
                <w:rFonts w:hAnsi="宋体"/>
                <w:highlight w:val="none"/>
              </w:rPr>
            </w:pPr>
          </w:p>
        </w:tc>
        <w:tc>
          <w:tcPr>
            <w:tcW w:w="1415" w:type="dxa"/>
            <w:vMerge w:val="continue"/>
            <w:vAlign w:val="center"/>
          </w:tcPr>
          <w:p>
            <w:pPr>
              <w:pStyle w:val="64"/>
              <w:rPr>
                <w:rFonts w:hAnsi="宋体"/>
                <w:highlight w:val="none"/>
              </w:rPr>
            </w:pPr>
          </w:p>
        </w:tc>
        <w:tc>
          <w:tcPr>
            <w:tcW w:w="710" w:type="dxa"/>
            <w:vMerge w:val="continue"/>
            <w:vAlign w:val="center"/>
          </w:tcPr>
          <w:p>
            <w:pPr>
              <w:pStyle w:val="64"/>
              <w:rPr>
                <w:rFonts w:hAnsi="宋体"/>
                <w:highlight w:val="none"/>
              </w:rPr>
            </w:pPr>
          </w:p>
        </w:tc>
        <w:tc>
          <w:tcPr>
            <w:tcW w:w="3026"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50" w:type="dxa"/>
            <w:vMerge w:val="restart"/>
            <w:vAlign w:val="center"/>
          </w:tcPr>
          <w:p>
            <w:pPr>
              <w:pStyle w:val="64"/>
              <w:rPr>
                <w:rFonts w:hAnsi="宋体"/>
                <w:highlight w:val="none"/>
              </w:rPr>
            </w:pPr>
            <w:r>
              <w:rPr>
                <w:rFonts w:hAnsi="宋体"/>
                <w:highlight w:val="none"/>
              </w:rPr>
              <w:t>环境空气</w:t>
            </w:r>
            <w:r>
              <w:rPr>
                <w:rFonts w:hint="eastAsia" w:hAnsi="宋体"/>
                <w:highlight w:val="none"/>
              </w:rPr>
              <w:t>、</w:t>
            </w:r>
            <w:r>
              <w:rPr>
                <w:rFonts w:hAnsi="宋体"/>
                <w:highlight w:val="none"/>
              </w:rPr>
              <w:t>声环境</w:t>
            </w:r>
          </w:p>
        </w:tc>
        <w:tc>
          <w:tcPr>
            <w:tcW w:w="777" w:type="dxa"/>
            <w:vAlign w:val="center"/>
          </w:tcPr>
          <w:p>
            <w:pPr>
              <w:pStyle w:val="64"/>
              <w:rPr>
                <w:rFonts w:hAnsi="宋体"/>
                <w:highlight w:val="none"/>
              </w:rPr>
            </w:pPr>
            <w:r>
              <w:rPr>
                <w:rFonts w:hint="eastAsia" w:hAnsi="宋体"/>
                <w:highlight w:val="none"/>
              </w:rPr>
              <w:t>西坡头村</w:t>
            </w:r>
          </w:p>
        </w:tc>
        <w:tc>
          <w:tcPr>
            <w:tcW w:w="850" w:type="dxa"/>
            <w:vAlign w:val="center"/>
          </w:tcPr>
          <w:p>
            <w:pPr>
              <w:pStyle w:val="64"/>
              <w:rPr>
                <w:rFonts w:hAnsi="宋体"/>
                <w:highlight w:val="none"/>
              </w:rPr>
            </w:pPr>
            <w:r>
              <w:rPr>
                <w:rFonts w:hAnsi="宋体"/>
                <w:highlight w:val="none"/>
              </w:rPr>
              <w:t>113.45761</w:t>
            </w:r>
            <w:r>
              <w:rPr>
                <w:rFonts w:hint="eastAsia" w:hAnsi="宋体"/>
                <w:highlight w:val="none"/>
              </w:rPr>
              <w:t>3</w:t>
            </w:r>
          </w:p>
        </w:tc>
        <w:tc>
          <w:tcPr>
            <w:tcW w:w="853" w:type="dxa"/>
            <w:vAlign w:val="center"/>
          </w:tcPr>
          <w:p>
            <w:pPr>
              <w:pStyle w:val="64"/>
              <w:rPr>
                <w:rFonts w:hAnsi="宋体"/>
                <w:highlight w:val="none"/>
              </w:rPr>
            </w:pPr>
            <w:r>
              <w:rPr>
                <w:rFonts w:hAnsi="宋体"/>
                <w:highlight w:val="none"/>
              </w:rPr>
              <w:t>39.22254</w:t>
            </w:r>
            <w:r>
              <w:rPr>
                <w:rFonts w:hint="eastAsia" w:hAnsi="宋体"/>
                <w:highlight w:val="none"/>
              </w:rPr>
              <w:t>6</w:t>
            </w:r>
          </w:p>
        </w:tc>
        <w:tc>
          <w:tcPr>
            <w:tcW w:w="565" w:type="dxa"/>
            <w:vAlign w:val="center"/>
          </w:tcPr>
          <w:p>
            <w:pPr>
              <w:pStyle w:val="64"/>
              <w:rPr>
                <w:rFonts w:hAnsi="宋体"/>
                <w:highlight w:val="none"/>
              </w:rPr>
            </w:pPr>
            <w:r>
              <w:rPr>
                <w:rFonts w:hAnsi="宋体"/>
                <w:highlight w:val="none"/>
              </w:rPr>
              <w:t>西</w:t>
            </w:r>
          </w:p>
        </w:tc>
        <w:tc>
          <w:tcPr>
            <w:tcW w:w="1415" w:type="dxa"/>
            <w:vAlign w:val="center"/>
          </w:tcPr>
          <w:p>
            <w:pPr>
              <w:pStyle w:val="64"/>
              <w:rPr>
                <w:rFonts w:hAnsi="宋体"/>
                <w:highlight w:val="none"/>
              </w:rPr>
            </w:pPr>
            <w:r>
              <w:rPr>
                <w:rFonts w:hAnsi="宋体"/>
                <w:highlight w:val="none"/>
              </w:rPr>
              <w:t>紧邻</w:t>
            </w:r>
          </w:p>
        </w:tc>
        <w:tc>
          <w:tcPr>
            <w:tcW w:w="710" w:type="dxa"/>
            <w:vAlign w:val="center"/>
          </w:tcPr>
          <w:p>
            <w:pPr>
              <w:pStyle w:val="64"/>
              <w:rPr>
                <w:rFonts w:hAnsi="宋体"/>
                <w:highlight w:val="none"/>
              </w:rPr>
            </w:pPr>
            <w:r>
              <w:rPr>
                <w:rFonts w:hAnsi="宋体"/>
                <w:highlight w:val="none"/>
              </w:rPr>
              <w:t>居民</w:t>
            </w:r>
          </w:p>
        </w:tc>
        <w:tc>
          <w:tcPr>
            <w:tcW w:w="3026" w:type="dxa"/>
            <w:vMerge w:val="restart"/>
            <w:vAlign w:val="center"/>
          </w:tcPr>
          <w:p>
            <w:pPr>
              <w:pStyle w:val="64"/>
              <w:rPr>
                <w:rFonts w:hAnsi="宋体"/>
                <w:highlight w:val="none"/>
              </w:rPr>
            </w:pPr>
            <w:r>
              <w:rPr>
                <w:rFonts w:hAnsi="宋体"/>
                <w:highlight w:val="none"/>
              </w:rPr>
              <w:t>《环境空气质量标准》（GB3095-2012）二级标准</w:t>
            </w:r>
            <w:r>
              <w:rPr>
                <w:rFonts w:hint="eastAsia" w:hAnsi="宋体"/>
                <w:highlight w:val="none"/>
              </w:rPr>
              <w:t>、</w:t>
            </w:r>
            <w:r>
              <w:rPr>
                <w:rFonts w:hAnsi="宋体"/>
                <w:szCs w:val="22"/>
                <w:highlight w:val="none"/>
              </w:rPr>
              <w:t>《声环境质量标准》</w:t>
            </w:r>
            <w:r>
              <w:rPr>
                <w:rFonts w:hAnsi="宋体"/>
                <w:bCs/>
                <w:szCs w:val="22"/>
                <w:highlight w:val="none"/>
              </w:rPr>
              <w:t>（GB3096-2008）</w:t>
            </w:r>
            <w:r>
              <w:rPr>
                <w:rFonts w:hint="eastAsia" w:hAnsi="宋体"/>
                <w:bCs/>
                <w:szCs w:val="22"/>
                <w:highlight w:val="none"/>
              </w:rPr>
              <w:t>1</w:t>
            </w:r>
            <w:r>
              <w:rPr>
                <w:rFonts w:hAnsi="宋体"/>
                <w:bCs/>
                <w:szCs w:val="22"/>
                <w:highlight w:val="none"/>
              </w:rPr>
              <w:t>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50" w:type="dxa"/>
            <w:vMerge w:val="continue"/>
            <w:vAlign w:val="center"/>
          </w:tcPr>
          <w:p>
            <w:pPr>
              <w:pStyle w:val="64"/>
              <w:rPr>
                <w:rFonts w:hAnsi="宋体"/>
                <w:highlight w:val="none"/>
              </w:rPr>
            </w:pPr>
          </w:p>
        </w:tc>
        <w:tc>
          <w:tcPr>
            <w:tcW w:w="777" w:type="dxa"/>
            <w:vAlign w:val="center"/>
          </w:tcPr>
          <w:p>
            <w:pPr>
              <w:pStyle w:val="64"/>
              <w:rPr>
                <w:rFonts w:hAnsi="宋体"/>
                <w:highlight w:val="none"/>
              </w:rPr>
            </w:pPr>
            <w:r>
              <w:rPr>
                <w:rFonts w:hint="eastAsia" w:hAnsi="宋体"/>
                <w:highlight w:val="none"/>
              </w:rPr>
              <w:t>东坡头村</w:t>
            </w:r>
          </w:p>
        </w:tc>
        <w:tc>
          <w:tcPr>
            <w:tcW w:w="850" w:type="dxa"/>
            <w:vAlign w:val="center"/>
          </w:tcPr>
          <w:p>
            <w:pPr>
              <w:pStyle w:val="64"/>
              <w:rPr>
                <w:rFonts w:hAnsi="宋体"/>
                <w:highlight w:val="none"/>
              </w:rPr>
            </w:pPr>
            <w:r>
              <w:rPr>
                <w:rFonts w:hAnsi="宋体"/>
                <w:highlight w:val="none"/>
              </w:rPr>
              <w:t>113.46379</w:t>
            </w:r>
            <w:r>
              <w:rPr>
                <w:rFonts w:hint="eastAsia" w:hAnsi="宋体"/>
                <w:highlight w:val="none"/>
              </w:rPr>
              <w:t>3</w:t>
            </w:r>
          </w:p>
        </w:tc>
        <w:tc>
          <w:tcPr>
            <w:tcW w:w="853" w:type="dxa"/>
            <w:vAlign w:val="center"/>
          </w:tcPr>
          <w:p>
            <w:pPr>
              <w:pStyle w:val="64"/>
              <w:rPr>
                <w:rFonts w:hAnsi="宋体"/>
                <w:highlight w:val="none"/>
              </w:rPr>
            </w:pPr>
            <w:r>
              <w:rPr>
                <w:rFonts w:hAnsi="宋体"/>
                <w:highlight w:val="none"/>
              </w:rPr>
              <w:t>39.224906</w:t>
            </w:r>
          </w:p>
        </w:tc>
        <w:tc>
          <w:tcPr>
            <w:tcW w:w="565" w:type="dxa"/>
            <w:vAlign w:val="center"/>
          </w:tcPr>
          <w:p>
            <w:pPr>
              <w:pStyle w:val="64"/>
              <w:rPr>
                <w:rFonts w:hAnsi="宋体"/>
                <w:highlight w:val="none"/>
              </w:rPr>
            </w:pPr>
            <w:r>
              <w:rPr>
                <w:rFonts w:hint="eastAsia" w:hAnsi="宋体"/>
                <w:highlight w:val="none"/>
              </w:rPr>
              <w:t>东</w:t>
            </w:r>
          </w:p>
        </w:tc>
        <w:tc>
          <w:tcPr>
            <w:tcW w:w="1415" w:type="dxa"/>
            <w:vAlign w:val="center"/>
          </w:tcPr>
          <w:p>
            <w:pPr>
              <w:pStyle w:val="64"/>
              <w:rPr>
                <w:rFonts w:hAnsi="宋体"/>
                <w:highlight w:val="none"/>
              </w:rPr>
            </w:pPr>
            <w:r>
              <w:rPr>
                <w:rFonts w:hint="eastAsia" w:hAnsi="宋体"/>
                <w:highlight w:val="none"/>
              </w:rPr>
              <w:t>100m</w:t>
            </w:r>
          </w:p>
        </w:tc>
        <w:tc>
          <w:tcPr>
            <w:tcW w:w="710" w:type="dxa"/>
            <w:vAlign w:val="center"/>
          </w:tcPr>
          <w:p>
            <w:pPr>
              <w:pStyle w:val="64"/>
              <w:rPr>
                <w:rFonts w:hAnsi="宋体"/>
                <w:highlight w:val="none"/>
              </w:rPr>
            </w:pPr>
            <w:r>
              <w:rPr>
                <w:rFonts w:hAnsi="宋体"/>
                <w:highlight w:val="none"/>
              </w:rPr>
              <w:t>居民</w:t>
            </w:r>
          </w:p>
        </w:tc>
        <w:tc>
          <w:tcPr>
            <w:tcW w:w="3026" w:type="dxa"/>
            <w:vMerge w:val="continue"/>
            <w:vAlign w:val="center"/>
          </w:tcPr>
          <w:p>
            <w:pPr>
              <w:pStyle w:val="64"/>
              <w:rPr>
                <w:rFonts w:hAnsi="宋体"/>
                <w:highlight w:val="none"/>
              </w:rPr>
            </w:pPr>
          </w:p>
        </w:tc>
      </w:tr>
    </w:tbl>
    <w:p>
      <w:pPr>
        <w:spacing w:line="240" w:lineRule="auto"/>
        <w:ind w:firstLine="0" w:firstLineChars="0"/>
        <w:jc w:val="center"/>
        <w:rPr>
          <w:rFonts w:ascii="宋体" w:hAnsi="宋体"/>
          <w:highlight w:val="none"/>
        </w:rPr>
      </w:pPr>
      <w:r>
        <w:rPr>
          <w:rFonts w:ascii="宋体" w:hAnsi="宋体"/>
          <w:sz w:val="21"/>
          <w:szCs w:val="22"/>
          <w:highlight w:val="none"/>
        </w:rPr>
        <w:drawing>
          <wp:inline distT="0" distB="0" distL="0" distR="0">
            <wp:extent cx="4502150" cy="3629660"/>
            <wp:effectExtent l="0" t="0" r="0" b="8890"/>
            <wp:docPr id="7" name="图片 7" descr="C:\Users\Administrator\Desktop\QQ截图2021042122085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QQ截图20210421220850副本.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04869" cy="3631774"/>
                    </a:xfrm>
                    <a:prstGeom prst="rect">
                      <a:avLst/>
                    </a:prstGeom>
                    <a:noFill/>
                    <a:ln>
                      <a:noFill/>
                    </a:ln>
                  </pic:spPr>
                </pic:pic>
              </a:graphicData>
            </a:graphic>
          </wp:inline>
        </w:drawing>
      </w:r>
    </w:p>
    <w:p>
      <w:pPr>
        <w:spacing w:line="240" w:lineRule="auto"/>
        <w:ind w:firstLine="0" w:firstLineChars="0"/>
        <w:jc w:val="center"/>
        <w:rPr>
          <w:rFonts w:ascii="宋体" w:hAnsi="宋体"/>
          <w:highlight w:val="none"/>
        </w:rPr>
      </w:pPr>
      <w:r>
        <w:rPr>
          <w:rFonts w:hint="eastAsia" w:ascii="宋体" w:hAnsi="宋体"/>
          <w:highlight w:val="none"/>
        </w:rPr>
        <w:t>图2-1  本项目运输路线</w:t>
      </w:r>
    </w:p>
    <w:p>
      <w:pPr>
        <w:spacing w:line="240" w:lineRule="auto"/>
        <w:ind w:firstLine="0" w:firstLineChars="0"/>
        <w:jc w:val="center"/>
        <w:rPr>
          <w:rFonts w:ascii="宋体" w:hAnsi="宋体"/>
          <w:highlight w:val="none"/>
        </w:rPr>
      </w:pPr>
    </w:p>
    <w:p>
      <w:pPr>
        <w:spacing w:line="360" w:lineRule="auto"/>
        <w:ind w:firstLine="482"/>
        <w:jc w:val="center"/>
        <w:rPr>
          <w:rFonts w:ascii="宋体" w:hAnsi="宋体"/>
          <w:b/>
          <w:highlight w:val="none"/>
        </w:rPr>
        <w:sectPr>
          <w:footerReference r:id="rId14" w:type="default"/>
          <w:pgSz w:w="11906" w:h="16838"/>
          <w:pgMar w:top="1588" w:right="1588" w:bottom="1474" w:left="1588" w:header="964" w:footer="850" w:gutter="0"/>
          <w:pgBorders>
            <w:top w:val="none" w:sz="0" w:space="0"/>
            <w:left w:val="none" w:sz="0" w:space="0"/>
            <w:bottom w:val="none" w:sz="0" w:space="0"/>
            <w:right w:val="none" w:sz="0" w:space="0"/>
          </w:pgBorders>
          <w:pgNumType w:start="1"/>
          <w:cols w:space="720" w:num="1"/>
          <w:docGrid w:linePitch="326" w:charSpace="0"/>
        </w:sectPr>
      </w:pPr>
    </w:p>
    <w:p>
      <w:pPr>
        <w:pStyle w:val="2"/>
        <w:ind w:firstLine="883"/>
        <w:rPr>
          <w:highlight w:val="none"/>
        </w:rPr>
      </w:pPr>
      <w:bookmarkStart w:id="116" w:name="_Toc4678403"/>
      <w:bookmarkStart w:id="117" w:name="_Toc70201017"/>
      <w:bookmarkStart w:id="118" w:name="_Hlk492133441"/>
      <w:bookmarkStart w:id="119" w:name="_Toc474767038"/>
      <w:r>
        <w:rPr>
          <w:highlight w:val="none"/>
        </w:rPr>
        <w:t>第三章</w:t>
      </w:r>
      <w:r>
        <w:rPr>
          <w:rFonts w:hint="eastAsia"/>
          <w:highlight w:val="none"/>
        </w:rPr>
        <w:t xml:space="preserve">  </w:t>
      </w:r>
      <w:r>
        <w:rPr>
          <w:highlight w:val="none"/>
        </w:rPr>
        <w:t>建设项目工程分析</w:t>
      </w:r>
      <w:bookmarkEnd w:id="116"/>
      <w:bookmarkEnd w:id="117"/>
    </w:p>
    <w:p>
      <w:pPr>
        <w:pStyle w:val="3"/>
        <w:ind w:firstLine="643"/>
        <w:rPr>
          <w:rFonts w:hAnsi="宋体"/>
          <w:highlight w:val="none"/>
          <w:lang w:val="en-US"/>
        </w:rPr>
      </w:pPr>
      <w:bookmarkStart w:id="120" w:name="_Toc70201018"/>
      <w:bookmarkStart w:id="121" w:name="_Toc448417692"/>
      <w:r>
        <w:rPr>
          <w:rFonts w:hAnsi="宋体"/>
          <w:highlight w:val="none"/>
        </w:rPr>
        <w:t>3.</w:t>
      </w:r>
      <w:r>
        <w:rPr>
          <w:rFonts w:hint="eastAsia" w:hAnsi="宋体"/>
          <w:highlight w:val="none"/>
        </w:rPr>
        <w:t>1项目</w:t>
      </w:r>
      <w:r>
        <w:rPr>
          <w:rFonts w:hAnsi="宋体"/>
          <w:highlight w:val="none"/>
        </w:rPr>
        <w:t>概况</w:t>
      </w:r>
      <w:bookmarkEnd w:id="120"/>
    </w:p>
    <w:p>
      <w:pPr>
        <w:pStyle w:val="4"/>
        <w:ind w:firstLine="562"/>
        <w:rPr>
          <w:rFonts w:hAnsi="宋体"/>
          <w:highlight w:val="none"/>
        </w:rPr>
      </w:pPr>
      <w:bookmarkStart w:id="122" w:name="_Toc4678421"/>
      <w:r>
        <w:rPr>
          <w:rFonts w:hAnsi="宋体"/>
          <w:highlight w:val="none"/>
        </w:rPr>
        <w:t>3.</w:t>
      </w:r>
      <w:r>
        <w:rPr>
          <w:rFonts w:hint="eastAsia" w:hAnsi="宋体"/>
          <w:highlight w:val="none"/>
        </w:rPr>
        <w:t>1</w:t>
      </w:r>
      <w:r>
        <w:rPr>
          <w:rFonts w:hAnsi="宋体"/>
          <w:highlight w:val="none"/>
        </w:rPr>
        <w:t>.1</w:t>
      </w:r>
      <w:r>
        <w:rPr>
          <w:rFonts w:hint="eastAsia" w:hAnsi="宋体"/>
          <w:highlight w:val="none"/>
        </w:rPr>
        <w:t>项目</w:t>
      </w:r>
      <w:r>
        <w:rPr>
          <w:rFonts w:hAnsi="宋体"/>
          <w:highlight w:val="none"/>
        </w:rPr>
        <w:t>基本情况</w:t>
      </w:r>
      <w:bookmarkEnd w:id="121"/>
      <w:bookmarkEnd w:id="122"/>
    </w:p>
    <w:p>
      <w:pPr>
        <w:ind w:firstLine="480"/>
        <w:rPr>
          <w:rFonts w:hint="eastAsia" w:ascii="宋体" w:hAnsi="宋体"/>
          <w:highlight w:val="none"/>
          <w:lang w:val="en-US" w:eastAsia="zh-CN"/>
        </w:rPr>
      </w:pPr>
      <w:r>
        <w:rPr>
          <w:rFonts w:ascii="宋体" w:hAnsi="宋体"/>
          <w:highlight w:val="none"/>
        </w:rPr>
        <w:t>山西省繁峙县垣利铁选厂</w:t>
      </w:r>
      <w:r>
        <w:rPr>
          <w:rFonts w:hint="eastAsia" w:ascii="宋体" w:hAnsi="宋体"/>
          <w:highlight w:val="none"/>
          <w:lang w:val="en-US" w:eastAsia="zh-CN"/>
        </w:rPr>
        <w:t>原法人代表为卢眉恩，成立于2013年11月27日，注册地址在繁峙县光裕堡乡富家庄村，主要从事铁精粉销售。该</w:t>
      </w:r>
      <w:r>
        <w:rPr>
          <w:rFonts w:ascii="宋体" w:hAnsi="宋体"/>
          <w:highlight w:val="none"/>
        </w:rPr>
        <w:t>铁选厂</w:t>
      </w:r>
      <w:r>
        <w:rPr>
          <w:rFonts w:hint="eastAsia" w:ascii="宋体" w:hAnsi="宋体"/>
          <w:highlight w:val="none"/>
        </w:rPr>
        <w:t>从2013年开始动工建设，先后办理了营业执照、安全生产许可证、税务登记证、以及用电、用地等相关手续。该</w:t>
      </w:r>
      <w:r>
        <w:rPr>
          <w:rFonts w:hint="eastAsia" w:ascii="宋体" w:hAnsi="宋体"/>
          <w:highlight w:val="none"/>
          <w:lang w:val="en-US" w:eastAsia="zh-CN"/>
        </w:rPr>
        <w:t>铁</w:t>
      </w:r>
      <w:r>
        <w:rPr>
          <w:rFonts w:hint="eastAsia" w:ascii="宋体" w:hAnsi="宋体"/>
          <w:highlight w:val="none"/>
        </w:rPr>
        <w:t>选厂设计建厂规模为年处理原矿30万吨，依山坡而建，主要设备有破碎机，锤破和一段球磨机，工艺采用三段破碎流程，阶段磨矿，阶段选铁的流程</w:t>
      </w:r>
      <w:r>
        <w:rPr>
          <w:rFonts w:hint="eastAsia" w:ascii="宋体" w:hAnsi="宋体"/>
          <w:highlight w:val="none"/>
          <w:lang w:eastAsia="zh-CN"/>
        </w:rPr>
        <w:t>，</w:t>
      </w:r>
      <w:r>
        <w:rPr>
          <w:rFonts w:hint="eastAsia" w:ascii="宋体" w:hAnsi="宋体"/>
          <w:highlight w:val="none"/>
          <w:lang w:val="en-US" w:eastAsia="zh-CN"/>
        </w:rPr>
        <w:t>主体设备已安装到位。</w:t>
      </w:r>
      <w:r>
        <w:rPr>
          <w:rFonts w:hint="eastAsia" w:ascii="宋体" w:hAnsi="宋体"/>
          <w:highlight w:val="none"/>
        </w:rPr>
        <w:t>由于</w:t>
      </w:r>
      <w:r>
        <w:rPr>
          <w:rFonts w:hint="eastAsia" w:ascii="宋体" w:hAnsi="宋体"/>
          <w:highlight w:val="none"/>
          <w:lang w:val="en-US" w:eastAsia="zh-CN"/>
        </w:rPr>
        <w:t>市场</w:t>
      </w:r>
      <w:r>
        <w:rPr>
          <w:rFonts w:hint="eastAsia" w:ascii="宋体" w:hAnsi="宋体"/>
          <w:highlight w:val="none"/>
        </w:rPr>
        <w:t>大环境的影响，</w:t>
      </w:r>
      <w:r>
        <w:rPr>
          <w:rFonts w:hint="eastAsia" w:ascii="宋体" w:hAnsi="宋体"/>
          <w:highlight w:val="none"/>
          <w:lang w:val="en-US" w:eastAsia="zh-CN"/>
        </w:rPr>
        <w:t>铁矿</w:t>
      </w:r>
      <w:r>
        <w:rPr>
          <w:rFonts w:hint="eastAsia" w:ascii="宋体" w:hAnsi="宋体"/>
          <w:highlight w:val="none"/>
        </w:rPr>
        <w:t>价格一直持续不景气，</w:t>
      </w:r>
      <w:r>
        <w:rPr>
          <w:rFonts w:hint="eastAsia" w:ascii="宋体" w:hAnsi="宋体"/>
          <w:highlight w:val="none"/>
          <w:lang w:val="en-US" w:eastAsia="zh-CN"/>
        </w:rPr>
        <w:t>未</w:t>
      </w:r>
      <w:r>
        <w:rPr>
          <w:rFonts w:hint="eastAsia" w:ascii="宋体" w:hAnsi="宋体"/>
          <w:highlight w:val="none"/>
        </w:rPr>
        <w:t>启动生产</w:t>
      </w:r>
      <w:r>
        <w:rPr>
          <w:rFonts w:hint="eastAsia" w:ascii="宋体" w:hAnsi="宋体"/>
          <w:highlight w:val="none"/>
          <w:lang w:eastAsia="zh-CN"/>
        </w:rPr>
        <w:t>。</w:t>
      </w:r>
      <w:r>
        <w:rPr>
          <w:rFonts w:hint="eastAsia" w:ascii="宋体" w:hAnsi="宋体"/>
          <w:highlight w:val="none"/>
        </w:rPr>
        <w:t>2018年</w:t>
      </w:r>
      <w:r>
        <w:rPr>
          <w:rFonts w:hint="eastAsia" w:ascii="宋体" w:hAnsi="宋体"/>
          <w:highlight w:val="none"/>
          <w:lang w:eastAsia="zh-CN"/>
        </w:rPr>
        <w:t>，杨永堂</w:t>
      </w:r>
      <w:r>
        <w:rPr>
          <w:rFonts w:hint="eastAsia" w:ascii="宋体" w:hAnsi="宋体"/>
          <w:highlight w:val="none"/>
          <w:lang w:val="en-US" w:eastAsia="zh-CN"/>
        </w:rPr>
        <w:t>收购该铁选厂，法人进行了变更，存续至今。2018年6月，该铁选厂开始完善生产设施并进行调试，于2018年8月份投入生产。</w:t>
      </w:r>
    </w:p>
    <w:p>
      <w:pPr>
        <w:ind w:firstLine="480"/>
        <w:rPr>
          <w:rFonts w:hint="default" w:ascii="宋体" w:hAnsi="宋体" w:eastAsia="宋体"/>
          <w:highlight w:val="none"/>
          <w:lang w:val="en-US" w:eastAsia="zh-CN"/>
        </w:rPr>
      </w:pPr>
      <w:r>
        <w:rPr>
          <w:rFonts w:ascii="宋体" w:hAnsi="宋体"/>
          <w:highlight w:val="none"/>
        </w:rPr>
        <w:t>山西省繁峙县垣利铁选厂</w:t>
      </w:r>
      <w:r>
        <w:rPr>
          <w:rFonts w:hint="eastAsia" w:ascii="宋体" w:hAnsi="宋体"/>
          <w:highlight w:val="none"/>
          <w:lang w:val="en-US" w:eastAsia="zh-CN"/>
        </w:rPr>
        <w:t>未被收购前未办理环评手续。</w:t>
      </w:r>
    </w:p>
    <w:p>
      <w:pPr>
        <w:ind w:firstLine="480"/>
        <w:rPr>
          <w:rFonts w:ascii="宋体" w:hAnsi="宋体"/>
          <w:highlight w:val="none"/>
        </w:rPr>
      </w:pPr>
      <w:r>
        <w:rPr>
          <w:rFonts w:ascii="宋体" w:hAnsi="宋体"/>
          <w:highlight w:val="none"/>
        </w:rPr>
        <w:t>山西省繁峙县垣利铁选厂30万吨/年低品位铁矿石综合利用项目基本情况见表3.</w:t>
      </w:r>
      <w:r>
        <w:rPr>
          <w:rFonts w:hint="eastAsia" w:ascii="宋体" w:hAnsi="宋体"/>
          <w:highlight w:val="none"/>
        </w:rPr>
        <w:t>1</w:t>
      </w:r>
      <w:r>
        <w:rPr>
          <w:rFonts w:ascii="宋体" w:hAnsi="宋体"/>
          <w:highlight w:val="none"/>
        </w:rPr>
        <w:t>-1。</w:t>
      </w:r>
    </w:p>
    <w:p>
      <w:pPr>
        <w:pStyle w:val="65"/>
        <w:rPr>
          <w:rFonts w:hAnsi="宋体"/>
          <w:highlight w:val="none"/>
        </w:rPr>
      </w:pPr>
      <w:r>
        <w:rPr>
          <w:rFonts w:hAnsi="宋体"/>
          <w:highlight w:val="none"/>
        </w:rPr>
        <w:t>表3.</w:t>
      </w:r>
      <w:r>
        <w:rPr>
          <w:rFonts w:hint="eastAsia" w:hAnsi="宋体"/>
          <w:highlight w:val="none"/>
        </w:rPr>
        <w:t>1</w:t>
      </w:r>
      <w:r>
        <w:rPr>
          <w:rFonts w:hAnsi="宋体"/>
          <w:highlight w:val="none"/>
        </w:rPr>
        <w:t>-1</w:t>
      </w:r>
      <w:r>
        <w:rPr>
          <w:rFonts w:hint="eastAsia" w:hAnsi="宋体"/>
          <w:highlight w:val="none"/>
        </w:rPr>
        <w:t xml:space="preserve">  </w:t>
      </w:r>
      <w:r>
        <w:rPr>
          <w:rFonts w:hAnsi="宋体"/>
          <w:highlight w:val="none"/>
        </w:rPr>
        <w:t>项目基本情况一览表</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2"/>
        <w:gridCol w:w="1439"/>
        <w:gridCol w:w="657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序号</w:t>
            </w:r>
          </w:p>
        </w:tc>
        <w:tc>
          <w:tcPr>
            <w:tcW w:w="1439" w:type="dxa"/>
            <w:vAlign w:val="center"/>
          </w:tcPr>
          <w:p>
            <w:pPr>
              <w:pStyle w:val="64"/>
              <w:rPr>
                <w:rFonts w:hAnsi="宋体"/>
                <w:highlight w:val="none"/>
              </w:rPr>
            </w:pPr>
            <w:r>
              <w:rPr>
                <w:rFonts w:hAnsi="宋体"/>
                <w:highlight w:val="none"/>
              </w:rPr>
              <w:t>名称</w:t>
            </w:r>
          </w:p>
        </w:tc>
        <w:tc>
          <w:tcPr>
            <w:tcW w:w="6575" w:type="dxa"/>
            <w:vAlign w:val="center"/>
          </w:tcPr>
          <w:p>
            <w:pPr>
              <w:pStyle w:val="64"/>
              <w:rPr>
                <w:rFonts w:hAnsi="宋体"/>
                <w:highlight w:val="none"/>
              </w:rPr>
            </w:pPr>
            <w:r>
              <w:rPr>
                <w:rFonts w:hAnsi="宋体"/>
                <w:highlight w:val="none"/>
              </w:rPr>
              <w:t>主要内容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1</w:t>
            </w:r>
          </w:p>
        </w:tc>
        <w:tc>
          <w:tcPr>
            <w:tcW w:w="1439" w:type="dxa"/>
            <w:vAlign w:val="center"/>
          </w:tcPr>
          <w:p>
            <w:pPr>
              <w:pStyle w:val="64"/>
              <w:rPr>
                <w:rFonts w:hAnsi="宋体"/>
                <w:highlight w:val="none"/>
              </w:rPr>
            </w:pPr>
            <w:r>
              <w:rPr>
                <w:rFonts w:hAnsi="宋体"/>
                <w:highlight w:val="none"/>
              </w:rPr>
              <w:t>项目名称</w:t>
            </w:r>
          </w:p>
        </w:tc>
        <w:tc>
          <w:tcPr>
            <w:tcW w:w="6575" w:type="dxa"/>
            <w:vAlign w:val="center"/>
          </w:tcPr>
          <w:p>
            <w:pPr>
              <w:pStyle w:val="64"/>
              <w:rPr>
                <w:rFonts w:hAnsi="宋体"/>
                <w:highlight w:val="none"/>
              </w:rPr>
            </w:pPr>
            <w:r>
              <w:rPr>
                <w:rFonts w:hAnsi="宋体"/>
                <w:highlight w:val="none"/>
              </w:rPr>
              <w:t>山西省繁峙县垣利铁选厂30万吨/年低品位铁矿石综合利用项目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2</w:t>
            </w:r>
          </w:p>
        </w:tc>
        <w:tc>
          <w:tcPr>
            <w:tcW w:w="1439" w:type="dxa"/>
            <w:vAlign w:val="center"/>
          </w:tcPr>
          <w:p>
            <w:pPr>
              <w:pStyle w:val="64"/>
              <w:rPr>
                <w:rFonts w:hAnsi="宋体"/>
                <w:highlight w:val="none"/>
              </w:rPr>
            </w:pPr>
            <w:r>
              <w:rPr>
                <w:rFonts w:hAnsi="宋体"/>
                <w:highlight w:val="none"/>
              </w:rPr>
              <w:t>建设地点</w:t>
            </w:r>
          </w:p>
        </w:tc>
        <w:tc>
          <w:tcPr>
            <w:tcW w:w="6575" w:type="dxa"/>
            <w:vAlign w:val="center"/>
          </w:tcPr>
          <w:p>
            <w:pPr>
              <w:pStyle w:val="64"/>
              <w:rPr>
                <w:rFonts w:hAnsi="宋体"/>
                <w:highlight w:val="none"/>
              </w:rPr>
            </w:pPr>
            <w:r>
              <w:rPr>
                <w:rFonts w:hAnsi="宋体"/>
                <w:highlight w:val="none"/>
              </w:rPr>
              <w:t>繁峙县光裕堡乡富家庄村东南1.52km处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932" w:type="dxa"/>
            <w:vAlign w:val="center"/>
          </w:tcPr>
          <w:p>
            <w:pPr>
              <w:pStyle w:val="64"/>
              <w:rPr>
                <w:rFonts w:hAnsi="宋体"/>
                <w:highlight w:val="none"/>
              </w:rPr>
            </w:pPr>
            <w:r>
              <w:rPr>
                <w:rFonts w:hAnsi="宋体"/>
                <w:highlight w:val="none"/>
              </w:rPr>
              <w:t>3</w:t>
            </w:r>
          </w:p>
        </w:tc>
        <w:tc>
          <w:tcPr>
            <w:tcW w:w="1439" w:type="dxa"/>
            <w:vAlign w:val="center"/>
          </w:tcPr>
          <w:p>
            <w:pPr>
              <w:pStyle w:val="64"/>
              <w:rPr>
                <w:rFonts w:hAnsi="宋体"/>
                <w:highlight w:val="none"/>
              </w:rPr>
            </w:pPr>
            <w:r>
              <w:rPr>
                <w:rFonts w:hAnsi="宋体"/>
                <w:highlight w:val="none"/>
              </w:rPr>
              <w:t>建设单位</w:t>
            </w:r>
          </w:p>
        </w:tc>
        <w:tc>
          <w:tcPr>
            <w:tcW w:w="6575" w:type="dxa"/>
            <w:vAlign w:val="center"/>
          </w:tcPr>
          <w:p>
            <w:pPr>
              <w:pStyle w:val="64"/>
              <w:rPr>
                <w:rFonts w:hAnsi="宋体"/>
                <w:highlight w:val="none"/>
              </w:rPr>
            </w:pPr>
            <w:r>
              <w:rPr>
                <w:rFonts w:hAnsi="宋体"/>
                <w:highlight w:val="none"/>
              </w:rPr>
              <w:t>山西省繁峙县垣利铁选厂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4</w:t>
            </w:r>
          </w:p>
        </w:tc>
        <w:tc>
          <w:tcPr>
            <w:tcW w:w="1439" w:type="dxa"/>
            <w:vAlign w:val="center"/>
          </w:tcPr>
          <w:p>
            <w:pPr>
              <w:pStyle w:val="64"/>
              <w:rPr>
                <w:rFonts w:hAnsi="宋体"/>
                <w:highlight w:val="none"/>
              </w:rPr>
            </w:pPr>
            <w:r>
              <w:rPr>
                <w:rFonts w:hAnsi="宋体"/>
                <w:highlight w:val="none"/>
              </w:rPr>
              <w:t>建设性质</w:t>
            </w:r>
          </w:p>
        </w:tc>
        <w:tc>
          <w:tcPr>
            <w:tcW w:w="6575" w:type="dxa"/>
            <w:vAlign w:val="center"/>
          </w:tcPr>
          <w:p>
            <w:pPr>
              <w:pStyle w:val="64"/>
              <w:rPr>
                <w:rFonts w:hAnsi="宋体"/>
                <w:highlight w:val="none"/>
              </w:rPr>
            </w:pPr>
            <w:r>
              <w:rPr>
                <w:rFonts w:hint="eastAsia" w:hAnsi="宋体"/>
                <w:highlight w:val="none"/>
              </w:rPr>
              <w:t>新</w:t>
            </w:r>
            <w:r>
              <w:rPr>
                <w:rFonts w:hAnsi="宋体"/>
                <w:highlight w:val="none"/>
              </w:rPr>
              <w:t>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5</w:t>
            </w:r>
          </w:p>
        </w:tc>
        <w:tc>
          <w:tcPr>
            <w:tcW w:w="1439" w:type="dxa"/>
            <w:vAlign w:val="center"/>
          </w:tcPr>
          <w:p>
            <w:pPr>
              <w:pStyle w:val="64"/>
              <w:rPr>
                <w:rFonts w:hAnsi="宋体"/>
                <w:highlight w:val="none"/>
              </w:rPr>
            </w:pPr>
            <w:r>
              <w:rPr>
                <w:rFonts w:hAnsi="宋体"/>
                <w:highlight w:val="none"/>
              </w:rPr>
              <w:t>建设规模</w:t>
            </w:r>
          </w:p>
        </w:tc>
        <w:tc>
          <w:tcPr>
            <w:tcW w:w="6575" w:type="dxa"/>
            <w:vAlign w:val="center"/>
          </w:tcPr>
          <w:p>
            <w:pPr>
              <w:pStyle w:val="64"/>
              <w:rPr>
                <w:rFonts w:hAnsi="宋体"/>
                <w:highlight w:val="none"/>
              </w:rPr>
            </w:pPr>
            <w:r>
              <w:rPr>
                <w:rFonts w:hAnsi="宋体"/>
                <w:highlight w:val="none"/>
              </w:rPr>
              <w:t>年加工</w:t>
            </w:r>
            <w:r>
              <w:rPr>
                <w:rFonts w:hint="eastAsia" w:hAnsi="宋体"/>
                <w:highlight w:val="none"/>
              </w:rPr>
              <w:t>3</w:t>
            </w:r>
            <w:r>
              <w:rPr>
                <w:rFonts w:hAnsi="宋体"/>
                <w:highlight w:val="none"/>
              </w:rPr>
              <w:t>0万吨</w:t>
            </w:r>
            <w:r>
              <w:rPr>
                <w:rFonts w:hint="eastAsia" w:hAnsi="宋体"/>
                <w:highlight w:val="none"/>
              </w:rPr>
              <w:t>低品位铁矿石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6</w:t>
            </w:r>
          </w:p>
        </w:tc>
        <w:tc>
          <w:tcPr>
            <w:tcW w:w="1439" w:type="dxa"/>
            <w:vAlign w:val="center"/>
          </w:tcPr>
          <w:p>
            <w:pPr>
              <w:pStyle w:val="64"/>
              <w:rPr>
                <w:rFonts w:hAnsi="宋体"/>
                <w:highlight w:val="none"/>
              </w:rPr>
            </w:pPr>
            <w:r>
              <w:rPr>
                <w:rFonts w:hAnsi="宋体"/>
                <w:highlight w:val="none"/>
              </w:rPr>
              <w:t>工程投资</w:t>
            </w:r>
          </w:p>
        </w:tc>
        <w:tc>
          <w:tcPr>
            <w:tcW w:w="6575" w:type="dxa"/>
            <w:vAlign w:val="center"/>
          </w:tcPr>
          <w:p>
            <w:pPr>
              <w:pStyle w:val="64"/>
              <w:rPr>
                <w:rFonts w:hAnsi="宋体"/>
                <w:highlight w:val="none"/>
              </w:rPr>
            </w:pPr>
            <w:r>
              <w:rPr>
                <w:rFonts w:hAnsi="宋体"/>
                <w:highlight w:val="none"/>
              </w:rPr>
              <w:t>700万元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32" w:type="dxa"/>
            <w:vAlign w:val="center"/>
          </w:tcPr>
          <w:p>
            <w:pPr>
              <w:pStyle w:val="64"/>
              <w:rPr>
                <w:rFonts w:hAnsi="宋体"/>
                <w:highlight w:val="none"/>
              </w:rPr>
            </w:pPr>
            <w:r>
              <w:rPr>
                <w:rFonts w:hAnsi="宋体"/>
                <w:highlight w:val="none"/>
              </w:rPr>
              <w:t>7</w:t>
            </w:r>
          </w:p>
        </w:tc>
        <w:tc>
          <w:tcPr>
            <w:tcW w:w="1439" w:type="dxa"/>
            <w:vAlign w:val="center"/>
          </w:tcPr>
          <w:p>
            <w:pPr>
              <w:pStyle w:val="64"/>
              <w:rPr>
                <w:rFonts w:hAnsi="宋体"/>
                <w:highlight w:val="none"/>
              </w:rPr>
            </w:pPr>
            <w:r>
              <w:rPr>
                <w:rFonts w:hAnsi="宋体"/>
                <w:highlight w:val="none"/>
              </w:rPr>
              <w:t>占地面积</w:t>
            </w:r>
          </w:p>
        </w:tc>
        <w:tc>
          <w:tcPr>
            <w:tcW w:w="6575" w:type="dxa"/>
            <w:vAlign w:val="center"/>
          </w:tcPr>
          <w:p>
            <w:pPr>
              <w:pStyle w:val="64"/>
              <w:rPr>
                <w:rFonts w:hAnsi="宋体"/>
                <w:highlight w:val="none"/>
              </w:rPr>
            </w:pPr>
            <w:r>
              <w:rPr>
                <w:rFonts w:hint="eastAsia" w:hAnsi="宋体"/>
                <w:highlight w:val="none"/>
              </w:rPr>
              <w:t>32800</w:t>
            </w:r>
            <w:r>
              <w:rPr>
                <w:rFonts w:hAnsi="宋体"/>
                <w:highlight w:val="none"/>
              </w:rPr>
              <w:t>m</w:t>
            </w:r>
            <w:r>
              <w:rPr>
                <w:rFonts w:hAnsi="宋体"/>
                <w:highlight w:val="none"/>
                <w:vertAlign w:val="superscript"/>
              </w:rPr>
              <w:t>2</w:t>
            </w:r>
            <w:r>
              <w:rPr>
                <w:rFonts w:hint="eastAsia" w:hAnsi="宋体"/>
                <w:highlight w:val="none"/>
              </w:rPr>
              <w:t>（选矿厂占地面积13100m</w:t>
            </w:r>
            <w:r>
              <w:rPr>
                <w:rFonts w:hint="eastAsia" w:hAnsi="宋体"/>
                <w:highlight w:val="none"/>
                <w:vertAlign w:val="superscript"/>
              </w:rPr>
              <w:t>2</w:t>
            </w:r>
            <w:r>
              <w:rPr>
                <w:rFonts w:hint="eastAsia" w:hAnsi="宋体"/>
                <w:highlight w:val="none"/>
              </w:rPr>
              <w:t>，尾矿库占地面积19700m</w:t>
            </w:r>
            <w:r>
              <w:rPr>
                <w:rFonts w:hint="eastAsia" w:hAnsi="宋体"/>
                <w:highlight w:val="none"/>
                <w:vertAlign w:val="superscript"/>
              </w:rPr>
              <w:t>2</w:t>
            </w:r>
            <w:r>
              <w:rPr>
                <w:rFonts w:hint="eastAsia"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932" w:type="dxa"/>
            <w:vAlign w:val="center"/>
          </w:tcPr>
          <w:p>
            <w:pPr>
              <w:pStyle w:val="64"/>
              <w:rPr>
                <w:rFonts w:hAnsi="宋体"/>
                <w:highlight w:val="none"/>
              </w:rPr>
            </w:pPr>
            <w:r>
              <w:rPr>
                <w:rFonts w:hAnsi="宋体"/>
                <w:highlight w:val="none"/>
              </w:rPr>
              <w:t>8</w:t>
            </w:r>
          </w:p>
        </w:tc>
        <w:tc>
          <w:tcPr>
            <w:tcW w:w="1439" w:type="dxa"/>
            <w:vAlign w:val="center"/>
          </w:tcPr>
          <w:p>
            <w:pPr>
              <w:pStyle w:val="64"/>
              <w:rPr>
                <w:rFonts w:hAnsi="宋体"/>
                <w:highlight w:val="none"/>
              </w:rPr>
            </w:pPr>
            <w:r>
              <w:rPr>
                <w:rFonts w:hAnsi="宋体"/>
                <w:highlight w:val="none"/>
              </w:rPr>
              <w:t>工作制度</w:t>
            </w:r>
          </w:p>
        </w:tc>
        <w:tc>
          <w:tcPr>
            <w:tcW w:w="6575" w:type="dxa"/>
            <w:vAlign w:val="center"/>
          </w:tcPr>
          <w:p>
            <w:pPr>
              <w:pStyle w:val="64"/>
              <w:rPr>
                <w:rFonts w:hAnsi="宋体"/>
                <w:highlight w:val="none"/>
              </w:rPr>
            </w:pPr>
            <w:r>
              <w:rPr>
                <w:rFonts w:hAnsi="宋体"/>
                <w:highlight w:val="none"/>
              </w:rPr>
              <w:t>3</w:t>
            </w:r>
            <w:r>
              <w:rPr>
                <w:rFonts w:hint="eastAsia" w:hAnsi="宋体"/>
                <w:highlight w:val="none"/>
              </w:rPr>
              <w:t>0</w:t>
            </w:r>
            <w:r>
              <w:rPr>
                <w:rFonts w:hAnsi="宋体"/>
                <w:highlight w:val="none"/>
              </w:rPr>
              <w:t>0d/a，</w:t>
            </w:r>
            <w:r>
              <w:rPr>
                <w:rFonts w:hint="eastAsia" w:hAnsi="宋体"/>
                <w:highlight w:val="none"/>
              </w:rPr>
              <w:t>24</w:t>
            </w:r>
            <w:r>
              <w:rPr>
                <w:rFonts w:hAnsi="宋体"/>
                <w:highlight w:val="none"/>
              </w:rPr>
              <w:t>h/d，两班制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932" w:type="dxa"/>
            <w:vAlign w:val="center"/>
          </w:tcPr>
          <w:p>
            <w:pPr>
              <w:pStyle w:val="64"/>
              <w:rPr>
                <w:rFonts w:hAnsi="宋体"/>
                <w:highlight w:val="none"/>
              </w:rPr>
            </w:pPr>
            <w:r>
              <w:rPr>
                <w:rFonts w:hAnsi="宋体"/>
                <w:highlight w:val="none"/>
              </w:rPr>
              <w:t>9</w:t>
            </w:r>
          </w:p>
        </w:tc>
        <w:tc>
          <w:tcPr>
            <w:tcW w:w="1439" w:type="dxa"/>
            <w:vAlign w:val="center"/>
          </w:tcPr>
          <w:p>
            <w:pPr>
              <w:pStyle w:val="64"/>
              <w:rPr>
                <w:rFonts w:hAnsi="宋体"/>
                <w:highlight w:val="none"/>
              </w:rPr>
            </w:pPr>
            <w:r>
              <w:rPr>
                <w:rFonts w:hAnsi="宋体"/>
                <w:highlight w:val="none"/>
              </w:rPr>
              <w:t>劳动定员</w:t>
            </w:r>
          </w:p>
        </w:tc>
        <w:tc>
          <w:tcPr>
            <w:tcW w:w="6575" w:type="dxa"/>
            <w:vAlign w:val="center"/>
          </w:tcPr>
          <w:p>
            <w:pPr>
              <w:pStyle w:val="64"/>
              <w:rPr>
                <w:rFonts w:hAnsi="宋体"/>
                <w:highlight w:val="none"/>
              </w:rPr>
            </w:pPr>
            <w:r>
              <w:rPr>
                <w:rFonts w:hAnsi="宋体"/>
                <w:highlight w:val="none"/>
              </w:rPr>
              <w:t>15人</w:t>
            </w:r>
          </w:p>
        </w:tc>
      </w:tr>
    </w:tbl>
    <w:p>
      <w:pPr>
        <w:pStyle w:val="4"/>
        <w:ind w:firstLine="562"/>
        <w:rPr>
          <w:rFonts w:hAnsi="宋体"/>
          <w:highlight w:val="none"/>
        </w:rPr>
      </w:pPr>
      <w:bookmarkStart w:id="123" w:name="_Toc4678422"/>
      <w:bookmarkStart w:id="124" w:name="_Toc448417694"/>
      <w:r>
        <w:rPr>
          <w:rFonts w:hAnsi="宋体"/>
          <w:highlight w:val="none"/>
        </w:rPr>
        <w:t>3.</w:t>
      </w:r>
      <w:r>
        <w:rPr>
          <w:rFonts w:hint="eastAsia" w:hAnsi="宋体"/>
          <w:highlight w:val="none"/>
        </w:rPr>
        <w:t>1</w:t>
      </w:r>
      <w:r>
        <w:rPr>
          <w:rFonts w:hAnsi="宋体"/>
          <w:highlight w:val="none"/>
        </w:rPr>
        <w:t>.2</w:t>
      </w:r>
      <w:r>
        <w:rPr>
          <w:rFonts w:hint="eastAsia" w:hAnsi="宋体"/>
          <w:highlight w:val="none"/>
        </w:rPr>
        <w:t>项目</w:t>
      </w:r>
      <w:r>
        <w:rPr>
          <w:rFonts w:hAnsi="宋体"/>
          <w:highlight w:val="none"/>
        </w:rPr>
        <w:t>建设内容</w:t>
      </w:r>
    </w:p>
    <w:p>
      <w:pPr>
        <w:ind w:firstLine="480"/>
        <w:rPr>
          <w:rFonts w:ascii="宋体" w:hAnsi="宋体"/>
          <w:bCs/>
          <w:kern w:val="0"/>
          <w:szCs w:val="20"/>
          <w:highlight w:val="none"/>
        </w:rPr>
      </w:pPr>
      <w:r>
        <w:rPr>
          <w:rFonts w:hint="eastAsia" w:ascii="宋体" w:hAnsi="宋体"/>
          <w:bCs/>
          <w:kern w:val="0"/>
          <w:szCs w:val="20"/>
          <w:highlight w:val="none"/>
        </w:rPr>
        <w:t>1、主要建设内容</w:t>
      </w:r>
    </w:p>
    <w:p>
      <w:pPr>
        <w:ind w:firstLine="480"/>
        <w:rPr>
          <w:rFonts w:ascii="宋体" w:hAnsi="宋体"/>
          <w:bCs/>
          <w:kern w:val="0"/>
          <w:szCs w:val="20"/>
          <w:highlight w:val="none"/>
        </w:rPr>
      </w:pPr>
      <w:r>
        <w:rPr>
          <w:rFonts w:ascii="宋体" w:hAnsi="宋体"/>
          <w:bCs/>
          <w:kern w:val="0"/>
          <w:szCs w:val="20"/>
          <w:highlight w:val="none"/>
        </w:rPr>
        <w:t>本项目主</w:t>
      </w:r>
      <w:r>
        <w:rPr>
          <w:rFonts w:hint="eastAsia" w:ascii="宋体" w:hAnsi="宋体"/>
          <w:bCs/>
          <w:kern w:val="0"/>
          <w:szCs w:val="20"/>
          <w:highlight w:val="none"/>
        </w:rPr>
        <w:t>要建设内容：</w:t>
      </w:r>
      <w:r>
        <w:rPr>
          <w:rFonts w:ascii="宋体" w:hAnsi="宋体"/>
          <w:bCs/>
          <w:kern w:val="0"/>
          <w:szCs w:val="20"/>
          <w:highlight w:val="none"/>
        </w:rPr>
        <w:t>新建原料库、破碎全封闭结构房、</w:t>
      </w:r>
      <w:r>
        <w:rPr>
          <w:rFonts w:ascii="宋体" w:hAnsi="宋体"/>
          <w:highlight w:val="none"/>
        </w:rPr>
        <w:t>主</w:t>
      </w:r>
      <w:r>
        <w:rPr>
          <w:rFonts w:ascii="宋体" w:hAnsi="宋体"/>
          <w:spacing w:val="2"/>
          <w:highlight w:val="none"/>
        </w:rPr>
        <w:t>选车</w:t>
      </w:r>
      <w:r>
        <w:rPr>
          <w:rFonts w:ascii="宋体" w:hAnsi="宋体"/>
          <w:highlight w:val="none"/>
        </w:rPr>
        <w:t>间、</w:t>
      </w:r>
      <w:r>
        <w:rPr>
          <w:rFonts w:ascii="宋体" w:hAnsi="宋体"/>
          <w:bCs/>
          <w:kern w:val="0"/>
          <w:szCs w:val="20"/>
          <w:highlight w:val="none"/>
        </w:rPr>
        <w:t>成品库等和办公用房。购置破碎机、球磨机、磁选机等生产设备及配套的环保设施。建设内容具体见表3.</w:t>
      </w:r>
      <w:r>
        <w:rPr>
          <w:rFonts w:hint="eastAsia" w:ascii="宋体" w:hAnsi="宋体"/>
          <w:bCs/>
          <w:kern w:val="0"/>
          <w:szCs w:val="20"/>
          <w:highlight w:val="none"/>
        </w:rPr>
        <w:t>1</w:t>
      </w:r>
      <w:r>
        <w:rPr>
          <w:rFonts w:ascii="宋体" w:hAnsi="宋体"/>
          <w:bCs/>
          <w:kern w:val="0"/>
          <w:szCs w:val="20"/>
          <w:highlight w:val="none"/>
        </w:rPr>
        <w:t>-2。</w:t>
      </w:r>
    </w:p>
    <w:p>
      <w:pPr>
        <w:pStyle w:val="65"/>
        <w:rPr>
          <w:rFonts w:hAnsi="宋体"/>
          <w:highlight w:val="none"/>
        </w:rPr>
      </w:pPr>
      <w:r>
        <w:rPr>
          <w:rFonts w:hAnsi="宋体"/>
          <w:highlight w:val="none"/>
        </w:rPr>
        <w:t>表3.</w:t>
      </w:r>
      <w:r>
        <w:rPr>
          <w:rFonts w:hint="eastAsia" w:hAnsi="宋体"/>
          <w:highlight w:val="none"/>
        </w:rPr>
        <w:t>1</w:t>
      </w:r>
      <w:r>
        <w:rPr>
          <w:rFonts w:hAnsi="宋体"/>
          <w:highlight w:val="none"/>
        </w:rPr>
        <w:t>-2</w:t>
      </w:r>
      <w:r>
        <w:rPr>
          <w:rFonts w:hint="eastAsia" w:hAnsi="宋体"/>
          <w:highlight w:val="none"/>
        </w:rPr>
        <w:t xml:space="preserve">  选矿厂</w:t>
      </w:r>
      <w:r>
        <w:rPr>
          <w:rFonts w:hAnsi="宋体"/>
          <w:highlight w:val="none"/>
        </w:rPr>
        <w:t>主要建设内容</w:t>
      </w:r>
    </w:p>
    <w:tbl>
      <w:tblPr>
        <w:tblStyle w:val="75"/>
        <w:tblW w:w="8789"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60"/>
        <w:gridCol w:w="582"/>
        <w:gridCol w:w="970"/>
        <w:gridCol w:w="2718"/>
        <w:gridCol w:w="1134"/>
        <w:gridCol w:w="1346"/>
        <w:gridCol w:w="663"/>
        <w:gridCol w:w="81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112" w:type="dxa"/>
            <w:gridSpan w:val="3"/>
            <w:vAlign w:val="center"/>
          </w:tcPr>
          <w:p>
            <w:pPr>
              <w:pStyle w:val="64"/>
              <w:widowControl w:val="0"/>
              <w:rPr>
                <w:rFonts w:hAnsi="宋体"/>
                <w:highlight w:val="none"/>
                <w:lang w:eastAsia="en-US"/>
              </w:rPr>
            </w:pPr>
            <w:r>
              <w:rPr>
                <w:rFonts w:hAnsi="宋体"/>
                <w:highlight w:val="none"/>
                <w:lang w:eastAsia="en-US"/>
              </w:rPr>
              <w:t>工</w:t>
            </w:r>
            <w:r>
              <w:rPr>
                <w:rFonts w:hAnsi="宋体"/>
                <w:spacing w:val="2"/>
                <w:highlight w:val="none"/>
                <w:lang w:eastAsia="en-US"/>
              </w:rPr>
              <w:t>程</w:t>
            </w:r>
            <w:r>
              <w:rPr>
                <w:rFonts w:hAnsi="宋体"/>
                <w:highlight w:val="none"/>
                <w:lang w:eastAsia="en-US"/>
              </w:rPr>
              <w:t>类别</w:t>
            </w:r>
          </w:p>
        </w:tc>
        <w:tc>
          <w:tcPr>
            <w:tcW w:w="5198" w:type="dxa"/>
            <w:gridSpan w:val="3"/>
            <w:vAlign w:val="center"/>
          </w:tcPr>
          <w:p>
            <w:pPr>
              <w:pStyle w:val="64"/>
              <w:widowControl w:val="0"/>
              <w:rPr>
                <w:rFonts w:hAnsi="宋体"/>
                <w:highlight w:val="none"/>
                <w:lang w:eastAsia="en-US"/>
              </w:rPr>
            </w:pPr>
            <w:r>
              <w:rPr>
                <w:rFonts w:hAnsi="宋体"/>
                <w:highlight w:val="none"/>
                <w:lang w:eastAsia="en-US"/>
              </w:rPr>
              <w:t>工</w:t>
            </w:r>
            <w:r>
              <w:rPr>
                <w:rFonts w:hAnsi="宋体"/>
                <w:spacing w:val="2"/>
                <w:highlight w:val="none"/>
                <w:lang w:eastAsia="en-US"/>
              </w:rPr>
              <w:t>程</w:t>
            </w:r>
            <w:r>
              <w:rPr>
                <w:rFonts w:hAnsi="宋体"/>
                <w:highlight w:val="none"/>
                <w:lang w:eastAsia="en-US"/>
              </w:rPr>
              <w:t>内容</w:t>
            </w:r>
          </w:p>
        </w:tc>
        <w:tc>
          <w:tcPr>
            <w:tcW w:w="1479" w:type="dxa"/>
            <w:gridSpan w:val="2"/>
            <w:vAlign w:val="center"/>
          </w:tcPr>
          <w:p>
            <w:pPr>
              <w:pStyle w:val="64"/>
              <w:widowControl w:val="0"/>
              <w:rPr>
                <w:rFonts w:hAnsi="宋体"/>
                <w:highlight w:val="none"/>
                <w:lang w:eastAsia="en-US"/>
              </w:rPr>
            </w:pPr>
            <w:r>
              <w:rPr>
                <w:rFonts w:hAnsi="宋体"/>
                <w:highlight w:val="none"/>
                <w:lang w:eastAsia="en-US"/>
              </w:rPr>
              <w:t>备注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restart"/>
            <w:vAlign w:val="center"/>
          </w:tcPr>
          <w:p>
            <w:pPr>
              <w:pStyle w:val="64"/>
              <w:widowControl w:val="0"/>
              <w:rPr>
                <w:rFonts w:hAnsi="宋体"/>
                <w:highlight w:val="none"/>
                <w:lang w:eastAsia="en-US"/>
              </w:rPr>
            </w:pPr>
            <w:r>
              <w:rPr>
                <w:rFonts w:hAnsi="宋体"/>
                <w:highlight w:val="none"/>
                <w:lang w:eastAsia="en-US"/>
              </w:rPr>
              <w:t>主</w:t>
            </w:r>
            <w:r>
              <w:rPr>
                <w:rFonts w:hAnsi="宋体"/>
                <w:spacing w:val="2"/>
                <w:highlight w:val="none"/>
                <w:lang w:eastAsia="en-US"/>
              </w:rPr>
              <w:t>体</w:t>
            </w:r>
            <w:r>
              <w:rPr>
                <w:rFonts w:hAnsi="宋体"/>
                <w:highlight w:val="none"/>
                <w:lang w:eastAsia="en-US"/>
              </w:rPr>
              <w:t>工程</w:t>
            </w: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一段破碎机</w:t>
            </w:r>
            <w:r>
              <w:rPr>
                <w:rFonts w:hAnsi="宋体"/>
                <w:highlight w:val="none"/>
                <w:lang w:eastAsia="en-US"/>
              </w:rPr>
              <w:t>间</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钢</w:t>
            </w:r>
            <w:r>
              <w:rPr>
                <w:rFonts w:hAnsi="宋体"/>
                <w:spacing w:val="2"/>
                <w:highlight w:val="none"/>
                <w:lang w:eastAsia="zh-CN"/>
              </w:rPr>
              <w:t>结</w:t>
            </w:r>
            <w:r>
              <w:rPr>
                <w:rFonts w:hAnsi="宋体"/>
                <w:highlight w:val="none"/>
                <w:lang w:eastAsia="zh-CN"/>
              </w:rPr>
              <w:t>构</w:t>
            </w:r>
            <w:r>
              <w:rPr>
                <w:rFonts w:hAnsi="宋体"/>
                <w:spacing w:val="-33"/>
                <w:highlight w:val="none"/>
                <w:lang w:eastAsia="zh-CN"/>
              </w:rPr>
              <w:t>，</w:t>
            </w:r>
            <w:r>
              <w:rPr>
                <w:rFonts w:hAnsi="宋体"/>
                <w:highlight w:val="none"/>
                <w:lang w:eastAsia="zh-CN"/>
              </w:rPr>
              <w:t>面</w:t>
            </w:r>
            <w:r>
              <w:rPr>
                <w:rFonts w:hAnsi="宋体"/>
                <w:spacing w:val="2"/>
                <w:highlight w:val="none"/>
                <w:lang w:eastAsia="zh-CN"/>
              </w:rPr>
              <w:t>积</w:t>
            </w:r>
            <w:r>
              <w:rPr>
                <w:rFonts w:hAnsi="宋体"/>
                <w:highlight w:val="none"/>
                <w:lang w:eastAsia="zh-CN"/>
              </w:rPr>
              <w:t>约</w:t>
            </w:r>
            <w:r>
              <w:rPr>
                <w:rFonts w:hAnsi="宋体" w:cs="hakuyoxingshu7000"/>
                <w:spacing w:val="1"/>
                <w:highlight w:val="none"/>
                <w:lang w:eastAsia="zh-CN"/>
              </w:rPr>
              <w:t>60</w:t>
            </w:r>
            <w:r>
              <w:rPr>
                <w:rFonts w:hAnsi="宋体" w:cs="hakuyoxingshu7000"/>
                <w:highlight w:val="none"/>
                <w:lang w:eastAsia="zh-CN"/>
              </w:rPr>
              <w:t>m</w:t>
            </w:r>
            <w:r>
              <w:rPr>
                <w:rFonts w:hAnsi="宋体" w:cs="hakuyoxingshu7000"/>
                <w:spacing w:val="-2"/>
                <w:position w:val="7"/>
                <w:sz w:val="13"/>
                <w:szCs w:val="13"/>
                <w:highlight w:val="none"/>
                <w:lang w:eastAsia="zh-CN"/>
              </w:rPr>
              <w:t>2</w:t>
            </w:r>
            <w:r>
              <w:rPr>
                <w:rFonts w:hAnsi="宋体"/>
                <w:spacing w:val="-33"/>
                <w:highlight w:val="none"/>
                <w:lang w:eastAsia="zh-CN"/>
              </w:rPr>
              <w:t>，</w:t>
            </w:r>
            <w:r>
              <w:rPr>
                <w:rFonts w:hAnsi="宋体"/>
                <w:highlight w:val="none"/>
                <w:lang w:eastAsia="zh-CN"/>
              </w:rPr>
              <w:t>内</w:t>
            </w:r>
            <w:r>
              <w:rPr>
                <w:rFonts w:hAnsi="宋体"/>
                <w:spacing w:val="2"/>
                <w:highlight w:val="none"/>
                <w:lang w:eastAsia="zh-CN"/>
              </w:rPr>
              <w:t>置</w:t>
            </w:r>
            <w:r>
              <w:rPr>
                <w:rFonts w:hAnsi="宋体"/>
                <w:highlight w:val="none"/>
                <w:lang w:eastAsia="zh-CN"/>
              </w:rPr>
              <w:t>鄂</w:t>
            </w:r>
            <w:r>
              <w:rPr>
                <w:rFonts w:hAnsi="宋体"/>
                <w:spacing w:val="2"/>
                <w:highlight w:val="none"/>
                <w:lang w:eastAsia="zh-CN"/>
              </w:rPr>
              <w:t>式</w:t>
            </w:r>
            <w:r>
              <w:rPr>
                <w:rFonts w:hAnsi="宋体"/>
                <w:highlight w:val="none"/>
                <w:lang w:eastAsia="zh-CN"/>
              </w:rPr>
              <w:t>破</w:t>
            </w:r>
            <w:r>
              <w:rPr>
                <w:rFonts w:hAnsi="宋体"/>
                <w:spacing w:val="2"/>
                <w:highlight w:val="none"/>
                <w:lang w:eastAsia="zh-CN"/>
              </w:rPr>
              <w:t>碎机</w:t>
            </w:r>
            <w:r>
              <w:rPr>
                <w:rFonts w:hAnsi="宋体" w:cs="hakuyoxingshu7000"/>
                <w:highlight w:val="none"/>
                <w:lang w:eastAsia="zh-CN"/>
              </w:rPr>
              <w:t>1</w:t>
            </w:r>
            <w:r>
              <w:rPr>
                <w:rFonts w:hAnsi="宋体"/>
                <w:highlight w:val="none"/>
                <w:lang w:eastAsia="zh-CN"/>
              </w:rPr>
              <w:t>台</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二段破碎机</w:t>
            </w:r>
            <w:r>
              <w:rPr>
                <w:rFonts w:hAnsi="宋体"/>
                <w:highlight w:val="none"/>
                <w:lang w:eastAsia="en-US"/>
              </w:rPr>
              <w:t>间</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钢</w:t>
            </w:r>
            <w:r>
              <w:rPr>
                <w:rFonts w:hAnsi="宋体"/>
                <w:spacing w:val="2"/>
                <w:highlight w:val="none"/>
                <w:lang w:eastAsia="zh-CN"/>
              </w:rPr>
              <w:t>结</w:t>
            </w:r>
            <w:r>
              <w:rPr>
                <w:rFonts w:hAnsi="宋体"/>
                <w:highlight w:val="none"/>
                <w:lang w:eastAsia="zh-CN"/>
              </w:rPr>
              <w:t>构</w:t>
            </w:r>
            <w:r>
              <w:rPr>
                <w:rFonts w:hAnsi="宋体"/>
                <w:spacing w:val="-33"/>
                <w:highlight w:val="none"/>
                <w:lang w:eastAsia="zh-CN"/>
              </w:rPr>
              <w:t>，</w:t>
            </w:r>
            <w:r>
              <w:rPr>
                <w:rFonts w:hAnsi="宋体"/>
                <w:highlight w:val="none"/>
                <w:lang w:eastAsia="zh-CN"/>
              </w:rPr>
              <w:t>面</w:t>
            </w:r>
            <w:r>
              <w:rPr>
                <w:rFonts w:hAnsi="宋体"/>
                <w:spacing w:val="2"/>
                <w:highlight w:val="none"/>
                <w:lang w:eastAsia="zh-CN"/>
              </w:rPr>
              <w:t>积</w:t>
            </w:r>
            <w:r>
              <w:rPr>
                <w:rFonts w:hAnsi="宋体"/>
                <w:highlight w:val="none"/>
                <w:lang w:eastAsia="zh-CN"/>
              </w:rPr>
              <w:t>约</w:t>
            </w:r>
            <w:r>
              <w:rPr>
                <w:rFonts w:hAnsi="宋体" w:cs="hakuyoxingshu7000"/>
                <w:spacing w:val="1"/>
                <w:highlight w:val="none"/>
                <w:lang w:eastAsia="zh-CN"/>
              </w:rPr>
              <w:t>60</w:t>
            </w:r>
            <w:r>
              <w:rPr>
                <w:rFonts w:hAnsi="宋体" w:cs="hakuyoxingshu7000"/>
                <w:highlight w:val="none"/>
                <w:lang w:eastAsia="zh-CN"/>
              </w:rPr>
              <w:t>m</w:t>
            </w:r>
            <w:r>
              <w:rPr>
                <w:rFonts w:hAnsi="宋体" w:cs="hakuyoxingshu7000"/>
                <w:spacing w:val="-2"/>
                <w:position w:val="7"/>
                <w:sz w:val="13"/>
                <w:szCs w:val="13"/>
                <w:highlight w:val="none"/>
                <w:lang w:eastAsia="zh-CN"/>
              </w:rPr>
              <w:t>2</w:t>
            </w:r>
            <w:r>
              <w:rPr>
                <w:rFonts w:hAnsi="宋体"/>
                <w:spacing w:val="-33"/>
                <w:highlight w:val="none"/>
                <w:lang w:eastAsia="zh-CN"/>
              </w:rPr>
              <w:t>，</w:t>
            </w:r>
            <w:r>
              <w:rPr>
                <w:rFonts w:hAnsi="宋体"/>
                <w:highlight w:val="none"/>
                <w:lang w:eastAsia="zh-CN"/>
              </w:rPr>
              <w:t>内</w:t>
            </w:r>
            <w:r>
              <w:rPr>
                <w:rFonts w:hAnsi="宋体"/>
                <w:spacing w:val="2"/>
                <w:highlight w:val="none"/>
                <w:lang w:eastAsia="zh-CN"/>
              </w:rPr>
              <w:t>置</w:t>
            </w:r>
            <w:r>
              <w:rPr>
                <w:rFonts w:hAnsi="宋体"/>
                <w:highlight w:val="none"/>
                <w:lang w:eastAsia="zh-CN"/>
              </w:rPr>
              <w:t>鄂</w:t>
            </w:r>
            <w:r>
              <w:rPr>
                <w:rFonts w:hAnsi="宋体"/>
                <w:spacing w:val="2"/>
                <w:highlight w:val="none"/>
                <w:lang w:eastAsia="zh-CN"/>
              </w:rPr>
              <w:t>式</w:t>
            </w:r>
            <w:r>
              <w:rPr>
                <w:rFonts w:hAnsi="宋体"/>
                <w:highlight w:val="none"/>
                <w:lang w:eastAsia="zh-CN"/>
              </w:rPr>
              <w:t>破</w:t>
            </w:r>
            <w:r>
              <w:rPr>
                <w:rFonts w:hAnsi="宋体"/>
                <w:spacing w:val="2"/>
                <w:highlight w:val="none"/>
                <w:lang w:eastAsia="zh-CN"/>
              </w:rPr>
              <w:t>碎机</w:t>
            </w:r>
            <w:r>
              <w:rPr>
                <w:rFonts w:hAnsi="宋体" w:cs="hakuyoxingshu7000"/>
                <w:highlight w:val="none"/>
                <w:lang w:eastAsia="zh-CN"/>
              </w:rPr>
              <w:t>1</w:t>
            </w:r>
            <w:r>
              <w:rPr>
                <w:rFonts w:hAnsi="宋体"/>
                <w:highlight w:val="none"/>
                <w:lang w:eastAsia="zh-CN"/>
              </w:rPr>
              <w:t>台</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60" w:type="dxa"/>
            <w:vMerge w:val="continue"/>
            <w:vAlign w:val="center"/>
          </w:tcPr>
          <w:p>
            <w:pPr>
              <w:pStyle w:val="64"/>
              <w:widowControl w:val="0"/>
              <w:rPr>
                <w:rFonts w:hAnsi="宋体"/>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三段破碎机</w:t>
            </w:r>
            <w:r>
              <w:rPr>
                <w:rFonts w:hAnsi="宋体"/>
                <w:highlight w:val="none"/>
                <w:lang w:eastAsia="en-US"/>
              </w:rPr>
              <w:t>间</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钢</w:t>
            </w:r>
            <w:r>
              <w:rPr>
                <w:rFonts w:hAnsi="宋体"/>
                <w:spacing w:val="2"/>
                <w:highlight w:val="none"/>
                <w:lang w:eastAsia="zh-CN"/>
              </w:rPr>
              <w:t>结</w:t>
            </w:r>
            <w:r>
              <w:rPr>
                <w:rFonts w:hAnsi="宋体"/>
                <w:highlight w:val="none"/>
                <w:lang w:eastAsia="zh-CN"/>
              </w:rPr>
              <w:t>构</w:t>
            </w:r>
            <w:r>
              <w:rPr>
                <w:rFonts w:hAnsi="宋体"/>
                <w:spacing w:val="-33"/>
                <w:highlight w:val="none"/>
                <w:lang w:eastAsia="zh-CN"/>
              </w:rPr>
              <w:t>，</w:t>
            </w:r>
            <w:r>
              <w:rPr>
                <w:rFonts w:hAnsi="宋体"/>
                <w:highlight w:val="none"/>
                <w:lang w:eastAsia="zh-CN"/>
              </w:rPr>
              <w:t>面</w:t>
            </w:r>
            <w:r>
              <w:rPr>
                <w:rFonts w:hAnsi="宋体"/>
                <w:spacing w:val="2"/>
                <w:highlight w:val="none"/>
                <w:lang w:eastAsia="zh-CN"/>
              </w:rPr>
              <w:t>积</w:t>
            </w:r>
            <w:r>
              <w:rPr>
                <w:rFonts w:hAnsi="宋体"/>
                <w:highlight w:val="none"/>
                <w:lang w:eastAsia="zh-CN"/>
              </w:rPr>
              <w:t>约</w:t>
            </w:r>
            <w:r>
              <w:rPr>
                <w:rFonts w:hAnsi="宋体" w:cs="hakuyoxingshu7000"/>
                <w:spacing w:val="1"/>
                <w:highlight w:val="none"/>
                <w:lang w:eastAsia="zh-CN"/>
              </w:rPr>
              <w:t>60</w:t>
            </w:r>
            <w:r>
              <w:rPr>
                <w:rFonts w:hAnsi="宋体" w:cs="hakuyoxingshu7000"/>
                <w:highlight w:val="none"/>
                <w:lang w:eastAsia="zh-CN"/>
              </w:rPr>
              <w:t>m</w:t>
            </w:r>
            <w:r>
              <w:rPr>
                <w:rFonts w:hAnsi="宋体" w:cs="hakuyoxingshu7000"/>
                <w:spacing w:val="-2"/>
                <w:position w:val="7"/>
                <w:sz w:val="13"/>
                <w:szCs w:val="13"/>
                <w:highlight w:val="none"/>
                <w:lang w:eastAsia="zh-CN"/>
              </w:rPr>
              <w:t>2</w:t>
            </w:r>
            <w:r>
              <w:rPr>
                <w:rFonts w:hAnsi="宋体"/>
                <w:spacing w:val="-33"/>
                <w:highlight w:val="none"/>
                <w:lang w:eastAsia="zh-CN"/>
              </w:rPr>
              <w:t>，</w:t>
            </w:r>
            <w:r>
              <w:rPr>
                <w:rFonts w:hAnsi="宋体"/>
                <w:highlight w:val="none"/>
                <w:lang w:eastAsia="zh-CN"/>
              </w:rPr>
              <w:t>内</w:t>
            </w:r>
            <w:r>
              <w:rPr>
                <w:rFonts w:hAnsi="宋体"/>
                <w:spacing w:val="2"/>
                <w:highlight w:val="none"/>
                <w:lang w:eastAsia="zh-CN"/>
              </w:rPr>
              <w:t>置</w:t>
            </w:r>
            <w:r>
              <w:rPr>
                <w:rFonts w:hAnsi="宋体"/>
                <w:w w:val="95"/>
                <w:highlight w:val="none"/>
                <w:lang w:eastAsia="zh-CN"/>
              </w:rPr>
              <w:t>圆</w:t>
            </w:r>
            <w:r>
              <w:rPr>
                <w:rFonts w:hAnsi="宋体"/>
                <w:spacing w:val="1"/>
                <w:w w:val="95"/>
                <w:highlight w:val="none"/>
                <w:lang w:eastAsia="zh-CN"/>
              </w:rPr>
              <w:t>锥</w:t>
            </w:r>
            <w:r>
              <w:rPr>
                <w:rFonts w:hAnsi="宋体"/>
                <w:w w:val="95"/>
                <w:highlight w:val="none"/>
                <w:lang w:eastAsia="zh-CN"/>
              </w:rPr>
              <w:t>破</w:t>
            </w:r>
            <w:r>
              <w:rPr>
                <w:rFonts w:hAnsi="宋体"/>
                <w:spacing w:val="1"/>
                <w:w w:val="95"/>
                <w:highlight w:val="none"/>
                <w:lang w:eastAsia="zh-CN"/>
              </w:rPr>
              <w:t>碎</w:t>
            </w:r>
            <w:r>
              <w:rPr>
                <w:rFonts w:hAnsi="宋体"/>
                <w:w w:val="95"/>
                <w:highlight w:val="none"/>
                <w:lang w:eastAsia="zh-CN"/>
              </w:rPr>
              <w:t>机</w:t>
            </w:r>
            <w:r>
              <w:rPr>
                <w:rFonts w:hAnsi="宋体" w:cs="hakuyoxingshu7000"/>
                <w:highlight w:val="none"/>
                <w:lang w:eastAsia="zh-CN"/>
              </w:rPr>
              <w:t>1</w:t>
            </w:r>
            <w:r>
              <w:rPr>
                <w:rFonts w:hAnsi="宋体"/>
                <w:highlight w:val="none"/>
                <w:lang w:eastAsia="zh-CN"/>
              </w:rPr>
              <w:t>台</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干选机</w:t>
            </w:r>
            <w:r>
              <w:rPr>
                <w:rFonts w:hAnsi="宋体"/>
                <w:highlight w:val="none"/>
                <w:lang w:eastAsia="en-US"/>
              </w:rPr>
              <w:t>间</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钢</w:t>
            </w:r>
            <w:r>
              <w:rPr>
                <w:rFonts w:hAnsi="宋体"/>
                <w:spacing w:val="2"/>
                <w:highlight w:val="none"/>
                <w:lang w:eastAsia="zh-CN"/>
              </w:rPr>
              <w:t>结</w:t>
            </w:r>
            <w:r>
              <w:rPr>
                <w:rFonts w:hAnsi="宋体"/>
                <w:highlight w:val="none"/>
                <w:lang w:eastAsia="zh-CN"/>
              </w:rPr>
              <w:t>构</w:t>
            </w:r>
            <w:r>
              <w:rPr>
                <w:rFonts w:hAnsi="宋体"/>
                <w:spacing w:val="-33"/>
                <w:highlight w:val="none"/>
                <w:lang w:eastAsia="zh-CN"/>
              </w:rPr>
              <w:t>，</w:t>
            </w:r>
            <w:r>
              <w:rPr>
                <w:rFonts w:hAnsi="宋体"/>
                <w:highlight w:val="none"/>
                <w:lang w:eastAsia="zh-CN"/>
              </w:rPr>
              <w:t>面</w:t>
            </w:r>
            <w:r>
              <w:rPr>
                <w:rFonts w:hAnsi="宋体"/>
                <w:spacing w:val="2"/>
                <w:highlight w:val="none"/>
                <w:lang w:eastAsia="zh-CN"/>
              </w:rPr>
              <w:t>积</w:t>
            </w:r>
            <w:r>
              <w:rPr>
                <w:rFonts w:hAnsi="宋体"/>
                <w:highlight w:val="none"/>
                <w:lang w:eastAsia="zh-CN"/>
              </w:rPr>
              <w:t>约</w:t>
            </w:r>
            <w:r>
              <w:rPr>
                <w:rFonts w:hAnsi="宋体" w:cs="hakuyoxingshu7000"/>
                <w:spacing w:val="1"/>
                <w:highlight w:val="none"/>
                <w:lang w:eastAsia="zh-CN"/>
              </w:rPr>
              <w:t>60</w:t>
            </w:r>
            <w:r>
              <w:rPr>
                <w:rFonts w:hAnsi="宋体" w:cs="hakuyoxingshu7000"/>
                <w:highlight w:val="none"/>
                <w:lang w:eastAsia="zh-CN"/>
              </w:rPr>
              <w:t>m</w:t>
            </w:r>
            <w:r>
              <w:rPr>
                <w:rFonts w:hAnsi="宋体" w:cs="hakuyoxingshu7000"/>
                <w:spacing w:val="-2"/>
                <w:position w:val="7"/>
                <w:sz w:val="13"/>
                <w:szCs w:val="13"/>
                <w:highlight w:val="none"/>
                <w:lang w:eastAsia="zh-CN"/>
              </w:rPr>
              <w:t>2</w:t>
            </w:r>
            <w:r>
              <w:rPr>
                <w:rFonts w:hAnsi="宋体"/>
                <w:spacing w:val="-33"/>
                <w:highlight w:val="none"/>
                <w:lang w:eastAsia="zh-CN"/>
              </w:rPr>
              <w:t>，</w:t>
            </w:r>
            <w:r>
              <w:rPr>
                <w:rFonts w:hAnsi="宋体"/>
                <w:highlight w:val="none"/>
                <w:lang w:eastAsia="zh-CN"/>
              </w:rPr>
              <w:t>内</w:t>
            </w:r>
            <w:r>
              <w:rPr>
                <w:rFonts w:hAnsi="宋体"/>
                <w:spacing w:val="2"/>
                <w:highlight w:val="none"/>
                <w:lang w:eastAsia="zh-CN"/>
              </w:rPr>
              <w:t>置</w:t>
            </w:r>
            <w:r>
              <w:rPr>
                <w:rFonts w:hAnsi="宋体"/>
                <w:w w:val="95"/>
                <w:highlight w:val="none"/>
                <w:lang w:eastAsia="zh-CN"/>
              </w:rPr>
              <w:t>干式</w:t>
            </w:r>
            <w:r>
              <w:rPr>
                <w:rFonts w:hAnsi="宋体"/>
                <w:highlight w:val="none"/>
                <w:lang w:eastAsia="zh-CN"/>
              </w:rPr>
              <w:t>磁</w:t>
            </w:r>
            <w:r>
              <w:rPr>
                <w:rFonts w:hAnsi="宋体"/>
                <w:spacing w:val="2"/>
                <w:highlight w:val="none"/>
                <w:lang w:eastAsia="zh-CN"/>
              </w:rPr>
              <w:t>选</w:t>
            </w:r>
            <w:r>
              <w:rPr>
                <w:rFonts w:hAnsi="宋体"/>
                <w:highlight w:val="none"/>
                <w:lang w:eastAsia="zh-CN"/>
              </w:rPr>
              <w:t>机</w:t>
            </w:r>
            <w:r>
              <w:rPr>
                <w:rFonts w:hAnsi="宋体" w:cs="hakuyoxingshu7000"/>
                <w:highlight w:val="none"/>
                <w:lang w:eastAsia="zh-CN"/>
              </w:rPr>
              <w:t>1</w:t>
            </w:r>
            <w:r>
              <w:rPr>
                <w:rFonts w:hAnsi="宋体"/>
                <w:highlight w:val="none"/>
                <w:lang w:eastAsia="zh-CN"/>
              </w:rPr>
              <w:t>台</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Ansi="宋体"/>
                <w:highlight w:val="none"/>
                <w:lang w:eastAsia="en-US"/>
              </w:rPr>
              <w:t>主</w:t>
            </w:r>
            <w:r>
              <w:rPr>
                <w:rFonts w:hAnsi="宋体"/>
                <w:spacing w:val="2"/>
                <w:highlight w:val="none"/>
                <w:lang w:eastAsia="en-US"/>
              </w:rPr>
              <w:t>选车</w:t>
            </w:r>
            <w:r>
              <w:rPr>
                <w:rFonts w:hAnsi="宋体"/>
                <w:highlight w:val="none"/>
                <w:lang w:eastAsia="en-US"/>
              </w:rPr>
              <w:t>间</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钢结构，占地面积约</w:t>
            </w:r>
            <w:r>
              <w:rPr>
                <w:rFonts w:hint="eastAsia" w:hAnsi="宋体"/>
                <w:highlight w:val="none"/>
                <w:lang w:eastAsia="zh-CN"/>
              </w:rPr>
              <w:t>540</w:t>
            </w:r>
            <w:r>
              <w:rPr>
                <w:rFonts w:hAnsi="宋体"/>
                <w:highlight w:val="none"/>
                <w:lang w:eastAsia="zh-CN"/>
              </w:rPr>
              <w:t>m</w:t>
            </w:r>
            <w:r>
              <w:rPr>
                <w:rFonts w:hAnsi="宋体"/>
                <w:highlight w:val="none"/>
                <w:vertAlign w:val="superscript"/>
                <w:lang w:eastAsia="zh-CN"/>
              </w:rPr>
              <w:t>2</w:t>
            </w:r>
            <w:r>
              <w:rPr>
                <w:rFonts w:hAnsi="宋体"/>
                <w:highlight w:val="none"/>
                <w:lang w:eastAsia="zh-CN"/>
              </w:rPr>
              <w:t>，外形尺寸</w:t>
            </w:r>
            <w:r>
              <w:rPr>
                <w:rFonts w:hint="eastAsia" w:hAnsi="宋体"/>
                <w:highlight w:val="none"/>
                <w:lang w:eastAsia="zh-CN"/>
              </w:rPr>
              <w:t>27m×20m，</w:t>
            </w:r>
            <w:r>
              <w:rPr>
                <w:rFonts w:hAnsi="宋体"/>
                <w:highlight w:val="none"/>
                <w:lang w:eastAsia="zh-CN"/>
              </w:rPr>
              <w:t>内置球磨机2台、磁选机</w:t>
            </w:r>
            <w:r>
              <w:rPr>
                <w:rFonts w:hint="eastAsia" w:hAnsi="宋体"/>
                <w:highlight w:val="none"/>
                <w:lang w:eastAsia="zh-CN"/>
              </w:rPr>
              <w:t>5</w:t>
            </w:r>
            <w:r>
              <w:rPr>
                <w:rFonts w:hAnsi="宋体"/>
                <w:highlight w:val="none"/>
                <w:lang w:eastAsia="zh-CN"/>
              </w:rPr>
              <w:t>台、高频筛</w:t>
            </w:r>
            <w:r>
              <w:rPr>
                <w:rFonts w:hint="eastAsia" w:hAnsi="宋体"/>
                <w:highlight w:val="none"/>
                <w:lang w:eastAsia="zh-CN"/>
              </w:rPr>
              <w:t>5组</w:t>
            </w:r>
            <w:r>
              <w:rPr>
                <w:rFonts w:hAnsi="宋体"/>
                <w:highlight w:val="none"/>
                <w:lang w:eastAsia="zh-CN"/>
              </w:rPr>
              <w:t>、</w:t>
            </w:r>
            <w:r>
              <w:rPr>
                <w:rFonts w:hint="eastAsia" w:hAnsi="宋体"/>
                <w:highlight w:val="none"/>
                <w:lang w:eastAsia="zh-CN"/>
              </w:rPr>
              <w:t>脱</w:t>
            </w:r>
            <w:r>
              <w:rPr>
                <w:rFonts w:hAnsi="宋体"/>
                <w:highlight w:val="none"/>
                <w:lang w:eastAsia="zh-CN"/>
              </w:rPr>
              <w:t>水机</w:t>
            </w:r>
            <w:r>
              <w:rPr>
                <w:rFonts w:hint="eastAsia" w:hAnsi="宋体"/>
                <w:highlight w:val="none"/>
                <w:lang w:eastAsia="zh-CN"/>
              </w:rPr>
              <w:t>1</w:t>
            </w:r>
            <w:r>
              <w:rPr>
                <w:rFonts w:hAnsi="宋体"/>
                <w:highlight w:val="none"/>
                <w:lang w:eastAsia="zh-CN"/>
              </w:rPr>
              <w:t>台</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Ansi="宋体"/>
                <w:spacing w:val="9"/>
                <w:highlight w:val="none"/>
                <w:lang w:eastAsia="en-US"/>
              </w:rPr>
              <w:t>尾矿</w:t>
            </w:r>
            <w:r>
              <w:rPr>
                <w:rFonts w:hAnsi="宋体"/>
                <w:spacing w:val="7"/>
                <w:highlight w:val="none"/>
                <w:lang w:eastAsia="en-US"/>
              </w:rPr>
              <w:t>浓</w:t>
            </w:r>
            <w:r>
              <w:rPr>
                <w:rFonts w:hAnsi="宋体"/>
                <w:spacing w:val="9"/>
                <w:highlight w:val="none"/>
                <w:lang w:eastAsia="en-US"/>
              </w:rPr>
              <w:t>缩系</w:t>
            </w:r>
            <w:r>
              <w:rPr>
                <w:rFonts w:hAnsi="宋体"/>
                <w:highlight w:val="none"/>
                <w:lang w:eastAsia="en-US"/>
              </w:rPr>
              <w:t>统</w:t>
            </w:r>
          </w:p>
        </w:tc>
        <w:tc>
          <w:tcPr>
            <w:tcW w:w="5198" w:type="dxa"/>
            <w:gridSpan w:val="3"/>
            <w:vAlign w:val="center"/>
          </w:tcPr>
          <w:p>
            <w:pPr>
              <w:pStyle w:val="64"/>
              <w:widowControl w:val="0"/>
              <w:rPr>
                <w:rFonts w:hAnsi="宋体"/>
                <w:highlight w:val="none"/>
                <w:lang w:eastAsia="en-US"/>
              </w:rPr>
            </w:pPr>
            <w:r>
              <w:rPr>
                <w:rFonts w:hAnsi="宋体"/>
                <w:highlight w:val="none"/>
                <w:lang w:eastAsia="en-US"/>
              </w:rPr>
              <w:t>浓缩池Φ</w:t>
            </w:r>
            <w:r>
              <w:rPr>
                <w:rFonts w:hint="eastAsia" w:hAnsi="宋体"/>
                <w:highlight w:val="none"/>
                <w:lang w:eastAsia="en-US"/>
              </w:rPr>
              <w:t>18</w:t>
            </w:r>
            <w:r>
              <w:rPr>
                <w:rFonts w:hAnsi="宋体"/>
                <w:highlight w:val="none"/>
                <w:lang w:eastAsia="en-US"/>
              </w:rPr>
              <w:t>m，</w:t>
            </w:r>
            <w:r>
              <w:rPr>
                <w:rFonts w:hint="eastAsia" w:hAnsi="宋体"/>
                <w:highlight w:val="none"/>
                <w:lang w:eastAsia="en-US"/>
              </w:rPr>
              <w:t>容积1167m</w:t>
            </w:r>
            <w:r>
              <w:rPr>
                <w:rFonts w:hint="eastAsia" w:hAnsi="宋体"/>
                <w:highlight w:val="none"/>
                <w:vertAlign w:val="superscript"/>
                <w:lang w:eastAsia="en-US"/>
              </w:rPr>
              <w:t>3</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int="eastAsia" w:hAnsi="宋体"/>
                <w:highlight w:val="none"/>
                <w:lang w:eastAsia="en-US"/>
              </w:rPr>
              <w:t>未</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Ansi="宋体"/>
                <w:spacing w:val="9"/>
                <w:highlight w:val="none"/>
                <w:lang w:eastAsia="en-US"/>
              </w:rPr>
              <w:t>尾矿</w:t>
            </w:r>
            <w:r>
              <w:rPr>
                <w:rFonts w:hAnsi="宋体"/>
                <w:spacing w:val="7"/>
                <w:highlight w:val="none"/>
                <w:lang w:eastAsia="en-US"/>
              </w:rPr>
              <w:t>压</w:t>
            </w:r>
            <w:r>
              <w:rPr>
                <w:rFonts w:hAnsi="宋体"/>
                <w:spacing w:val="9"/>
                <w:highlight w:val="none"/>
                <w:lang w:eastAsia="en-US"/>
              </w:rPr>
              <w:t>滤系</w:t>
            </w:r>
            <w:r>
              <w:rPr>
                <w:rFonts w:hAnsi="宋体"/>
                <w:highlight w:val="none"/>
                <w:lang w:eastAsia="en-US"/>
              </w:rPr>
              <w:t>统</w:t>
            </w:r>
          </w:p>
        </w:tc>
        <w:tc>
          <w:tcPr>
            <w:tcW w:w="5198" w:type="dxa"/>
            <w:gridSpan w:val="3"/>
            <w:vAlign w:val="center"/>
          </w:tcPr>
          <w:p>
            <w:pPr>
              <w:pStyle w:val="64"/>
              <w:widowControl w:val="0"/>
              <w:rPr>
                <w:rFonts w:hAnsi="宋体" w:cs="hakuyoxingshu7000"/>
                <w:sz w:val="13"/>
                <w:szCs w:val="13"/>
                <w:highlight w:val="none"/>
                <w:lang w:eastAsia="zh-CN"/>
              </w:rPr>
            </w:pPr>
            <w:r>
              <w:rPr>
                <w:rFonts w:hAnsi="宋体"/>
                <w:highlight w:val="none"/>
                <w:lang w:eastAsia="zh-CN"/>
              </w:rPr>
              <w:t>压</w:t>
            </w:r>
            <w:r>
              <w:rPr>
                <w:rFonts w:hAnsi="宋体"/>
                <w:spacing w:val="2"/>
                <w:highlight w:val="none"/>
                <w:lang w:eastAsia="zh-CN"/>
              </w:rPr>
              <w:t>滤</w:t>
            </w:r>
            <w:r>
              <w:rPr>
                <w:rFonts w:hAnsi="宋体"/>
                <w:highlight w:val="none"/>
                <w:lang w:eastAsia="zh-CN"/>
              </w:rPr>
              <w:t>机房</w:t>
            </w:r>
            <w:r>
              <w:rPr>
                <w:rFonts w:hAnsi="宋体" w:cs="hakuyoxingshu7000"/>
                <w:highlight w:val="none"/>
                <w:lang w:eastAsia="zh-CN"/>
              </w:rPr>
              <w:t>1</w:t>
            </w:r>
            <w:r>
              <w:rPr>
                <w:rFonts w:hAnsi="宋体"/>
                <w:highlight w:val="none"/>
                <w:lang w:eastAsia="zh-CN"/>
              </w:rPr>
              <w:t>座</w:t>
            </w:r>
            <w:r>
              <w:rPr>
                <w:rFonts w:hAnsi="宋体"/>
                <w:spacing w:val="2"/>
                <w:highlight w:val="none"/>
                <w:lang w:eastAsia="zh-CN"/>
              </w:rPr>
              <w:t>，</w:t>
            </w:r>
            <w:r>
              <w:rPr>
                <w:rFonts w:hAnsi="宋体"/>
                <w:highlight w:val="none"/>
                <w:lang w:eastAsia="zh-CN"/>
              </w:rPr>
              <w:t>钢</w:t>
            </w:r>
            <w:r>
              <w:rPr>
                <w:rFonts w:hAnsi="宋体"/>
                <w:spacing w:val="2"/>
                <w:highlight w:val="none"/>
                <w:lang w:eastAsia="zh-CN"/>
              </w:rPr>
              <w:t>结</w:t>
            </w:r>
            <w:r>
              <w:rPr>
                <w:rFonts w:hAnsi="宋体"/>
                <w:highlight w:val="none"/>
                <w:lang w:eastAsia="zh-CN"/>
              </w:rPr>
              <w:t>构</w:t>
            </w:r>
            <w:r>
              <w:rPr>
                <w:rFonts w:hAnsi="宋体"/>
                <w:spacing w:val="2"/>
                <w:highlight w:val="none"/>
                <w:lang w:eastAsia="zh-CN"/>
              </w:rPr>
              <w:t>，</w:t>
            </w:r>
            <w:r>
              <w:rPr>
                <w:rFonts w:hAnsi="宋体"/>
                <w:highlight w:val="none"/>
                <w:lang w:eastAsia="zh-CN"/>
              </w:rPr>
              <w:t>面</w:t>
            </w:r>
            <w:r>
              <w:rPr>
                <w:rFonts w:hAnsi="宋体"/>
                <w:spacing w:val="2"/>
                <w:highlight w:val="none"/>
                <w:lang w:eastAsia="zh-CN"/>
              </w:rPr>
              <w:t>积</w:t>
            </w:r>
            <w:r>
              <w:rPr>
                <w:rFonts w:hAnsi="宋体"/>
                <w:highlight w:val="none"/>
                <w:lang w:eastAsia="zh-CN"/>
              </w:rPr>
              <w:t>约</w:t>
            </w:r>
            <w:r>
              <w:rPr>
                <w:rFonts w:hAnsi="宋体" w:cs="hakuyoxingshu7000"/>
                <w:spacing w:val="1"/>
                <w:highlight w:val="none"/>
                <w:lang w:eastAsia="zh-CN"/>
              </w:rPr>
              <w:t>150</w:t>
            </w:r>
            <w:r>
              <w:rPr>
                <w:rFonts w:hAnsi="宋体" w:cs="hakuyoxingshu7000"/>
                <w:spacing w:val="-2"/>
                <w:highlight w:val="none"/>
                <w:lang w:eastAsia="zh-CN"/>
              </w:rPr>
              <w:t>m</w:t>
            </w:r>
            <w:r>
              <w:rPr>
                <w:rFonts w:hAnsi="宋体" w:cs="hakuyoxingshu7000"/>
                <w:position w:val="7"/>
                <w:sz w:val="13"/>
                <w:szCs w:val="13"/>
                <w:highlight w:val="none"/>
                <w:lang w:eastAsia="zh-CN"/>
              </w:rPr>
              <w:t>2</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int="eastAsia" w:hAnsi="宋体"/>
                <w:highlight w:val="none"/>
                <w:lang w:eastAsia="en-US"/>
              </w:rPr>
              <w:t>未</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restart"/>
            <w:vAlign w:val="center"/>
          </w:tcPr>
          <w:p>
            <w:pPr>
              <w:pStyle w:val="64"/>
              <w:widowControl w:val="0"/>
              <w:rPr>
                <w:rFonts w:hAnsi="宋体"/>
                <w:highlight w:val="none"/>
                <w:lang w:eastAsia="en-US"/>
              </w:rPr>
            </w:pPr>
            <w:r>
              <w:rPr>
                <w:rFonts w:hAnsi="宋体"/>
                <w:highlight w:val="none"/>
                <w:lang w:eastAsia="en-US"/>
              </w:rPr>
              <w:t>储</w:t>
            </w:r>
            <w:r>
              <w:rPr>
                <w:rFonts w:hAnsi="宋体"/>
                <w:spacing w:val="2"/>
                <w:highlight w:val="none"/>
                <w:lang w:eastAsia="en-US"/>
              </w:rPr>
              <w:t>运</w:t>
            </w:r>
            <w:r>
              <w:rPr>
                <w:rFonts w:hAnsi="宋体"/>
                <w:highlight w:val="none"/>
                <w:lang w:eastAsia="en-US"/>
              </w:rPr>
              <w:t>工程</w:t>
            </w:r>
          </w:p>
        </w:tc>
        <w:tc>
          <w:tcPr>
            <w:tcW w:w="1552" w:type="dxa"/>
            <w:gridSpan w:val="2"/>
            <w:vAlign w:val="center"/>
          </w:tcPr>
          <w:p>
            <w:pPr>
              <w:pStyle w:val="64"/>
              <w:widowControl w:val="0"/>
              <w:rPr>
                <w:rFonts w:hAnsi="宋体"/>
                <w:highlight w:val="none"/>
                <w:lang w:eastAsia="en-US"/>
              </w:rPr>
            </w:pPr>
            <w:r>
              <w:rPr>
                <w:rFonts w:hAnsi="宋体"/>
                <w:highlight w:val="none"/>
                <w:lang w:eastAsia="en-US"/>
              </w:rPr>
              <w:t>原</w:t>
            </w:r>
            <w:r>
              <w:rPr>
                <w:rFonts w:hAnsi="宋体"/>
                <w:spacing w:val="2"/>
                <w:highlight w:val="none"/>
                <w:lang w:eastAsia="en-US"/>
              </w:rPr>
              <w:t>料</w:t>
            </w:r>
            <w:r>
              <w:rPr>
                <w:rFonts w:hAnsi="宋体"/>
                <w:highlight w:val="none"/>
                <w:lang w:eastAsia="en-US"/>
              </w:rPr>
              <w:t>库</w:t>
            </w:r>
          </w:p>
        </w:tc>
        <w:tc>
          <w:tcPr>
            <w:tcW w:w="5198" w:type="dxa"/>
            <w:gridSpan w:val="3"/>
            <w:vAlign w:val="center"/>
          </w:tcPr>
          <w:p>
            <w:pPr>
              <w:pStyle w:val="64"/>
              <w:widowControl w:val="0"/>
              <w:rPr>
                <w:rFonts w:hAnsi="宋体" w:cs="hakuyoxingshu7000"/>
                <w:sz w:val="13"/>
                <w:szCs w:val="13"/>
                <w:highlight w:val="none"/>
                <w:lang w:eastAsia="zh-CN"/>
              </w:rPr>
            </w:pPr>
            <w:r>
              <w:rPr>
                <w:rFonts w:hAnsi="宋体"/>
                <w:highlight w:val="none"/>
                <w:lang w:eastAsia="zh-CN"/>
              </w:rPr>
              <w:t>全</w:t>
            </w:r>
            <w:r>
              <w:rPr>
                <w:rFonts w:hAnsi="宋体"/>
                <w:spacing w:val="2"/>
                <w:highlight w:val="none"/>
                <w:lang w:eastAsia="zh-CN"/>
              </w:rPr>
              <w:t>封</w:t>
            </w:r>
            <w:r>
              <w:rPr>
                <w:rFonts w:hAnsi="宋体"/>
                <w:highlight w:val="none"/>
                <w:lang w:eastAsia="zh-CN"/>
              </w:rPr>
              <w:t>闭</w:t>
            </w:r>
            <w:r>
              <w:rPr>
                <w:rFonts w:hAnsi="宋体"/>
                <w:spacing w:val="2"/>
                <w:highlight w:val="none"/>
                <w:lang w:eastAsia="zh-CN"/>
              </w:rPr>
              <w:t>钢</w:t>
            </w:r>
            <w:r>
              <w:rPr>
                <w:rFonts w:hAnsi="宋体"/>
                <w:highlight w:val="none"/>
                <w:lang w:eastAsia="zh-CN"/>
              </w:rPr>
              <w:t>结</w:t>
            </w:r>
            <w:r>
              <w:rPr>
                <w:rFonts w:hAnsi="宋体"/>
                <w:spacing w:val="2"/>
                <w:highlight w:val="none"/>
                <w:lang w:eastAsia="zh-CN"/>
              </w:rPr>
              <w:t>构</w:t>
            </w:r>
            <w:r>
              <w:rPr>
                <w:rFonts w:hAnsi="宋体"/>
                <w:highlight w:val="none"/>
                <w:lang w:eastAsia="zh-CN"/>
              </w:rPr>
              <w:t>形</w:t>
            </w:r>
            <w:r>
              <w:rPr>
                <w:rFonts w:hAnsi="宋体"/>
                <w:spacing w:val="2"/>
                <w:highlight w:val="none"/>
                <w:lang w:eastAsia="zh-CN"/>
              </w:rPr>
              <w:t>式</w:t>
            </w:r>
            <w:r>
              <w:rPr>
                <w:rFonts w:hAnsi="宋体"/>
                <w:highlight w:val="none"/>
                <w:lang w:eastAsia="zh-CN"/>
              </w:rPr>
              <w:t>，</w:t>
            </w:r>
            <w:r>
              <w:rPr>
                <w:rFonts w:hAnsi="宋体"/>
                <w:spacing w:val="2"/>
                <w:highlight w:val="none"/>
                <w:lang w:eastAsia="zh-CN"/>
              </w:rPr>
              <w:t>面</w:t>
            </w:r>
            <w:r>
              <w:rPr>
                <w:rFonts w:hAnsi="宋体"/>
                <w:highlight w:val="none"/>
                <w:lang w:eastAsia="zh-CN"/>
              </w:rPr>
              <w:t>积</w:t>
            </w:r>
            <w:r>
              <w:rPr>
                <w:rFonts w:hAnsi="宋体" w:cs="hakuyoxingshu7000"/>
                <w:spacing w:val="1"/>
                <w:highlight w:val="none"/>
                <w:lang w:eastAsia="zh-CN"/>
              </w:rPr>
              <w:t>120</w:t>
            </w:r>
            <w:r>
              <w:rPr>
                <w:rFonts w:hAnsi="宋体" w:cs="hakuyoxingshu7000"/>
                <w:spacing w:val="-2"/>
                <w:highlight w:val="none"/>
                <w:lang w:eastAsia="zh-CN"/>
              </w:rPr>
              <w:t>0</w:t>
            </w:r>
            <w:r>
              <w:rPr>
                <w:rFonts w:hAnsi="宋体" w:cs="hakuyoxingshu7000"/>
                <w:highlight w:val="none"/>
                <w:lang w:eastAsia="zh-CN"/>
              </w:rPr>
              <w:t>m</w:t>
            </w:r>
            <w:r>
              <w:rPr>
                <w:rFonts w:hAnsi="宋体" w:cs="hakuyoxingshu7000"/>
                <w:position w:val="7"/>
                <w:sz w:val="13"/>
                <w:szCs w:val="13"/>
                <w:highlight w:val="none"/>
                <w:lang w:eastAsia="zh-CN"/>
              </w:rPr>
              <w:t>2</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int="eastAsia" w:hAnsi="宋体"/>
                <w:highlight w:val="none"/>
                <w:lang w:eastAsia="en-US"/>
              </w:rPr>
              <w:t>未</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成品</w:t>
            </w:r>
            <w:r>
              <w:rPr>
                <w:rFonts w:hAnsi="宋体"/>
                <w:highlight w:val="none"/>
                <w:lang w:eastAsia="en-US"/>
              </w:rPr>
              <w:t>库</w:t>
            </w:r>
          </w:p>
        </w:tc>
        <w:tc>
          <w:tcPr>
            <w:tcW w:w="5198" w:type="dxa"/>
            <w:gridSpan w:val="3"/>
            <w:vAlign w:val="center"/>
          </w:tcPr>
          <w:p>
            <w:pPr>
              <w:pStyle w:val="64"/>
              <w:widowControl w:val="0"/>
              <w:rPr>
                <w:rFonts w:hAnsi="宋体" w:cs="hakuyoxingshu7000"/>
                <w:sz w:val="13"/>
                <w:szCs w:val="13"/>
                <w:highlight w:val="none"/>
                <w:lang w:eastAsia="zh-CN"/>
              </w:rPr>
            </w:pPr>
            <w:r>
              <w:rPr>
                <w:rFonts w:hAnsi="宋体"/>
                <w:highlight w:val="none"/>
                <w:lang w:eastAsia="zh-CN"/>
              </w:rPr>
              <w:t>全</w:t>
            </w:r>
            <w:r>
              <w:rPr>
                <w:rFonts w:hAnsi="宋体"/>
                <w:spacing w:val="2"/>
                <w:highlight w:val="none"/>
                <w:lang w:eastAsia="zh-CN"/>
              </w:rPr>
              <w:t>封</w:t>
            </w:r>
            <w:r>
              <w:rPr>
                <w:rFonts w:hAnsi="宋体"/>
                <w:highlight w:val="none"/>
                <w:lang w:eastAsia="zh-CN"/>
              </w:rPr>
              <w:t>闭</w:t>
            </w:r>
            <w:r>
              <w:rPr>
                <w:rFonts w:hAnsi="宋体"/>
                <w:spacing w:val="2"/>
                <w:highlight w:val="none"/>
                <w:lang w:eastAsia="zh-CN"/>
              </w:rPr>
              <w:t>钢</w:t>
            </w:r>
            <w:r>
              <w:rPr>
                <w:rFonts w:hAnsi="宋体"/>
                <w:highlight w:val="none"/>
                <w:lang w:eastAsia="zh-CN"/>
              </w:rPr>
              <w:t>结</w:t>
            </w:r>
            <w:r>
              <w:rPr>
                <w:rFonts w:hAnsi="宋体"/>
                <w:spacing w:val="2"/>
                <w:highlight w:val="none"/>
                <w:lang w:eastAsia="zh-CN"/>
              </w:rPr>
              <w:t>构</w:t>
            </w:r>
            <w:r>
              <w:rPr>
                <w:rFonts w:hAnsi="宋体"/>
                <w:highlight w:val="none"/>
                <w:lang w:eastAsia="zh-CN"/>
              </w:rPr>
              <w:t>形</w:t>
            </w:r>
            <w:r>
              <w:rPr>
                <w:rFonts w:hAnsi="宋体"/>
                <w:spacing w:val="2"/>
                <w:highlight w:val="none"/>
                <w:lang w:eastAsia="zh-CN"/>
              </w:rPr>
              <w:t>式</w:t>
            </w:r>
            <w:r>
              <w:rPr>
                <w:rFonts w:hAnsi="宋体"/>
                <w:highlight w:val="none"/>
                <w:lang w:eastAsia="zh-CN"/>
              </w:rPr>
              <w:t>，</w:t>
            </w:r>
            <w:r>
              <w:rPr>
                <w:rFonts w:hAnsi="宋体"/>
                <w:spacing w:val="2"/>
                <w:highlight w:val="none"/>
                <w:lang w:eastAsia="zh-CN"/>
              </w:rPr>
              <w:t>存</w:t>
            </w:r>
            <w:r>
              <w:rPr>
                <w:rFonts w:hAnsi="宋体"/>
                <w:highlight w:val="none"/>
                <w:lang w:eastAsia="zh-CN"/>
              </w:rPr>
              <w:t>放精</w:t>
            </w:r>
            <w:r>
              <w:rPr>
                <w:rFonts w:hint="eastAsia" w:hAnsi="宋体"/>
                <w:highlight w:val="none"/>
                <w:lang w:eastAsia="zh-CN"/>
              </w:rPr>
              <w:t>铁</w:t>
            </w:r>
            <w:r>
              <w:rPr>
                <w:rFonts w:hAnsi="宋体"/>
                <w:spacing w:val="2"/>
                <w:highlight w:val="none"/>
                <w:lang w:eastAsia="zh-CN"/>
              </w:rPr>
              <w:t>粉</w:t>
            </w:r>
            <w:r>
              <w:rPr>
                <w:rFonts w:hAnsi="宋体"/>
                <w:highlight w:val="none"/>
                <w:lang w:eastAsia="zh-CN"/>
              </w:rPr>
              <w:t>，</w:t>
            </w:r>
            <w:r>
              <w:rPr>
                <w:rFonts w:hAnsi="宋体"/>
                <w:spacing w:val="-2"/>
                <w:w w:val="105"/>
                <w:highlight w:val="none"/>
                <w:lang w:eastAsia="zh-CN"/>
              </w:rPr>
              <w:t>面</w:t>
            </w:r>
            <w:r>
              <w:rPr>
                <w:rFonts w:hAnsi="宋体"/>
                <w:w w:val="105"/>
                <w:highlight w:val="none"/>
                <w:lang w:eastAsia="zh-CN"/>
              </w:rPr>
              <w:t>积</w:t>
            </w:r>
            <w:r>
              <w:rPr>
                <w:rFonts w:hint="eastAsia" w:hAnsi="宋体" w:cs="hakuyoxingshu7000"/>
                <w:spacing w:val="1"/>
                <w:w w:val="105"/>
                <w:highlight w:val="none"/>
                <w:lang w:eastAsia="zh-CN"/>
              </w:rPr>
              <w:t>5</w:t>
            </w:r>
            <w:r>
              <w:rPr>
                <w:rFonts w:hAnsi="宋体" w:cs="hakuyoxingshu7000"/>
                <w:spacing w:val="1"/>
                <w:w w:val="105"/>
                <w:highlight w:val="none"/>
                <w:lang w:eastAsia="zh-CN"/>
              </w:rPr>
              <w:t>0</w:t>
            </w:r>
            <w:r>
              <w:rPr>
                <w:rFonts w:hAnsi="宋体" w:cs="hakuyoxingshu7000"/>
                <w:spacing w:val="-3"/>
                <w:w w:val="105"/>
                <w:highlight w:val="none"/>
                <w:lang w:eastAsia="zh-CN"/>
              </w:rPr>
              <w:t>0</w:t>
            </w:r>
            <w:r>
              <w:rPr>
                <w:rFonts w:hAnsi="宋体" w:cs="hakuyoxingshu7000"/>
                <w:w w:val="105"/>
                <w:highlight w:val="none"/>
                <w:lang w:eastAsia="zh-CN"/>
              </w:rPr>
              <w:t>m</w:t>
            </w:r>
            <w:r>
              <w:rPr>
                <w:rFonts w:hAnsi="宋体" w:cs="hakuyoxingshu7000"/>
                <w:w w:val="105"/>
                <w:position w:val="7"/>
                <w:sz w:val="13"/>
                <w:szCs w:val="13"/>
                <w:highlight w:val="none"/>
                <w:lang w:eastAsia="zh-CN"/>
              </w:rPr>
              <w:t>2</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int="eastAsia" w:hAnsi="宋体"/>
                <w:highlight w:val="none"/>
                <w:lang w:eastAsia="en-US"/>
              </w:rPr>
              <w:t>未</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废石</w:t>
            </w:r>
            <w:r>
              <w:rPr>
                <w:rFonts w:hAnsi="宋体"/>
                <w:highlight w:val="none"/>
                <w:lang w:eastAsia="en-US"/>
              </w:rPr>
              <w:t>库</w:t>
            </w:r>
          </w:p>
        </w:tc>
        <w:tc>
          <w:tcPr>
            <w:tcW w:w="5198" w:type="dxa"/>
            <w:gridSpan w:val="3"/>
            <w:vAlign w:val="center"/>
          </w:tcPr>
          <w:p>
            <w:pPr>
              <w:pStyle w:val="64"/>
              <w:widowControl w:val="0"/>
              <w:rPr>
                <w:rFonts w:hAnsi="宋体" w:cs="hakuyoxingshu7000"/>
                <w:sz w:val="13"/>
                <w:szCs w:val="13"/>
                <w:highlight w:val="none"/>
                <w:lang w:eastAsia="zh-CN"/>
              </w:rPr>
            </w:pPr>
            <w:r>
              <w:rPr>
                <w:rFonts w:hAnsi="宋体"/>
                <w:highlight w:val="none"/>
                <w:lang w:eastAsia="zh-CN"/>
              </w:rPr>
              <w:t>全</w:t>
            </w:r>
            <w:r>
              <w:rPr>
                <w:rFonts w:hAnsi="宋体"/>
                <w:spacing w:val="2"/>
                <w:highlight w:val="none"/>
                <w:lang w:eastAsia="zh-CN"/>
              </w:rPr>
              <w:t>封</w:t>
            </w:r>
            <w:r>
              <w:rPr>
                <w:rFonts w:hAnsi="宋体"/>
                <w:highlight w:val="none"/>
                <w:lang w:eastAsia="zh-CN"/>
              </w:rPr>
              <w:t>闭</w:t>
            </w:r>
            <w:r>
              <w:rPr>
                <w:rFonts w:hAnsi="宋体"/>
                <w:spacing w:val="2"/>
                <w:highlight w:val="none"/>
                <w:lang w:eastAsia="zh-CN"/>
              </w:rPr>
              <w:t>钢</w:t>
            </w:r>
            <w:r>
              <w:rPr>
                <w:rFonts w:hAnsi="宋体"/>
                <w:highlight w:val="none"/>
                <w:lang w:eastAsia="zh-CN"/>
              </w:rPr>
              <w:t>结</w:t>
            </w:r>
            <w:r>
              <w:rPr>
                <w:rFonts w:hAnsi="宋体"/>
                <w:spacing w:val="2"/>
                <w:highlight w:val="none"/>
                <w:lang w:eastAsia="zh-CN"/>
              </w:rPr>
              <w:t>构</w:t>
            </w:r>
            <w:r>
              <w:rPr>
                <w:rFonts w:hAnsi="宋体"/>
                <w:highlight w:val="none"/>
                <w:lang w:eastAsia="zh-CN"/>
              </w:rPr>
              <w:t>形</w:t>
            </w:r>
            <w:r>
              <w:rPr>
                <w:rFonts w:hAnsi="宋体"/>
                <w:spacing w:val="2"/>
                <w:highlight w:val="none"/>
                <w:lang w:eastAsia="zh-CN"/>
              </w:rPr>
              <w:t>式</w:t>
            </w:r>
            <w:r>
              <w:rPr>
                <w:rFonts w:hAnsi="宋体"/>
                <w:highlight w:val="none"/>
                <w:lang w:eastAsia="zh-CN"/>
              </w:rPr>
              <w:t>，</w:t>
            </w:r>
            <w:r>
              <w:rPr>
                <w:rFonts w:hAnsi="宋体"/>
                <w:spacing w:val="2"/>
                <w:highlight w:val="none"/>
                <w:lang w:eastAsia="zh-CN"/>
              </w:rPr>
              <w:t>存</w:t>
            </w:r>
            <w:r>
              <w:rPr>
                <w:rFonts w:hAnsi="宋体"/>
                <w:highlight w:val="none"/>
                <w:lang w:eastAsia="zh-CN"/>
              </w:rPr>
              <w:t>放</w:t>
            </w:r>
            <w:r>
              <w:rPr>
                <w:rFonts w:hint="eastAsia" w:hAnsi="宋体" w:cs="hakuyoxingshu7000"/>
                <w:spacing w:val="1"/>
                <w:highlight w:val="none"/>
                <w:lang w:eastAsia="zh-CN"/>
              </w:rPr>
              <w:t>废石和粗砂</w:t>
            </w:r>
            <w:r>
              <w:rPr>
                <w:rFonts w:hAnsi="宋体"/>
                <w:highlight w:val="none"/>
                <w:lang w:eastAsia="zh-CN"/>
              </w:rPr>
              <w:t>，</w:t>
            </w:r>
            <w:r>
              <w:rPr>
                <w:rFonts w:hAnsi="宋体"/>
                <w:spacing w:val="-2"/>
                <w:w w:val="105"/>
                <w:highlight w:val="none"/>
                <w:lang w:eastAsia="zh-CN"/>
              </w:rPr>
              <w:t>面</w:t>
            </w:r>
            <w:r>
              <w:rPr>
                <w:rFonts w:hAnsi="宋体"/>
                <w:w w:val="105"/>
                <w:highlight w:val="none"/>
                <w:lang w:eastAsia="zh-CN"/>
              </w:rPr>
              <w:t>积</w:t>
            </w:r>
            <w:r>
              <w:rPr>
                <w:rFonts w:hint="eastAsia" w:hAnsi="宋体" w:cs="hakuyoxingshu7000"/>
                <w:spacing w:val="1"/>
                <w:w w:val="105"/>
                <w:highlight w:val="none"/>
                <w:lang w:eastAsia="zh-CN"/>
              </w:rPr>
              <w:t>1</w:t>
            </w:r>
            <w:r>
              <w:rPr>
                <w:rFonts w:hAnsi="宋体" w:cs="hakuyoxingshu7000"/>
                <w:spacing w:val="1"/>
                <w:w w:val="105"/>
                <w:highlight w:val="none"/>
                <w:lang w:eastAsia="zh-CN"/>
              </w:rPr>
              <w:t>00</w:t>
            </w:r>
            <w:r>
              <w:rPr>
                <w:rFonts w:hAnsi="宋体" w:cs="hakuyoxingshu7000"/>
                <w:spacing w:val="-3"/>
                <w:w w:val="105"/>
                <w:highlight w:val="none"/>
                <w:lang w:eastAsia="zh-CN"/>
              </w:rPr>
              <w:t>0</w:t>
            </w:r>
            <w:r>
              <w:rPr>
                <w:rFonts w:hAnsi="宋体" w:cs="hakuyoxingshu7000"/>
                <w:w w:val="105"/>
                <w:highlight w:val="none"/>
                <w:lang w:eastAsia="zh-CN"/>
              </w:rPr>
              <w:t>m</w:t>
            </w:r>
            <w:r>
              <w:rPr>
                <w:rFonts w:hAnsi="宋体" w:cs="hakuyoxingshu7000"/>
                <w:w w:val="105"/>
                <w:position w:val="7"/>
                <w:sz w:val="13"/>
                <w:szCs w:val="13"/>
                <w:highlight w:val="none"/>
                <w:lang w:eastAsia="zh-CN"/>
              </w:rPr>
              <w:t>2</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int="eastAsia" w:hAnsi="宋体"/>
                <w:highlight w:val="none"/>
                <w:lang w:eastAsia="en-US"/>
              </w:rPr>
              <w:t>未</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60" w:type="dxa"/>
            <w:vMerge w:val="restart"/>
            <w:vAlign w:val="center"/>
          </w:tcPr>
          <w:p>
            <w:pPr>
              <w:pStyle w:val="64"/>
              <w:widowControl w:val="0"/>
              <w:rPr>
                <w:rFonts w:hAnsi="宋体"/>
                <w:highlight w:val="none"/>
                <w:lang w:eastAsia="en-US"/>
              </w:rPr>
            </w:pPr>
            <w:r>
              <w:rPr>
                <w:rFonts w:hAnsi="宋体"/>
                <w:highlight w:val="none"/>
                <w:lang w:eastAsia="en-US"/>
              </w:rPr>
              <w:t>辅</w:t>
            </w:r>
            <w:r>
              <w:rPr>
                <w:rFonts w:hAnsi="宋体"/>
                <w:spacing w:val="2"/>
                <w:highlight w:val="none"/>
                <w:lang w:eastAsia="en-US"/>
              </w:rPr>
              <w:t>助</w:t>
            </w:r>
            <w:r>
              <w:rPr>
                <w:rFonts w:hAnsi="宋体"/>
                <w:highlight w:val="none"/>
                <w:lang w:eastAsia="en-US"/>
              </w:rPr>
              <w:t>工程</w:t>
            </w:r>
          </w:p>
        </w:tc>
        <w:tc>
          <w:tcPr>
            <w:tcW w:w="1552" w:type="dxa"/>
            <w:gridSpan w:val="2"/>
            <w:vAlign w:val="center"/>
          </w:tcPr>
          <w:p>
            <w:pPr>
              <w:pStyle w:val="64"/>
              <w:widowControl w:val="0"/>
              <w:rPr>
                <w:rFonts w:hAnsi="宋体"/>
                <w:highlight w:val="none"/>
                <w:lang w:eastAsia="en-US"/>
              </w:rPr>
            </w:pPr>
            <w:r>
              <w:rPr>
                <w:rFonts w:hAnsi="宋体"/>
                <w:highlight w:val="none"/>
                <w:lang w:eastAsia="en-US"/>
              </w:rPr>
              <w:t>办</w:t>
            </w:r>
            <w:r>
              <w:rPr>
                <w:rFonts w:hAnsi="宋体"/>
                <w:spacing w:val="2"/>
                <w:highlight w:val="none"/>
                <w:lang w:eastAsia="en-US"/>
              </w:rPr>
              <w:t>公</w:t>
            </w:r>
            <w:r>
              <w:rPr>
                <w:rFonts w:hAnsi="宋体"/>
                <w:highlight w:val="none"/>
                <w:lang w:eastAsia="en-US"/>
              </w:rPr>
              <w:t>区</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建</w:t>
            </w:r>
            <w:r>
              <w:rPr>
                <w:rFonts w:hAnsi="宋体"/>
                <w:spacing w:val="2"/>
                <w:highlight w:val="none"/>
                <w:lang w:eastAsia="zh-CN"/>
              </w:rPr>
              <w:t>筑</w:t>
            </w:r>
            <w:r>
              <w:rPr>
                <w:rFonts w:hAnsi="宋体"/>
                <w:highlight w:val="none"/>
                <w:lang w:eastAsia="zh-CN"/>
              </w:rPr>
              <w:t>面积</w:t>
            </w:r>
            <w:r>
              <w:rPr>
                <w:rFonts w:hAnsi="宋体" w:cs="hakuyoxingshu7000"/>
                <w:spacing w:val="1"/>
                <w:highlight w:val="none"/>
                <w:lang w:eastAsia="zh-CN"/>
              </w:rPr>
              <w:t>1</w:t>
            </w:r>
            <w:r>
              <w:rPr>
                <w:rFonts w:hAnsi="宋体" w:cs="hakuyoxingshu7000"/>
                <w:spacing w:val="-2"/>
                <w:highlight w:val="none"/>
                <w:lang w:eastAsia="zh-CN"/>
              </w:rPr>
              <w:t>2</w:t>
            </w:r>
            <w:r>
              <w:rPr>
                <w:rFonts w:hAnsi="宋体" w:cs="hakuyoxingshu7000"/>
                <w:spacing w:val="3"/>
                <w:highlight w:val="none"/>
                <w:lang w:eastAsia="zh-CN"/>
              </w:rPr>
              <w:t>0m</w:t>
            </w:r>
            <w:r>
              <w:rPr>
                <w:rFonts w:hAnsi="宋体" w:cs="hakuyoxingshu7000"/>
                <w:spacing w:val="2"/>
                <w:position w:val="7"/>
                <w:sz w:val="13"/>
                <w:szCs w:val="13"/>
                <w:highlight w:val="none"/>
                <w:lang w:eastAsia="zh-CN"/>
              </w:rPr>
              <w:t>2</w:t>
            </w:r>
            <w:r>
              <w:rPr>
                <w:rFonts w:hAnsi="宋体"/>
                <w:spacing w:val="9"/>
                <w:highlight w:val="none"/>
                <w:lang w:eastAsia="zh-CN"/>
              </w:rPr>
              <w:t>，</w:t>
            </w:r>
            <w:r>
              <w:rPr>
                <w:rFonts w:hint="eastAsia" w:hAnsi="宋体"/>
                <w:spacing w:val="9"/>
                <w:highlight w:val="none"/>
                <w:lang w:eastAsia="zh-CN"/>
              </w:rPr>
              <w:t>轻</w:t>
            </w:r>
            <w:r>
              <w:rPr>
                <w:rFonts w:hAnsi="宋体"/>
                <w:spacing w:val="9"/>
                <w:highlight w:val="none"/>
                <w:lang w:eastAsia="zh-CN"/>
              </w:rPr>
              <w:t>钢结</w:t>
            </w:r>
            <w:r>
              <w:rPr>
                <w:rFonts w:hAnsi="宋体"/>
                <w:highlight w:val="none"/>
                <w:lang w:eastAsia="zh-CN"/>
              </w:rPr>
              <w:t>构</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highlight w:val="none"/>
                <w:lang w:eastAsia="en-US"/>
              </w:rPr>
            </w:pPr>
          </w:p>
        </w:tc>
        <w:tc>
          <w:tcPr>
            <w:tcW w:w="1552" w:type="dxa"/>
            <w:gridSpan w:val="2"/>
            <w:vAlign w:val="center"/>
          </w:tcPr>
          <w:p>
            <w:pPr>
              <w:pStyle w:val="64"/>
              <w:widowControl w:val="0"/>
              <w:rPr>
                <w:rFonts w:hAnsi="宋体"/>
                <w:highlight w:val="none"/>
                <w:lang w:eastAsia="en-US"/>
              </w:rPr>
            </w:pPr>
            <w:r>
              <w:rPr>
                <w:rFonts w:hAnsi="宋体"/>
                <w:highlight w:val="none"/>
                <w:lang w:eastAsia="en-US"/>
              </w:rPr>
              <w:t>临时休息间</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建</w:t>
            </w:r>
            <w:r>
              <w:rPr>
                <w:rFonts w:hAnsi="宋体"/>
                <w:spacing w:val="2"/>
                <w:highlight w:val="none"/>
                <w:lang w:eastAsia="zh-CN"/>
              </w:rPr>
              <w:t>筑</w:t>
            </w:r>
            <w:r>
              <w:rPr>
                <w:rFonts w:hAnsi="宋体"/>
                <w:highlight w:val="none"/>
                <w:lang w:eastAsia="zh-CN"/>
              </w:rPr>
              <w:t>面积</w:t>
            </w:r>
            <w:r>
              <w:rPr>
                <w:rFonts w:hint="eastAsia" w:hAnsi="宋体" w:cs="hakuyoxingshu7000"/>
                <w:spacing w:val="1"/>
                <w:highlight w:val="none"/>
                <w:lang w:eastAsia="zh-CN"/>
              </w:rPr>
              <w:t>100</w:t>
            </w:r>
            <w:r>
              <w:rPr>
                <w:rFonts w:hAnsi="宋体" w:cs="hakuyoxingshu7000"/>
                <w:spacing w:val="3"/>
                <w:highlight w:val="none"/>
                <w:lang w:eastAsia="zh-CN"/>
              </w:rPr>
              <w:t>m</w:t>
            </w:r>
            <w:r>
              <w:rPr>
                <w:rFonts w:hAnsi="宋体" w:cs="hakuyoxingshu7000"/>
                <w:spacing w:val="2"/>
                <w:position w:val="7"/>
                <w:sz w:val="13"/>
                <w:szCs w:val="13"/>
                <w:highlight w:val="none"/>
                <w:lang w:eastAsia="zh-CN"/>
              </w:rPr>
              <w:t>2</w:t>
            </w:r>
            <w:r>
              <w:rPr>
                <w:rFonts w:hAnsi="宋体"/>
                <w:spacing w:val="9"/>
                <w:highlight w:val="none"/>
                <w:lang w:eastAsia="zh-CN"/>
              </w:rPr>
              <w:t>，</w:t>
            </w:r>
            <w:r>
              <w:rPr>
                <w:rFonts w:hint="eastAsia" w:hAnsi="宋体"/>
                <w:spacing w:val="9"/>
                <w:highlight w:val="none"/>
                <w:lang w:eastAsia="zh-CN"/>
              </w:rPr>
              <w:t>轻</w:t>
            </w:r>
            <w:r>
              <w:rPr>
                <w:rFonts w:hAnsi="宋体"/>
                <w:spacing w:val="9"/>
                <w:highlight w:val="none"/>
                <w:lang w:eastAsia="zh-CN"/>
              </w:rPr>
              <w:t>钢结</w:t>
            </w:r>
            <w:r>
              <w:rPr>
                <w:rFonts w:hAnsi="宋体"/>
                <w:highlight w:val="none"/>
                <w:lang w:eastAsia="zh-CN"/>
              </w:rPr>
              <w:t>构</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食堂</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建</w:t>
            </w:r>
            <w:r>
              <w:rPr>
                <w:rFonts w:hAnsi="宋体"/>
                <w:spacing w:val="2"/>
                <w:highlight w:val="none"/>
                <w:lang w:eastAsia="zh-CN"/>
              </w:rPr>
              <w:t>筑</w:t>
            </w:r>
            <w:r>
              <w:rPr>
                <w:rFonts w:hAnsi="宋体"/>
                <w:highlight w:val="none"/>
                <w:lang w:eastAsia="zh-CN"/>
              </w:rPr>
              <w:t>面积</w:t>
            </w:r>
            <w:r>
              <w:rPr>
                <w:rFonts w:hint="eastAsia" w:hAnsi="宋体" w:cs="hakuyoxingshu7000"/>
                <w:spacing w:val="1"/>
                <w:highlight w:val="none"/>
                <w:lang w:eastAsia="zh-CN"/>
              </w:rPr>
              <w:t>30</w:t>
            </w:r>
            <w:r>
              <w:rPr>
                <w:rFonts w:hAnsi="宋体" w:cs="hakuyoxingshu7000"/>
                <w:spacing w:val="3"/>
                <w:highlight w:val="none"/>
                <w:lang w:eastAsia="zh-CN"/>
              </w:rPr>
              <w:t>m</w:t>
            </w:r>
            <w:r>
              <w:rPr>
                <w:rFonts w:hAnsi="宋体" w:cs="hakuyoxingshu7000"/>
                <w:spacing w:val="2"/>
                <w:position w:val="7"/>
                <w:sz w:val="13"/>
                <w:szCs w:val="13"/>
                <w:highlight w:val="none"/>
                <w:lang w:eastAsia="zh-CN"/>
              </w:rPr>
              <w:t>2</w:t>
            </w:r>
            <w:r>
              <w:rPr>
                <w:rFonts w:hAnsi="宋体"/>
                <w:spacing w:val="9"/>
                <w:highlight w:val="none"/>
                <w:lang w:eastAsia="zh-CN"/>
              </w:rPr>
              <w:t>，</w:t>
            </w:r>
            <w:r>
              <w:rPr>
                <w:rFonts w:hint="eastAsia" w:hAnsi="宋体"/>
                <w:spacing w:val="9"/>
                <w:highlight w:val="none"/>
                <w:lang w:eastAsia="zh-CN"/>
              </w:rPr>
              <w:t>轻</w:t>
            </w:r>
            <w:r>
              <w:rPr>
                <w:rFonts w:hAnsi="宋体"/>
                <w:spacing w:val="9"/>
                <w:highlight w:val="none"/>
                <w:lang w:eastAsia="zh-CN"/>
              </w:rPr>
              <w:t>钢结</w:t>
            </w:r>
            <w:r>
              <w:rPr>
                <w:rFonts w:hAnsi="宋体"/>
                <w:highlight w:val="none"/>
                <w:lang w:eastAsia="zh-CN"/>
              </w:rPr>
              <w:t>构</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int="eastAsia" w:hAnsi="宋体"/>
                <w:highlight w:val="none"/>
                <w:lang w:eastAsia="en-US"/>
              </w:rPr>
              <w:t>磅房</w:t>
            </w:r>
          </w:p>
        </w:tc>
        <w:tc>
          <w:tcPr>
            <w:tcW w:w="5198" w:type="dxa"/>
            <w:gridSpan w:val="3"/>
            <w:vAlign w:val="center"/>
          </w:tcPr>
          <w:p>
            <w:pPr>
              <w:pStyle w:val="64"/>
              <w:widowControl w:val="0"/>
              <w:rPr>
                <w:rFonts w:hAnsi="宋体"/>
                <w:highlight w:val="none"/>
                <w:lang w:eastAsia="zh-CN"/>
              </w:rPr>
            </w:pPr>
            <w:r>
              <w:rPr>
                <w:rFonts w:hAnsi="宋体"/>
                <w:highlight w:val="none"/>
                <w:lang w:eastAsia="zh-CN"/>
              </w:rPr>
              <w:t>建</w:t>
            </w:r>
            <w:r>
              <w:rPr>
                <w:rFonts w:hAnsi="宋体"/>
                <w:spacing w:val="2"/>
                <w:highlight w:val="none"/>
                <w:lang w:eastAsia="zh-CN"/>
              </w:rPr>
              <w:t>筑</w:t>
            </w:r>
            <w:r>
              <w:rPr>
                <w:rFonts w:hAnsi="宋体"/>
                <w:highlight w:val="none"/>
                <w:lang w:eastAsia="zh-CN"/>
              </w:rPr>
              <w:t>面积</w:t>
            </w:r>
            <w:r>
              <w:rPr>
                <w:rFonts w:hint="eastAsia" w:hAnsi="宋体" w:cs="hakuyoxingshu7000"/>
                <w:spacing w:val="1"/>
                <w:highlight w:val="none"/>
                <w:lang w:eastAsia="zh-CN"/>
              </w:rPr>
              <w:t>20</w:t>
            </w:r>
            <w:r>
              <w:rPr>
                <w:rFonts w:hAnsi="宋体" w:cs="hakuyoxingshu7000"/>
                <w:spacing w:val="3"/>
                <w:highlight w:val="none"/>
                <w:lang w:eastAsia="zh-CN"/>
              </w:rPr>
              <w:t>m</w:t>
            </w:r>
            <w:r>
              <w:rPr>
                <w:rFonts w:hAnsi="宋体" w:cs="hakuyoxingshu7000"/>
                <w:spacing w:val="2"/>
                <w:position w:val="7"/>
                <w:sz w:val="13"/>
                <w:szCs w:val="13"/>
                <w:highlight w:val="none"/>
                <w:lang w:eastAsia="zh-CN"/>
              </w:rPr>
              <w:t>2</w:t>
            </w:r>
            <w:r>
              <w:rPr>
                <w:rFonts w:hAnsi="宋体"/>
                <w:spacing w:val="9"/>
                <w:highlight w:val="none"/>
                <w:lang w:eastAsia="zh-CN"/>
              </w:rPr>
              <w:t>，</w:t>
            </w:r>
            <w:r>
              <w:rPr>
                <w:rFonts w:hint="eastAsia" w:hAnsi="宋体"/>
                <w:spacing w:val="9"/>
                <w:highlight w:val="none"/>
                <w:lang w:eastAsia="zh-CN"/>
              </w:rPr>
              <w:t>轻</w:t>
            </w:r>
            <w:r>
              <w:rPr>
                <w:rFonts w:hAnsi="宋体"/>
                <w:spacing w:val="9"/>
                <w:highlight w:val="none"/>
                <w:lang w:eastAsia="zh-CN"/>
              </w:rPr>
              <w:t>钢结</w:t>
            </w:r>
            <w:r>
              <w:rPr>
                <w:rFonts w:hAnsi="宋体"/>
                <w:highlight w:val="none"/>
                <w:lang w:eastAsia="zh-CN"/>
              </w:rPr>
              <w:t>构</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restart"/>
            <w:vAlign w:val="center"/>
          </w:tcPr>
          <w:p>
            <w:pPr>
              <w:pStyle w:val="64"/>
              <w:widowControl w:val="0"/>
              <w:rPr>
                <w:rFonts w:hAnsi="宋体"/>
                <w:highlight w:val="none"/>
                <w:lang w:eastAsia="en-US"/>
              </w:rPr>
            </w:pPr>
            <w:r>
              <w:rPr>
                <w:rFonts w:hAnsi="宋体"/>
                <w:highlight w:val="none"/>
                <w:lang w:eastAsia="en-US"/>
              </w:rPr>
              <w:t>公</w:t>
            </w:r>
            <w:r>
              <w:rPr>
                <w:rFonts w:hAnsi="宋体"/>
                <w:spacing w:val="2"/>
                <w:highlight w:val="none"/>
                <w:lang w:eastAsia="en-US"/>
              </w:rPr>
              <w:t>用</w:t>
            </w:r>
            <w:r>
              <w:rPr>
                <w:rFonts w:hAnsi="宋体"/>
                <w:highlight w:val="none"/>
                <w:lang w:eastAsia="en-US"/>
              </w:rPr>
              <w:t>工程</w:t>
            </w:r>
          </w:p>
        </w:tc>
        <w:tc>
          <w:tcPr>
            <w:tcW w:w="1552" w:type="dxa"/>
            <w:gridSpan w:val="2"/>
            <w:vAlign w:val="center"/>
          </w:tcPr>
          <w:p>
            <w:pPr>
              <w:pStyle w:val="64"/>
              <w:widowControl w:val="0"/>
              <w:rPr>
                <w:rFonts w:hAnsi="宋体"/>
                <w:highlight w:val="none"/>
                <w:lang w:eastAsia="en-US"/>
              </w:rPr>
            </w:pPr>
            <w:r>
              <w:rPr>
                <w:rFonts w:hAnsi="宋体"/>
                <w:highlight w:val="none"/>
                <w:lang w:eastAsia="en-US"/>
              </w:rPr>
              <w:t>供电</w:t>
            </w:r>
          </w:p>
        </w:tc>
        <w:tc>
          <w:tcPr>
            <w:tcW w:w="5198" w:type="dxa"/>
            <w:gridSpan w:val="3"/>
            <w:vAlign w:val="center"/>
          </w:tcPr>
          <w:p>
            <w:pPr>
              <w:pStyle w:val="64"/>
              <w:widowControl w:val="0"/>
              <w:rPr>
                <w:rFonts w:hAnsi="宋体"/>
                <w:highlight w:val="none"/>
                <w:lang w:eastAsia="zh-CN"/>
              </w:rPr>
            </w:pPr>
            <w:r>
              <w:rPr>
                <w:rFonts w:hint="eastAsia" w:hAnsi="宋体"/>
                <w:highlight w:val="none"/>
                <w:lang w:eastAsia="zh-CN"/>
              </w:rPr>
              <w:t>电源由忻州市繁峙县光</w:t>
            </w:r>
            <w:r>
              <w:rPr>
                <w:rFonts w:hAnsi="宋体"/>
                <w:highlight w:val="none"/>
                <w:lang w:eastAsia="zh-CN"/>
              </w:rPr>
              <w:t>裕堡乡变</w:t>
            </w:r>
            <w:r>
              <w:rPr>
                <w:rFonts w:hAnsi="宋体"/>
                <w:spacing w:val="2"/>
                <w:highlight w:val="none"/>
                <w:lang w:eastAsia="zh-CN"/>
              </w:rPr>
              <w:t>电</w:t>
            </w:r>
            <w:r>
              <w:rPr>
                <w:rFonts w:hAnsi="宋体"/>
                <w:highlight w:val="none"/>
                <w:lang w:eastAsia="zh-CN"/>
              </w:rPr>
              <w:t>站</w:t>
            </w:r>
            <w:r>
              <w:rPr>
                <w:rFonts w:hAnsi="宋体"/>
                <w:spacing w:val="2"/>
                <w:highlight w:val="none"/>
                <w:lang w:eastAsia="zh-CN"/>
              </w:rPr>
              <w:t>供</w:t>
            </w:r>
            <w:r>
              <w:rPr>
                <w:rFonts w:hAnsi="宋体"/>
                <w:highlight w:val="none"/>
                <w:lang w:eastAsia="zh-CN"/>
              </w:rPr>
              <w:t>电，厂区设置</w:t>
            </w:r>
            <w:r>
              <w:rPr>
                <w:rFonts w:hint="eastAsia" w:hAnsi="宋体"/>
                <w:highlight w:val="none"/>
                <w:lang w:eastAsia="zh-CN"/>
              </w:rPr>
              <w:t>800KVA和315KVA变压器各一台，可满足生产使用</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Ansi="宋体"/>
                <w:highlight w:val="none"/>
                <w:lang w:eastAsia="en-US"/>
              </w:rPr>
              <w:t>供水</w:t>
            </w:r>
          </w:p>
        </w:tc>
        <w:tc>
          <w:tcPr>
            <w:tcW w:w="5198" w:type="dxa"/>
            <w:gridSpan w:val="3"/>
            <w:vAlign w:val="center"/>
          </w:tcPr>
          <w:p>
            <w:pPr>
              <w:pStyle w:val="64"/>
              <w:widowControl w:val="0"/>
              <w:rPr>
                <w:rFonts w:hAnsi="宋体"/>
                <w:highlight w:val="none"/>
                <w:lang w:eastAsia="en-US"/>
              </w:rPr>
            </w:pPr>
            <w:r>
              <w:rPr>
                <w:rFonts w:hint="eastAsia" w:hAnsi="宋体"/>
                <w:highlight w:val="none"/>
                <w:lang w:eastAsia="en-US"/>
              </w:rPr>
              <w:t>由</w:t>
            </w:r>
            <w:r>
              <w:rPr>
                <w:rFonts w:hAnsi="宋体"/>
                <w:highlight w:val="none"/>
                <w:lang w:eastAsia="en-US"/>
              </w:rPr>
              <w:t>厂内自备水井供给</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1552" w:type="dxa"/>
            <w:gridSpan w:val="2"/>
            <w:vAlign w:val="center"/>
          </w:tcPr>
          <w:p>
            <w:pPr>
              <w:pStyle w:val="64"/>
              <w:widowControl w:val="0"/>
              <w:rPr>
                <w:rFonts w:hAnsi="宋体"/>
                <w:highlight w:val="none"/>
                <w:lang w:eastAsia="en-US"/>
              </w:rPr>
            </w:pPr>
            <w:r>
              <w:rPr>
                <w:rFonts w:hAnsi="宋体"/>
                <w:spacing w:val="2"/>
                <w:highlight w:val="none"/>
                <w:lang w:eastAsia="en-US"/>
              </w:rPr>
              <w:t>供</w:t>
            </w:r>
            <w:r>
              <w:rPr>
                <w:rFonts w:hAnsi="宋体"/>
                <w:highlight w:val="none"/>
                <w:lang w:eastAsia="en-US"/>
              </w:rPr>
              <w:t>暖</w:t>
            </w:r>
          </w:p>
        </w:tc>
        <w:tc>
          <w:tcPr>
            <w:tcW w:w="5198" w:type="dxa"/>
            <w:gridSpan w:val="3"/>
            <w:vAlign w:val="center"/>
          </w:tcPr>
          <w:p>
            <w:pPr>
              <w:pStyle w:val="64"/>
              <w:widowControl w:val="0"/>
              <w:rPr>
                <w:rFonts w:hAnsi="宋体"/>
                <w:highlight w:val="none"/>
                <w:lang w:eastAsia="zh-CN"/>
              </w:rPr>
            </w:pPr>
            <w:r>
              <w:rPr>
                <w:rFonts w:hAnsi="宋体"/>
                <w:spacing w:val="9"/>
                <w:highlight w:val="none"/>
                <w:lang w:eastAsia="zh-CN"/>
              </w:rPr>
              <w:t>本项目生产</w:t>
            </w:r>
            <w:r>
              <w:rPr>
                <w:rFonts w:hAnsi="宋体"/>
                <w:spacing w:val="7"/>
                <w:highlight w:val="none"/>
                <w:lang w:eastAsia="zh-CN"/>
              </w:rPr>
              <w:t>无</w:t>
            </w:r>
            <w:r>
              <w:rPr>
                <w:rFonts w:hAnsi="宋体"/>
                <w:spacing w:val="9"/>
                <w:highlight w:val="none"/>
                <w:lang w:eastAsia="zh-CN"/>
              </w:rPr>
              <w:t>需用热，办</w:t>
            </w:r>
            <w:r>
              <w:rPr>
                <w:rFonts w:hAnsi="宋体"/>
                <w:spacing w:val="7"/>
                <w:highlight w:val="none"/>
                <w:lang w:eastAsia="zh-CN"/>
              </w:rPr>
              <w:t>公</w:t>
            </w:r>
            <w:r>
              <w:rPr>
                <w:rFonts w:hAnsi="宋体"/>
                <w:spacing w:val="9"/>
                <w:highlight w:val="none"/>
                <w:lang w:eastAsia="zh-CN"/>
              </w:rPr>
              <w:t>区冬季采</w:t>
            </w:r>
            <w:r>
              <w:rPr>
                <w:rFonts w:hAnsi="宋体"/>
                <w:highlight w:val="none"/>
                <w:lang w:eastAsia="zh-CN"/>
              </w:rPr>
              <w:t>暖</w:t>
            </w:r>
            <w:r>
              <w:rPr>
                <w:rFonts w:hAnsi="宋体"/>
                <w:spacing w:val="9"/>
                <w:highlight w:val="none"/>
                <w:lang w:eastAsia="zh-CN"/>
              </w:rPr>
              <w:t>采用</w:t>
            </w:r>
            <w:r>
              <w:rPr>
                <w:rFonts w:hAnsi="宋体"/>
                <w:spacing w:val="7"/>
                <w:highlight w:val="none"/>
                <w:lang w:eastAsia="zh-CN"/>
              </w:rPr>
              <w:t>空</w:t>
            </w:r>
            <w:r>
              <w:rPr>
                <w:rFonts w:hAnsi="宋体"/>
                <w:spacing w:val="9"/>
                <w:highlight w:val="none"/>
                <w:lang w:eastAsia="zh-CN"/>
              </w:rPr>
              <w:t>调供</w:t>
            </w:r>
            <w:r>
              <w:rPr>
                <w:rFonts w:hAnsi="宋体"/>
                <w:highlight w:val="none"/>
                <w:lang w:eastAsia="zh-CN"/>
              </w:rPr>
              <w:t>暖</w:t>
            </w:r>
          </w:p>
        </w:tc>
        <w:tc>
          <w:tcPr>
            <w:tcW w:w="663" w:type="dxa"/>
            <w:vAlign w:val="center"/>
          </w:tcPr>
          <w:p>
            <w:pPr>
              <w:pStyle w:val="64"/>
              <w:widowControl w:val="0"/>
              <w:rPr>
                <w:rFonts w:hAnsi="宋体"/>
                <w:highlight w:val="none"/>
                <w:lang w:eastAsia="en-US"/>
              </w:rPr>
            </w:pPr>
            <w:r>
              <w:rPr>
                <w:rFonts w:hAnsi="宋体"/>
                <w:highlight w:val="none"/>
                <w:lang w:eastAsia="en-US"/>
              </w:rPr>
              <w:t>新建</w:t>
            </w:r>
          </w:p>
        </w:tc>
        <w:tc>
          <w:tcPr>
            <w:tcW w:w="816" w:type="dxa"/>
            <w:vAlign w:val="center"/>
          </w:tcPr>
          <w:p>
            <w:pPr>
              <w:pStyle w:val="64"/>
              <w:widowControl w:val="0"/>
              <w:rPr>
                <w:rFonts w:hAnsi="宋体"/>
                <w:highlight w:val="none"/>
                <w:lang w:eastAsia="en-US"/>
              </w:rPr>
            </w:pPr>
            <w:r>
              <w:rPr>
                <w:rFonts w:hAnsi="宋体"/>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Align w:val="center"/>
          </w:tcPr>
          <w:p>
            <w:pPr>
              <w:pStyle w:val="64"/>
              <w:widowControl w:val="0"/>
              <w:rPr>
                <w:rFonts w:hAnsi="宋体"/>
                <w:highlight w:val="none"/>
                <w:lang w:eastAsia="en-US"/>
              </w:rPr>
            </w:pPr>
            <w:r>
              <w:rPr>
                <w:rFonts w:hAnsi="宋体"/>
                <w:highlight w:val="none"/>
                <w:lang w:eastAsia="en-US"/>
              </w:rPr>
              <w:t>名称</w:t>
            </w:r>
          </w:p>
        </w:tc>
        <w:tc>
          <w:tcPr>
            <w:tcW w:w="582" w:type="dxa"/>
            <w:vAlign w:val="center"/>
          </w:tcPr>
          <w:p>
            <w:pPr>
              <w:pStyle w:val="64"/>
              <w:widowControl w:val="0"/>
              <w:rPr>
                <w:rFonts w:hAnsi="宋体"/>
                <w:highlight w:val="none"/>
                <w:lang w:eastAsia="en-US"/>
              </w:rPr>
            </w:pPr>
            <w:r>
              <w:rPr>
                <w:rFonts w:hint="eastAsia" w:hAnsi="宋体"/>
                <w:highlight w:val="none"/>
                <w:lang w:eastAsia="en-US"/>
              </w:rPr>
              <w:t>污染因素</w:t>
            </w:r>
          </w:p>
        </w:tc>
        <w:tc>
          <w:tcPr>
            <w:tcW w:w="970" w:type="dxa"/>
            <w:vAlign w:val="center"/>
          </w:tcPr>
          <w:p>
            <w:pPr>
              <w:pStyle w:val="64"/>
              <w:widowControl w:val="0"/>
              <w:rPr>
                <w:rFonts w:hAnsi="宋体"/>
                <w:highlight w:val="none"/>
                <w:lang w:eastAsia="en-US"/>
              </w:rPr>
            </w:pPr>
            <w:r>
              <w:rPr>
                <w:rFonts w:hint="eastAsia" w:hAnsi="宋体"/>
                <w:highlight w:val="none"/>
                <w:lang w:eastAsia="en-US"/>
              </w:rPr>
              <w:t>污染源</w:t>
            </w:r>
          </w:p>
        </w:tc>
        <w:tc>
          <w:tcPr>
            <w:tcW w:w="2718" w:type="dxa"/>
            <w:vAlign w:val="center"/>
          </w:tcPr>
          <w:p>
            <w:pPr>
              <w:pStyle w:val="64"/>
              <w:widowControl w:val="0"/>
              <w:rPr>
                <w:rFonts w:hAnsi="宋体"/>
                <w:highlight w:val="none"/>
                <w:lang w:eastAsia="en-US"/>
              </w:rPr>
            </w:pPr>
            <w:r>
              <w:rPr>
                <w:rFonts w:hint="eastAsia" w:hAnsi="宋体"/>
                <w:highlight w:val="none"/>
                <w:lang w:eastAsia="en-US"/>
              </w:rPr>
              <w:t>已采取的措施</w:t>
            </w:r>
          </w:p>
        </w:tc>
        <w:tc>
          <w:tcPr>
            <w:tcW w:w="1134" w:type="dxa"/>
            <w:vAlign w:val="center"/>
          </w:tcPr>
          <w:p>
            <w:pPr>
              <w:pStyle w:val="64"/>
              <w:widowControl w:val="0"/>
              <w:rPr>
                <w:rFonts w:hAnsi="宋体"/>
                <w:highlight w:val="none"/>
                <w:lang w:eastAsia="en-US"/>
              </w:rPr>
            </w:pPr>
            <w:r>
              <w:rPr>
                <w:rFonts w:hint="eastAsia" w:hAnsi="宋体"/>
                <w:highlight w:val="none"/>
                <w:lang w:eastAsia="en-US"/>
              </w:rPr>
              <w:t>可行性</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环评要求</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restart"/>
            <w:vAlign w:val="center"/>
          </w:tcPr>
          <w:p>
            <w:pPr>
              <w:pStyle w:val="64"/>
              <w:widowControl w:val="0"/>
              <w:rPr>
                <w:rFonts w:hAnsi="宋体"/>
                <w:highlight w:val="none"/>
                <w:lang w:eastAsia="en-US"/>
              </w:rPr>
            </w:pPr>
            <w:r>
              <w:rPr>
                <w:rFonts w:hAnsi="宋体"/>
                <w:highlight w:val="none"/>
                <w:lang w:eastAsia="en-US"/>
              </w:rPr>
              <w:t>环</w:t>
            </w:r>
            <w:r>
              <w:rPr>
                <w:rFonts w:hAnsi="宋体"/>
                <w:spacing w:val="2"/>
                <w:highlight w:val="none"/>
                <w:lang w:eastAsia="en-US"/>
              </w:rPr>
              <w:t>保</w:t>
            </w:r>
            <w:r>
              <w:rPr>
                <w:rFonts w:hAnsi="宋体"/>
                <w:highlight w:val="none"/>
                <w:lang w:eastAsia="en-US"/>
              </w:rPr>
              <w:t>工程</w:t>
            </w:r>
          </w:p>
        </w:tc>
        <w:tc>
          <w:tcPr>
            <w:tcW w:w="582" w:type="dxa"/>
            <w:vMerge w:val="restart"/>
            <w:vAlign w:val="center"/>
          </w:tcPr>
          <w:p>
            <w:pPr>
              <w:pStyle w:val="64"/>
              <w:widowControl w:val="0"/>
              <w:rPr>
                <w:rFonts w:hAnsi="宋体"/>
                <w:highlight w:val="none"/>
                <w:lang w:eastAsia="en-US"/>
              </w:rPr>
            </w:pPr>
            <w:r>
              <w:rPr>
                <w:rFonts w:hint="eastAsia" w:hAnsi="宋体"/>
                <w:highlight w:val="none"/>
                <w:lang w:eastAsia="en-US"/>
              </w:rPr>
              <w:t>大气</w:t>
            </w:r>
          </w:p>
        </w:tc>
        <w:tc>
          <w:tcPr>
            <w:tcW w:w="970" w:type="dxa"/>
            <w:vAlign w:val="center"/>
          </w:tcPr>
          <w:p>
            <w:pPr>
              <w:pStyle w:val="64"/>
              <w:widowControl w:val="0"/>
              <w:rPr>
                <w:rFonts w:hAnsi="宋体"/>
                <w:highlight w:val="none"/>
                <w:lang w:eastAsia="en-US"/>
              </w:rPr>
            </w:pPr>
            <w:r>
              <w:rPr>
                <w:rFonts w:hAnsi="宋体"/>
                <w:highlight w:val="none"/>
                <w:lang w:eastAsia="en-US"/>
              </w:rPr>
              <w:t>原</w:t>
            </w:r>
            <w:r>
              <w:rPr>
                <w:rFonts w:hint="eastAsia" w:hAnsi="宋体"/>
                <w:spacing w:val="2"/>
                <w:highlight w:val="none"/>
                <w:lang w:eastAsia="en-US"/>
              </w:rPr>
              <w:t>料</w:t>
            </w:r>
            <w:r>
              <w:rPr>
                <w:rFonts w:hAnsi="宋体"/>
                <w:highlight w:val="none"/>
                <w:lang w:eastAsia="en-US"/>
              </w:rPr>
              <w:t>堆场</w:t>
            </w:r>
          </w:p>
        </w:tc>
        <w:tc>
          <w:tcPr>
            <w:tcW w:w="2718" w:type="dxa"/>
            <w:vAlign w:val="center"/>
          </w:tcPr>
          <w:p>
            <w:pPr>
              <w:pStyle w:val="64"/>
              <w:widowControl w:val="0"/>
              <w:rPr>
                <w:rFonts w:hAnsi="宋体"/>
                <w:highlight w:val="none"/>
                <w:lang w:eastAsia="zh-CN"/>
              </w:rPr>
            </w:pPr>
            <w:r>
              <w:rPr>
                <w:rFonts w:hint="eastAsia" w:hAnsi="宋体"/>
                <w:highlight w:val="none"/>
                <w:lang w:eastAsia="zh-CN"/>
              </w:rPr>
              <w:t>原料</w:t>
            </w:r>
            <w:r>
              <w:rPr>
                <w:rFonts w:hAnsi="宋体"/>
                <w:highlight w:val="none"/>
                <w:lang w:eastAsia="zh-CN"/>
              </w:rPr>
              <w:t>堆场采用防风抑尘网</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zh-CN"/>
              </w:rPr>
            </w:pPr>
            <w:r>
              <w:rPr>
                <w:rFonts w:hAnsi="宋体"/>
                <w:highlight w:val="none"/>
                <w:lang w:eastAsia="zh-CN"/>
              </w:rPr>
              <w:t>地</w:t>
            </w:r>
            <w:r>
              <w:rPr>
                <w:rFonts w:hAnsi="宋体"/>
                <w:spacing w:val="2"/>
                <w:highlight w:val="none"/>
                <w:lang w:eastAsia="zh-CN"/>
              </w:rPr>
              <w:t>面</w:t>
            </w:r>
            <w:r>
              <w:rPr>
                <w:rFonts w:hAnsi="宋体"/>
                <w:highlight w:val="none"/>
                <w:lang w:eastAsia="zh-CN"/>
              </w:rPr>
              <w:t>硬</w:t>
            </w:r>
            <w:r>
              <w:rPr>
                <w:rFonts w:hAnsi="宋体"/>
                <w:spacing w:val="2"/>
                <w:highlight w:val="none"/>
                <w:lang w:eastAsia="zh-CN"/>
              </w:rPr>
              <w:t>化</w:t>
            </w:r>
            <w:r>
              <w:rPr>
                <w:rFonts w:hAnsi="宋体"/>
                <w:highlight w:val="none"/>
                <w:lang w:eastAsia="zh-CN"/>
              </w:rPr>
              <w:t>，建</w:t>
            </w:r>
            <w:r>
              <w:rPr>
                <w:rFonts w:hAnsi="宋体"/>
                <w:spacing w:val="2"/>
                <w:highlight w:val="none"/>
                <w:lang w:eastAsia="zh-CN"/>
              </w:rPr>
              <w:t>设</w:t>
            </w:r>
            <w:r>
              <w:rPr>
                <w:rFonts w:hAnsi="宋体"/>
                <w:highlight w:val="none"/>
                <w:lang w:eastAsia="zh-CN"/>
              </w:rPr>
              <w:t>全</w:t>
            </w:r>
            <w:r>
              <w:rPr>
                <w:rFonts w:hAnsi="宋体"/>
                <w:spacing w:val="2"/>
                <w:highlight w:val="none"/>
                <w:lang w:eastAsia="zh-CN"/>
              </w:rPr>
              <w:t>封</w:t>
            </w:r>
            <w:r>
              <w:rPr>
                <w:rFonts w:hAnsi="宋体"/>
                <w:highlight w:val="none"/>
                <w:lang w:eastAsia="zh-CN"/>
              </w:rPr>
              <w:t>闭</w:t>
            </w:r>
            <w:r>
              <w:rPr>
                <w:rFonts w:hAnsi="宋体"/>
                <w:spacing w:val="2"/>
                <w:highlight w:val="none"/>
                <w:lang w:eastAsia="zh-CN"/>
              </w:rPr>
              <w:t>钢</w:t>
            </w:r>
            <w:r>
              <w:rPr>
                <w:rFonts w:hAnsi="宋体"/>
                <w:highlight w:val="none"/>
                <w:lang w:eastAsia="zh-CN"/>
              </w:rPr>
              <w:t>结</w:t>
            </w:r>
            <w:r>
              <w:rPr>
                <w:rFonts w:hAnsi="宋体"/>
                <w:spacing w:val="2"/>
                <w:highlight w:val="none"/>
                <w:lang w:eastAsia="zh-CN"/>
              </w:rPr>
              <w:t>构</w:t>
            </w:r>
            <w:r>
              <w:rPr>
                <w:rFonts w:hAnsi="宋体"/>
                <w:highlight w:val="none"/>
                <w:lang w:eastAsia="zh-CN"/>
              </w:rPr>
              <w:t>原</w:t>
            </w:r>
            <w:r>
              <w:rPr>
                <w:rFonts w:hAnsi="宋体"/>
                <w:spacing w:val="2"/>
                <w:highlight w:val="none"/>
                <w:lang w:eastAsia="zh-CN"/>
              </w:rPr>
              <w:t>料</w:t>
            </w:r>
            <w:r>
              <w:rPr>
                <w:rFonts w:hAnsi="宋体"/>
                <w:highlight w:val="none"/>
                <w:lang w:eastAsia="zh-CN"/>
              </w:rPr>
              <w:t>库，配</w:t>
            </w:r>
            <w:r>
              <w:rPr>
                <w:rFonts w:hAnsi="宋体"/>
                <w:spacing w:val="2"/>
                <w:highlight w:val="none"/>
                <w:lang w:eastAsia="zh-CN"/>
              </w:rPr>
              <w:t>套喷雾</w:t>
            </w:r>
            <w:r>
              <w:rPr>
                <w:rFonts w:hint="eastAsia" w:hAnsi="宋体"/>
                <w:spacing w:val="2"/>
                <w:highlight w:val="none"/>
                <w:lang w:eastAsia="zh-CN"/>
              </w:rPr>
              <w:t>抑尘</w:t>
            </w:r>
            <w:r>
              <w:rPr>
                <w:rFonts w:hAnsi="宋体"/>
                <w:highlight w:val="none"/>
                <w:lang w:eastAsia="zh-CN"/>
              </w:rPr>
              <w:t>设</w:t>
            </w:r>
            <w:r>
              <w:rPr>
                <w:rFonts w:hAnsi="宋体"/>
                <w:spacing w:val="2"/>
                <w:highlight w:val="none"/>
                <w:lang w:eastAsia="zh-CN"/>
              </w:rPr>
              <w:t>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Ansi="宋体"/>
                <w:highlight w:val="none"/>
                <w:lang w:eastAsia="en-US"/>
              </w:rPr>
              <w:t>废石堆场</w:t>
            </w:r>
          </w:p>
        </w:tc>
        <w:tc>
          <w:tcPr>
            <w:tcW w:w="2718" w:type="dxa"/>
            <w:vAlign w:val="center"/>
          </w:tcPr>
          <w:p>
            <w:pPr>
              <w:pStyle w:val="64"/>
              <w:widowControl w:val="0"/>
              <w:rPr>
                <w:rFonts w:hAnsi="宋体"/>
                <w:highlight w:val="none"/>
                <w:lang w:eastAsia="zh-CN"/>
              </w:rPr>
            </w:pPr>
            <w:r>
              <w:rPr>
                <w:rFonts w:hAnsi="宋体"/>
                <w:highlight w:val="none"/>
                <w:lang w:eastAsia="zh-CN"/>
              </w:rPr>
              <w:t>废石堆场采用防风抑尘网</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zh-CN"/>
              </w:rPr>
            </w:pPr>
            <w:r>
              <w:rPr>
                <w:rFonts w:hAnsi="宋体"/>
                <w:highlight w:val="none"/>
                <w:lang w:eastAsia="zh-CN"/>
              </w:rPr>
              <w:t>地</w:t>
            </w:r>
            <w:r>
              <w:rPr>
                <w:rFonts w:hAnsi="宋体"/>
                <w:spacing w:val="2"/>
                <w:highlight w:val="none"/>
                <w:lang w:eastAsia="zh-CN"/>
              </w:rPr>
              <w:t>面</w:t>
            </w:r>
            <w:r>
              <w:rPr>
                <w:rFonts w:hAnsi="宋体"/>
                <w:highlight w:val="none"/>
                <w:lang w:eastAsia="zh-CN"/>
              </w:rPr>
              <w:t>硬</w:t>
            </w:r>
            <w:r>
              <w:rPr>
                <w:rFonts w:hAnsi="宋体"/>
                <w:spacing w:val="2"/>
                <w:highlight w:val="none"/>
                <w:lang w:eastAsia="zh-CN"/>
              </w:rPr>
              <w:t>化</w:t>
            </w:r>
            <w:r>
              <w:rPr>
                <w:rFonts w:hAnsi="宋体"/>
                <w:highlight w:val="none"/>
                <w:lang w:eastAsia="zh-CN"/>
              </w:rPr>
              <w:t>，建</w:t>
            </w:r>
            <w:r>
              <w:rPr>
                <w:rFonts w:hAnsi="宋体"/>
                <w:spacing w:val="2"/>
                <w:highlight w:val="none"/>
                <w:lang w:eastAsia="zh-CN"/>
              </w:rPr>
              <w:t>设</w:t>
            </w:r>
            <w:r>
              <w:rPr>
                <w:rFonts w:hAnsi="宋体"/>
                <w:highlight w:val="none"/>
                <w:lang w:eastAsia="zh-CN"/>
              </w:rPr>
              <w:t>全</w:t>
            </w:r>
            <w:r>
              <w:rPr>
                <w:rFonts w:hAnsi="宋体"/>
                <w:spacing w:val="2"/>
                <w:highlight w:val="none"/>
                <w:lang w:eastAsia="zh-CN"/>
              </w:rPr>
              <w:t>封</w:t>
            </w:r>
            <w:r>
              <w:rPr>
                <w:rFonts w:hAnsi="宋体"/>
                <w:highlight w:val="none"/>
                <w:lang w:eastAsia="zh-CN"/>
              </w:rPr>
              <w:t>闭</w:t>
            </w:r>
            <w:r>
              <w:rPr>
                <w:rFonts w:hAnsi="宋体"/>
                <w:spacing w:val="2"/>
                <w:highlight w:val="none"/>
                <w:lang w:eastAsia="zh-CN"/>
              </w:rPr>
              <w:t>钢</w:t>
            </w:r>
            <w:r>
              <w:rPr>
                <w:rFonts w:hAnsi="宋体"/>
                <w:highlight w:val="none"/>
                <w:lang w:eastAsia="zh-CN"/>
              </w:rPr>
              <w:t>结</w:t>
            </w:r>
            <w:r>
              <w:rPr>
                <w:rFonts w:hAnsi="宋体"/>
                <w:spacing w:val="2"/>
                <w:highlight w:val="none"/>
                <w:lang w:eastAsia="zh-CN"/>
              </w:rPr>
              <w:t>构</w:t>
            </w:r>
            <w:r>
              <w:rPr>
                <w:rFonts w:hAnsi="宋体"/>
                <w:highlight w:val="none"/>
                <w:lang w:eastAsia="zh-CN"/>
              </w:rPr>
              <w:t>废石</w:t>
            </w:r>
            <w:r>
              <w:rPr>
                <w:rFonts w:hint="eastAsia" w:hAnsi="宋体"/>
                <w:highlight w:val="none"/>
                <w:lang w:eastAsia="zh-CN"/>
              </w:rPr>
              <w:t>库</w:t>
            </w:r>
            <w:r>
              <w:rPr>
                <w:rFonts w:hAnsi="宋体"/>
                <w:highlight w:val="none"/>
                <w:lang w:eastAsia="zh-CN"/>
              </w:rPr>
              <w:t>，配</w:t>
            </w:r>
            <w:r>
              <w:rPr>
                <w:rFonts w:hAnsi="宋体"/>
                <w:spacing w:val="2"/>
                <w:highlight w:val="none"/>
                <w:lang w:eastAsia="zh-CN"/>
              </w:rPr>
              <w:t>套喷雾</w:t>
            </w:r>
            <w:r>
              <w:rPr>
                <w:rFonts w:hint="eastAsia" w:hAnsi="宋体"/>
                <w:spacing w:val="2"/>
                <w:highlight w:val="none"/>
                <w:lang w:eastAsia="zh-CN"/>
              </w:rPr>
              <w:t>抑尘</w:t>
            </w:r>
            <w:r>
              <w:rPr>
                <w:rFonts w:hAnsi="宋体"/>
                <w:highlight w:val="none"/>
                <w:lang w:eastAsia="zh-CN"/>
              </w:rPr>
              <w:t>设</w:t>
            </w:r>
            <w:r>
              <w:rPr>
                <w:rFonts w:hAnsi="宋体"/>
                <w:spacing w:val="2"/>
                <w:highlight w:val="none"/>
                <w:lang w:eastAsia="zh-CN"/>
              </w:rPr>
              <w:t>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Ansi="宋体"/>
                <w:highlight w:val="none"/>
                <w:lang w:eastAsia="en-US"/>
              </w:rPr>
              <w:t>成品堆场</w:t>
            </w:r>
          </w:p>
        </w:tc>
        <w:tc>
          <w:tcPr>
            <w:tcW w:w="2718" w:type="dxa"/>
            <w:vAlign w:val="center"/>
          </w:tcPr>
          <w:p>
            <w:pPr>
              <w:pStyle w:val="64"/>
              <w:widowControl w:val="0"/>
              <w:rPr>
                <w:rFonts w:hAnsi="宋体"/>
                <w:highlight w:val="none"/>
                <w:lang w:eastAsia="zh-CN"/>
              </w:rPr>
            </w:pPr>
            <w:r>
              <w:rPr>
                <w:rFonts w:hAnsi="宋体"/>
                <w:highlight w:val="none"/>
                <w:lang w:eastAsia="zh-CN"/>
              </w:rPr>
              <w:t>成品堆场采用防风抑尘网</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zh-CN"/>
              </w:rPr>
            </w:pPr>
            <w:r>
              <w:rPr>
                <w:rFonts w:hAnsi="宋体"/>
                <w:highlight w:val="none"/>
                <w:lang w:eastAsia="zh-CN"/>
              </w:rPr>
              <w:t>地</w:t>
            </w:r>
            <w:r>
              <w:rPr>
                <w:rFonts w:hAnsi="宋体"/>
                <w:spacing w:val="2"/>
                <w:highlight w:val="none"/>
                <w:lang w:eastAsia="zh-CN"/>
              </w:rPr>
              <w:t>面</w:t>
            </w:r>
            <w:r>
              <w:rPr>
                <w:rFonts w:hAnsi="宋体"/>
                <w:highlight w:val="none"/>
                <w:lang w:eastAsia="zh-CN"/>
              </w:rPr>
              <w:t>硬</w:t>
            </w:r>
            <w:r>
              <w:rPr>
                <w:rFonts w:hAnsi="宋体"/>
                <w:spacing w:val="2"/>
                <w:highlight w:val="none"/>
                <w:lang w:eastAsia="zh-CN"/>
              </w:rPr>
              <w:t>化</w:t>
            </w:r>
            <w:r>
              <w:rPr>
                <w:rFonts w:hAnsi="宋体"/>
                <w:highlight w:val="none"/>
                <w:lang w:eastAsia="zh-CN"/>
              </w:rPr>
              <w:t>，建</w:t>
            </w:r>
            <w:r>
              <w:rPr>
                <w:rFonts w:hAnsi="宋体"/>
                <w:spacing w:val="2"/>
                <w:highlight w:val="none"/>
                <w:lang w:eastAsia="zh-CN"/>
              </w:rPr>
              <w:t>设</w:t>
            </w:r>
            <w:r>
              <w:rPr>
                <w:rFonts w:hAnsi="宋体"/>
                <w:highlight w:val="none"/>
                <w:lang w:eastAsia="zh-CN"/>
              </w:rPr>
              <w:t>全</w:t>
            </w:r>
            <w:r>
              <w:rPr>
                <w:rFonts w:hAnsi="宋体"/>
                <w:spacing w:val="2"/>
                <w:highlight w:val="none"/>
                <w:lang w:eastAsia="zh-CN"/>
              </w:rPr>
              <w:t>封</w:t>
            </w:r>
            <w:r>
              <w:rPr>
                <w:rFonts w:hAnsi="宋体"/>
                <w:highlight w:val="none"/>
                <w:lang w:eastAsia="zh-CN"/>
              </w:rPr>
              <w:t>闭</w:t>
            </w:r>
            <w:r>
              <w:rPr>
                <w:rFonts w:hAnsi="宋体"/>
                <w:spacing w:val="2"/>
                <w:highlight w:val="none"/>
                <w:lang w:eastAsia="zh-CN"/>
              </w:rPr>
              <w:t>钢</w:t>
            </w:r>
            <w:r>
              <w:rPr>
                <w:rFonts w:hAnsi="宋体"/>
                <w:highlight w:val="none"/>
                <w:lang w:eastAsia="zh-CN"/>
              </w:rPr>
              <w:t>结</w:t>
            </w:r>
            <w:r>
              <w:rPr>
                <w:rFonts w:hAnsi="宋体"/>
                <w:spacing w:val="2"/>
                <w:highlight w:val="none"/>
                <w:lang w:eastAsia="zh-CN"/>
              </w:rPr>
              <w:t>构</w:t>
            </w:r>
            <w:r>
              <w:rPr>
                <w:rFonts w:hAnsi="宋体"/>
                <w:highlight w:val="none"/>
                <w:lang w:eastAsia="zh-CN"/>
              </w:rPr>
              <w:t>成品库</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Ansi="宋体"/>
                <w:highlight w:val="none"/>
                <w:lang w:eastAsia="en-US"/>
              </w:rPr>
              <w:t>破</w:t>
            </w:r>
            <w:r>
              <w:rPr>
                <w:rFonts w:hAnsi="宋体"/>
                <w:spacing w:val="2"/>
                <w:highlight w:val="none"/>
                <w:lang w:eastAsia="en-US"/>
              </w:rPr>
              <w:t>碎</w:t>
            </w:r>
            <w:r>
              <w:rPr>
                <w:rFonts w:hAnsi="宋体"/>
                <w:spacing w:val="-38"/>
                <w:highlight w:val="none"/>
                <w:lang w:eastAsia="en-US"/>
              </w:rPr>
              <w:t>、</w:t>
            </w:r>
            <w:r>
              <w:rPr>
                <w:rFonts w:hAnsi="宋体"/>
                <w:highlight w:val="none"/>
                <w:lang w:eastAsia="en-US"/>
              </w:rPr>
              <w:t>干选工段</w:t>
            </w:r>
          </w:p>
        </w:tc>
        <w:tc>
          <w:tcPr>
            <w:tcW w:w="2718" w:type="dxa"/>
            <w:vAlign w:val="center"/>
          </w:tcPr>
          <w:p>
            <w:pPr>
              <w:pStyle w:val="64"/>
              <w:widowControl w:val="0"/>
              <w:rPr>
                <w:rFonts w:hAnsi="宋体"/>
                <w:highlight w:val="none"/>
                <w:lang w:eastAsia="zh-CN"/>
              </w:rPr>
            </w:pPr>
            <w:r>
              <w:rPr>
                <w:rFonts w:hAnsi="宋体"/>
                <w:highlight w:val="none"/>
                <w:lang w:eastAsia="zh-CN"/>
              </w:rPr>
              <w:t>产</w:t>
            </w:r>
            <w:r>
              <w:rPr>
                <w:rFonts w:hAnsi="宋体"/>
                <w:spacing w:val="2"/>
                <w:highlight w:val="none"/>
                <w:lang w:eastAsia="zh-CN"/>
              </w:rPr>
              <w:t>尘</w:t>
            </w:r>
            <w:r>
              <w:rPr>
                <w:rFonts w:hAnsi="宋体"/>
                <w:highlight w:val="none"/>
                <w:lang w:eastAsia="zh-CN"/>
              </w:rPr>
              <w:t>点</w:t>
            </w:r>
            <w:r>
              <w:rPr>
                <w:rFonts w:hint="eastAsia" w:hAnsi="宋体"/>
                <w:spacing w:val="2"/>
                <w:highlight w:val="none"/>
                <w:lang w:eastAsia="zh-CN"/>
              </w:rPr>
              <w:t>采用</w:t>
            </w:r>
            <w:r>
              <w:rPr>
                <w:rFonts w:hAnsi="宋体"/>
                <w:spacing w:val="2"/>
                <w:highlight w:val="none"/>
                <w:lang w:eastAsia="zh-CN"/>
              </w:rPr>
              <w:t>全封闭车间，未收集</w:t>
            </w:r>
          </w:p>
        </w:tc>
        <w:tc>
          <w:tcPr>
            <w:tcW w:w="1134" w:type="dxa"/>
            <w:vAlign w:val="center"/>
          </w:tcPr>
          <w:p>
            <w:pPr>
              <w:pStyle w:val="64"/>
              <w:widowControl w:val="0"/>
              <w:rPr>
                <w:rFonts w:hAnsi="宋体"/>
                <w:highlight w:val="none"/>
                <w:lang w:eastAsia="en-US"/>
              </w:rPr>
            </w:pPr>
            <w:r>
              <w:rPr>
                <w:rFonts w:hint="eastAsia" w:hAnsi="宋体"/>
                <w:highlight w:val="none"/>
                <w:lang w:eastAsia="en-US"/>
              </w:rPr>
              <w:t>可行，需补充</w:t>
            </w:r>
          </w:p>
        </w:tc>
        <w:tc>
          <w:tcPr>
            <w:tcW w:w="2825" w:type="dxa"/>
            <w:gridSpan w:val="3"/>
            <w:vAlign w:val="center"/>
          </w:tcPr>
          <w:p>
            <w:pPr>
              <w:pStyle w:val="64"/>
              <w:widowControl w:val="0"/>
              <w:rPr>
                <w:rFonts w:hAnsi="宋体"/>
                <w:highlight w:val="none"/>
                <w:lang w:eastAsia="zh-CN"/>
              </w:rPr>
            </w:pPr>
            <w:r>
              <w:rPr>
                <w:rFonts w:hint="eastAsia" w:hAnsi="宋体"/>
                <w:highlight w:val="none"/>
                <w:lang w:eastAsia="zh-CN"/>
              </w:rPr>
              <w:t>全封闭车间，各个设备进料口分别设置集气管，废气收集后送入1套布袋除尘器处理，后经1根15m高的排气筒排放</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int="eastAsia" w:hAnsi="宋体"/>
                <w:highlight w:val="none"/>
                <w:lang w:eastAsia="en-US"/>
              </w:rPr>
              <w:t>转载点粉尘</w:t>
            </w:r>
          </w:p>
        </w:tc>
        <w:tc>
          <w:tcPr>
            <w:tcW w:w="2718" w:type="dxa"/>
            <w:vAlign w:val="center"/>
          </w:tcPr>
          <w:p>
            <w:pPr>
              <w:pStyle w:val="64"/>
              <w:widowControl w:val="0"/>
              <w:rPr>
                <w:rFonts w:hAnsi="宋体"/>
                <w:highlight w:val="none"/>
                <w:lang w:eastAsia="en-US"/>
              </w:rPr>
            </w:pPr>
            <w:r>
              <w:rPr>
                <w:rFonts w:hint="eastAsia" w:hAnsi="宋体"/>
                <w:highlight w:val="none"/>
                <w:lang w:eastAsia="en-US"/>
              </w:rPr>
              <w:t>全封闭密闭皮带</w:t>
            </w:r>
          </w:p>
        </w:tc>
        <w:tc>
          <w:tcPr>
            <w:tcW w:w="1134" w:type="dxa"/>
            <w:vAlign w:val="center"/>
          </w:tcPr>
          <w:p>
            <w:pPr>
              <w:pStyle w:val="64"/>
              <w:widowControl w:val="0"/>
              <w:rPr>
                <w:rFonts w:hAnsi="宋体"/>
                <w:highlight w:val="none"/>
                <w:lang w:eastAsia="en-US"/>
              </w:rPr>
            </w:pPr>
            <w:r>
              <w:rPr>
                <w:rFonts w:hint="eastAsia" w:hAnsi="宋体"/>
                <w:highlight w:val="none"/>
                <w:lang w:eastAsia="en-US"/>
              </w:rPr>
              <w:t>可行</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582" w:type="dxa"/>
            <w:vMerge w:val="restart"/>
            <w:vAlign w:val="center"/>
          </w:tcPr>
          <w:p>
            <w:pPr>
              <w:pStyle w:val="64"/>
              <w:widowControl w:val="0"/>
              <w:rPr>
                <w:rFonts w:hAnsi="宋体"/>
                <w:highlight w:val="none"/>
                <w:lang w:eastAsia="en-US"/>
              </w:rPr>
            </w:pPr>
            <w:r>
              <w:rPr>
                <w:rFonts w:hAnsi="宋体"/>
                <w:highlight w:val="none"/>
                <w:lang w:eastAsia="en-US"/>
              </w:rPr>
              <w:t>废水</w:t>
            </w:r>
          </w:p>
        </w:tc>
        <w:tc>
          <w:tcPr>
            <w:tcW w:w="970" w:type="dxa"/>
            <w:vAlign w:val="center"/>
          </w:tcPr>
          <w:p>
            <w:pPr>
              <w:pStyle w:val="64"/>
              <w:widowControl w:val="0"/>
              <w:rPr>
                <w:rFonts w:hAnsi="宋体"/>
                <w:highlight w:val="none"/>
                <w:lang w:eastAsia="en-US"/>
              </w:rPr>
            </w:pPr>
            <w:r>
              <w:rPr>
                <w:rFonts w:hAnsi="宋体"/>
                <w:highlight w:val="none"/>
                <w:lang w:eastAsia="en-US"/>
              </w:rPr>
              <w:t>生</w:t>
            </w:r>
            <w:r>
              <w:rPr>
                <w:rFonts w:hAnsi="宋体"/>
                <w:spacing w:val="2"/>
                <w:highlight w:val="none"/>
                <w:lang w:eastAsia="en-US"/>
              </w:rPr>
              <w:t>活</w:t>
            </w:r>
            <w:r>
              <w:rPr>
                <w:rFonts w:hAnsi="宋体"/>
                <w:highlight w:val="none"/>
                <w:lang w:eastAsia="en-US"/>
              </w:rPr>
              <w:t>污水</w:t>
            </w:r>
            <w:r>
              <w:rPr>
                <w:rFonts w:hint="eastAsia" w:hAnsi="宋体"/>
                <w:highlight w:val="none"/>
                <w:lang w:eastAsia="en-US"/>
              </w:rPr>
              <w:t>、食堂废水</w:t>
            </w:r>
          </w:p>
        </w:tc>
        <w:tc>
          <w:tcPr>
            <w:tcW w:w="2718" w:type="dxa"/>
            <w:vAlign w:val="center"/>
          </w:tcPr>
          <w:p>
            <w:pPr>
              <w:pStyle w:val="64"/>
              <w:widowControl w:val="0"/>
              <w:rPr>
                <w:rFonts w:hAnsi="宋体"/>
                <w:highlight w:val="none"/>
                <w:lang w:eastAsia="zh-CN"/>
              </w:rPr>
            </w:pPr>
            <w:r>
              <w:rPr>
                <w:rFonts w:hAnsi="宋体"/>
                <w:highlight w:val="none"/>
                <w:lang w:eastAsia="zh-CN"/>
              </w:rPr>
              <w:t>集</w:t>
            </w:r>
            <w:r>
              <w:rPr>
                <w:rFonts w:hAnsi="宋体"/>
                <w:spacing w:val="2"/>
                <w:highlight w:val="none"/>
                <w:lang w:eastAsia="zh-CN"/>
              </w:rPr>
              <w:t>中</w:t>
            </w:r>
            <w:r>
              <w:rPr>
                <w:rFonts w:hAnsi="宋体"/>
                <w:highlight w:val="none"/>
                <w:lang w:eastAsia="zh-CN"/>
              </w:rPr>
              <w:t>收</w:t>
            </w:r>
            <w:r>
              <w:rPr>
                <w:rFonts w:hAnsi="宋体"/>
                <w:spacing w:val="2"/>
                <w:highlight w:val="none"/>
                <w:lang w:eastAsia="zh-CN"/>
              </w:rPr>
              <w:t>集</w:t>
            </w:r>
            <w:r>
              <w:rPr>
                <w:rFonts w:hAnsi="宋体"/>
                <w:highlight w:val="none"/>
                <w:lang w:eastAsia="zh-CN"/>
              </w:rPr>
              <w:t>后</w:t>
            </w:r>
            <w:r>
              <w:rPr>
                <w:rFonts w:hint="eastAsia" w:hAnsi="宋体"/>
                <w:spacing w:val="2"/>
                <w:highlight w:val="none"/>
                <w:lang w:eastAsia="zh-CN"/>
              </w:rPr>
              <w:t>道路</w:t>
            </w:r>
            <w:r>
              <w:rPr>
                <w:rFonts w:hAnsi="宋体"/>
                <w:highlight w:val="none"/>
                <w:lang w:eastAsia="zh-CN"/>
              </w:rPr>
              <w:t>洒</w:t>
            </w:r>
            <w:r>
              <w:rPr>
                <w:rFonts w:hAnsi="宋体"/>
                <w:spacing w:val="2"/>
                <w:highlight w:val="none"/>
                <w:lang w:eastAsia="zh-CN"/>
              </w:rPr>
              <w:t>水</w:t>
            </w:r>
            <w:r>
              <w:rPr>
                <w:rFonts w:hint="eastAsia" w:hAnsi="宋体"/>
                <w:spacing w:val="2"/>
                <w:highlight w:val="none"/>
                <w:lang w:eastAsia="zh-CN"/>
              </w:rPr>
              <w:t>及绿化</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zh-CN"/>
              </w:rPr>
            </w:pPr>
            <w:r>
              <w:rPr>
                <w:rFonts w:hint="eastAsia" w:hAnsi="宋体" w:cs="hakuyoxingshu7000"/>
                <w:spacing w:val="3"/>
                <w:highlight w:val="none"/>
                <w:lang w:eastAsia="zh-CN"/>
              </w:rPr>
              <w:t>新建1座2</w:t>
            </w:r>
            <w:r>
              <w:rPr>
                <w:rFonts w:hAnsi="宋体" w:cs="hakuyoxingshu7000"/>
                <w:spacing w:val="3"/>
                <w:highlight w:val="none"/>
                <w:lang w:eastAsia="zh-CN"/>
              </w:rPr>
              <w:t>m</w:t>
            </w:r>
            <w:r>
              <w:rPr>
                <w:rFonts w:hAnsi="宋体" w:cs="hakuyoxingshu7000"/>
                <w:position w:val="7"/>
                <w:sz w:val="13"/>
                <w:szCs w:val="13"/>
                <w:highlight w:val="none"/>
                <w:lang w:eastAsia="zh-CN"/>
              </w:rPr>
              <w:t>3</w:t>
            </w:r>
            <w:r>
              <w:rPr>
                <w:rFonts w:hint="eastAsia" w:hAnsi="宋体"/>
                <w:spacing w:val="9"/>
                <w:highlight w:val="none"/>
                <w:lang w:eastAsia="zh-CN"/>
              </w:rPr>
              <w:t>生活污水</w:t>
            </w:r>
            <w:r>
              <w:rPr>
                <w:rFonts w:hAnsi="宋体"/>
                <w:spacing w:val="9"/>
                <w:highlight w:val="none"/>
                <w:lang w:eastAsia="zh-CN"/>
              </w:rPr>
              <w:t>收集</w:t>
            </w:r>
            <w:r>
              <w:rPr>
                <w:rFonts w:hAnsi="宋体"/>
                <w:highlight w:val="none"/>
                <w:lang w:eastAsia="zh-CN"/>
              </w:rPr>
              <w:t>池</w:t>
            </w:r>
            <w:r>
              <w:rPr>
                <w:rFonts w:hint="eastAsia" w:hAnsi="宋体"/>
                <w:highlight w:val="none"/>
                <w:lang w:eastAsia="zh-CN"/>
              </w:rPr>
              <w:t>，</w:t>
            </w:r>
            <w:r>
              <w:rPr>
                <w:rFonts w:hAnsi="宋体"/>
                <w:highlight w:val="none"/>
                <w:lang w:eastAsia="zh-CN"/>
              </w:rPr>
              <w:t>集</w:t>
            </w:r>
            <w:r>
              <w:rPr>
                <w:rFonts w:hAnsi="宋体"/>
                <w:spacing w:val="2"/>
                <w:highlight w:val="none"/>
                <w:lang w:eastAsia="zh-CN"/>
              </w:rPr>
              <w:t>中</w:t>
            </w:r>
            <w:r>
              <w:rPr>
                <w:rFonts w:hAnsi="宋体"/>
                <w:highlight w:val="none"/>
                <w:lang w:eastAsia="zh-CN"/>
              </w:rPr>
              <w:t>收</w:t>
            </w:r>
            <w:r>
              <w:rPr>
                <w:rFonts w:hAnsi="宋体"/>
                <w:spacing w:val="2"/>
                <w:highlight w:val="none"/>
                <w:lang w:eastAsia="zh-CN"/>
              </w:rPr>
              <w:t>集</w:t>
            </w:r>
            <w:r>
              <w:rPr>
                <w:rFonts w:hAnsi="宋体"/>
                <w:highlight w:val="none"/>
                <w:lang w:eastAsia="zh-CN"/>
              </w:rPr>
              <w:t>后</w:t>
            </w:r>
            <w:r>
              <w:rPr>
                <w:rFonts w:hint="eastAsia" w:hAnsi="宋体"/>
                <w:spacing w:val="2"/>
                <w:highlight w:val="none"/>
                <w:lang w:eastAsia="zh-CN"/>
              </w:rPr>
              <w:t>用于道路</w:t>
            </w:r>
            <w:r>
              <w:rPr>
                <w:rFonts w:hAnsi="宋体"/>
                <w:highlight w:val="none"/>
                <w:lang w:eastAsia="zh-CN"/>
              </w:rPr>
              <w:t>洒</w:t>
            </w:r>
            <w:r>
              <w:rPr>
                <w:rFonts w:hAnsi="宋体"/>
                <w:spacing w:val="2"/>
                <w:highlight w:val="none"/>
                <w:lang w:eastAsia="zh-CN"/>
              </w:rPr>
              <w:t>水</w:t>
            </w:r>
            <w:r>
              <w:rPr>
                <w:rFonts w:hint="eastAsia" w:hAnsi="宋体"/>
                <w:spacing w:val="2"/>
                <w:highlight w:val="none"/>
                <w:lang w:eastAsia="zh-CN"/>
              </w:rPr>
              <w:t>及绿化；新建</w:t>
            </w:r>
            <w:r>
              <w:rPr>
                <w:rFonts w:hint="eastAsia" w:hAnsi="宋体" w:cs="hakuyoxingshu7000"/>
                <w:spacing w:val="3"/>
                <w:highlight w:val="none"/>
                <w:lang w:eastAsia="zh-CN"/>
              </w:rPr>
              <w:t>1座0.5</w:t>
            </w:r>
            <w:r>
              <w:rPr>
                <w:rFonts w:hAnsi="宋体" w:cs="hakuyoxingshu7000"/>
                <w:spacing w:val="3"/>
                <w:highlight w:val="none"/>
                <w:lang w:eastAsia="zh-CN"/>
              </w:rPr>
              <w:t>m</w:t>
            </w:r>
            <w:r>
              <w:rPr>
                <w:rFonts w:hAnsi="宋体" w:cs="hakuyoxingshu7000"/>
                <w:position w:val="7"/>
                <w:sz w:val="13"/>
                <w:szCs w:val="13"/>
                <w:highlight w:val="none"/>
                <w:lang w:eastAsia="zh-CN"/>
              </w:rPr>
              <w:t>3</w:t>
            </w:r>
            <w:r>
              <w:rPr>
                <w:rFonts w:hint="eastAsia" w:hAnsi="宋体"/>
                <w:spacing w:val="2"/>
                <w:highlight w:val="none"/>
                <w:lang w:eastAsia="zh-CN"/>
              </w:rPr>
              <w:t>隔油池，食堂废水经隔油池后排入</w:t>
            </w:r>
            <w:r>
              <w:rPr>
                <w:rFonts w:hint="eastAsia" w:hAnsi="宋体"/>
                <w:spacing w:val="9"/>
                <w:highlight w:val="none"/>
                <w:lang w:eastAsia="zh-CN"/>
              </w:rPr>
              <w:t>生活污水</w:t>
            </w:r>
            <w:r>
              <w:rPr>
                <w:rFonts w:hAnsi="宋体"/>
                <w:spacing w:val="9"/>
                <w:highlight w:val="none"/>
                <w:lang w:eastAsia="zh-CN"/>
              </w:rPr>
              <w:t>收集</w:t>
            </w:r>
            <w:r>
              <w:rPr>
                <w:rFonts w:hAnsi="宋体"/>
                <w:highlight w:val="none"/>
                <w:lang w:eastAsia="zh-CN"/>
              </w:rPr>
              <w:t>池集</w:t>
            </w:r>
            <w:r>
              <w:rPr>
                <w:rFonts w:hAnsi="宋体"/>
                <w:spacing w:val="2"/>
                <w:highlight w:val="none"/>
                <w:lang w:eastAsia="zh-CN"/>
              </w:rPr>
              <w:t>中</w:t>
            </w:r>
            <w:r>
              <w:rPr>
                <w:rFonts w:hAnsi="宋体"/>
                <w:highlight w:val="none"/>
                <w:lang w:eastAsia="zh-CN"/>
              </w:rPr>
              <w:t>收</w:t>
            </w:r>
            <w:r>
              <w:rPr>
                <w:rFonts w:hAnsi="宋体"/>
                <w:spacing w:val="2"/>
                <w:highlight w:val="none"/>
                <w:lang w:eastAsia="zh-CN"/>
              </w:rPr>
              <w:t>集</w:t>
            </w:r>
            <w:r>
              <w:rPr>
                <w:rFonts w:hAnsi="宋体"/>
                <w:highlight w:val="none"/>
                <w:lang w:eastAsia="zh-CN"/>
              </w:rPr>
              <w:t>后</w:t>
            </w:r>
            <w:r>
              <w:rPr>
                <w:rFonts w:hint="eastAsia" w:hAnsi="宋体"/>
                <w:spacing w:val="2"/>
                <w:highlight w:val="none"/>
                <w:lang w:eastAsia="zh-CN"/>
              </w:rPr>
              <w:t>用于道路</w:t>
            </w:r>
            <w:r>
              <w:rPr>
                <w:rFonts w:hAnsi="宋体"/>
                <w:highlight w:val="none"/>
                <w:lang w:eastAsia="zh-CN"/>
              </w:rPr>
              <w:t>洒</w:t>
            </w:r>
            <w:r>
              <w:rPr>
                <w:rFonts w:hAnsi="宋体"/>
                <w:spacing w:val="2"/>
                <w:highlight w:val="none"/>
                <w:lang w:eastAsia="zh-CN"/>
              </w:rPr>
              <w:t>水</w:t>
            </w:r>
            <w:r>
              <w:rPr>
                <w:rFonts w:hint="eastAsia" w:hAnsi="宋体"/>
                <w:spacing w:val="2"/>
                <w:highlight w:val="none"/>
                <w:lang w:eastAsia="zh-CN"/>
              </w:rPr>
              <w:t>及绿化。</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int="eastAsia" w:hAnsi="宋体"/>
                <w:highlight w:val="none"/>
                <w:lang w:eastAsia="en-US"/>
              </w:rPr>
              <w:t>洗车废水</w:t>
            </w:r>
          </w:p>
        </w:tc>
        <w:tc>
          <w:tcPr>
            <w:tcW w:w="2718" w:type="dxa"/>
            <w:vAlign w:val="center"/>
          </w:tcPr>
          <w:p>
            <w:pPr>
              <w:pStyle w:val="64"/>
              <w:widowControl w:val="0"/>
              <w:rPr>
                <w:rFonts w:hAnsi="宋体"/>
                <w:highlight w:val="none"/>
                <w:lang w:eastAsia="en-US"/>
              </w:rPr>
            </w:pPr>
            <w:r>
              <w:rPr>
                <w:rFonts w:hint="eastAsia" w:hAnsi="宋体"/>
                <w:highlight w:val="none"/>
                <w:lang w:eastAsia="en-US"/>
              </w:rPr>
              <w:t>/</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cs="hakuyoxingshu7000"/>
                <w:spacing w:val="3"/>
                <w:highlight w:val="none"/>
                <w:lang w:eastAsia="zh-CN"/>
              </w:rPr>
            </w:pPr>
            <w:r>
              <w:rPr>
                <w:rFonts w:hint="eastAsia" w:hAnsi="宋体" w:cs="hakuyoxingshu7000"/>
                <w:spacing w:val="3"/>
                <w:highlight w:val="none"/>
                <w:lang w:eastAsia="zh-CN"/>
              </w:rPr>
              <w:t>厂区出口设置洗车平台，洗车废水循环使用，不外排。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int="eastAsia" w:hAnsi="宋体"/>
                <w:highlight w:val="none"/>
                <w:lang w:eastAsia="en-US"/>
              </w:rPr>
              <w:t>尾矿浆</w:t>
            </w:r>
          </w:p>
        </w:tc>
        <w:tc>
          <w:tcPr>
            <w:tcW w:w="2718" w:type="dxa"/>
            <w:vAlign w:val="center"/>
          </w:tcPr>
          <w:p>
            <w:pPr>
              <w:pStyle w:val="64"/>
              <w:widowControl w:val="0"/>
              <w:rPr>
                <w:rFonts w:hAnsi="宋体"/>
                <w:highlight w:val="none"/>
                <w:lang w:eastAsia="zh-CN"/>
              </w:rPr>
            </w:pPr>
            <w:r>
              <w:rPr>
                <w:rFonts w:hint="eastAsia" w:hAnsi="宋体"/>
                <w:highlight w:val="none"/>
                <w:lang w:eastAsia="zh-CN"/>
              </w:rPr>
              <w:t>设置1座容积为400m</w:t>
            </w:r>
            <w:r>
              <w:rPr>
                <w:rFonts w:hint="eastAsia" w:hAnsi="宋体"/>
                <w:highlight w:val="none"/>
                <w:vertAlign w:val="superscript"/>
                <w:lang w:eastAsia="zh-CN"/>
              </w:rPr>
              <w:t>3</w:t>
            </w:r>
            <w:r>
              <w:rPr>
                <w:rFonts w:hint="eastAsia" w:hAnsi="宋体"/>
                <w:highlight w:val="none"/>
                <w:lang w:eastAsia="zh-CN"/>
              </w:rPr>
              <w:t>的沉砂池，</w:t>
            </w:r>
            <w:r>
              <w:rPr>
                <w:rFonts w:hint="eastAsia" w:hAnsi="宋体" w:cs="hakuyoxingshu7000"/>
                <w:spacing w:val="3"/>
                <w:highlight w:val="none"/>
                <w:lang w:eastAsia="zh-CN"/>
              </w:rPr>
              <w:t>上清液回用于生产</w:t>
            </w:r>
          </w:p>
        </w:tc>
        <w:tc>
          <w:tcPr>
            <w:tcW w:w="1134" w:type="dxa"/>
            <w:vAlign w:val="center"/>
          </w:tcPr>
          <w:p>
            <w:pPr>
              <w:pStyle w:val="64"/>
              <w:widowControl w:val="0"/>
              <w:rPr>
                <w:rFonts w:hAnsi="宋体"/>
                <w:highlight w:val="none"/>
                <w:lang w:eastAsia="zh-CN"/>
              </w:rPr>
            </w:pPr>
            <w:r>
              <w:rPr>
                <w:rFonts w:hint="eastAsia" w:hAnsi="宋体"/>
                <w:highlight w:val="none"/>
                <w:lang w:eastAsia="zh-CN"/>
              </w:rPr>
              <w:t>处置能力不满足生产需求，不</w:t>
            </w:r>
            <w:r>
              <w:rPr>
                <w:rFonts w:hAnsi="宋体"/>
                <w:highlight w:val="none"/>
                <w:lang w:eastAsia="zh-CN"/>
              </w:rPr>
              <w:t>可行</w:t>
            </w:r>
          </w:p>
        </w:tc>
        <w:tc>
          <w:tcPr>
            <w:tcW w:w="2825" w:type="dxa"/>
            <w:gridSpan w:val="3"/>
            <w:vAlign w:val="center"/>
          </w:tcPr>
          <w:p>
            <w:pPr>
              <w:pStyle w:val="64"/>
              <w:widowControl w:val="0"/>
              <w:rPr>
                <w:rFonts w:hAnsi="宋体" w:cs="hakuyoxingshu7000"/>
                <w:spacing w:val="3"/>
                <w:highlight w:val="none"/>
                <w:lang w:eastAsia="zh-CN"/>
              </w:rPr>
            </w:pPr>
            <w:r>
              <w:rPr>
                <w:rFonts w:hint="eastAsia" w:hAnsi="宋体" w:cs="hakuyoxingshu7000"/>
                <w:spacing w:val="3"/>
                <w:highlight w:val="none"/>
                <w:lang w:eastAsia="zh-CN"/>
              </w:rPr>
              <w:t>设置1座浓缩池（容积1167m</w:t>
            </w:r>
            <w:r>
              <w:rPr>
                <w:rFonts w:hint="eastAsia" w:hAnsi="宋体" w:cs="hakuyoxingshu7000"/>
                <w:spacing w:val="3"/>
                <w:highlight w:val="none"/>
                <w:vertAlign w:val="superscript"/>
                <w:lang w:eastAsia="zh-CN"/>
              </w:rPr>
              <w:t>3</w:t>
            </w:r>
            <w:r>
              <w:rPr>
                <w:rFonts w:hint="eastAsia" w:hAnsi="宋体" w:cs="hakuyoxingshu7000"/>
                <w:spacing w:val="3"/>
                <w:highlight w:val="none"/>
                <w:lang w:eastAsia="zh-CN"/>
              </w:rPr>
              <w:t>）对尾矿浆进行浓缩处理，上清液回流至循环水池（容积200m</w:t>
            </w:r>
            <w:r>
              <w:rPr>
                <w:rFonts w:hint="eastAsia" w:hAnsi="宋体" w:cs="hakuyoxingshu7000"/>
                <w:spacing w:val="3"/>
                <w:highlight w:val="none"/>
                <w:vertAlign w:val="superscript"/>
                <w:lang w:eastAsia="zh-CN"/>
              </w:rPr>
              <w:t>3</w:t>
            </w:r>
            <w:r>
              <w:rPr>
                <w:rFonts w:hint="eastAsia" w:hAnsi="宋体" w:cs="hakuyoxingshu7000"/>
                <w:spacing w:val="3"/>
                <w:highlight w:val="none"/>
                <w:lang w:eastAsia="zh-CN"/>
              </w:rPr>
              <w:t>）后回用于生产。</w:t>
            </w:r>
            <w:r>
              <w:rPr>
                <w:rFonts w:hint="eastAsia" w:hAnsi="宋体"/>
                <w:highlight w:val="none"/>
                <w:lang w:eastAsia="zh-CN"/>
              </w:rPr>
              <w:t>1座400m</w:t>
            </w:r>
            <w:r>
              <w:rPr>
                <w:rFonts w:hint="eastAsia" w:hAnsi="宋体"/>
                <w:highlight w:val="none"/>
                <w:vertAlign w:val="superscript"/>
                <w:lang w:eastAsia="zh-CN"/>
              </w:rPr>
              <w:t>3</w:t>
            </w:r>
            <w:r>
              <w:rPr>
                <w:rFonts w:hint="eastAsia" w:hAnsi="宋体"/>
                <w:highlight w:val="none"/>
                <w:lang w:eastAsia="zh-CN"/>
              </w:rPr>
              <w:t>的沉砂池作为粗砂沉淀池保留。</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highlight w:val="none"/>
                <w:lang w:eastAsia="en-US"/>
              </w:rPr>
            </w:pPr>
            <w:r>
              <w:rPr>
                <w:rFonts w:hAnsi="宋体"/>
                <w:highlight w:val="none"/>
                <w:lang w:eastAsia="en-US"/>
              </w:rPr>
              <w:t>初</w:t>
            </w:r>
            <w:r>
              <w:rPr>
                <w:rFonts w:hAnsi="宋体"/>
                <w:spacing w:val="2"/>
                <w:highlight w:val="none"/>
                <w:lang w:eastAsia="en-US"/>
              </w:rPr>
              <w:t>期</w:t>
            </w:r>
            <w:r>
              <w:rPr>
                <w:rFonts w:hAnsi="宋体"/>
                <w:highlight w:val="none"/>
                <w:lang w:eastAsia="en-US"/>
              </w:rPr>
              <w:t>雨水</w:t>
            </w:r>
          </w:p>
        </w:tc>
        <w:tc>
          <w:tcPr>
            <w:tcW w:w="2718" w:type="dxa"/>
            <w:vAlign w:val="center"/>
          </w:tcPr>
          <w:p>
            <w:pPr>
              <w:pStyle w:val="64"/>
              <w:widowControl w:val="0"/>
              <w:rPr>
                <w:rFonts w:hAnsi="宋体"/>
                <w:highlight w:val="none"/>
                <w:lang w:eastAsia="zh-CN"/>
              </w:rPr>
            </w:pPr>
            <w:r>
              <w:rPr>
                <w:rFonts w:hint="eastAsia" w:hAnsi="宋体"/>
                <w:highlight w:val="none"/>
                <w:lang w:eastAsia="zh-CN"/>
              </w:rPr>
              <w:t>未设置初期雨水收集系统</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en-US"/>
              </w:rPr>
            </w:pPr>
            <w:r>
              <w:rPr>
                <w:rFonts w:hint="eastAsia" w:hAnsi="宋体" w:cs="hakuyoxingshu7000"/>
                <w:spacing w:val="3"/>
                <w:highlight w:val="none"/>
                <w:lang w:eastAsia="en-US"/>
              </w:rPr>
              <w:t>新建1座16</w:t>
            </w:r>
            <w:r>
              <w:rPr>
                <w:rFonts w:hAnsi="宋体" w:cs="hakuyoxingshu7000"/>
                <w:spacing w:val="3"/>
                <w:highlight w:val="none"/>
                <w:lang w:eastAsia="en-US"/>
              </w:rPr>
              <w:t>0m</w:t>
            </w:r>
            <w:r>
              <w:rPr>
                <w:rFonts w:hAnsi="宋体" w:cs="hakuyoxingshu7000"/>
                <w:position w:val="7"/>
                <w:sz w:val="13"/>
                <w:szCs w:val="13"/>
                <w:highlight w:val="none"/>
                <w:lang w:eastAsia="en-US"/>
              </w:rPr>
              <w:t>3</w:t>
            </w:r>
            <w:r>
              <w:rPr>
                <w:rFonts w:hAnsi="宋体"/>
                <w:spacing w:val="9"/>
                <w:highlight w:val="none"/>
                <w:lang w:eastAsia="en-US"/>
              </w:rPr>
              <w:t>初期</w:t>
            </w:r>
            <w:r>
              <w:rPr>
                <w:rFonts w:hAnsi="宋体"/>
                <w:spacing w:val="7"/>
                <w:highlight w:val="none"/>
                <w:lang w:eastAsia="en-US"/>
              </w:rPr>
              <w:t>雨</w:t>
            </w:r>
            <w:r>
              <w:rPr>
                <w:rFonts w:hAnsi="宋体"/>
                <w:spacing w:val="9"/>
                <w:highlight w:val="none"/>
                <w:lang w:eastAsia="en-US"/>
              </w:rPr>
              <w:t>水收集</w:t>
            </w:r>
            <w:r>
              <w:rPr>
                <w:rFonts w:hAnsi="宋体"/>
                <w:highlight w:val="none"/>
                <w:lang w:eastAsia="en-US"/>
              </w:rPr>
              <w:t>池</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582" w:type="dxa"/>
            <w:vMerge w:val="continue"/>
            <w:vAlign w:val="center"/>
          </w:tcPr>
          <w:p>
            <w:pPr>
              <w:pStyle w:val="64"/>
              <w:widowControl w:val="0"/>
              <w:rPr>
                <w:rFonts w:hAnsi="宋体"/>
                <w:highlight w:val="none"/>
                <w:lang w:eastAsia="en-US"/>
              </w:rPr>
            </w:pPr>
          </w:p>
        </w:tc>
        <w:tc>
          <w:tcPr>
            <w:tcW w:w="970" w:type="dxa"/>
            <w:vAlign w:val="center"/>
          </w:tcPr>
          <w:p>
            <w:pPr>
              <w:pStyle w:val="64"/>
              <w:widowControl w:val="0"/>
              <w:rPr>
                <w:rFonts w:hAnsi="宋体"/>
                <w:highlight w:val="none"/>
                <w:lang w:eastAsia="en-US"/>
              </w:rPr>
            </w:pPr>
            <w:r>
              <w:rPr>
                <w:rFonts w:hAnsi="宋体"/>
                <w:highlight w:val="none"/>
                <w:lang w:eastAsia="en-US"/>
              </w:rPr>
              <w:t>跑</w:t>
            </w:r>
            <w:r>
              <w:rPr>
                <w:rFonts w:hAnsi="宋体"/>
                <w:spacing w:val="2"/>
                <w:highlight w:val="none"/>
                <w:lang w:eastAsia="en-US"/>
              </w:rPr>
              <w:t>、</w:t>
            </w:r>
            <w:r>
              <w:rPr>
                <w:rFonts w:hAnsi="宋体"/>
                <w:highlight w:val="none"/>
                <w:lang w:eastAsia="en-US"/>
              </w:rPr>
              <w:t>冒</w:t>
            </w:r>
            <w:r>
              <w:rPr>
                <w:rFonts w:hAnsi="宋体"/>
                <w:spacing w:val="2"/>
                <w:highlight w:val="none"/>
                <w:lang w:eastAsia="en-US"/>
              </w:rPr>
              <w:t>、</w:t>
            </w:r>
            <w:r>
              <w:rPr>
                <w:rFonts w:hAnsi="宋体"/>
                <w:highlight w:val="none"/>
                <w:lang w:eastAsia="en-US"/>
              </w:rPr>
              <w:t>滴</w:t>
            </w:r>
            <w:r>
              <w:rPr>
                <w:rFonts w:hAnsi="宋体"/>
                <w:spacing w:val="2"/>
                <w:highlight w:val="none"/>
                <w:lang w:eastAsia="en-US"/>
              </w:rPr>
              <w:t>、</w:t>
            </w:r>
            <w:r>
              <w:rPr>
                <w:rFonts w:hAnsi="宋体"/>
                <w:highlight w:val="none"/>
                <w:lang w:eastAsia="en-US"/>
              </w:rPr>
              <w:t>漏水</w:t>
            </w:r>
          </w:p>
        </w:tc>
        <w:tc>
          <w:tcPr>
            <w:tcW w:w="2718" w:type="dxa"/>
            <w:vAlign w:val="center"/>
          </w:tcPr>
          <w:p>
            <w:pPr>
              <w:pStyle w:val="64"/>
              <w:widowControl w:val="0"/>
              <w:rPr>
                <w:rFonts w:hAnsi="宋体"/>
                <w:highlight w:val="none"/>
                <w:lang w:eastAsia="en-US"/>
              </w:rPr>
            </w:pPr>
            <w:r>
              <w:rPr>
                <w:rFonts w:hint="eastAsia" w:hAnsi="宋体"/>
                <w:highlight w:val="none"/>
                <w:lang w:eastAsia="en-US"/>
              </w:rPr>
              <w:t>/</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zh-CN"/>
              </w:rPr>
            </w:pPr>
            <w:r>
              <w:rPr>
                <w:rFonts w:hAnsi="宋体"/>
                <w:highlight w:val="none"/>
                <w:lang w:eastAsia="zh-CN"/>
              </w:rPr>
              <w:t>设</w:t>
            </w:r>
            <w:r>
              <w:rPr>
                <w:rFonts w:hAnsi="宋体" w:cs="hakuyoxingshu7000"/>
                <w:highlight w:val="none"/>
                <w:lang w:eastAsia="zh-CN"/>
              </w:rPr>
              <w:t>1</w:t>
            </w:r>
            <w:r>
              <w:rPr>
                <w:rFonts w:hAnsi="宋体"/>
                <w:highlight w:val="none"/>
                <w:lang w:eastAsia="zh-CN"/>
              </w:rPr>
              <w:t>个</w:t>
            </w:r>
            <w:r>
              <w:rPr>
                <w:rFonts w:hint="eastAsia" w:hAnsi="宋体" w:cs="hakuyoxingshu7000"/>
                <w:spacing w:val="1"/>
                <w:highlight w:val="none"/>
                <w:lang w:eastAsia="zh-CN"/>
              </w:rPr>
              <w:t>6</w:t>
            </w:r>
            <w:r>
              <w:rPr>
                <w:rFonts w:hAnsi="宋体" w:cs="hakuyoxingshu7000"/>
                <w:spacing w:val="1"/>
                <w:highlight w:val="none"/>
                <w:lang w:eastAsia="zh-CN"/>
              </w:rPr>
              <w:t>0</w:t>
            </w:r>
            <w:r>
              <w:rPr>
                <w:rFonts w:hAnsi="宋体" w:cs="hakuyoxingshu7000"/>
                <w:spacing w:val="-2"/>
                <w:highlight w:val="none"/>
                <w:lang w:eastAsia="zh-CN"/>
              </w:rPr>
              <w:t>m</w:t>
            </w:r>
            <w:r>
              <w:rPr>
                <w:rFonts w:hAnsi="宋体" w:cs="hakuyoxingshu7000"/>
                <w:position w:val="7"/>
                <w:sz w:val="13"/>
                <w:szCs w:val="13"/>
                <w:highlight w:val="none"/>
                <w:lang w:eastAsia="zh-CN"/>
              </w:rPr>
              <w:t>3</w:t>
            </w:r>
            <w:r>
              <w:rPr>
                <w:rFonts w:hAnsi="宋体"/>
                <w:highlight w:val="none"/>
                <w:lang w:eastAsia="zh-CN"/>
              </w:rPr>
              <w:t>的</w:t>
            </w:r>
            <w:r>
              <w:rPr>
                <w:rFonts w:hAnsi="宋体"/>
                <w:spacing w:val="2"/>
                <w:highlight w:val="none"/>
                <w:lang w:eastAsia="zh-CN"/>
              </w:rPr>
              <w:t>集</w:t>
            </w:r>
            <w:r>
              <w:rPr>
                <w:rFonts w:hAnsi="宋体"/>
                <w:highlight w:val="none"/>
                <w:lang w:eastAsia="zh-CN"/>
              </w:rPr>
              <w:t>中</w:t>
            </w:r>
            <w:r>
              <w:rPr>
                <w:rFonts w:hAnsi="宋体"/>
                <w:spacing w:val="2"/>
                <w:highlight w:val="none"/>
                <w:lang w:eastAsia="zh-CN"/>
              </w:rPr>
              <w:t>水</w:t>
            </w:r>
            <w:r>
              <w:rPr>
                <w:rFonts w:hAnsi="宋体"/>
                <w:highlight w:val="none"/>
                <w:lang w:eastAsia="zh-CN"/>
              </w:rPr>
              <w:t>池</w:t>
            </w:r>
            <w:r>
              <w:rPr>
                <w:rFonts w:hAnsi="宋体"/>
                <w:spacing w:val="-50"/>
                <w:highlight w:val="none"/>
                <w:lang w:eastAsia="zh-CN"/>
              </w:rPr>
              <w:t>，</w:t>
            </w:r>
            <w:r>
              <w:rPr>
                <w:rFonts w:hAnsi="宋体"/>
                <w:highlight w:val="none"/>
                <w:lang w:eastAsia="zh-CN"/>
              </w:rPr>
              <w:t>收</w:t>
            </w:r>
            <w:r>
              <w:rPr>
                <w:rFonts w:hAnsi="宋体"/>
                <w:spacing w:val="2"/>
                <w:highlight w:val="none"/>
                <w:lang w:eastAsia="zh-CN"/>
              </w:rPr>
              <w:t>集</w:t>
            </w:r>
            <w:r>
              <w:rPr>
                <w:rFonts w:hAnsi="宋体"/>
                <w:highlight w:val="none"/>
                <w:lang w:eastAsia="zh-CN"/>
              </w:rPr>
              <w:t>堆</w:t>
            </w:r>
            <w:r>
              <w:rPr>
                <w:rFonts w:hAnsi="宋体"/>
                <w:spacing w:val="2"/>
                <w:highlight w:val="none"/>
                <w:lang w:eastAsia="zh-CN"/>
              </w:rPr>
              <w:t>场</w:t>
            </w:r>
            <w:r>
              <w:rPr>
                <w:rFonts w:hAnsi="宋体"/>
                <w:spacing w:val="-50"/>
                <w:highlight w:val="none"/>
                <w:lang w:eastAsia="zh-CN"/>
              </w:rPr>
              <w:t>、</w:t>
            </w:r>
            <w:r>
              <w:rPr>
                <w:rFonts w:hAnsi="宋体"/>
                <w:highlight w:val="none"/>
                <w:lang w:eastAsia="zh-CN"/>
              </w:rPr>
              <w:t>生产系</w:t>
            </w:r>
            <w:r>
              <w:rPr>
                <w:rFonts w:hAnsi="宋体"/>
                <w:spacing w:val="2"/>
                <w:highlight w:val="none"/>
                <w:lang w:eastAsia="zh-CN"/>
              </w:rPr>
              <w:t>统</w:t>
            </w:r>
            <w:r>
              <w:rPr>
                <w:rFonts w:hAnsi="宋体"/>
                <w:highlight w:val="none"/>
                <w:lang w:eastAsia="zh-CN"/>
              </w:rPr>
              <w:t>跑</w:t>
            </w:r>
            <w:r>
              <w:rPr>
                <w:rFonts w:hAnsi="宋体"/>
                <w:spacing w:val="2"/>
                <w:highlight w:val="none"/>
                <w:lang w:eastAsia="zh-CN"/>
              </w:rPr>
              <w:t>、</w:t>
            </w:r>
            <w:r>
              <w:rPr>
                <w:rFonts w:hAnsi="宋体"/>
                <w:highlight w:val="none"/>
                <w:lang w:eastAsia="zh-CN"/>
              </w:rPr>
              <w:t>冒</w:t>
            </w:r>
            <w:r>
              <w:rPr>
                <w:rFonts w:hAnsi="宋体"/>
                <w:spacing w:val="2"/>
                <w:highlight w:val="none"/>
                <w:lang w:eastAsia="zh-CN"/>
              </w:rPr>
              <w:t>、</w:t>
            </w:r>
            <w:r>
              <w:rPr>
                <w:rFonts w:hAnsi="宋体"/>
                <w:highlight w:val="none"/>
                <w:lang w:eastAsia="zh-CN"/>
              </w:rPr>
              <w:t>滴</w:t>
            </w:r>
            <w:r>
              <w:rPr>
                <w:rFonts w:hAnsi="宋体"/>
                <w:spacing w:val="2"/>
                <w:highlight w:val="none"/>
                <w:lang w:eastAsia="zh-CN"/>
              </w:rPr>
              <w:t>、</w:t>
            </w:r>
            <w:r>
              <w:rPr>
                <w:rFonts w:hAnsi="宋体"/>
                <w:highlight w:val="none"/>
                <w:lang w:eastAsia="zh-CN"/>
              </w:rPr>
              <w:t>漏水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restart"/>
            <w:vAlign w:val="center"/>
          </w:tcPr>
          <w:p>
            <w:pPr>
              <w:pStyle w:val="64"/>
              <w:widowControl w:val="0"/>
              <w:rPr>
                <w:rFonts w:hAnsi="宋体"/>
                <w:highlight w:val="none"/>
                <w:lang w:eastAsia="en-US"/>
              </w:rPr>
            </w:pPr>
            <w:r>
              <w:rPr>
                <w:rFonts w:hAnsi="宋体"/>
                <w:highlight w:val="none"/>
                <w:lang w:eastAsia="en-US"/>
              </w:rPr>
              <w:t>固体废物</w:t>
            </w:r>
          </w:p>
        </w:tc>
        <w:tc>
          <w:tcPr>
            <w:tcW w:w="970" w:type="dxa"/>
            <w:vAlign w:val="center"/>
          </w:tcPr>
          <w:p>
            <w:pPr>
              <w:pStyle w:val="64"/>
              <w:widowControl w:val="0"/>
              <w:rPr>
                <w:rFonts w:hAnsi="宋体"/>
                <w:highlight w:val="none"/>
                <w:lang w:eastAsia="en-US"/>
              </w:rPr>
            </w:pPr>
            <w:r>
              <w:rPr>
                <w:rFonts w:hAnsi="宋体"/>
                <w:spacing w:val="9"/>
                <w:highlight w:val="none"/>
                <w:lang w:eastAsia="en-US"/>
              </w:rPr>
              <w:t>生活</w:t>
            </w:r>
            <w:r>
              <w:rPr>
                <w:rFonts w:hAnsi="宋体"/>
                <w:spacing w:val="7"/>
                <w:highlight w:val="none"/>
                <w:lang w:eastAsia="en-US"/>
              </w:rPr>
              <w:t>垃</w:t>
            </w:r>
            <w:r>
              <w:rPr>
                <w:rFonts w:hAnsi="宋体"/>
                <w:highlight w:val="none"/>
                <w:lang w:eastAsia="en-US"/>
              </w:rPr>
              <w:t>圾</w:t>
            </w:r>
          </w:p>
        </w:tc>
        <w:tc>
          <w:tcPr>
            <w:tcW w:w="2718" w:type="dxa"/>
            <w:vAlign w:val="center"/>
          </w:tcPr>
          <w:p>
            <w:pPr>
              <w:pStyle w:val="64"/>
              <w:widowControl w:val="0"/>
              <w:rPr>
                <w:rFonts w:hAnsi="宋体"/>
                <w:highlight w:val="none"/>
                <w:lang w:eastAsia="zh-CN"/>
              </w:rPr>
            </w:pPr>
            <w:r>
              <w:rPr>
                <w:rFonts w:hAnsi="宋体"/>
                <w:spacing w:val="9"/>
                <w:highlight w:val="none"/>
                <w:lang w:eastAsia="zh-CN"/>
              </w:rPr>
              <w:t>集中</w:t>
            </w:r>
            <w:r>
              <w:rPr>
                <w:rFonts w:hAnsi="宋体"/>
                <w:spacing w:val="7"/>
                <w:highlight w:val="none"/>
                <w:lang w:eastAsia="zh-CN"/>
              </w:rPr>
              <w:t>收</w:t>
            </w:r>
            <w:r>
              <w:rPr>
                <w:rFonts w:hAnsi="宋体"/>
                <w:spacing w:val="9"/>
                <w:highlight w:val="none"/>
                <w:lang w:eastAsia="zh-CN"/>
              </w:rPr>
              <w:t>集</w:t>
            </w:r>
            <w:r>
              <w:rPr>
                <w:rFonts w:hAnsi="宋体"/>
                <w:spacing w:val="11"/>
                <w:highlight w:val="none"/>
                <w:lang w:eastAsia="zh-CN"/>
              </w:rPr>
              <w:t>后</w:t>
            </w:r>
            <w:r>
              <w:rPr>
                <w:rFonts w:hAnsi="宋体"/>
                <w:spacing w:val="7"/>
                <w:highlight w:val="none"/>
                <w:lang w:eastAsia="zh-CN"/>
              </w:rPr>
              <w:t>由</w:t>
            </w:r>
            <w:r>
              <w:rPr>
                <w:rFonts w:hAnsi="宋体"/>
                <w:spacing w:val="9"/>
                <w:highlight w:val="none"/>
                <w:lang w:eastAsia="zh-CN"/>
              </w:rPr>
              <w:t>环卫</w:t>
            </w:r>
            <w:r>
              <w:rPr>
                <w:rFonts w:hAnsi="宋体"/>
                <w:spacing w:val="7"/>
                <w:highlight w:val="none"/>
                <w:lang w:eastAsia="zh-CN"/>
              </w:rPr>
              <w:t>部</w:t>
            </w:r>
            <w:r>
              <w:rPr>
                <w:rFonts w:hAnsi="宋体"/>
                <w:spacing w:val="11"/>
                <w:highlight w:val="none"/>
                <w:lang w:eastAsia="zh-CN"/>
              </w:rPr>
              <w:t>门</w:t>
            </w:r>
            <w:r>
              <w:rPr>
                <w:rFonts w:hAnsi="宋体"/>
                <w:spacing w:val="9"/>
                <w:highlight w:val="none"/>
                <w:lang w:eastAsia="zh-CN"/>
              </w:rPr>
              <w:t>定期</w:t>
            </w:r>
            <w:r>
              <w:rPr>
                <w:rFonts w:hAnsi="宋体"/>
                <w:spacing w:val="7"/>
                <w:highlight w:val="none"/>
                <w:lang w:eastAsia="zh-CN"/>
              </w:rPr>
              <w:t>清</w:t>
            </w:r>
            <w:r>
              <w:rPr>
                <w:rFonts w:hAnsi="宋体"/>
                <w:highlight w:val="none"/>
                <w:lang w:eastAsia="zh-CN"/>
              </w:rPr>
              <w:t>运</w:t>
            </w:r>
          </w:p>
        </w:tc>
        <w:tc>
          <w:tcPr>
            <w:tcW w:w="1134" w:type="dxa"/>
            <w:vAlign w:val="center"/>
          </w:tcPr>
          <w:p>
            <w:pPr>
              <w:pStyle w:val="64"/>
              <w:widowControl w:val="0"/>
              <w:rPr>
                <w:rFonts w:hAnsi="宋体"/>
                <w:highlight w:val="none"/>
                <w:lang w:eastAsia="en-US"/>
              </w:rPr>
            </w:pPr>
            <w:r>
              <w:rPr>
                <w:rFonts w:hAnsi="宋体"/>
                <w:highlight w:val="none"/>
                <w:lang w:eastAsia="en-US"/>
              </w:rPr>
              <w:t>可行</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582" w:type="dxa"/>
            <w:vMerge w:val="continue"/>
            <w:vAlign w:val="center"/>
          </w:tcPr>
          <w:p>
            <w:pPr>
              <w:pStyle w:val="64"/>
              <w:widowControl w:val="0"/>
              <w:rPr>
                <w:rFonts w:hAnsi="宋体"/>
                <w:highlight w:val="none"/>
                <w:lang w:eastAsia="en-US"/>
              </w:rPr>
            </w:pPr>
          </w:p>
        </w:tc>
        <w:tc>
          <w:tcPr>
            <w:tcW w:w="970" w:type="dxa"/>
            <w:vAlign w:val="center"/>
          </w:tcPr>
          <w:p>
            <w:pPr>
              <w:pStyle w:val="64"/>
              <w:widowControl w:val="0"/>
              <w:rPr>
                <w:rFonts w:hAnsi="宋体"/>
                <w:highlight w:val="none"/>
                <w:lang w:eastAsia="en-US"/>
              </w:rPr>
            </w:pPr>
            <w:r>
              <w:rPr>
                <w:rFonts w:hAnsi="宋体"/>
                <w:spacing w:val="9"/>
                <w:highlight w:val="none"/>
                <w:lang w:eastAsia="en-US"/>
              </w:rPr>
              <w:t>干排</w:t>
            </w:r>
            <w:r>
              <w:rPr>
                <w:rFonts w:hAnsi="宋体"/>
                <w:spacing w:val="7"/>
                <w:highlight w:val="none"/>
                <w:lang w:eastAsia="en-US"/>
              </w:rPr>
              <w:t>尾</w:t>
            </w:r>
            <w:r>
              <w:rPr>
                <w:rFonts w:hAnsi="宋体"/>
                <w:highlight w:val="none"/>
                <w:lang w:eastAsia="en-US"/>
              </w:rPr>
              <w:t>矿</w:t>
            </w:r>
          </w:p>
        </w:tc>
        <w:tc>
          <w:tcPr>
            <w:tcW w:w="2718" w:type="dxa"/>
            <w:vAlign w:val="center"/>
          </w:tcPr>
          <w:p>
            <w:pPr>
              <w:pStyle w:val="64"/>
              <w:widowControl w:val="0"/>
              <w:rPr>
                <w:rFonts w:hAnsi="宋体"/>
                <w:highlight w:val="none"/>
                <w:lang w:eastAsia="zh-CN"/>
              </w:rPr>
            </w:pPr>
            <w:r>
              <w:rPr>
                <w:rFonts w:hint="eastAsia" w:hAnsi="宋体"/>
                <w:spacing w:val="9"/>
                <w:highlight w:val="none"/>
                <w:lang w:eastAsia="zh-CN"/>
              </w:rPr>
              <w:t>废石</w:t>
            </w:r>
            <w:r>
              <w:rPr>
                <w:rFonts w:hAnsi="宋体"/>
                <w:spacing w:val="7"/>
                <w:highlight w:val="none"/>
                <w:lang w:eastAsia="zh-CN"/>
              </w:rPr>
              <w:t>、</w:t>
            </w:r>
            <w:r>
              <w:rPr>
                <w:rFonts w:hAnsi="宋体"/>
                <w:spacing w:val="9"/>
                <w:highlight w:val="none"/>
                <w:lang w:eastAsia="zh-CN"/>
              </w:rPr>
              <w:t>粗砂优先</w:t>
            </w:r>
            <w:r>
              <w:rPr>
                <w:rFonts w:hAnsi="宋体"/>
                <w:spacing w:val="7"/>
                <w:highlight w:val="none"/>
                <w:lang w:eastAsia="zh-CN"/>
              </w:rPr>
              <w:t>综</w:t>
            </w:r>
            <w:r>
              <w:rPr>
                <w:rFonts w:hAnsi="宋体"/>
                <w:spacing w:val="9"/>
                <w:highlight w:val="none"/>
                <w:lang w:eastAsia="zh-CN"/>
              </w:rPr>
              <w:t>合利用，销路</w:t>
            </w:r>
            <w:r>
              <w:rPr>
                <w:rFonts w:hAnsi="宋体"/>
                <w:spacing w:val="7"/>
                <w:highlight w:val="none"/>
                <w:lang w:eastAsia="zh-CN"/>
              </w:rPr>
              <w:t>不</w:t>
            </w:r>
            <w:r>
              <w:rPr>
                <w:rFonts w:hAnsi="宋体"/>
                <w:spacing w:val="9"/>
                <w:highlight w:val="none"/>
                <w:lang w:eastAsia="zh-CN"/>
              </w:rPr>
              <w:t>畅</w:t>
            </w:r>
            <w:r>
              <w:rPr>
                <w:rFonts w:hAnsi="宋体"/>
                <w:highlight w:val="none"/>
                <w:lang w:eastAsia="zh-CN"/>
              </w:rPr>
              <w:t>时</w:t>
            </w:r>
            <w:r>
              <w:rPr>
                <w:rFonts w:hAnsi="宋体"/>
                <w:spacing w:val="8"/>
                <w:w w:val="95"/>
                <w:highlight w:val="none"/>
                <w:lang w:eastAsia="zh-CN"/>
              </w:rPr>
              <w:t>送选厂</w:t>
            </w:r>
            <w:r>
              <w:rPr>
                <w:rFonts w:hint="eastAsia" w:hAnsi="宋体"/>
                <w:spacing w:val="8"/>
                <w:w w:val="95"/>
                <w:highlight w:val="none"/>
                <w:lang w:eastAsia="zh-CN"/>
              </w:rPr>
              <w:t>东</w:t>
            </w:r>
            <w:r>
              <w:rPr>
                <w:rFonts w:hAnsi="宋体"/>
                <w:spacing w:val="6"/>
                <w:w w:val="95"/>
                <w:highlight w:val="none"/>
                <w:lang w:eastAsia="zh-CN"/>
              </w:rPr>
              <w:t>侧</w:t>
            </w:r>
            <w:r>
              <w:rPr>
                <w:rFonts w:hAnsi="宋体"/>
                <w:spacing w:val="8"/>
                <w:w w:val="95"/>
                <w:highlight w:val="none"/>
                <w:lang w:eastAsia="zh-CN"/>
              </w:rPr>
              <w:t>尾矿库堆</w:t>
            </w:r>
            <w:r>
              <w:rPr>
                <w:rFonts w:hAnsi="宋体"/>
                <w:spacing w:val="6"/>
                <w:w w:val="95"/>
                <w:highlight w:val="none"/>
                <w:lang w:eastAsia="zh-CN"/>
              </w:rPr>
              <w:t>存</w:t>
            </w:r>
          </w:p>
        </w:tc>
        <w:tc>
          <w:tcPr>
            <w:tcW w:w="1134" w:type="dxa"/>
            <w:vAlign w:val="center"/>
          </w:tcPr>
          <w:p>
            <w:pPr>
              <w:pStyle w:val="64"/>
              <w:widowControl w:val="0"/>
              <w:rPr>
                <w:rFonts w:hAnsi="宋体"/>
                <w:highlight w:val="none"/>
                <w:lang w:eastAsia="en-US"/>
              </w:rPr>
            </w:pPr>
            <w:r>
              <w:rPr>
                <w:rFonts w:hAnsi="宋体"/>
                <w:highlight w:val="none"/>
                <w:lang w:eastAsia="en-US"/>
              </w:rPr>
              <w:t>可行</w:t>
            </w:r>
            <w:r>
              <w:rPr>
                <w:rFonts w:hint="eastAsia" w:hAnsi="宋体"/>
                <w:highlight w:val="none"/>
                <w:lang w:eastAsia="en-US"/>
              </w:rPr>
              <w:t>，完善合法性</w:t>
            </w:r>
          </w:p>
        </w:tc>
        <w:tc>
          <w:tcPr>
            <w:tcW w:w="2825" w:type="dxa"/>
            <w:gridSpan w:val="3"/>
            <w:vAlign w:val="center"/>
          </w:tcPr>
          <w:p>
            <w:pPr>
              <w:pStyle w:val="64"/>
              <w:widowControl w:val="0"/>
              <w:rPr>
                <w:rFonts w:hAnsi="宋体"/>
                <w:sz w:val="26"/>
                <w:szCs w:val="26"/>
                <w:highlight w:val="none"/>
                <w:lang w:eastAsia="zh-CN"/>
              </w:rPr>
            </w:pPr>
            <w:r>
              <w:rPr>
                <w:rFonts w:hint="eastAsia" w:hAnsi="宋体"/>
                <w:highlight w:val="none"/>
                <w:lang w:eastAsia="zh-CN"/>
              </w:rPr>
              <w:t>补充综合利用途径相关企业的合法手续，开拓多种综合利用渠道，保证尾矿</w:t>
            </w:r>
            <w:r>
              <w:rPr>
                <w:rFonts w:hAnsi="宋体"/>
                <w:spacing w:val="9"/>
                <w:highlight w:val="none"/>
                <w:lang w:eastAsia="zh-CN"/>
              </w:rPr>
              <w:t>销路畅</w:t>
            </w:r>
            <w:r>
              <w:rPr>
                <w:rFonts w:hint="eastAsia" w:hAnsi="宋体"/>
                <w:spacing w:val="9"/>
                <w:highlight w:val="none"/>
                <w:lang w:eastAsia="zh-CN"/>
              </w:rPr>
              <w:t>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spacing w:val="9"/>
                <w:highlight w:val="none"/>
                <w:lang w:eastAsia="en-US"/>
              </w:rPr>
            </w:pPr>
            <w:r>
              <w:rPr>
                <w:rFonts w:hint="eastAsia" w:hAnsi="宋体"/>
                <w:spacing w:val="9"/>
                <w:highlight w:val="none"/>
                <w:lang w:eastAsia="en-US"/>
              </w:rPr>
              <w:t>尾砂</w:t>
            </w:r>
          </w:p>
        </w:tc>
        <w:tc>
          <w:tcPr>
            <w:tcW w:w="2718" w:type="dxa"/>
            <w:vAlign w:val="center"/>
          </w:tcPr>
          <w:p>
            <w:pPr>
              <w:pStyle w:val="64"/>
              <w:widowControl w:val="0"/>
              <w:rPr>
                <w:rFonts w:hAnsi="宋体"/>
                <w:spacing w:val="9"/>
                <w:highlight w:val="none"/>
                <w:lang w:eastAsia="en-US"/>
              </w:rPr>
            </w:pPr>
            <w:r>
              <w:rPr>
                <w:rFonts w:hint="eastAsia" w:hAnsi="宋体"/>
                <w:spacing w:val="9"/>
                <w:highlight w:val="none"/>
                <w:lang w:eastAsia="en-US"/>
              </w:rPr>
              <w:t>尾砂</w:t>
            </w:r>
            <w:r>
              <w:rPr>
                <w:rFonts w:hAnsi="宋体"/>
                <w:spacing w:val="6"/>
                <w:w w:val="95"/>
                <w:highlight w:val="none"/>
                <w:lang w:eastAsia="en-US"/>
              </w:rPr>
              <w:t>运</w:t>
            </w:r>
            <w:r>
              <w:rPr>
                <w:rFonts w:hAnsi="宋体"/>
                <w:spacing w:val="10"/>
                <w:w w:val="95"/>
                <w:highlight w:val="none"/>
                <w:lang w:eastAsia="en-US"/>
              </w:rPr>
              <w:t>至</w:t>
            </w:r>
            <w:r>
              <w:rPr>
                <w:rFonts w:hAnsi="宋体"/>
                <w:w w:val="95"/>
                <w:highlight w:val="none"/>
                <w:lang w:eastAsia="en-US"/>
              </w:rPr>
              <w:t>尾矿库</w:t>
            </w:r>
            <w:r>
              <w:rPr>
                <w:rFonts w:hAnsi="宋体"/>
                <w:spacing w:val="7"/>
                <w:highlight w:val="none"/>
                <w:lang w:eastAsia="en-US"/>
              </w:rPr>
              <w:t>堆</w:t>
            </w:r>
            <w:r>
              <w:rPr>
                <w:rFonts w:hAnsi="宋体"/>
                <w:highlight w:val="none"/>
                <w:lang w:eastAsia="en-US"/>
              </w:rPr>
              <w:t>存</w:t>
            </w:r>
          </w:p>
        </w:tc>
        <w:tc>
          <w:tcPr>
            <w:tcW w:w="1134" w:type="dxa"/>
            <w:vAlign w:val="center"/>
          </w:tcPr>
          <w:p>
            <w:pPr>
              <w:pStyle w:val="64"/>
              <w:widowControl w:val="0"/>
              <w:rPr>
                <w:rFonts w:hAnsi="宋体"/>
                <w:highlight w:val="none"/>
                <w:lang w:eastAsia="en-US"/>
              </w:rPr>
            </w:pPr>
            <w:r>
              <w:rPr>
                <w:rFonts w:hAnsi="宋体"/>
                <w:highlight w:val="none"/>
                <w:lang w:eastAsia="en-US"/>
              </w:rPr>
              <w:t>可行</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582" w:type="dxa"/>
            <w:vMerge w:val="continue"/>
            <w:vAlign w:val="center"/>
          </w:tcPr>
          <w:p>
            <w:pPr>
              <w:pStyle w:val="64"/>
              <w:widowControl w:val="0"/>
              <w:rPr>
                <w:rFonts w:hAnsi="宋体"/>
                <w:highlight w:val="none"/>
                <w:lang w:eastAsia="en-US"/>
              </w:rPr>
            </w:pPr>
          </w:p>
        </w:tc>
        <w:tc>
          <w:tcPr>
            <w:tcW w:w="970" w:type="dxa"/>
            <w:vAlign w:val="center"/>
          </w:tcPr>
          <w:p>
            <w:pPr>
              <w:pStyle w:val="64"/>
              <w:widowControl w:val="0"/>
              <w:rPr>
                <w:rFonts w:hAnsi="宋体"/>
                <w:spacing w:val="9"/>
                <w:highlight w:val="none"/>
                <w:lang w:eastAsia="en-US"/>
              </w:rPr>
            </w:pPr>
            <w:r>
              <w:rPr>
                <w:rFonts w:hint="eastAsia" w:hAnsi="宋体"/>
                <w:spacing w:val="9"/>
                <w:highlight w:val="none"/>
                <w:lang w:eastAsia="en-US"/>
              </w:rPr>
              <w:t>除尘灰</w:t>
            </w:r>
          </w:p>
        </w:tc>
        <w:tc>
          <w:tcPr>
            <w:tcW w:w="2718" w:type="dxa"/>
            <w:vAlign w:val="center"/>
          </w:tcPr>
          <w:p>
            <w:pPr>
              <w:pStyle w:val="64"/>
              <w:widowControl w:val="0"/>
              <w:rPr>
                <w:rFonts w:hAnsi="宋体"/>
                <w:spacing w:val="9"/>
                <w:highlight w:val="none"/>
                <w:lang w:eastAsia="en-US"/>
              </w:rPr>
            </w:pPr>
            <w:r>
              <w:rPr>
                <w:rFonts w:hint="eastAsia" w:hAnsi="宋体"/>
                <w:spacing w:val="9"/>
                <w:highlight w:val="none"/>
                <w:lang w:eastAsia="en-US"/>
              </w:rPr>
              <w:t>/</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当作原料回用于生产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60" w:type="dxa"/>
            <w:vMerge w:val="continue"/>
            <w:vAlign w:val="center"/>
          </w:tcPr>
          <w:p>
            <w:pPr>
              <w:pStyle w:val="64"/>
              <w:widowControl w:val="0"/>
              <w:rPr>
                <w:rFonts w:hAnsi="宋体"/>
                <w:sz w:val="22"/>
                <w:szCs w:val="22"/>
                <w:highlight w:val="none"/>
                <w:lang w:eastAsia="en-US"/>
              </w:rPr>
            </w:pPr>
          </w:p>
        </w:tc>
        <w:tc>
          <w:tcPr>
            <w:tcW w:w="582" w:type="dxa"/>
            <w:vMerge w:val="continue"/>
            <w:vAlign w:val="center"/>
          </w:tcPr>
          <w:p>
            <w:pPr>
              <w:pStyle w:val="64"/>
              <w:widowControl w:val="0"/>
              <w:rPr>
                <w:rFonts w:hAnsi="宋体"/>
                <w:highlight w:val="none"/>
                <w:lang w:eastAsia="en-US"/>
              </w:rPr>
            </w:pPr>
          </w:p>
        </w:tc>
        <w:tc>
          <w:tcPr>
            <w:tcW w:w="970" w:type="dxa"/>
            <w:vAlign w:val="center"/>
          </w:tcPr>
          <w:p>
            <w:pPr>
              <w:pStyle w:val="64"/>
              <w:widowControl w:val="0"/>
              <w:rPr>
                <w:rFonts w:hAnsi="宋体"/>
                <w:highlight w:val="none"/>
                <w:lang w:eastAsia="en-US"/>
              </w:rPr>
            </w:pPr>
            <w:r>
              <w:rPr>
                <w:rFonts w:hint="eastAsia" w:hAnsi="宋体"/>
                <w:spacing w:val="9"/>
                <w:highlight w:val="none"/>
                <w:lang w:eastAsia="en-US"/>
              </w:rPr>
              <w:t>废机油</w:t>
            </w:r>
          </w:p>
        </w:tc>
        <w:tc>
          <w:tcPr>
            <w:tcW w:w="2718" w:type="dxa"/>
            <w:vMerge w:val="restart"/>
            <w:vAlign w:val="center"/>
          </w:tcPr>
          <w:p>
            <w:pPr>
              <w:pStyle w:val="64"/>
              <w:widowControl w:val="0"/>
              <w:rPr>
                <w:rFonts w:hAnsi="宋体"/>
                <w:highlight w:val="none"/>
                <w:lang w:eastAsia="en-US"/>
              </w:rPr>
            </w:pPr>
            <w:r>
              <w:rPr>
                <w:rFonts w:hint="eastAsia" w:hAnsi="宋体"/>
                <w:highlight w:val="none"/>
                <w:lang w:eastAsia="en-US"/>
              </w:rPr>
              <w:t>在生产车间内堆存</w:t>
            </w:r>
          </w:p>
        </w:tc>
        <w:tc>
          <w:tcPr>
            <w:tcW w:w="1134" w:type="dxa"/>
            <w:vMerge w:val="restart"/>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Merge w:val="restart"/>
            <w:vAlign w:val="center"/>
          </w:tcPr>
          <w:p>
            <w:pPr>
              <w:pStyle w:val="64"/>
              <w:widowControl w:val="0"/>
              <w:rPr>
                <w:rFonts w:hAnsi="宋体"/>
                <w:highlight w:val="none"/>
                <w:lang w:eastAsia="zh-CN"/>
              </w:rPr>
            </w:pPr>
            <w:r>
              <w:rPr>
                <w:rFonts w:hAnsi="宋体"/>
                <w:highlight w:val="none"/>
                <w:lang w:eastAsia="zh-CN"/>
              </w:rPr>
              <w:t>设置1座10</w:t>
            </w:r>
            <w:r>
              <w:rPr>
                <w:rFonts w:hAnsi="宋体"/>
                <w:spacing w:val="4"/>
                <w:highlight w:val="none"/>
                <w:lang w:eastAsia="zh-CN"/>
              </w:rPr>
              <w:t>m</w:t>
            </w:r>
            <w:r>
              <w:rPr>
                <w:rFonts w:hAnsi="宋体"/>
                <w:highlight w:val="none"/>
                <w:vertAlign w:val="superscript"/>
                <w:lang w:eastAsia="zh-CN"/>
              </w:rPr>
              <w:t>2</w:t>
            </w:r>
            <w:r>
              <w:rPr>
                <w:rFonts w:hAnsi="宋体"/>
                <w:highlight w:val="none"/>
                <w:lang w:eastAsia="zh-CN"/>
              </w:rPr>
              <w:t>的危废暂存间，集中收集暂存后，委托有资质单位进行处置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60" w:type="dxa"/>
            <w:vMerge w:val="continue"/>
            <w:vAlign w:val="center"/>
          </w:tcPr>
          <w:p>
            <w:pPr>
              <w:pStyle w:val="64"/>
              <w:widowControl w:val="0"/>
              <w:rPr>
                <w:rFonts w:hAnsi="宋体"/>
                <w:sz w:val="22"/>
                <w:szCs w:val="22"/>
                <w:highlight w:val="none"/>
                <w:lang w:eastAsia="zh-CN"/>
              </w:rPr>
            </w:pPr>
          </w:p>
        </w:tc>
        <w:tc>
          <w:tcPr>
            <w:tcW w:w="582" w:type="dxa"/>
            <w:vMerge w:val="continue"/>
            <w:vAlign w:val="center"/>
          </w:tcPr>
          <w:p>
            <w:pPr>
              <w:pStyle w:val="64"/>
              <w:widowControl w:val="0"/>
              <w:rPr>
                <w:rFonts w:hAnsi="宋体"/>
                <w:highlight w:val="none"/>
                <w:lang w:eastAsia="zh-CN"/>
              </w:rPr>
            </w:pPr>
          </w:p>
        </w:tc>
        <w:tc>
          <w:tcPr>
            <w:tcW w:w="970" w:type="dxa"/>
            <w:vAlign w:val="center"/>
          </w:tcPr>
          <w:p>
            <w:pPr>
              <w:pStyle w:val="64"/>
              <w:widowControl w:val="0"/>
              <w:rPr>
                <w:rFonts w:hAnsi="宋体"/>
                <w:spacing w:val="9"/>
                <w:highlight w:val="none"/>
                <w:lang w:eastAsia="en-US"/>
              </w:rPr>
            </w:pPr>
            <w:r>
              <w:rPr>
                <w:rFonts w:hint="eastAsia" w:hAnsi="宋体"/>
                <w:spacing w:val="9"/>
                <w:highlight w:val="none"/>
                <w:lang w:eastAsia="en-US"/>
              </w:rPr>
              <w:t>废手套、棉纱</w:t>
            </w:r>
          </w:p>
        </w:tc>
        <w:tc>
          <w:tcPr>
            <w:tcW w:w="2718" w:type="dxa"/>
            <w:vMerge w:val="continue"/>
            <w:vAlign w:val="center"/>
          </w:tcPr>
          <w:p>
            <w:pPr>
              <w:pStyle w:val="64"/>
              <w:widowControl w:val="0"/>
              <w:rPr>
                <w:rFonts w:hAnsi="宋体"/>
                <w:highlight w:val="none"/>
                <w:lang w:eastAsia="en-US"/>
              </w:rPr>
            </w:pPr>
          </w:p>
        </w:tc>
        <w:tc>
          <w:tcPr>
            <w:tcW w:w="1134" w:type="dxa"/>
            <w:vMerge w:val="continue"/>
            <w:vAlign w:val="center"/>
          </w:tcPr>
          <w:p>
            <w:pPr>
              <w:pStyle w:val="64"/>
              <w:widowControl w:val="0"/>
              <w:rPr>
                <w:rFonts w:hAnsi="宋体"/>
                <w:highlight w:val="none"/>
                <w:lang w:eastAsia="en-US"/>
              </w:rPr>
            </w:pPr>
          </w:p>
        </w:tc>
        <w:tc>
          <w:tcPr>
            <w:tcW w:w="2825" w:type="dxa"/>
            <w:gridSpan w:val="3"/>
            <w:vMerge w:val="continue"/>
            <w:vAlign w:val="center"/>
          </w:tcPr>
          <w:p>
            <w:pPr>
              <w:pStyle w:val="64"/>
              <w:widowControl w:val="0"/>
              <w:rPr>
                <w:rFonts w:hAnsi="宋体"/>
                <w:highlight w:val="none"/>
                <w:lang w:eastAsia="en-US"/>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582" w:type="dxa"/>
            <w:vAlign w:val="center"/>
          </w:tcPr>
          <w:p>
            <w:pPr>
              <w:pStyle w:val="64"/>
              <w:widowControl w:val="0"/>
              <w:rPr>
                <w:rFonts w:hAnsi="宋体"/>
                <w:highlight w:val="none"/>
                <w:lang w:eastAsia="en-US"/>
              </w:rPr>
            </w:pPr>
            <w:r>
              <w:rPr>
                <w:rFonts w:hAnsi="宋体"/>
                <w:highlight w:val="none"/>
                <w:lang w:eastAsia="en-US"/>
              </w:rPr>
              <w:t>噪声</w:t>
            </w:r>
          </w:p>
        </w:tc>
        <w:tc>
          <w:tcPr>
            <w:tcW w:w="970" w:type="dxa"/>
            <w:vAlign w:val="center"/>
          </w:tcPr>
          <w:p>
            <w:pPr>
              <w:pStyle w:val="64"/>
              <w:widowControl w:val="0"/>
              <w:rPr>
                <w:rFonts w:hAnsi="宋体"/>
                <w:highlight w:val="none"/>
                <w:lang w:eastAsia="en-US"/>
              </w:rPr>
            </w:pPr>
            <w:r>
              <w:rPr>
                <w:rFonts w:hAnsi="宋体"/>
                <w:highlight w:val="none"/>
                <w:lang w:eastAsia="en-US"/>
              </w:rPr>
              <w:t>设</w:t>
            </w:r>
            <w:r>
              <w:rPr>
                <w:rFonts w:hAnsi="宋体"/>
                <w:spacing w:val="2"/>
                <w:highlight w:val="none"/>
                <w:lang w:eastAsia="en-US"/>
              </w:rPr>
              <w:t>备</w:t>
            </w:r>
            <w:r>
              <w:rPr>
                <w:rFonts w:hAnsi="宋体"/>
                <w:highlight w:val="none"/>
                <w:lang w:eastAsia="en-US"/>
              </w:rPr>
              <w:t>噪声</w:t>
            </w:r>
          </w:p>
        </w:tc>
        <w:tc>
          <w:tcPr>
            <w:tcW w:w="2718" w:type="dxa"/>
            <w:vAlign w:val="center"/>
          </w:tcPr>
          <w:p>
            <w:pPr>
              <w:pStyle w:val="64"/>
              <w:widowControl w:val="0"/>
              <w:rPr>
                <w:rFonts w:hAnsi="宋体"/>
                <w:highlight w:val="none"/>
                <w:lang w:eastAsia="zh-CN"/>
              </w:rPr>
            </w:pPr>
            <w:r>
              <w:rPr>
                <w:rFonts w:hAnsi="宋体"/>
                <w:highlight w:val="none"/>
                <w:lang w:eastAsia="zh-CN"/>
              </w:rPr>
              <w:t>选</w:t>
            </w:r>
            <w:r>
              <w:rPr>
                <w:rFonts w:hAnsi="宋体"/>
                <w:spacing w:val="2"/>
                <w:highlight w:val="none"/>
                <w:lang w:eastAsia="zh-CN"/>
              </w:rPr>
              <w:t>用</w:t>
            </w:r>
            <w:r>
              <w:rPr>
                <w:rFonts w:hAnsi="宋体"/>
                <w:highlight w:val="none"/>
                <w:lang w:eastAsia="zh-CN"/>
              </w:rPr>
              <w:t>低</w:t>
            </w:r>
            <w:r>
              <w:rPr>
                <w:rFonts w:hAnsi="宋体"/>
                <w:spacing w:val="2"/>
                <w:highlight w:val="none"/>
                <w:lang w:eastAsia="zh-CN"/>
              </w:rPr>
              <w:t>噪</w:t>
            </w:r>
            <w:r>
              <w:rPr>
                <w:rFonts w:hAnsi="宋体"/>
                <w:highlight w:val="none"/>
                <w:lang w:eastAsia="zh-CN"/>
              </w:rPr>
              <w:t>声</w:t>
            </w:r>
            <w:r>
              <w:rPr>
                <w:rFonts w:hAnsi="宋体"/>
                <w:spacing w:val="2"/>
                <w:highlight w:val="none"/>
                <w:lang w:eastAsia="zh-CN"/>
              </w:rPr>
              <w:t>设</w:t>
            </w:r>
            <w:r>
              <w:rPr>
                <w:rFonts w:hAnsi="宋体"/>
                <w:highlight w:val="none"/>
                <w:lang w:eastAsia="zh-CN"/>
              </w:rPr>
              <w:t>备</w:t>
            </w:r>
            <w:r>
              <w:rPr>
                <w:rFonts w:hAnsi="宋体"/>
                <w:spacing w:val="2"/>
                <w:highlight w:val="none"/>
                <w:lang w:eastAsia="zh-CN"/>
              </w:rPr>
              <w:t>，</w:t>
            </w:r>
            <w:r>
              <w:rPr>
                <w:rFonts w:hAnsi="宋体"/>
                <w:highlight w:val="none"/>
                <w:lang w:eastAsia="zh-CN"/>
              </w:rPr>
              <w:t>并</w:t>
            </w:r>
            <w:r>
              <w:rPr>
                <w:rFonts w:hAnsi="宋体"/>
                <w:spacing w:val="2"/>
                <w:highlight w:val="none"/>
                <w:lang w:eastAsia="zh-CN"/>
              </w:rPr>
              <w:t>采</w:t>
            </w:r>
            <w:r>
              <w:rPr>
                <w:rFonts w:hAnsi="宋体"/>
                <w:highlight w:val="none"/>
                <w:lang w:eastAsia="zh-CN"/>
              </w:rPr>
              <w:t>取</w:t>
            </w:r>
            <w:r>
              <w:rPr>
                <w:rFonts w:hAnsi="宋体"/>
                <w:spacing w:val="2"/>
                <w:highlight w:val="none"/>
                <w:lang w:eastAsia="zh-CN"/>
              </w:rPr>
              <w:t>消</w:t>
            </w:r>
            <w:r>
              <w:rPr>
                <w:rFonts w:hAnsi="宋体"/>
                <w:highlight w:val="none"/>
                <w:lang w:eastAsia="zh-CN"/>
              </w:rPr>
              <w:t>声</w:t>
            </w:r>
            <w:r>
              <w:rPr>
                <w:rFonts w:hAnsi="宋体"/>
                <w:spacing w:val="2"/>
                <w:highlight w:val="none"/>
                <w:lang w:eastAsia="zh-CN"/>
              </w:rPr>
              <w:t>、</w:t>
            </w:r>
            <w:r>
              <w:rPr>
                <w:rFonts w:hAnsi="宋体"/>
                <w:highlight w:val="none"/>
                <w:lang w:eastAsia="zh-CN"/>
              </w:rPr>
              <w:t>减</w:t>
            </w:r>
            <w:r>
              <w:rPr>
                <w:rFonts w:hAnsi="宋体"/>
                <w:spacing w:val="2"/>
                <w:highlight w:val="none"/>
                <w:lang w:eastAsia="zh-CN"/>
              </w:rPr>
              <w:t>振</w:t>
            </w:r>
            <w:r>
              <w:rPr>
                <w:rFonts w:hAnsi="宋体"/>
                <w:highlight w:val="none"/>
                <w:lang w:eastAsia="zh-CN"/>
              </w:rPr>
              <w:t>、密闭</w:t>
            </w:r>
            <w:r>
              <w:rPr>
                <w:rFonts w:hAnsi="宋体"/>
                <w:spacing w:val="2"/>
                <w:highlight w:val="none"/>
                <w:lang w:eastAsia="zh-CN"/>
              </w:rPr>
              <w:t>、</w:t>
            </w:r>
            <w:r>
              <w:rPr>
                <w:rFonts w:hAnsi="宋体"/>
                <w:highlight w:val="none"/>
                <w:lang w:eastAsia="zh-CN"/>
              </w:rPr>
              <w:t>隔</w:t>
            </w:r>
            <w:r>
              <w:rPr>
                <w:rFonts w:hAnsi="宋体"/>
                <w:spacing w:val="2"/>
                <w:highlight w:val="none"/>
                <w:lang w:eastAsia="zh-CN"/>
              </w:rPr>
              <w:t>声</w:t>
            </w:r>
            <w:r>
              <w:rPr>
                <w:rFonts w:hAnsi="宋体"/>
                <w:highlight w:val="none"/>
                <w:lang w:eastAsia="zh-CN"/>
              </w:rPr>
              <w:t>等</w:t>
            </w:r>
            <w:r>
              <w:rPr>
                <w:rFonts w:hAnsi="宋体"/>
                <w:spacing w:val="2"/>
                <w:highlight w:val="none"/>
                <w:lang w:eastAsia="zh-CN"/>
              </w:rPr>
              <w:t>降</w:t>
            </w:r>
            <w:r>
              <w:rPr>
                <w:rFonts w:hAnsi="宋体"/>
                <w:highlight w:val="none"/>
                <w:lang w:eastAsia="zh-CN"/>
              </w:rPr>
              <w:t>噪</w:t>
            </w:r>
            <w:r>
              <w:rPr>
                <w:rFonts w:hAnsi="宋体"/>
                <w:spacing w:val="2"/>
                <w:highlight w:val="none"/>
                <w:lang w:eastAsia="zh-CN"/>
              </w:rPr>
              <w:t>措</w:t>
            </w:r>
            <w:r>
              <w:rPr>
                <w:rFonts w:hAnsi="宋体"/>
                <w:highlight w:val="none"/>
                <w:lang w:eastAsia="zh-CN"/>
              </w:rPr>
              <w:t>施</w:t>
            </w:r>
          </w:p>
        </w:tc>
        <w:tc>
          <w:tcPr>
            <w:tcW w:w="1134" w:type="dxa"/>
            <w:vAlign w:val="center"/>
          </w:tcPr>
          <w:p>
            <w:pPr>
              <w:pStyle w:val="64"/>
              <w:widowControl w:val="0"/>
              <w:rPr>
                <w:rFonts w:hAnsi="宋体"/>
                <w:highlight w:val="none"/>
                <w:lang w:eastAsia="en-US"/>
              </w:rPr>
            </w:pPr>
            <w:r>
              <w:rPr>
                <w:rFonts w:hAnsi="宋体"/>
                <w:highlight w:val="none"/>
                <w:lang w:eastAsia="en-US"/>
              </w:rPr>
              <w:t>可行</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en-US"/>
              </w:rPr>
            </w:pPr>
          </w:p>
        </w:tc>
        <w:tc>
          <w:tcPr>
            <w:tcW w:w="582" w:type="dxa"/>
            <w:vAlign w:val="center"/>
          </w:tcPr>
          <w:p>
            <w:pPr>
              <w:pStyle w:val="64"/>
              <w:widowControl w:val="0"/>
              <w:rPr>
                <w:rFonts w:hAnsi="宋体"/>
                <w:highlight w:val="none"/>
                <w:lang w:eastAsia="en-US"/>
              </w:rPr>
            </w:pPr>
            <w:r>
              <w:rPr>
                <w:rFonts w:hAnsi="宋体"/>
                <w:highlight w:val="none"/>
                <w:lang w:eastAsia="en-US"/>
              </w:rPr>
              <w:t>其他</w:t>
            </w:r>
          </w:p>
        </w:tc>
        <w:tc>
          <w:tcPr>
            <w:tcW w:w="970" w:type="dxa"/>
            <w:vAlign w:val="center"/>
          </w:tcPr>
          <w:p>
            <w:pPr>
              <w:pStyle w:val="64"/>
              <w:widowControl w:val="0"/>
              <w:rPr>
                <w:rFonts w:hAnsi="宋体"/>
                <w:highlight w:val="none"/>
                <w:lang w:eastAsia="en-US"/>
              </w:rPr>
            </w:pPr>
            <w:r>
              <w:rPr>
                <w:rFonts w:hAnsi="宋体"/>
                <w:highlight w:val="none"/>
                <w:lang w:eastAsia="en-US"/>
              </w:rPr>
              <w:t>事</w:t>
            </w:r>
            <w:r>
              <w:rPr>
                <w:rFonts w:hAnsi="宋体"/>
                <w:spacing w:val="2"/>
                <w:highlight w:val="none"/>
                <w:lang w:eastAsia="en-US"/>
              </w:rPr>
              <w:t>故</w:t>
            </w:r>
            <w:r>
              <w:rPr>
                <w:rFonts w:hAnsi="宋体"/>
                <w:highlight w:val="none"/>
                <w:lang w:eastAsia="en-US"/>
              </w:rPr>
              <w:t>水池</w:t>
            </w:r>
          </w:p>
        </w:tc>
        <w:tc>
          <w:tcPr>
            <w:tcW w:w="2718" w:type="dxa"/>
            <w:vAlign w:val="center"/>
          </w:tcPr>
          <w:p>
            <w:pPr>
              <w:pStyle w:val="64"/>
              <w:widowControl w:val="0"/>
              <w:rPr>
                <w:rFonts w:hAnsi="宋体"/>
                <w:highlight w:val="none"/>
                <w:lang w:eastAsia="en-US"/>
              </w:rPr>
            </w:pPr>
            <w:r>
              <w:rPr>
                <w:rFonts w:hint="eastAsia" w:hAnsi="宋体"/>
                <w:highlight w:val="none"/>
                <w:lang w:eastAsia="en-US"/>
              </w:rPr>
              <w:t>/</w:t>
            </w:r>
          </w:p>
        </w:tc>
        <w:tc>
          <w:tcPr>
            <w:tcW w:w="1134" w:type="dxa"/>
            <w:vAlign w:val="center"/>
          </w:tcPr>
          <w:p>
            <w:pPr>
              <w:pStyle w:val="64"/>
              <w:widowControl w:val="0"/>
              <w:rPr>
                <w:rFonts w:hAnsi="宋体"/>
                <w:highlight w:val="none"/>
                <w:lang w:eastAsia="en-US"/>
              </w:rPr>
            </w:pPr>
            <w:r>
              <w:rPr>
                <w:rFonts w:hint="eastAsia" w:hAnsi="宋体"/>
                <w:highlight w:val="none"/>
                <w:lang w:eastAsia="en-US"/>
              </w:rPr>
              <w:t>不</w:t>
            </w:r>
            <w:r>
              <w:rPr>
                <w:rFonts w:hAnsi="宋体"/>
                <w:highlight w:val="none"/>
                <w:lang w:eastAsia="en-US"/>
              </w:rPr>
              <w:t>可行</w:t>
            </w:r>
          </w:p>
        </w:tc>
        <w:tc>
          <w:tcPr>
            <w:tcW w:w="2825" w:type="dxa"/>
            <w:gridSpan w:val="3"/>
            <w:vAlign w:val="center"/>
          </w:tcPr>
          <w:p>
            <w:pPr>
              <w:pStyle w:val="64"/>
              <w:widowControl w:val="0"/>
              <w:rPr>
                <w:rFonts w:hAnsi="宋体"/>
                <w:sz w:val="20"/>
                <w:szCs w:val="20"/>
                <w:highlight w:val="none"/>
                <w:lang w:eastAsia="zh-CN"/>
              </w:rPr>
            </w:pPr>
            <w:r>
              <w:rPr>
                <w:rFonts w:hAnsi="宋体"/>
                <w:highlight w:val="none"/>
                <w:lang w:eastAsia="zh-CN"/>
              </w:rPr>
              <w:t>浓</w:t>
            </w:r>
            <w:r>
              <w:rPr>
                <w:rFonts w:hAnsi="宋体"/>
                <w:spacing w:val="2"/>
                <w:highlight w:val="none"/>
                <w:lang w:eastAsia="zh-CN"/>
              </w:rPr>
              <w:t>缩</w:t>
            </w:r>
            <w:r>
              <w:rPr>
                <w:rFonts w:hAnsi="宋体"/>
                <w:highlight w:val="none"/>
                <w:lang w:eastAsia="zh-CN"/>
              </w:rPr>
              <w:t>池</w:t>
            </w:r>
            <w:r>
              <w:rPr>
                <w:rFonts w:hint="eastAsia" w:hAnsi="宋体"/>
                <w:spacing w:val="2"/>
                <w:highlight w:val="none"/>
                <w:lang w:eastAsia="zh-CN"/>
              </w:rPr>
              <w:t>下方</w:t>
            </w:r>
            <w:r>
              <w:rPr>
                <w:rFonts w:hAnsi="宋体"/>
                <w:spacing w:val="2"/>
                <w:highlight w:val="none"/>
                <w:lang w:eastAsia="zh-CN"/>
              </w:rPr>
              <w:t>设置</w:t>
            </w:r>
            <w:r>
              <w:rPr>
                <w:rFonts w:hAnsi="宋体"/>
                <w:highlight w:val="none"/>
                <w:lang w:eastAsia="zh-CN"/>
              </w:rPr>
              <w:t>一座</w:t>
            </w:r>
            <w:r>
              <w:rPr>
                <w:rFonts w:hint="eastAsia" w:hAnsi="宋体" w:cs="hakuyoxingshu7000"/>
                <w:spacing w:val="1"/>
                <w:highlight w:val="none"/>
                <w:lang w:eastAsia="zh-CN"/>
              </w:rPr>
              <w:t>1</w:t>
            </w:r>
            <w:r>
              <w:rPr>
                <w:rFonts w:hAnsi="宋体" w:cs="hakuyoxingshu7000"/>
                <w:spacing w:val="-2"/>
                <w:highlight w:val="none"/>
                <w:lang w:eastAsia="zh-CN"/>
              </w:rPr>
              <w:t>5</w:t>
            </w:r>
            <w:r>
              <w:rPr>
                <w:rFonts w:hAnsi="宋体" w:cs="hakuyoxingshu7000"/>
                <w:spacing w:val="1"/>
                <w:highlight w:val="none"/>
                <w:lang w:eastAsia="zh-CN"/>
              </w:rPr>
              <w:t>00</w:t>
            </w:r>
            <w:r>
              <w:rPr>
                <w:rFonts w:hAnsi="宋体" w:cs="hakuyoxingshu7000"/>
                <w:highlight w:val="none"/>
                <w:lang w:eastAsia="zh-CN"/>
              </w:rPr>
              <w:t>m</w:t>
            </w:r>
            <w:r>
              <w:rPr>
                <w:rFonts w:hAnsi="宋体" w:cs="hakuyoxingshu7000"/>
                <w:position w:val="7"/>
                <w:sz w:val="13"/>
                <w:szCs w:val="13"/>
                <w:highlight w:val="none"/>
                <w:lang w:eastAsia="zh-CN"/>
              </w:rPr>
              <w:t>3</w:t>
            </w:r>
            <w:r>
              <w:rPr>
                <w:rFonts w:hAnsi="宋体"/>
                <w:highlight w:val="none"/>
                <w:lang w:eastAsia="zh-CN"/>
              </w:rPr>
              <w:t>事</w:t>
            </w:r>
            <w:r>
              <w:rPr>
                <w:rFonts w:hAnsi="宋体"/>
                <w:spacing w:val="2"/>
                <w:highlight w:val="none"/>
                <w:lang w:eastAsia="zh-CN"/>
              </w:rPr>
              <w:t>故</w:t>
            </w:r>
            <w:r>
              <w:rPr>
                <w:rFonts w:hAnsi="宋体"/>
                <w:highlight w:val="none"/>
                <w:lang w:eastAsia="zh-CN"/>
              </w:rPr>
              <w:t>水</w:t>
            </w:r>
            <w:r>
              <w:rPr>
                <w:rFonts w:hAnsi="宋体"/>
                <w:spacing w:val="2"/>
                <w:highlight w:val="none"/>
                <w:lang w:eastAsia="zh-CN"/>
              </w:rPr>
              <w:t>池</w:t>
            </w:r>
            <w:r>
              <w:rPr>
                <w:rFonts w:hAnsi="宋体"/>
                <w:highlight w:val="none"/>
                <w:lang w:eastAsia="zh-CN"/>
              </w:rPr>
              <w:t>，</w:t>
            </w:r>
            <w:r>
              <w:rPr>
                <w:rFonts w:hAnsi="宋体"/>
                <w:spacing w:val="8"/>
                <w:w w:val="95"/>
                <w:highlight w:val="none"/>
                <w:lang w:eastAsia="zh-CN"/>
              </w:rPr>
              <w:t>事故</w:t>
            </w:r>
            <w:r>
              <w:rPr>
                <w:rFonts w:hAnsi="宋体"/>
                <w:spacing w:val="6"/>
                <w:w w:val="95"/>
                <w:highlight w:val="none"/>
                <w:lang w:eastAsia="zh-CN"/>
              </w:rPr>
              <w:t>工</w:t>
            </w:r>
            <w:r>
              <w:rPr>
                <w:rFonts w:hAnsi="宋体"/>
                <w:spacing w:val="8"/>
                <w:w w:val="95"/>
                <w:highlight w:val="none"/>
                <w:lang w:eastAsia="zh-CN"/>
              </w:rPr>
              <w:t>况将浓缩池</w:t>
            </w:r>
            <w:r>
              <w:rPr>
                <w:rFonts w:hAnsi="宋体"/>
                <w:spacing w:val="6"/>
                <w:w w:val="95"/>
                <w:highlight w:val="none"/>
                <w:lang w:eastAsia="zh-CN"/>
              </w:rPr>
              <w:t>水</w:t>
            </w:r>
            <w:r>
              <w:rPr>
                <w:rFonts w:hAnsi="宋体"/>
                <w:spacing w:val="8"/>
                <w:w w:val="95"/>
                <w:highlight w:val="none"/>
                <w:lang w:eastAsia="zh-CN"/>
              </w:rPr>
              <w:t>抽至事故水</w:t>
            </w:r>
            <w:r>
              <w:rPr>
                <w:rFonts w:hAnsi="宋体"/>
                <w:spacing w:val="6"/>
                <w:w w:val="95"/>
                <w:highlight w:val="none"/>
                <w:lang w:eastAsia="zh-CN"/>
              </w:rPr>
              <w:t>池</w:t>
            </w:r>
            <w:r>
              <w:rPr>
                <w:rFonts w:hAnsi="宋体"/>
                <w:spacing w:val="8"/>
                <w:w w:val="95"/>
                <w:highlight w:val="none"/>
                <w:lang w:eastAsia="zh-CN"/>
              </w:rPr>
              <w:t>，</w:t>
            </w:r>
            <w:r>
              <w:rPr>
                <w:rFonts w:hAnsi="宋体"/>
                <w:w w:val="95"/>
                <w:highlight w:val="none"/>
                <w:lang w:eastAsia="zh-CN"/>
              </w:rPr>
              <w:t>检</w:t>
            </w:r>
            <w:r>
              <w:rPr>
                <w:rFonts w:hAnsi="宋体"/>
                <w:spacing w:val="9"/>
                <w:highlight w:val="none"/>
                <w:lang w:eastAsia="zh-CN"/>
              </w:rPr>
              <w:t>修结</w:t>
            </w:r>
            <w:r>
              <w:rPr>
                <w:rFonts w:hAnsi="宋体"/>
                <w:spacing w:val="7"/>
                <w:highlight w:val="none"/>
                <w:lang w:eastAsia="zh-CN"/>
              </w:rPr>
              <w:t>束</w:t>
            </w:r>
            <w:r>
              <w:rPr>
                <w:rFonts w:hAnsi="宋体"/>
                <w:spacing w:val="9"/>
                <w:highlight w:val="none"/>
                <w:lang w:eastAsia="zh-CN"/>
              </w:rPr>
              <w:t>后该部分水</w:t>
            </w:r>
            <w:r>
              <w:rPr>
                <w:rFonts w:hAnsi="宋体"/>
                <w:spacing w:val="7"/>
                <w:highlight w:val="none"/>
                <w:lang w:eastAsia="zh-CN"/>
              </w:rPr>
              <w:t>用</w:t>
            </w:r>
            <w:r>
              <w:rPr>
                <w:rFonts w:hAnsi="宋体"/>
                <w:spacing w:val="9"/>
                <w:highlight w:val="none"/>
                <w:lang w:eastAsia="zh-CN"/>
              </w:rPr>
              <w:t>于选矿生</w:t>
            </w:r>
            <w:r>
              <w:rPr>
                <w:rFonts w:hAnsi="宋体"/>
                <w:highlight w:val="none"/>
                <w:lang w:eastAsia="zh-CN"/>
              </w:rPr>
              <w:t>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60" w:type="dxa"/>
            <w:vMerge w:val="continue"/>
            <w:vAlign w:val="center"/>
          </w:tcPr>
          <w:p>
            <w:pPr>
              <w:pStyle w:val="64"/>
              <w:widowControl w:val="0"/>
              <w:rPr>
                <w:rFonts w:hAnsi="宋体"/>
                <w:sz w:val="22"/>
                <w:szCs w:val="22"/>
                <w:highlight w:val="none"/>
                <w:lang w:eastAsia="zh-CN"/>
              </w:rPr>
            </w:pPr>
          </w:p>
        </w:tc>
        <w:tc>
          <w:tcPr>
            <w:tcW w:w="1552" w:type="dxa"/>
            <w:gridSpan w:val="2"/>
            <w:vAlign w:val="center"/>
          </w:tcPr>
          <w:p>
            <w:pPr>
              <w:pStyle w:val="64"/>
              <w:widowControl w:val="0"/>
              <w:rPr>
                <w:rFonts w:hAnsi="宋体"/>
                <w:highlight w:val="none"/>
                <w:lang w:eastAsia="en-US"/>
              </w:rPr>
            </w:pPr>
            <w:r>
              <w:rPr>
                <w:rFonts w:hAnsi="宋体"/>
                <w:highlight w:val="none"/>
                <w:lang w:eastAsia="en-US"/>
              </w:rPr>
              <w:t>绿化</w:t>
            </w:r>
          </w:p>
        </w:tc>
        <w:tc>
          <w:tcPr>
            <w:tcW w:w="2718" w:type="dxa"/>
            <w:vAlign w:val="center"/>
          </w:tcPr>
          <w:p>
            <w:pPr>
              <w:pStyle w:val="64"/>
              <w:widowControl w:val="0"/>
              <w:rPr>
                <w:rFonts w:hAnsi="宋体" w:cs="hakuyoxingshu7000"/>
                <w:highlight w:val="none"/>
                <w:lang w:eastAsia="en-US"/>
              </w:rPr>
            </w:pPr>
            <w:r>
              <w:rPr>
                <w:rFonts w:hAnsi="宋体"/>
                <w:spacing w:val="-2"/>
                <w:w w:val="105"/>
                <w:highlight w:val="none"/>
                <w:lang w:eastAsia="en-US"/>
              </w:rPr>
              <w:t>绿</w:t>
            </w:r>
            <w:r>
              <w:rPr>
                <w:rFonts w:hAnsi="宋体"/>
                <w:spacing w:val="2"/>
                <w:w w:val="105"/>
                <w:highlight w:val="none"/>
                <w:lang w:eastAsia="en-US"/>
              </w:rPr>
              <w:t>化</w:t>
            </w:r>
            <w:r>
              <w:rPr>
                <w:rFonts w:hAnsi="宋体"/>
                <w:spacing w:val="-2"/>
                <w:w w:val="105"/>
                <w:highlight w:val="none"/>
                <w:lang w:eastAsia="en-US"/>
              </w:rPr>
              <w:t>面</w:t>
            </w:r>
            <w:r>
              <w:rPr>
                <w:rFonts w:hAnsi="宋体"/>
                <w:w w:val="105"/>
                <w:highlight w:val="none"/>
                <w:lang w:eastAsia="en-US"/>
              </w:rPr>
              <w:t>积</w:t>
            </w:r>
            <w:r>
              <w:rPr>
                <w:rFonts w:hint="eastAsia" w:hAnsi="宋体" w:cs="hakuyoxingshu7000"/>
                <w:spacing w:val="1"/>
                <w:w w:val="105"/>
                <w:highlight w:val="none"/>
                <w:lang w:eastAsia="en-US"/>
              </w:rPr>
              <w:t>10</w:t>
            </w:r>
            <w:r>
              <w:rPr>
                <w:rFonts w:hAnsi="宋体" w:cs="hakuyoxingshu7000"/>
                <w:spacing w:val="-3"/>
                <w:w w:val="105"/>
                <w:highlight w:val="none"/>
                <w:lang w:eastAsia="en-US"/>
              </w:rPr>
              <w:t>0</w:t>
            </w:r>
            <w:r>
              <w:rPr>
                <w:rFonts w:hAnsi="宋体" w:cs="hakuyoxingshu7000"/>
                <w:spacing w:val="1"/>
                <w:w w:val="105"/>
                <w:highlight w:val="none"/>
                <w:lang w:eastAsia="en-US"/>
              </w:rPr>
              <w:t>0</w:t>
            </w:r>
            <w:r>
              <w:rPr>
                <w:rFonts w:hAnsi="宋体" w:cs="hakuyoxingshu7000"/>
                <w:spacing w:val="-2"/>
                <w:w w:val="105"/>
                <w:highlight w:val="none"/>
                <w:lang w:eastAsia="en-US"/>
              </w:rPr>
              <w:t>m</w:t>
            </w:r>
            <w:r>
              <w:rPr>
                <w:rFonts w:hAnsi="宋体" w:cs="hakuyoxingshu7000"/>
                <w:spacing w:val="1"/>
                <w:w w:val="105"/>
                <w:position w:val="7"/>
                <w:sz w:val="13"/>
                <w:szCs w:val="13"/>
                <w:highlight w:val="none"/>
                <w:lang w:eastAsia="en-US"/>
              </w:rPr>
              <w:t>2</w:t>
            </w:r>
          </w:p>
        </w:tc>
        <w:tc>
          <w:tcPr>
            <w:tcW w:w="1134" w:type="dxa"/>
            <w:vAlign w:val="center"/>
          </w:tcPr>
          <w:p>
            <w:pPr>
              <w:pStyle w:val="64"/>
              <w:widowControl w:val="0"/>
              <w:rPr>
                <w:rFonts w:hAnsi="宋体"/>
                <w:highlight w:val="none"/>
                <w:lang w:eastAsia="en-US"/>
              </w:rPr>
            </w:pPr>
            <w:r>
              <w:rPr>
                <w:rFonts w:hAnsi="宋体"/>
                <w:highlight w:val="none"/>
                <w:lang w:eastAsia="en-US"/>
              </w:rPr>
              <w:t>新建</w:t>
            </w:r>
          </w:p>
        </w:tc>
        <w:tc>
          <w:tcPr>
            <w:tcW w:w="2825" w:type="dxa"/>
            <w:gridSpan w:val="3"/>
            <w:vAlign w:val="center"/>
          </w:tcPr>
          <w:p>
            <w:pPr>
              <w:pStyle w:val="64"/>
              <w:widowControl w:val="0"/>
              <w:rPr>
                <w:rFonts w:hAnsi="宋体"/>
                <w:highlight w:val="none"/>
                <w:lang w:eastAsia="en-US"/>
              </w:rPr>
            </w:pPr>
            <w:r>
              <w:rPr>
                <w:rFonts w:hint="eastAsia" w:hAnsi="宋体"/>
                <w:highlight w:val="none"/>
                <w:lang w:eastAsia="en-US"/>
              </w:rPr>
              <w:t>/</w:t>
            </w:r>
          </w:p>
        </w:tc>
      </w:tr>
    </w:tbl>
    <w:p>
      <w:pPr>
        <w:pStyle w:val="65"/>
        <w:rPr>
          <w:rFonts w:hAnsi="宋体"/>
          <w:highlight w:val="none"/>
        </w:rPr>
      </w:pPr>
      <w:r>
        <w:rPr>
          <w:rFonts w:hAnsi="宋体"/>
          <w:highlight w:val="none"/>
        </w:rPr>
        <w:t>续表3.</w:t>
      </w:r>
      <w:r>
        <w:rPr>
          <w:rFonts w:hint="eastAsia" w:hAnsi="宋体"/>
          <w:highlight w:val="none"/>
        </w:rPr>
        <w:t>1</w:t>
      </w:r>
      <w:r>
        <w:rPr>
          <w:rFonts w:hAnsi="宋体"/>
          <w:highlight w:val="none"/>
        </w:rPr>
        <w:t>-</w:t>
      </w:r>
      <w:r>
        <w:rPr>
          <w:rFonts w:hint="eastAsia" w:hAnsi="宋体"/>
          <w:highlight w:val="none"/>
        </w:rPr>
        <w:t xml:space="preserve">2  </w:t>
      </w:r>
      <w:r>
        <w:rPr>
          <w:rFonts w:hAnsi="宋体"/>
          <w:highlight w:val="none"/>
        </w:rPr>
        <w:t>尾矿库建</w:t>
      </w:r>
      <w:r>
        <w:rPr>
          <w:rFonts w:hAnsi="宋体"/>
          <w:spacing w:val="2"/>
          <w:highlight w:val="none"/>
        </w:rPr>
        <w:t>设</w:t>
      </w:r>
      <w:r>
        <w:rPr>
          <w:rFonts w:hAnsi="宋体"/>
          <w:highlight w:val="none"/>
        </w:rPr>
        <w:t>内容</w:t>
      </w:r>
    </w:p>
    <w:tbl>
      <w:tblPr>
        <w:tblStyle w:val="76"/>
        <w:tblW w:w="8848"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717"/>
        <w:gridCol w:w="1279"/>
        <w:gridCol w:w="6043"/>
        <w:gridCol w:w="80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17" w:type="dxa"/>
            <w:vAlign w:val="center"/>
          </w:tcPr>
          <w:p>
            <w:pPr>
              <w:pStyle w:val="64"/>
              <w:widowControl w:val="0"/>
              <w:rPr>
                <w:rFonts w:hAnsi="宋体"/>
                <w:highlight w:val="none"/>
                <w:lang w:eastAsia="en-US"/>
              </w:rPr>
            </w:pPr>
            <w:r>
              <w:rPr>
                <w:rFonts w:hAnsi="宋体"/>
                <w:spacing w:val="-1"/>
                <w:highlight w:val="none"/>
                <w:lang w:eastAsia="en-US"/>
              </w:rPr>
              <w:t>序</w:t>
            </w:r>
            <w:r>
              <w:rPr>
                <w:rFonts w:hAnsi="宋体"/>
                <w:highlight w:val="none"/>
                <w:lang w:eastAsia="en-US"/>
              </w:rPr>
              <w:t>号</w:t>
            </w:r>
          </w:p>
        </w:tc>
        <w:tc>
          <w:tcPr>
            <w:tcW w:w="1279" w:type="dxa"/>
            <w:vAlign w:val="center"/>
          </w:tcPr>
          <w:p>
            <w:pPr>
              <w:pStyle w:val="64"/>
              <w:widowControl w:val="0"/>
              <w:rPr>
                <w:rFonts w:hAnsi="宋体"/>
                <w:highlight w:val="none"/>
                <w:lang w:eastAsia="en-US"/>
              </w:rPr>
            </w:pPr>
            <w:r>
              <w:rPr>
                <w:rFonts w:hAnsi="宋体"/>
                <w:spacing w:val="-1"/>
                <w:highlight w:val="none"/>
                <w:lang w:eastAsia="en-US"/>
              </w:rPr>
              <w:t>工</w:t>
            </w:r>
            <w:r>
              <w:rPr>
                <w:rFonts w:hAnsi="宋体"/>
                <w:spacing w:val="2"/>
                <w:highlight w:val="none"/>
                <w:lang w:eastAsia="en-US"/>
              </w:rPr>
              <w:t>程</w:t>
            </w:r>
            <w:r>
              <w:rPr>
                <w:rFonts w:hAnsi="宋体"/>
                <w:spacing w:val="-1"/>
                <w:highlight w:val="none"/>
                <w:lang w:eastAsia="en-US"/>
              </w:rPr>
              <w:t>类</w:t>
            </w:r>
            <w:r>
              <w:rPr>
                <w:rFonts w:hAnsi="宋体"/>
                <w:highlight w:val="none"/>
                <w:lang w:eastAsia="en-US"/>
              </w:rPr>
              <w:t>别</w:t>
            </w:r>
          </w:p>
        </w:tc>
        <w:tc>
          <w:tcPr>
            <w:tcW w:w="6043" w:type="dxa"/>
            <w:vAlign w:val="center"/>
          </w:tcPr>
          <w:p>
            <w:pPr>
              <w:pStyle w:val="64"/>
              <w:widowControl w:val="0"/>
              <w:rPr>
                <w:rFonts w:hAnsi="宋体"/>
                <w:highlight w:val="none"/>
                <w:lang w:eastAsia="en-US"/>
              </w:rPr>
            </w:pPr>
            <w:r>
              <w:rPr>
                <w:rFonts w:hAnsi="宋体"/>
                <w:spacing w:val="-1"/>
                <w:highlight w:val="none"/>
                <w:lang w:eastAsia="en-US"/>
              </w:rPr>
              <w:t>工</w:t>
            </w:r>
            <w:r>
              <w:rPr>
                <w:rFonts w:hAnsi="宋体"/>
                <w:spacing w:val="2"/>
                <w:highlight w:val="none"/>
                <w:lang w:eastAsia="en-US"/>
              </w:rPr>
              <w:t>程</w:t>
            </w:r>
            <w:r>
              <w:rPr>
                <w:rFonts w:hAnsi="宋体"/>
                <w:spacing w:val="-1"/>
                <w:highlight w:val="none"/>
                <w:lang w:eastAsia="en-US"/>
              </w:rPr>
              <w:t>内</w:t>
            </w:r>
            <w:r>
              <w:rPr>
                <w:rFonts w:hAnsi="宋体"/>
                <w:highlight w:val="none"/>
                <w:lang w:eastAsia="en-US"/>
              </w:rPr>
              <w:t>容</w:t>
            </w:r>
          </w:p>
        </w:tc>
        <w:tc>
          <w:tcPr>
            <w:tcW w:w="809" w:type="dxa"/>
            <w:vAlign w:val="center"/>
          </w:tcPr>
          <w:p>
            <w:pPr>
              <w:pStyle w:val="64"/>
              <w:widowControl w:val="0"/>
              <w:rPr>
                <w:rFonts w:hAnsi="宋体"/>
                <w:highlight w:val="none"/>
                <w:lang w:eastAsia="en-US"/>
              </w:rPr>
            </w:pPr>
            <w:r>
              <w:rPr>
                <w:rFonts w:hAnsi="宋体"/>
                <w:spacing w:val="-1"/>
                <w:highlight w:val="none"/>
                <w:lang w:eastAsia="en-US"/>
              </w:rPr>
              <w:t>备</w:t>
            </w:r>
            <w:r>
              <w:rPr>
                <w:rFonts w:hAnsi="宋体"/>
                <w:highlight w:val="none"/>
                <w:lang w:eastAsia="en-US"/>
              </w:rPr>
              <w:t>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17" w:type="dxa"/>
            <w:vAlign w:val="center"/>
          </w:tcPr>
          <w:p>
            <w:pPr>
              <w:pStyle w:val="64"/>
              <w:widowControl w:val="0"/>
              <w:rPr>
                <w:rFonts w:hAnsi="宋体"/>
                <w:highlight w:val="none"/>
                <w:lang w:eastAsia="en-US"/>
              </w:rPr>
            </w:pPr>
            <w:r>
              <w:rPr>
                <w:rFonts w:hAnsi="宋体"/>
                <w:highlight w:val="none"/>
                <w:lang w:eastAsia="en-US"/>
              </w:rPr>
              <w:t>1</w:t>
            </w:r>
          </w:p>
        </w:tc>
        <w:tc>
          <w:tcPr>
            <w:tcW w:w="1279" w:type="dxa"/>
            <w:vAlign w:val="center"/>
          </w:tcPr>
          <w:p>
            <w:pPr>
              <w:pStyle w:val="64"/>
              <w:widowControl w:val="0"/>
              <w:rPr>
                <w:rFonts w:hAnsi="宋体"/>
                <w:highlight w:val="none"/>
                <w:lang w:eastAsia="en-US"/>
              </w:rPr>
            </w:pPr>
            <w:r>
              <w:rPr>
                <w:rFonts w:hAnsi="宋体"/>
                <w:spacing w:val="-1"/>
                <w:highlight w:val="none"/>
                <w:lang w:eastAsia="en-US"/>
              </w:rPr>
              <w:t>主</w:t>
            </w:r>
            <w:r>
              <w:rPr>
                <w:rFonts w:hAnsi="宋体"/>
                <w:spacing w:val="2"/>
                <w:highlight w:val="none"/>
                <w:lang w:eastAsia="en-US"/>
              </w:rPr>
              <w:t>体</w:t>
            </w:r>
            <w:r>
              <w:rPr>
                <w:rFonts w:hAnsi="宋体"/>
                <w:spacing w:val="-1"/>
                <w:highlight w:val="none"/>
                <w:lang w:eastAsia="en-US"/>
              </w:rPr>
              <w:t>工</w:t>
            </w:r>
            <w:r>
              <w:rPr>
                <w:rFonts w:hAnsi="宋体"/>
                <w:spacing w:val="2"/>
                <w:highlight w:val="none"/>
                <w:lang w:eastAsia="en-US"/>
              </w:rPr>
              <w:t>程</w:t>
            </w:r>
          </w:p>
        </w:tc>
        <w:tc>
          <w:tcPr>
            <w:tcW w:w="6043" w:type="dxa"/>
            <w:vAlign w:val="center"/>
          </w:tcPr>
          <w:p>
            <w:pPr>
              <w:pStyle w:val="64"/>
              <w:widowControl w:val="0"/>
              <w:rPr>
                <w:rFonts w:hAnsi="宋体"/>
                <w:highlight w:val="none"/>
                <w:lang w:eastAsia="zh-CN"/>
              </w:rPr>
            </w:pPr>
            <w:r>
              <w:rPr>
                <w:rFonts w:hint="eastAsia" w:hAnsi="宋体"/>
                <w:spacing w:val="2"/>
                <w:highlight w:val="none"/>
                <w:lang w:eastAsia="zh-CN"/>
              </w:rPr>
              <w:t>尾矿库选址位于选矿厂东侧的黄土冲沟内。沟谷大致呈东南一西北走向，库区所占冲沟自沟头向下游延伸约550米。尾矿库占地面积约1.97hm</w:t>
            </w:r>
            <w:r>
              <w:rPr>
                <w:rFonts w:hint="eastAsia" w:hAnsi="宋体"/>
                <w:spacing w:val="2"/>
                <w:highlight w:val="none"/>
                <w:vertAlign w:val="superscript"/>
                <w:lang w:eastAsia="zh-CN"/>
              </w:rPr>
              <w:t>2</w:t>
            </w:r>
            <w:r>
              <w:rPr>
                <w:rFonts w:hint="eastAsia" w:hAnsi="宋体"/>
                <w:spacing w:val="2"/>
                <w:highlight w:val="none"/>
                <w:lang w:eastAsia="zh-CN"/>
              </w:rPr>
              <w:t>，荒沟深度约7米，尾砂平均堆积高度为6米。尾矿库总库容13.79万m</w:t>
            </w:r>
            <w:r>
              <w:rPr>
                <w:rFonts w:hint="eastAsia" w:hAnsi="宋体"/>
                <w:spacing w:val="2"/>
                <w:highlight w:val="none"/>
                <w:vertAlign w:val="superscript"/>
                <w:lang w:eastAsia="zh-CN"/>
              </w:rPr>
              <w:t>3</w:t>
            </w:r>
            <w:r>
              <w:rPr>
                <w:rFonts w:hint="eastAsia" w:hAnsi="宋体"/>
                <w:spacing w:val="2"/>
                <w:highlight w:val="none"/>
                <w:lang w:eastAsia="zh-CN"/>
              </w:rPr>
              <w:t>，有效库容为10.74万m</w:t>
            </w:r>
            <w:r>
              <w:rPr>
                <w:rFonts w:hint="eastAsia" w:hAnsi="宋体"/>
                <w:spacing w:val="2"/>
                <w:highlight w:val="none"/>
                <w:vertAlign w:val="superscript"/>
                <w:lang w:eastAsia="zh-CN"/>
              </w:rPr>
              <w:t>3</w:t>
            </w:r>
            <w:r>
              <w:rPr>
                <w:rFonts w:hint="eastAsia" w:hAnsi="宋体"/>
                <w:spacing w:val="2"/>
                <w:highlight w:val="none"/>
                <w:lang w:eastAsia="zh-CN"/>
              </w:rPr>
              <w:t>。最大堆放高差25m，封场最大高程1099m。</w:t>
            </w:r>
          </w:p>
        </w:tc>
        <w:tc>
          <w:tcPr>
            <w:tcW w:w="809" w:type="dxa"/>
            <w:vAlign w:val="center"/>
          </w:tcPr>
          <w:p>
            <w:pPr>
              <w:pStyle w:val="64"/>
              <w:widowControl w:val="0"/>
              <w:rPr>
                <w:rFonts w:hAnsi="宋体"/>
                <w:highlight w:val="none"/>
                <w:lang w:eastAsia="en-US"/>
              </w:rPr>
            </w:pPr>
            <w:r>
              <w:rPr>
                <w:rFonts w:hAnsi="宋体"/>
                <w:spacing w:val="-1"/>
                <w:highlight w:val="none"/>
                <w:lang w:eastAsia="en-US"/>
              </w:rPr>
              <w:t>新</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17" w:type="dxa"/>
            <w:vAlign w:val="center"/>
          </w:tcPr>
          <w:p>
            <w:pPr>
              <w:pStyle w:val="64"/>
              <w:widowControl w:val="0"/>
              <w:rPr>
                <w:rFonts w:hAnsi="宋体"/>
                <w:highlight w:val="none"/>
                <w:lang w:eastAsia="en-US"/>
              </w:rPr>
            </w:pPr>
            <w:r>
              <w:rPr>
                <w:rFonts w:hAnsi="宋体"/>
                <w:highlight w:val="none"/>
                <w:lang w:eastAsia="en-US"/>
              </w:rPr>
              <w:t>2</w:t>
            </w:r>
          </w:p>
        </w:tc>
        <w:tc>
          <w:tcPr>
            <w:tcW w:w="1279" w:type="dxa"/>
            <w:vAlign w:val="center"/>
          </w:tcPr>
          <w:p>
            <w:pPr>
              <w:pStyle w:val="64"/>
              <w:widowControl w:val="0"/>
              <w:rPr>
                <w:rFonts w:hAnsi="宋体"/>
                <w:highlight w:val="none"/>
                <w:lang w:eastAsia="en-US"/>
              </w:rPr>
            </w:pPr>
            <w:r>
              <w:rPr>
                <w:rFonts w:hint="eastAsia" w:hAnsi="宋体"/>
                <w:highlight w:val="none"/>
                <w:lang w:eastAsia="en-US"/>
              </w:rPr>
              <w:t>拦渣坝</w:t>
            </w:r>
          </w:p>
        </w:tc>
        <w:tc>
          <w:tcPr>
            <w:tcW w:w="6043" w:type="dxa"/>
            <w:vAlign w:val="center"/>
          </w:tcPr>
          <w:p>
            <w:pPr>
              <w:pStyle w:val="64"/>
              <w:widowControl w:val="0"/>
              <w:rPr>
                <w:rFonts w:hAnsi="宋体"/>
                <w:highlight w:val="none"/>
                <w:lang w:eastAsia="en-US"/>
              </w:rPr>
            </w:pPr>
            <w:r>
              <w:rPr>
                <w:rFonts w:hint="eastAsia" w:hAnsi="宋体"/>
                <w:spacing w:val="2"/>
                <w:highlight w:val="none"/>
                <w:lang w:eastAsia="zh-CN"/>
              </w:rPr>
              <w:t>拦渣坝设计为碾压堆土坝，坝高4.5m，坝顶宽4m，上游侧边坡坡比为l:1.8，下游侧边坡坡比为1:2.0，并且在拦渣坝的下游侧边坡设马道，坡趾构筑排水棱体。拦渣坝上游坡面设防渗层（自内向外依次为：HDPE防渗膜一层，防渗膜厚度不小于1.5mm、2-5mm砂砾料垫层，垫层厚度为300mm)，外设300mm厚碎石护层。</w:t>
            </w:r>
            <w:r>
              <w:rPr>
                <w:rFonts w:hint="eastAsia" w:hAnsi="宋体"/>
                <w:highlight w:val="none"/>
                <w:lang w:eastAsia="en-US"/>
              </w:rPr>
              <w:t>封场恢复为田间道。</w:t>
            </w:r>
          </w:p>
        </w:tc>
        <w:tc>
          <w:tcPr>
            <w:tcW w:w="809" w:type="dxa"/>
            <w:vAlign w:val="center"/>
          </w:tcPr>
          <w:p>
            <w:pPr>
              <w:pStyle w:val="64"/>
              <w:widowControl w:val="0"/>
              <w:rPr>
                <w:rFonts w:hAnsi="宋体"/>
                <w:highlight w:val="none"/>
                <w:lang w:eastAsia="en-US"/>
              </w:rPr>
            </w:pPr>
            <w:r>
              <w:rPr>
                <w:rFonts w:hAnsi="宋体"/>
                <w:spacing w:val="-1"/>
                <w:highlight w:val="none"/>
                <w:lang w:eastAsia="en-US"/>
              </w:rPr>
              <w:t>新</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17" w:type="dxa"/>
            <w:vAlign w:val="center"/>
          </w:tcPr>
          <w:p>
            <w:pPr>
              <w:pStyle w:val="64"/>
              <w:widowControl w:val="0"/>
              <w:rPr>
                <w:rFonts w:hAnsi="宋体"/>
                <w:highlight w:val="none"/>
                <w:lang w:eastAsia="en-US"/>
              </w:rPr>
            </w:pPr>
            <w:r>
              <w:rPr>
                <w:rFonts w:hAnsi="宋体"/>
                <w:highlight w:val="none"/>
                <w:lang w:eastAsia="en-US"/>
              </w:rPr>
              <w:t>3</w:t>
            </w:r>
          </w:p>
        </w:tc>
        <w:tc>
          <w:tcPr>
            <w:tcW w:w="1279" w:type="dxa"/>
            <w:vAlign w:val="center"/>
          </w:tcPr>
          <w:p>
            <w:pPr>
              <w:pStyle w:val="64"/>
              <w:widowControl w:val="0"/>
              <w:rPr>
                <w:rFonts w:hAnsi="宋体"/>
                <w:highlight w:val="none"/>
                <w:lang w:eastAsia="en-US"/>
              </w:rPr>
            </w:pPr>
            <w:r>
              <w:rPr>
                <w:rFonts w:hAnsi="宋体"/>
                <w:spacing w:val="-1"/>
                <w:highlight w:val="none"/>
                <w:lang w:eastAsia="en-US"/>
              </w:rPr>
              <w:t>排</w:t>
            </w:r>
            <w:r>
              <w:rPr>
                <w:rFonts w:hAnsi="宋体"/>
                <w:spacing w:val="2"/>
                <w:highlight w:val="none"/>
                <w:lang w:eastAsia="en-US"/>
              </w:rPr>
              <w:t>水</w:t>
            </w:r>
            <w:r>
              <w:rPr>
                <w:rFonts w:hAnsi="宋体"/>
                <w:spacing w:val="-1"/>
                <w:highlight w:val="none"/>
                <w:lang w:eastAsia="en-US"/>
              </w:rPr>
              <w:t>涵</w:t>
            </w:r>
            <w:r>
              <w:rPr>
                <w:rFonts w:hAnsi="宋体"/>
                <w:highlight w:val="none"/>
                <w:lang w:eastAsia="en-US"/>
              </w:rPr>
              <w:t>管</w:t>
            </w:r>
          </w:p>
        </w:tc>
        <w:tc>
          <w:tcPr>
            <w:tcW w:w="6043" w:type="dxa"/>
            <w:vAlign w:val="center"/>
          </w:tcPr>
          <w:p>
            <w:pPr>
              <w:pStyle w:val="234"/>
              <w:rPr>
                <w:rFonts w:hAnsi="Calibri"/>
                <w:highlight w:val="none"/>
                <w:lang w:eastAsia="zh-CN"/>
              </w:rPr>
            </w:pPr>
            <w:r>
              <w:rPr>
                <w:rFonts w:hAnsi="Calibri"/>
                <w:spacing w:val="2"/>
                <w:highlight w:val="none"/>
                <w:lang w:eastAsia="zh-CN"/>
              </w:rPr>
              <w:t>直</w:t>
            </w:r>
            <w:r>
              <w:rPr>
                <w:rFonts w:hAnsi="Calibri"/>
                <w:highlight w:val="none"/>
                <w:lang w:eastAsia="zh-CN"/>
              </w:rPr>
              <w:t>径</w:t>
            </w:r>
            <w:r>
              <w:rPr>
                <w:rFonts w:hAnsi="Calibri"/>
                <w:spacing w:val="1"/>
                <w:highlight w:val="none"/>
                <w:lang w:eastAsia="zh-CN"/>
              </w:rPr>
              <w:t>0</w:t>
            </w:r>
            <w:r>
              <w:rPr>
                <w:rFonts w:hAnsi="Calibri"/>
                <w:highlight w:val="none"/>
                <w:lang w:eastAsia="zh-CN"/>
              </w:rPr>
              <w:t>.</w:t>
            </w:r>
            <w:r>
              <w:rPr>
                <w:rFonts w:hAnsi="Calibri"/>
                <w:spacing w:val="-2"/>
                <w:highlight w:val="none"/>
                <w:lang w:eastAsia="zh-CN"/>
              </w:rPr>
              <w:t>5</w:t>
            </w:r>
            <w:r>
              <w:rPr>
                <w:rFonts w:hAnsi="Calibri"/>
                <w:highlight w:val="none"/>
                <w:lang w:eastAsia="zh-CN"/>
              </w:rPr>
              <w:t>m</w:t>
            </w:r>
            <w:r>
              <w:rPr>
                <w:rFonts w:hAnsi="Calibri"/>
                <w:spacing w:val="2"/>
                <w:highlight w:val="none"/>
                <w:lang w:eastAsia="zh-CN"/>
              </w:rPr>
              <w:t>成</w:t>
            </w:r>
            <w:r>
              <w:rPr>
                <w:rFonts w:hAnsi="Calibri"/>
                <w:spacing w:val="-1"/>
                <w:highlight w:val="none"/>
                <w:lang w:eastAsia="zh-CN"/>
              </w:rPr>
              <w:t>品</w:t>
            </w:r>
            <w:r>
              <w:rPr>
                <w:rFonts w:hAnsi="Calibri"/>
                <w:spacing w:val="2"/>
                <w:highlight w:val="none"/>
                <w:lang w:eastAsia="zh-CN"/>
              </w:rPr>
              <w:t>钢</w:t>
            </w:r>
            <w:r>
              <w:rPr>
                <w:rFonts w:hAnsi="Calibri"/>
                <w:spacing w:val="-1"/>
                <w:highlight w:val="none"/>
                <w:lang w:eastAsia="zh-CN"/>
              </w:rPr>
              <w:t>筋</w:t>
            </w:r>
            <w:r>
              <w:rPr>
                <w:rFonts w:hAnsi="Calibri"/>
                <w:spacing w:val="2"/>
                <w:highlight w:val="none"/>
                <w:lang w:eastAsia="zh-CN"/>
              </w:rPr>
              <w:t>混凝</w:t>
            </w:r>
            <w:r>
              <w:rPr>
                <w:rFonts w:hAnsi="Calibri"/>
                <w:spacing w:val="-1"/>
                <w:highlight w:val="none"/>
                <w:lang w:eastAsia="zh-CN"/>
              </w:rPr>
              <w:t>土</w:t>
            </w:r>
            <w:r>
              <w:rPr>
                <w:rFonts w:hAnsi="Calibri"/>
                <w:spacing w:val="2"/>
                <w:highlight w:val="none"/>
                <w:lang w:eastAsia="zh-CN"/>
              </w:rPr>
              <w:t>圆</w:t>
            </w:r>
            <w:r>
              <w:rPr>
                <w:rFonts w:hAnsi="Calibri"/>
                <w:spacing w:val="-1"/>
                <w:highlight w:val="none"/>
                <w:lang w:eastAsia="zh-CN"/>
              </w:rPr>
              <w:t>管</w:t>
            </w:r>
            <w:r>
              <w:rPr>
                <w:rFonts w:hAnsi="Calibri"/>
                <w:spacing w:val="2"/>
                <w:highlight w:val="none"/>
                <w:lang w:eastAsia="zh-CN"/>
              </w:rPr>
              <w:t>涵</w:t>
            </w:r>
            <w:r>
              <w:rPr>
                <w:rFonts w:hAnsi="Calibri"/>
                <w:spacing w:val="-30"/>
                <w:highlight w:val="none"/>
                <w:lang w:eastAsia="zh-CN"/>
              </w:rPr>
              <w:t>，</w:t>
            </w:r>
            <w:r>
              <w:rPr>
                <w:rFonts w:hAnsi="Calibri"/>
                <w:spacing w:val="2"/>
                <w:highlight w:val="none"/>
                <w:lang w:eastAsia="zh-CN"/>
              </w:rPr>
              <w:t>管</w:t>
            </w:r>
            <w:r>
              <w:rPr>
                <w:rFonts w:hAnsi="Calibri"/>
                <w:spacing w:val="-1"/>
                <w:highlight w:val="none"/>
                <w:lang w:eastAsia="zh-CN"/>
              </w:rPr>
              <w:t>涵</w:t>
            </w:r>
            <w:r>
              <w:rPr>
                <w:rFonts w:hAnsi="Calibri"/>
                <w:highlight w:val="none"/>
                <w:lang w:eastAsia="zh-CN"/>
              </w:rPr>
              <w:t>长</w:t>
            </w:r>
            <w:r>
              <w:rPr>
                <w:rFonts w:hint="eastAsia" w:hAnsi="Calibri"/>
                <w:spacing w:val="1"/>
                <w:highlight w:val="none"/>
                <w:lang w:eastAsia="zh-CN"/>
              </w:rPr>
              <w:t>550</w:t>
            </w:r>
            <w:r>
              <w:rPr>
                <w:rFonts w:hAnsi="Calibri"/>
                <w:highlight w:val="none"/>
                <w:lang w:eastAsia="zh-CN"/>
              </w:rPr>
              <w:t>m</w:t>
            </w:r>
            <w:r>
              <w:rPr>
                <w:rFonts w:hAnsi="Calibri"/>
                <w:spacing w:val="-30"/>
                <w:highlight w:val="none"/>
                <w:lang w:eastAsia="zh-CN"/>
              </w:rPr>
              <w:t>，</w:t>
            </w:r>
            <w:r>
              <w:rPr>
                <w:rFonts w:hAnsi="Calibri"/>
                <w:highlight w:val="none"/>
                <w:lang w:eastAsia="zh-CN"/>
              </w:rPr>
              <w:t>采</w:t>
            </w:r>
            <w:r>
              <w:rPr>
                <w:rFonts w:hAnsi="Calibri"/>
                <w:spacing w:val="4"/>
                <w:highlight w:val="none"/>
                <w:lang w:eastAsia="zh-CN"/>
              </w:rPr>
              <w:t>用</w:t>
            </w:r>
            <w:r>
              <w:rPr>
                <w:rFonts w:hAnsi="Calibri"/>
                <w:spacing w:val="2"/>
                <w:highlight w:val="none"/>
                <w:lang w:eastAsia="zh-CN"/>
              </w:rPr>
              <w:t>满</w:t>
            </w:r>
            <w:r>
              <w:rPr>
                <w:rFonts w:hAnsi="Calibri"/>
                <w:spacing w:val="4"/>
                <w:highlight w:val="none"/>
                <w:lang w:eastAsia="zh-CN"/>
              </w:rPr>
              <w:t>流计算</w:t>
            </w:r>
            <w:r>
              <w:rPr>
                <w:rFonts w:hAnsi="Calibri"/>
                <w:spacing w:val="2"/>
                <w:highlight w:val="none"/>
                <w:lang w:eastAsia="zh-CN"/>
              </w:rPr>
              <w:t>，</w:t>
            </w:r>
            <w:r>
              <w:rPr>
                <w:rFonts w:hAnsi="Calibri"/>
                <w:spacing w:val="4"/>
                <w:highlight w:val="none"/>
                <w:lang w:eastAsia="zh-CN"/>
              </w:rPr>
              <w:t>设计</w:t>
            </w:r>
            <w:r>
              <w:rPr>
                <w:rFonts w:hAnsi="Calibri"/>
                <w:spacing w:val="2"/>
                <w:highlight w:val="none"/>
                <w:lang w:eastAsia="zh-CN"/>
              </w:rPr>
              <w:t>坡</w:t>
            </w:r>
            <w:r>
              <w:rPr>
                <w:rFonts w:hAnsi="Calibri"/>
                <w:highlight w:val="none"/>
                <w:lang w:eastAsia="zh-CN"/>
              </w:rPr>
              <w:t>度</w:t>
            </w:r>
            <w:r>
              <w:rPr>
                <w:rFonts w:hAnsi="Calibri"/>
                <w:spacing w:val="1"/>
                <w:highlight w:val="none"/>
                <w:lang w:eastAsia="zh-CN"/>
              </w:rPr>
              <w:t>3%</w:t>
            </w:r>
            <w:r>
              <w:rPr>
                <w:rFonts w:hAnsi="Calibri"/>
                <w:spacing w:val="2"/>
                <w:highlight w:val="none"/>
                <w:lang w:eastAsia="zh-CN"/>
              </w:rPr>
              <w:t>，</w:t>
            </w:r>
            <w:r>
              <w:rPr>
                <w:rFonts w:hAnsi="Calibri"/>
                <w:spacing w:val="4"/>
                <w:highlight w:val="none"/>
                <w:lang w:eastAsia="zh-CN"/>
              </w:rPr>
              <w:t>最</w:t>
            </w:r>
            <w:r>
              <w:rPr>
                <w:rFonts w:hAnsi="Calibri"/>
                <w:spacing w:val="2"/>
                <w:highlight w:val="none"/>
                <w:lang w:eastAsia="zh-CN"/>
              </w:rPr>
              <w:t>大</w:t>
            </w:r>
            <w:r>
              <w:rPr>
                <w:rFonts w:hAnsi="Calibri"/>
                <w:spacing w:val="4"/>
                <w:highlight w:val="none"/>
                <w:lang w:eastAsia="zh-CN"/>
              </w:rPr>
              <w:t>流</w:t>
            </w:r>
            <w:r>
              <w:rPr>
                <w:rFonts w:hAnsi="Calibri"/>
                <w:highlight w:val="none"/>
                <w:lang w:eastAsia="zh-CN"/>
              </w:rPr>
              <w:t>速</w:t>
            </w:r>
            <w:r>
              <w:rPr>
                <w:rFonts w:hAnsi="Calibri"/>
                <w:spacing w:val="1"/>
                <w:highlight w:val="none"/>
                <w:lang w:eastAsia="zh-CN"/>
              </w:rPr>
              <w:t>3</w:t>
            </w:r>
            <w:r>
              <w:rPr>
                <w:rFonts w:hAnsi="Calibri"/>
                <w:highlight w:val="none"/>
                <w:lang w:eastAsia="zh-CN"/>
              </w:rPr>
              <w:t>.</w:t>
            </w:r>
            <w:r>
              <w:rPr>
                <w:rFonts w:hAnsi="Calibri"/>
                <w:spacing w:val="1"/>
                <w:highlight w:val="none"/>
                <w:lang w:eastAsia="zh-CN"/>
              </w:rPr>
              <w:t>13</w:t>
            </w:r>
            <w:r>
              <w:rPr>
                <w:rFonts w:hAnsi="Calibri"/>
                <w:spacing w:val="-2"/>
                <w:highlight w:val="none"/>
                <w:lang w:eastAsia="zh-CN"/>
              </w:rPr>
              <w:t>m/</w:t>
            </w:r>
            <w:r>
              <w:rPr>
                <w:rFonts w:hAnsi="Calibri"/>
                <w:spacing w:val="2"/>
                <w:highlight w:val="none"/>
                <w:lang w:eastAsia="zh-CN"/>
              </w:rPr>
              <w:t>s</w:t>
            </w:r>
            <w:r>
              <w:rPr>
                <w:rFonts w:hAnsi="Calibri"/>
                <w:spacing w:val="4"/>
                <w:highlight w:val="none"/>
                <w:lang w:eastAsia="zh-CN"/>
              </w:rPr>
              <w:t>，</w:t>
            </w:r>
            <w:r>
              <w:rPr>
                <w:rFonts w:hAnsi="Calibri"/>
                <w:highlight w:val="none"/>
                <w:lang w:eastAsia="zh-CN"/>
              </w:rPr>
              <w:t>最</w:t>
            </w:r>
            <w:r>
              <w:rPr>
                <w:rFonts w:hAnsi="Calibri"/>
                <w:spacing w:val="-1"/>
                <w:w w:val="95"/>
                <w:highlight w:val="none"/>
                <w:lang w:eastAsia="zh-CN"/>
              </w:rPr>
              <w:t>大</w:t>
            </w:r>
            <w:r>
              <w:rPr>
                <w:rFonts w:hAnsi="Calibri"/>
                <w:spacing w:val="1"/>
                <w:w w:val="95"/>
                <w:highlight w:val="none"/>
                <w:lang w:eastAsia="zh-CN"/>
              </w:rPr>
              <w:t>排</w:t>
            </w:r>
            <w:r>
              <w:rPr>
                <w:rFonts w:hAnsi="Calibri"/>
                <w:spacing w:val="-1"/>
                <w:w w:val="95"/>
                <w:highlight w:val="none"/>
                <w:lang w:eastAsia="zh-CN"/>
              </w:rPr>
              <w:t>水</w:t>
            </w:r>
            <w:r>
              <w:rPr>
                <w:rFonts w:hAnsi="Calibri"/>
                <w:w w:val="95"/>
                <w:highlight w:val="none"/>
                <w:lang w:eastAsia="zh-CN"/>
              </w:rPr>
              <w:t>量0.</w:t>
            </w:r>
            <w:r>
              <w:rPr>
                <w:rFonts w:hAnsi="Calibri"/>
                <w:spacing w:val="-2"/>
                <w:w w:val="95"/>
                <w:highlight w:val="none"/>
                <w:lang w:eastAsia="zh-CN"/>
              </w:rPr>
              <w:t>6</w:t>
            </w:r>
            <w:r>
              <w:rPr>
                <w:rFonts w:hAnsi="Calibri"/>
                <w:w w:val="95"/>
                <w:highlight w:val="none"/>
                <w:lang w:eastAsia="zh-CN"/>
              </w:rPr>
              <w:t>3m</w:t>
            </w:r>
            <w:r>
              <w:rPr>
                <w:rFonts w:hAnsi="Calibri"/>
                <w:spacing w:val="-2"/>
                <w:w w:val="95"/>
                <w:position w:val="7"/>
                <w:sz w:val="13"/>
                <w:szCs w:val="13"/>
                <w:highlight w:val="none"/>
                <w:lang w:eastAsia="zh-CN"/>
              </w:rPr>
              <w:t>3</w:t>
            </w:r>
            <w:r>
              <w:rPr>
                <w:rFonts w:hAnsi="Calibri"/>
                <w:spacing w:val="-2"/>
                <w:w w:val="95"/>
                <w:highlight w:val="none"/>
                <w:lang w:eastAsia="zh-CN"/>
              </w:rPr>
              <w:t>/</w:t>
            </w:r>
            <w:r>
              <w:rPr>
                <w:rFonts w:hAnsi="Calibri"/>
                <w:w w:val="95"/>
                <w:highlight w:val="none"/>
                <w:lang w:eastAsia="zh-CN"/>
              </w:rPr>
              <w:t>s</w:t>
            </w:r>
            <w:r>
              <w:rPr>
                <w:rFonts w:hint="eastAsia" w:hAnsi="Calibri"/>
                <w:w w:val="95"/>
                <w:highlight w:val="none"/>
                <w:lang w:eastAsia="zh-CN"/>
              </w:rPr>
              <w:t>。在库内澄清水边线以内修筑排水井，设计排水井采用砼框架式结构，底部由直径1000mm混凝土管连通，并延伸至拦渣坝外坡以外。</w:t>
            </w:r>
          </w:p>
        </w:tc>
        <w:tc>
          <w:tcPr>
            <w:tcW w:w="809" w:type="dxa"/>
            <w:vAlign w:val="center"/>
          </w:tcPr>
          <w:p>
            <w:pPr>
              <w:pStyle w:val="64"/>
              <w:widowControl w:val="0"/>
              <w:rPr>
                <w:rFonts w:hAnsi="宋体"/>
                <w:highlight w:val="none"/>
                <w:lang w:eastAsia="en-US"/>
              </w:rPr>
            </w:pPr>
            <w:r>
              <w:rPr>
                <w:rFonts w:hAnsi="宋体"/>
                <w:spacing w:val="-1"/>
                <w:highlight w:val="none"/>
                <w:lang w:eastAsia="en-US"/>
              </w:rPr>
              <w:t>新</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17" w:type="dxa"/>
            <w:vAlign w:val="center"/>
          </w:tcPr>
          <w:p>
            <w:pPr>
              <w:pStyle w:val="64"/>
              <w:widowControl w:val="0"/>
              <w:rPr>
                <w:rFonts w:hAnsi="宋体"/>
                <w:highlight w:val="none"/>
                <w:lang w:eastAsia="en-US"/>
              </w:rPr>
            </w:pPr>
            <w:r>
              <w:rPr>
                <w:rFonts w:hAnsi="宋体"/>
                <w:highlight w:val="none"/>
                <w:lang w:eastAsia="en-US"/>
              </w:rPr>
              <w:t>4</w:t>
            </w:r>
          </w:p>
        </w:tc>
        <w:tc>
          <w:tcPr>
            <w:tcW w:w="1279" w:type="dxa"/>
            <w:vAlign w:val="center"/>
          </w:tcPr>
          <w:p>
            <w:pPr>
              <w:pStyle w:val="64"/>
              <w:widowControl w:val="0"/>
              <w:rPr>
                <w:rFonts w:hAnsi="宋体"/>
                <w:highlight w:val="none"/>
                <w:lang w:eastAsia="en-US"/>
              </w:rPr>
            </w:pPr>
            <w:r>
              <w:rPr>
                <w:rFonts w:hAnsi="宋体"/>
                <w:spacing w:val="-1"/>
                <w:highlight w:val="none"/>
                <w:lang w:eastAsia="en-US"/>
              </w:rPr>
              <w:t>截</w:t>
            </w:r>
            <w:r>
              <w:rPr>
                <w:rFonts w:hAnsi="宋体"/>
                <w:spacing w:val="2"/>
                <w:highlight w:val="none"/>
                <w:lang w:eastAsia="en-US"/>
              </w:rPr>
              <w:t>水</w:t>
            </w:r>
            <w:r>
              <w:rPr>
                <w:rFonts w:hAnsi="宋体"/>
                <w:highlight w:val="none"/>
                <w:lang w:eastAsia="en-US"/>
              </w:rPr>
              <w:t>沟</w:t>
            </w:r>
          </w:p>
        </w:tc>
        <w:tc>
          <w:tcPr>
            <w:tcW w:w="6043" w:type="dxa"/>
            <w:vAlign w:val="center"/>
          </w:tcPr>
          <w:p>
            <w:pPr>
              <w:pStyle w:val="234"/>
              <w:rPr>
                <w:rFonts w:hAnsi="Calibri"/>
                <w:highlight w:val="none"/>
                <w:lang w:eastAsia="en-US"/>
              </w:rPr>
            </w:pPr>
            <w:r>
              <w:rPr>
                <w:rFonts w:hAnsi="Calibri"/>
                <w:highlight w:val="none"/>
                <w:lang w:eastAsia="zh-CN"/>
              </w:rPr>
              <w:t>设计为矩形断面，净宽0.5m，净深0.55m，壁厚0.3m，采用M7.5水泥砂浆砌MU30片石结构，</w:t>
            </w:r>
            <w:r>
              <w:rPr>
                <w:rFonts w:hint="eastAsia" w:hAnsi="Calibri"/>
                <w:highlight w:val="none"/>
                <w:lang w:eastAsia="zh-CN"/>
              </w:rPr>
              <w:t>本项目尾矿库西侧为道路，现场踏勘道路较西侧农田高，尾矿库西侧雨水不会进入尾矿库内，因此尾矿库西侧不设置</w:t>
            </w:r>
            <w:r>
              <w:rPr>
                <w:rFonts w:hAnsi="Calibri"/>
                <w:highlight w:val="none"/>
                <w:lang w:eastAsia="zh-CN"/>
              </w:rPr>
              <w:t>截水沟</w:t>
            </w:r>
            <w:r>
              <w:rPr>
                <w:rFonts w:hint="eastAsia" w:hAnsi="Calibri"/>
                <w:highlight w:val="none"/>
                <w:lang w:eastAsia="zh-CN"/>
              </w:rPr>
              <w:t>；东侧为农田</w:t>
            </w:r>
            <w:r>
              <w:rPr>
                <w:rFonts w:hAnsi="Calibri"/>
                <w:highlight w:val="none"/>
                <w:lang w:eastAsia="zh-CN"/>
              </w:rPr>
              <w:t>项目设置截水沟，总长</w:t>
            </w:r>
            <w:r>
              <w:rPr>
                <w:rFonts w:hint="eastAsia" w:hAnsi="Calibri"/>
                <w:highlight w:val="none"/>
                <w:lang w:eastAsia="zh-CN"/>
              </w:rPr>
              <w:t>550</w:t>
            </w:r>
            <w:r>
              <w:rPr>
                <w:rFonts w:hAnsi="Calibri"/>
                <w:highlight w:val="none"/>
                <w:lang w:eastAsia="zh-CN"/>
              </w:rPr>
              <w:t>m</w:t>
            </w:r>
            <w:r>
              <w:rPr>
                <w:rFonts w:hint="eastAsia" w:hAnsi="Calibri"/>
                <w:highlight w:val="none"/>
                <w:lang w:eastAsia="zh-CN"/>
              </w:rPr>
              <w:t>。</w:t>
            </w:r>
            <w:r>
              <w:rPr>
                <w:rFonts w:hint="eastAsia" w:hAnsi="Calibri"/>
                <w:highlight w:val="none"/>
                <w:lang w:eastAsia="en-US"/>
              </w:rPr>
              <w:t>封场后作为灌溉渠。</w:t>
            </w:r>
          </w:p>
        </w:tc>
        <w:tc>
          <w:tcPr>
            <w:tcW w:w="809" w:type="dxa"/>
            <w:vAlign w:val="center"/>
          </w:tcPr>
          <w:p>
            <w:pPr>
              <w:pStyle w:val="64"/>
              <w:widowControl w:val="0"/>
              <w:rPr>
                <w:rFonts w:hAnsi="宋体"/>
                <w:highlight w:val="none"/>
                <w:lang w:eastAsia="en-US"/>
              </w:rPr>
            </w:pPr>
            <w:r>
              <w:rPr>
                <w:rFonts w:hAnsi="宋体"/>
                <w:spacing w:val="-1"/>
                <w:highlight w:val="none"/>
                <w:lang w:eastAsia="en-US"/>
              </w:rPr>
              <w:t>新</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17" w:type="dxa"/>
            <w:vAlign w:val="center"/>
          </w:tcPr>
          <w:p>
            <w:pPr>
              <w:pStyle w:val="64"/>
              <w:widowControl w:val="0"/>
              <w:rPr>
                <w:rFonts w:hAnsi="宋体"/>
                <w:highlight w:val="none"/>
                <w:lang w:eastAsia="en-US"/>
              </w:rPr>
            </w:pPr>
            <w:r>
              <w:rPr>
                <w:rFonts w:hAnsi="宋体"/>
                <w:highlight w:val="none"/>
                <w:lang w:eastAsia="en-US"/>
              </w:rPr>
              <w:t>7</w:t>
            </w:r>
          </w:p>
        </w:tc>
        <w:tc>
          <w:tcPr>
            <w:tcW w:w="1279" w:type="dxa"/>
            <w:vAlign w:val="center"/>
          </w:tcPr>
          <w:p>
            <w:pPr>
              <w:pStyle w:val="64"/>
              <w:widowControl w:val="0"/>
              <w:rPr>
                <w:rFonts w:hAnsi="宋体"/>
                <w:highlight w:val="none"/>
                <w:lang w:eastAsia="en-US"/>
              </w:rPr>
            </w:pPr>
            <w:r>
              <w:rPr>
                <w:rFonts w:hAnsi="宋体"/>
                <w:spacing w:val="-1"/>
                <w:highlight w:val="none"/>
                <w:lang w:eastAsia="en-US"/>
              </w:rPr>
              <w:t>生</w:t>
            </w:r>
            <w:r>
              <w:rPr>
                <w:rFonts w:hAnsi="宋体"/>
                <w:spacing w:val="2"/>
                <w:highlight w:val="none"/>
                <w:lang w:eastAsia="en-US"/>
              </w:rPr>
              <w:t>态</w:t>
            </w:r>
            <w:r>
              <w:rPr>
                <w:rFonts w:hAnsi="宋体"/>
                <w:spacing w:val="-1"/>
                <w:highlight w:val="none"/>
                <w:lang w:eastAsia="en-US"/>
              </w:rPr>
              <w:t>恢</w:t>
            </w:r>
            <w:r>
              <w:rPr>
                <w:rFonts w:hAnsi="宋体"/>
                <w:spacing w:val="2"/>
                <w:highlight w:val="none"/>
                <w:lang w:eastAsia="en-US"/>
              </w:rPr>
              <w:t>复</w:t>
            </w:r>
            <w:r>
              <w:rPr>
                <w:rFonts w:hAnsi="宋体"/>
                <w:spacing w:val="-1"/>
                <w:highlight w:val="none"/>
                <w:lang w:eastAsia="en-US"/>
              </w:rPr>
              <w:t>工</w:t>
            </w:r>
            <w:r>
              <w:rPr>
                <w:rFonts w:hAnsi="宋体"/>
                <w:highlight w:val="none"/>
                <w:lang w:eastAsia="en-US"/>
              </w:rPr>
              <w:t>程</w:t>
            </w:r>
          </w:p>
        </w:tc>
        <w:tc>
          <w:tcPr>
            <w:tcW w:w="6043" w:type="dxa"/>
            <w:vAlign w:val="center"/>
          </w:tcPr>
          <w:p>
            <w:pPr>
              <w:pStyle w:val="64"/>
              <w:widowControl w:val="0"/>
              <w:rPr>
                <w:rFonts w:hAnsi="宋体"/>
                <w:highlight w:val="none"/>
                <w:lang w:eastAsia="zh-CN"/>
              </w:rPr>
            </w:pPr>
            <w:r>
              <w:rPr>
                <w:rFonts w:hint="eastAsia" w:hAnsi="宋体"/>
                <w:highlight w:val="none"/>
                <w:lang w:eastAsia="zh-CN"/>
              </w:rPr>
              <w:t>尾矿库封场后上面1米覆壤土，封场后恢复为耕地，封场后的高程与东侧耕地高程一致</w:t>
            </w:r>
            <w:r>
              <w:rPr>
                <w:rFonts w:hAnsi="宋体"/>
                <w:highlight w:val="none"/>
                <w:lang w:eastAsia="zh-CN"/>
              </w:rPr>
              <w:t>，恢复耕地面积</w:t>
            </w:r>
            <w:r>
              <w:rPr>
                <w:rFonts w:hint="eastAsia" w:hAnsi="宋体"/>
                <w:highlight w:val="none"/>
                <w:lang w:eastAsia="zh-CN"/>
              </w:rPr>
              <w:t>1.97hm</w:t>
            </w:r>
            <w:r>
              <w:rPr>
                <w:rFonts w:hint="eastAsia" w:hAnsi="宋体"/>
                <w:highlight w:val="none"/>
                <w:vertAlign w:val="superscript"/>
                <w:lang w:eastAsia="zh-CN"/>
              </w:rPr>
              <w:t>2</w:t>
            </w:r>
            <w:r>
              <w:rPr>
                <w:rFonts w:hint="eastAsia" w:hAnsi="宋体"/>
                <w:highlight w:val="none"/>
                <w:lang w:eastAsia="zh-CN"/>
              </w:rPr>
              <w:t>。</w:t>
            </w:r>
            <w:r>
              <w:rPr>
                <w:rFonts w:hAnsi="宋体"/>
                <w:highlight w:val="none"/>
                <w:lang w:eastAsia="zh-CN"/>
              </w:rPr>
              <w:t xml:space="preserve"> </w:t>
            </w:r>
          </w:p>
        </w:tc>
        <w:tc>
          <w:tcPr>
            <w:tcW w:w="809" w:type="dxa"/>
            <w:vAlign w:val="center"/>
          </w:tcPr>
          <w:p>
            <w:pPr>
              <w:pStyle w:val="64"/>
              <w:widowControl w:val="0"/>
              <w:rPr>
                <w:rFonts w:hAnsi="宋体"/>
                <w:highlight w:val="none"/>
                <w:lang w:eastAsia="en-US"/>
              </w:rPr>
            </w:pPr>
            <w:r>
              <w:rPr>
                <w:rFonts w:hAnsi="宋体"/>
                <w:spacing w:val="-1"/>
                <w:highlight w:val="none"/>
                <w:lang w:eastAsia="en-US"/>
              </w:rPr>
              <w:t>新</w:t>
            </w:r>
            <w:r>
              <w:rPr>
                <w:rFonts w:hAnsi="宋体"/>
                <w:highlight w:val="none"/>
                <w:lang w:eastAsia="en-US"/>
              </w:rPr>
              <w:t>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17" w:type="dxa"/>
            <w:vAlign w:val="center"/>
          </w:tcPr>
          <w:p>
            <w:pPr>
              <w:pStyle w:val="64"/>
              <w:widowControl w:val="0"/>
              <w:rPr>
                <w:rFonts w:hAnsi="宋体"/>
                <w:highlight w:val="none"/>
                <w:lang w:eastAsia="en-US"/>
              </w:rPr>
            </w:pPr>
            <w:r>
              <w:rPr>
                <w:rFonts w:hAnsi="宋体"/>
                <w:highlight w:val="none"/>
                <w:lang w:eastAsia="en-US"/>
              </w:rPr>
              <w:t>8</w:t>
            </w:r>
          </w:p>
        </w:tc>
        <w:tc>
          <w:tcPr>
            <w:tcW w:w="1279" w:type="dxa"/>
            <w:vAlign w:val="center"/>
          </w:tcPr>
          <w:p>
            <w:pPr>
              <w:pStyle w:val="64"/>
              <w:widowControl w:val="0"/>
              <w:rPr>
                <w:rFonts w:hAnsi="宋体"/>
                <w:highlight w:val="none"/>
                <w:lang w:eastAsia="en-US"/>
              </w:rPr>
            </w:pPr>
            <w:r>
              <w:rPr>
                <w:rFonts w:hAnsi="宋体"/>
                <w:spacing w:val="-1"/>
                <w:highlight w:val="none"/>
                <w:lang w:eastAsia="en-US"/>
              </w:rPr>
              <w:t>取</w:t>
            </w:r>
            <w:r>
              <w:rPr>
                <w:rFonts w:hAnsi="宋体"/>
                <w:spacing w:val="2"/>
                <w:highlight w:val="none"/>
                <w:lang w:eastAsia="en-US"/>
              </w:rPr>
              <w:t>土</w:t>
            </w:r>
            <w:r>
              <w:rPr>
                <w:rFonts w:hAnsi="宋体"/>
                <w:spacing w:val="-1"/>
                <w:highlight w:val="none"/>
                <w:lang w:eastAsia="en-US"/>
              </w:rPr>
              <w:t>工</w:t>
            </w:r>
            <w:r>
              <w:rPr>
                <w:rFonts w:hAnsi="宋体"/>
                <w:highlight w:val="none"/>
                <w:lang w:eastAsia="en-US"/>
              </w:rPr>
              <w:t>程</w:t>
            </w:r>
          </w:p>
        </w:tc>
        <w:tc>
          <w:tcPr>
            <w:tcW w:w="6043" w:type="dxa"/>
            <w:vAlign w:val="center"/>
          </w:tcPr>
          <w:p>
            <w:pPr>
              <w:pStyle w:val="64"/>
              <w:widowControl w:val="0"/>
              <w:rPr>
                <w:rFonts w:hAnsi="宋体"/>
                <w:highlight w:val="none"/>
                <w:lang w:eastAsia="zh-CN"/>
              </w:rPr>
            </w:pPr>
            <w:r>
              <w:rPr>
                <w:rFonts w:hAnsi="宋体"/>
                <w:spacing w:val="1"/>
                <w:w w:val="95"/>
                <w:highlight w:val="none"/>
                <w:lang w:eastAsia="zh-CN"/>
              </w:rPr>
              <w:t>项</w:t>
            </w:r>
            <w:r>
              <w:rPr>
                <w:rFonts w:hAnsi="宋体"/>
                <w:spacing w:val="-1"/>
                <w:w w:val="95"/>
                <w:highlight w:val="none"/>
                <w:lang w:eastAsia="zh-CN"/>
              </w:rPr>
              <w:t>目</w:t>
            </w:r>
            <w:r>
              <w:rPr>
                <w:rFonts w:hAnsi="宋体"/>
                <w:spacing w:val="1"/>
                <w:w w:val="95"/>
                <w:highlight w:val="none"/>
                <w:lang w:eastAsia="zh-CN"/>
              </w:rPr>
              <w:t>共</w:t>
            </w:r>
            <w:r>
              <w:rPr>
                <w:rFonts w:hAnsi="宋体"/>
                <w:spacing w:val="-1"/>
                <w:w w:val="95"/>
                <w:highlight w:val="none"/>
                <w:lang w:eastAsia="zh-CN"/>
              </w:rPr>
              <w:t>需</w:t>
            </w:r>
            <w:r>
              <w:rPr>
                <w:rFonts w:hAnsi="宋体"/>
                <w:spacing w:val="1"/>
                <w:w w:val="95"/>
                <w:highlight w:val="none"/>
                <w:lang w:eastAsia="zh-CN"/>
              </w:rPr>
              <w:t>覆土</w:t>
            </w:r>
            <w:r>
              <w:rPr>
                <w:rFonts w:hAnsi="宋体"/>
                <w:spacing w:val="-1"/>
                <w:w w:val="95"/>
                <w:highlight w:val="none"/>
                <w:lang w:eastAsia="zh-CN"/>
              </w:rPr>
              <w:t>量</w:t>
            </w:r>
            <w:r>
              <w:rPr>
                <w:rFonts w:hAnsi="宋体"/>
                <w:w w:val="95"/>
                <w:highlight w:val="none"/>
                <w:lang w:eastAsia="zh-CN"/>
              </w:rPr>
              <w:t>约</w:t>
            </w:r>
            <w:r>
              <w:rPr>
                <w:rFonts w:hAnsi="宋体" w:cs="hakuyoxingshu7000"/>
                <w:w w:val="95"/>
                <w:highlight w:val="none"/>
                <w:lang w:eastAsia="zh-CN"/>
              </w:rPr>
              <w:t>1.</w:t>
            </w:r>
            <w:r>
              <w:rPr>
                <w:rFonts w:hint="eastAsia" w:hAnsi="宋体" w:cs="hakuyoxingshu7000"/>
                <w:w w:val="95"/>
                <w:highlight w:val="none"/>
                <w:lang w:eastAsia="zh-CN"/>
              </w:rPr>
              <w:t>97</w:t>
            </w:r>
            <w:r>
              <w:rPr>
                <w:rFonts w:hAnsi="宋体"/>
                <w:w w:val="95"/>
                <w:highlight w:val="none"/>
                <w:lang w:eastAsia="zh-CN"/>
              </w:rPr>
              <w:t>万</w:t>
            </w:r>
            <w:r>
              <w:rPr>
                <w:rFonts w:hAnsi="宋体" w:cs="hakuyoxingshu7000"/>
                <w:w w:val="95"/>
                <w:highlight w:val="none"/>
                <w:lang w:eastAsia="zh-CN"/>
              </w:rPr>
              <w:t>m</w:t>
            </w:r>
            <w:r>
              <w:rPr>
                <w:rFonts w:hAnsi="宋体" w:cs="hakuyoxingshu7000"/>
                <w:spacing w:val="-2"/>
                <w:w w:val="95"/>
                <w:position w:val="7"/>
                <w:sz w:val="13"/>
                <w:szCs w:val="13"/>
                <w:highlight w:val="none"/>
                <w:lang w:eastAsia="zh-CN"/>
              </w:rPr>
              <w:t>3</w:t>
            </w:r>
            <w:r>
              <w:rPr>
                <w:rFonts w:hAnsi="宋体"/>
                <w:spacing w:val="1"/>
                <w:w w:val="95"/>
                <w:highlight w:val="none"/>
                <w:lang w:eastAsia="zh-CN"/>
              </w:rPr>
              <w:t>，</w:t>
            </w:r>
            <w:r>
              <w:rPr>
                <w:rFonts w:hAnsi="宋体"/>
                <w:spacing w:val="-1"/>
                <w:w w:val="95"/>
                <w:highlight w:val="none"/>
                <w:lang w:eastAsia="zh-CN"/>
              </w:rPr>
              <w:t>沟</w:t>
            </w:r>
            <w:r>
              <w:rPr>
                <w:rFonts w:hAnsi="宋体"/>
                <w:spacing w:val="1"/>
                <w:w w:val="95"/>
                <w:highlight w:val="none"/>
                <w:lang w:eastAsia="zh-CN"/>
              </w:rPr>
              <w:t>内</w:t>
            </w:r>
            <w:r>
              <w:rPr>
                <w:rFonts w:hAnsi="宋体"/>
                <w:spacing w:val="-1"/>
                <w:w w:val="95"/>
                <w:highlight w:val="none"/>
                <w:lang w:eastAsia="zh-CN"/>
              </w:rPr>
              <w:t>剥</w:t>
            </w:r>
            <w:r>
              <w:rPr>
                <w:rFonts w:hAnsi="宋体"/>
                <w:spacing w:val="1"/>
                <w:w w:val="95"/>
                <w:highlight w:val="none"/>
                <w:lang w:eastAsia="zh-CN"/>
              </w:rPr>
              <w:t>离表</w:t>
            </w:r>
            <w:r>
              <w:rPr>
                <w:rFonts w:hAnsi="宋体"/>
                <w:spacing w:val="-1"/>
                <w:w w:val="95"/>
                <w:highlight w:val="none"/>
                <w:lang w:eastAsia="zh-CN"/>
              </w:rPr>
              <w:t>土</w:t>
            </w:r>
            <w:r>
              <w:rPr>
                <w:rFonts w:hAnsi="宋体"/>
                <w:w w:val="95"/>
                <w:highlight w:val="none"/>
                <w:lang w:eastAsia="zh-CN"/>
              </w:rPr>
              <w:t>约</w:t>
            </w:r>
            <w:r>
              <w:rPr>
                <w:rFonts w:hAnsi="宋体" w:cs="hakuyoxingshu7000"/>
                <w:w w:val="95"/>
                <w:highlight w:val="none"/>
                <w:lang w:eastAsia="zh-CN"/>
              </w:rPr>
              <w:t>0.</w:t>
            </w:r>
            <w:r>
              <w:rPr>
                <w:rFonts w:hint="eastAsia" w:hAnsi="宋体" w:cs="hakuyoxingshu7000"/>
                <w:w w:val="95"/>
                <w:highlight w:val="none"/>
                <w:lang w:eastAsia="zh-CN"/>
              </w:rPr>
              <w:t>8</w:t>
            </w:r>
            <w:r>
              <w:rPr>
                <w:rFonts w:hAnsi="宋体"/>
                <w:highlight w:val="none"/>
                <w:lang w:eastAsia="zh-CN"/>
              </w:rPr>
              <w:t>万</w:t>
            </w:r>
            <w:r>
              <w:rPr>
                <w:rFonts w:hAnsi="宋体" w:cs="hakuyoxingshu7000"/>
                <w:highlight w:val="none"/>
                <w:lang w:eastAsia="zh-CN"/>
              </w:rPr>
              <w:t>m</w:t>
            </w:r>
            <w:r>
              <w:rPr>
                <w:rFonts w:hAnsi="宋体" w:cs="hakuyoxingshu7000"/>
                <w:spacing w:val="-2"/>
                <w:position w:val="7"/>
                <w:sz w:val="13"/>
                <w:szCs w:val="13"/>
                <w:highlight w:val="none"/>
                <w:lang w:eastAsia="zh-CN"/>
              </w:rPr>
              <w:t>3</w:t>
            </w:r>
            <w:r>
              <w:rPr>
                <w:rFonts w:hAnsi="宋体"/>
                <w:spacing w:val="2"/>
                <w:highlight w:val="none"/>
                <w:lang w:eastAsia="zh-CN"/>
              </w:rPr>
              <w:t>，</w:t>
            </w:r>
            <w:r>
              <w:rPr>
                <w:rFonts w:hAnsi="宋体"/>
                <w:spacing w:val="-1"/>
                <w:highlight w:val="none"/>
                <w:lang w:eastAsia="zh-CN"/>
              </w:rPr>
              <w:t>堆</w:t>
            </w:r>
            <w:r>
              <w:rPr>
                <w:rFonts w:hAnsi="宋体"/>
                <w:spacing w:val="2"/>
                <w:highlight w:val="none"/>
                <w:lang w:eastAsia="zh-CN"/>
              </w:rPr>
              <w:t>置</w:t>
            </w:r>
            <w:r>
              <w:rPr>
                <w:rFonts w:hAnsi="宋体"/>
                <w:spacing w:val="-1"/>
                <w:highlight w:val="none"/>
                <w:lang w:eastAsia="zh-CN"/>
              </w:rPr>
              <w:t>在</w:t>
            </w:r>
            <w:r>
              <w:rPr>
                <w:rFonts w:hAnsi="宋体"/>
                <w:spacing w:val="2"/>
                <w:highlight w:val="none"/>
                <w:lang w:eastAsia="zh-CN"/>
              </w:rPr>
              <w:t>荒</w:t>
            </w:r>
            <w:r>
              <w:rPr>
                <w:rFonts w:hAnsi="宋体"/>
                <w:spacing w:val="-1"/>
                <w:highlight w:val="none"/>
                <w:lang w:eastAsia="zh-CN"/>
              </w:rPr>
              <w:t>沟</w:t>
            </w:r>
            <w:r>
              <w:rPr>
                <w:rFonts w:hAnsi="宋体"/>
                <w:spacing w:val="2"/>
                <w:highlight w:val="none"/>
                <w:lang w:eastAsia="zh-CN"/>
              </w:rPr>
              <w:t>内</w:t>
            </w:r>
            <w:r>
              <w:rPr>
                <w:rFonts w:hAnsi="宋体"/>
                <w:spacing w:val="-1"/>
                <w:highlight w:val="none"/>
                <w:lang w:eastAsia="zh-CN"/>
              </w:rPr>
              <w:t>空</w:t>
            </w:r>
            <w:r>
              <w:rPr>
                <w:rFonts w:hAnsi="宋体"/>
                <w:spacing w:val="2"/>
                <w:highlight w:val="none"/>
                <w:lang w:eastAsia="zh-CN"/>
              </w:rPr>
              <w:t>闲</w:t>
            </w:r>
            <w:r>
              <w:rPr>
                <w:rFonts w:hAnsi="宋体"/>
                <w:spacing w:val="-1"/>
                <w:highlight w:val="none"/>
                <w:lang w:eastAsia="zh-CN"/>
              </w:rPr>
              <w:t>区</w:t>
            </w:r>
            <w:r>
              <w:rPr>
                <w:rFonts w:hAnsi="宋体"/>
                <w:spacing w:val="2"/>
                <w:highlight w:val="none"/>
                <w:lang w:eastAsia="zh-CN"/>
              </w:rPr>
              <w:t>域</w:t>
            </w:r>
            <w:r>
              <w:rPr>
                <w:rFonts w:hAnsi="宋体"/>
                <w:spacing w:val="-1"/>
                <w:highlight w:val="none"/>
                <w:lang w:eastAsia="zh-CN"/>
              </w:rPr>
              <w:t>，</w:t>
            </w:r>
            <w:r>
              <w:rPr>
                <w:rFonts w:hAnsi="宋体"/>
                <w:spacing w:val="2"/>
                <w:highlight w:val="none"/>
                <w:lang w:eastAsia="zh-CN"/>
              </w:rPr>
              <w:t>随</w:t>
            </w:r>
            <w:r>
              <w:rPr>
                <w:rFonts w:hAnsi="宋体"/>
                <w:spacing w:val="-1"/>
                <w:highlight w:val="none"/>
                <w:lang w:eastAsia="zh-CN"/>
              </w:rPr>
              <w:t>着</w:t>
            </w:r>
            <w:r>
              <w:rPr>
                <w:rFonts w:hAnsi="宋体"/>
                <w:spacing w:val="2"/>
                <w:highlight w:val="none"/>
                <w:lang w:eastAsia="zh-CN"/>
              </w:rPr>
              <w:t>工</w:t>
            </w:r>
            <w:r>
              <w:rPr>
                <w:rFonts w:hAnsi="宋体"/>
                <w:spacing w:val="-1"/>
                <w:highlight w:val="none"/>
                <w:lang w:eastAsia="zh-CN"/>
              </w:rPr>
              <w:t>程</w:t>
            </w:r>
            <w:r>
              <w:rPr>
                <w:rFonts w:hAnsi="宋体"/>
                <w:spacing w:val="2"/>
                <w:highlight w:val="none"/>
                <w:lang w:eastAsia="zh-CN"/>
              </w:rPr>
              <w:t>的</w:t>
            </w:r>
            <w:r>
              <w:rPr>
                <w:rFonts w:hAnsi="宋体"/>
                <w:spacing w:val="-1"/>
                <w:highlight w:val="none"/>
                <w:lang w:eastAsia="zh-CN"/>
              </w:rPr>
              <w:t>推</w:t>
            </w:r>
            <w:r>
              <w:rPr>
                <w:rFonts w:hAnsi="宋体"/>
                <w:spacing w:val="2"/>
                <w:highlight w:val="none"/>
                <w:lang w:eastAsia="zh-CN"/>
              </w:rPr>
              <w:t>进</w:t>
            </w:r>
            <w:r>
              <w:rPr>
                <w:rFonts w:hAnsi="宋体"/>
                <w:highlight w:val="none"/>
                <w:lang w:eastAsia="zh-CN"/>
              </w:rPr>
              <w:t>，</w:t>
            </w:r>
            <w:r>
              <w:rPr>
                <w:rFonts w:hAnsi="宋体"/>
                <w:spacing w:val="-1"/>
                <w:highlight w:val="none"/>
                <w:lang w:eastAsia="zh-CN"/>
              </w:rPr>
              <w:t>土</w:t>
            </w:r>
            <w:r>
              <w:rPr>
                <w:rFonts w:hAnsi="宋体"/>
                <w:spacing w:val="2"/>
                <w:highlight w:val="none"/>
                <w:lang w:eastAsia="zh-CN"/>
              </w:rPr>
              <w:t>方</w:t>
            </w:r>
            <w:r>
              <w:rPr>
                <w:rFonts w:hAnsi="宋体"/>
                <w:spacing w:val="-1"/>
                <w:highlight w:val="none"/>
                <w:lang w:eastAsia="zh-CN"/>
              </w:rPr>
              <w:t>量</w:t>
            </w:r>
            <w:r>
              <w:rPr>
                <w:rFonts w:hAnsi="宋体"/>
                <w:spacing w:val="2"/>
                <w:highlight w:val="none"/>
                <w:lang w:eastAsia="zh-CN"/>
              </w:rPr>
              <w:t>逐</w:t>
            </w:r>
            <w:r>
              <w:rPr>
                <w:rFonts w:hAnsi="宋体"/>
                <w:spacing w:val="-1"/>
                <w:highlight w:val="none"/>
                <w:lang w:eastAsia="zh-CN"/>
              </w:rPr>
              <w:t>渐</w:t>
            </w:r>
            <w:r>
              <w:rPr>
                <w:rFonts w:hAnsi="宋体"/>
                <w:spacing w:val="2"/>
                <w:highlight w:val="none"/>
                <w:lang w:eastAsia="zh-CN"/>
              </w:rPr>
              <w:t>消</w:t>
            </w:r>
            <w:r>
              <w:rPr>
                <w:rFonts w:hAnsi="宋体"/>
                <w:spacing w:val="-1"/>
                <w:highlight w:val="none"/>
                <w:lang w:eastAsia="zh-CN"/>
              </w:rPr>
              <w:t>耗</w:t>
            </w:r>
            <w:r>
              <w:rPr>
                <w:rFonts w:hAnsi="宋体"/>
                <w:spacing w:val="2"/>
                <w:highlight w:val="none"/>
                <w:lang w:eastAsia="zh-CN"/>
              </w:rPr>
              <w:t>掉</w:t>
            </w:r>
            <w:r>
              <w:rPr>
                <w:rFonts w:hAnsi="宋体"/>
                <w:highlight w:val="none"/>
                <w:lang w:eastAsia="zh-CN"/>
              </w:rPr>
              <w:t>。</w:t>
            </w:r>
            <w:r>
              <w:rPr>
                <w:rFonts w:hAnsi="宋体"/>
                <w:spacing w:val="7"/>
                <w:highlight w:val="none"/>
                <w:lang w:eastAsia="zh-CN"/>
              </w:rPr>
              <w:t>剩余</w:t>
            </w:r>
            <w:r>
              <w:rPr>
                <w:rFonts w:hAnsi="宋体"/>
                <w:spacing w:val="4"/>
                <w:highlight w:val="none"/>
                <w:lang w:eastAsia="zh-CN"/>
              </w:rPr>
              <w:t>土</w:t>
            </w:r>
            <w:r>
              <w:rPr>
                <w:rFonts w:hAnsi="宋体"/>
                <w:highlight w:val="none"/>
                <w:lang w:eastAsia="zh-CN"/>
              </w:rPr>
              <w:t>方</w:t>
            </w:r>
            <w:r>
              <w:rPr>
                <w:rFonts w:hAnsi="宋体" w:cs="hakuyoxingshu7000"/>
                <w:spacing w:val="1"/>
                <w:highlight w:val="none"/>
                <w:lang w:eastAsia="zh-CN"/>
              </w:rPr>
              <w:t>1</w:t>
            </w:r>
            <w:r>
              <w:rPr>
                <w:rFonts w:hAnsi="宋体" w:cs="hakuyoxingshu7000"/>
                <w:highlight w:val="none"/>
                <w:lang w:eastAsia="zh-CN"/>
              </w:rPr>
              <w:t>.</w:t>
            </w:r>
            <w:r>
              <w:rPr>
                <w:rFonts w:hint="eastAsia" w:hAnsi="宋体" w:cs="hakuyoxingshu7000"/>
                <w:spacing w:val="1"/>
                <w:highlight w:val="none"/>
                <w:lang w:eastAsia="zh-CN"/>
              </w:rPr>
              <w:t>1</w:t>
            </w:r>
            <w:r>
              <w:rPr>
                <w:rFonts w:hAnsi="宋体" w:cs="hakuyoxingshu7000"/>
                <w:highlight w:val="none"/>
                <w:lang w:eastAsia="zh-CN"/>
              </w:rPr>
              <w:t>7</w:t>
            </w:r>
            <w:r>
              <w:rPr>
                <w:rFonts w:hAnsi="宋体"/>
                <w:highlight w:val="none"/>
                <w:lang w:eastAsia="zh-CN"/>
              </w:rPr>
              <w:t>万</w:t>
            </w:r>
            <w:r>
              <w:rPr>
                <w:rFonts w:hAnsi="宋体" w:cs="hakuyoxingshu7000"/>
                <w:highlight w:val="none"/>
                <w:lang w:eastAsia="zh-CN"/>
              </w:rPr>
              <w:t>m</w:t>
            </w:r>
            <w:r>
              <w:rPr>
                <w:rFonts w:hAnsi="宋体" w:cs="hakuyoxingshu7000"/>
                <w:position w:val="7"/>
                <w:sz w:val="13"/>
                <w:szCs w:val="13"/>
                <w:highlight w:val="none"/>
                <w:lang w:eastAsia="zh-CN"/>
              </w:rPr>
              <w:t>3</w:t>
            </w:r>
            <w:r>
              <w:rPr>
                <w:rFonts w:hAnsi="宋体"/>
                <w:spacing w:val="7"/>
                <w:highlight w:val="none"/>
                <w:lang w:eastAsia="zh-CN"/>
              </w:rPr>
              <w:t>外购</w:t>
            </w:r>
            <w:r>
              <w:rPr>
                <w:rFonts w:hAnsi="宋体"/>
                <w:spacing w:val="4"/>
                <w:highlight w:val="none"/>
                <w:lang w:eastAsia="zh-CN"/>
              </w:rPr>
              <w:t>符</w:t>
            </w:r>
            <w:r>
              <w:rPr>
                <w:rFonts w:hAnsi="宋体"/>
                <w:spacing w:val="7"/>
                <w:highlight w:val="none"/>
                <w:lang w:eastAsia="zh-CN"/>
              </w:rPr>
              <w:t>合要求的土</w:t>
            </w:r>
            <w:r>
              <w:rPr>
                <w:rFonts w:hAnsi="宋体"/>
                <w:spacing w:val="4"/>
                <w:highlight w:val="none"/>
                <w:lang w:eastAsia="zh-CN"/>
              </w:rPr>
              <w:t>壤</w:t>
            </w:r>
            <w:r>
              <w:rPr>
                <w:rFonts w:hAnsi="宋体"/>
                <w:spacing w:val="7"/>
                <w:highlight w:val="none"/>
                <w:lang w:eastAsia="zh-CN"/>
              </w:rPr>
              <w:t>，不单</w:t>
            </w:r>
            <w:r>
              <w:rPr>
                <w:rFonts w:hAnsi="宋体"/>
                <w:highlight w:val="none"/>
                <w:lang w:eastAsia="zh-CN"/>
              </w:rPr>
              <w:t>设</w:t>
            </w:r>
            <w:r>
              <w:rPr>
                <w:rFonts w:hAnsi="宋体"/>
                <w:spacing w:val="-2"/>
                <w:w w:val="105"/>
                <w:highlight w:val="none"/>
                <w:lang w:eastAsia="zh-CN"/>
              </w:rPr>
              <w:t>取</w:t>
            </w:r>
            <w:r>
              <w:rPr>
                <w:rFonts w:hAnsi="宋体"/>
                <w:spacing w:val="2"/>
                <w:w w:val="105"/>
                <w:highlight w:val="none"/>
                <w:lang w:eastAsia="zh-CN"/>
              </w:rPr>
              <w:t>土</w:t>
            </w:r>
            <w:r>
              <w:rPr>
                <w:rFonts w:hAnsi="宋体"/>
                <w:spacing w:val="-2"/>
                <w:w w:val="105"/>
                <w:highlight w:val="none"/>
                <w:lang w:eastAsia="zh-CN"/>
              </w:rPr>
              <w:t>场</w:t>
            </w:r>
            <w:r>
              <w:rPr>
                <w:rFonts w:hAnsi="宋体"/>
                <w:w w:val="105"/>
                <w:highlight w:val="none"/>
                <w:lang w:eastAsia="zh-CN"/>
              </w:rPr>
              <w:t>。</w:t>
            </w:r>
          </w:p>
        </w:tc>
        <w:tc>
          <w:tcPr>
            <w:tcW w:w="809" w:type="dxa"/>
            <w:vAlign w:val="center"/>
          </w:tcPr>
          <w:p>
            <w:pPr>
              <w:pStyle w:val="64"/>
              <w:widowControl w:val="0"/>
              <w:rPr>
                <w:rFonts w:hAnsi="宋体"/>
                <w:highlight w:val="none"/>
                <w:lang w:eastAsia="en-US"/>
              </w:rPr>
            </w:pPr>
            <w:r>
              <w:rPr>
                <w:rFonts w:hAnsi="宋体"/>
                <w:spacing w:val="-1"/>
                <w:highlight w:val="none"/>
                <w:lang w:eastAsia="en-US"/>
              </w:rPr>
              <w:t>新</w:t>
            </w:r>
            <w:r>
              <w:rPr>
                <w:rFonts w:hAnsi="宋体"/>
                <w:highlight w:val="none"/>
                <w:lang w:eastAsia="en-US"/>
              </w:rPr>
              <w:t>建</w:t>
            </w:r>
          </w:p>
        </w:tc>
      </w:tr>
    </w:tbl>
    <w:p>
      <w:pPr>
        <w:pStyle w:val="62"/>
        <w:ind w:firstLine="480"/>
        <w:rPr>
          <w:rFonts w:hint="eastAsia" w:hAnsi="宋体"/>
          <w:highlight w:val="none"/>
        </w:rPr>
      </w:pPr>
      <w:r>
        <w:rPr>
          <w:rFonts w:hint="eastAsia" w:hAnsi="宋体"/>
          <w:highlight w:val="none"/>
        </w:rPr>
        <w:t>尾矿库选址位于选矿厂东侧的黄土冲沟内。沟谷大致呈东南一西北走向，库区所占冲沟自沟头向下游延伸约550米。尾矿库占地面积约1.97hm</w:t>
      </w:r>
      <w:r>
        <w:rPr>
          <w:rFonts w:hint="eastAsia" w:hAnsi="宋体"/>
          <w:highlight w:val="none"/>
          <w:vertAlign w:val="superscript"/>
        </w:rPr>
        <w:t>2</w:t>
      </w:r>
      <w:r>
        <w:rPr>
          <w:rFonts w:hint="eastAsia" w:hAnsi="宋体"/>
          <w:highlight w:val="none"/>
        </w:rPr>
        <w:t>，荒沟深度约7米，尾砂平均堆积高度为6米。尾矿库总库容13.79万m</w:t>
      </w:r>
      <w:r>
        <w:rPr>
          <w:rFonts w:hint="eastAsia" w:hAnsi="宋体"/>
          <w:highlight w:val="none"/>
          <w:vertAlign w:val="superscript"/>
        </w:rPr>
        <w:t>3</w:t>
      </w:r>
      <w:r>
        <w:rPr>
          <w:rFonts w:hint="eastAsia" w:hAnsi="宋体"/>
          <w:highlight w:val="none"/>
        </w:rPr>
        <w:t>，有效库容为10.74万m</w:t>
      </w:r>
      <w:r>
        <w:rPr>
          <w:rFonts w:hint="eastAsia" w:hAnsi="宋体"/>
          <w:highlight w:val="none"/>
          <w:vertAlign w:val="superscript"/>
        </w:rPr>
        <w:t>3</w:t>
      </w:r>
      <w:r>
        <w:rPr>
          <w:rFonts w:hint="eastAsia" w:hAnsi="宋体"/>
          <w:highlight w:val="none"/>
        </w:rPr>
        <w:t>，能满足本项目50a使用。</w:t>
      </w:r>
    </w:p>
    <w:p>
      <w:pPr>
        <w:pStyle w:val="62"/>
        <w:ind w:firstLine="480"/>
        <w:rPr>
          <w:rFonts w:hAnsi="宋体"/>
          <w:highlight w:val="none"/>
        </w:rPr>
      </w:pPr>
      <w:r>
        <w:rPr>
          <w:rFonts w:hint="eastAsia" w:hAnsi="宋体"/>
          <w:highlight w:val="none"/>
        </w:rPr>
        <w:t>本项目尾矿库不在生态保护红线区域、永久基本农田集中区域和其他需要特别保护的区域内；根据评价区地质资料，本项目尾矿库不在活动断层、溶洞区、天然滑坡或泥石流影响区以及湿地等区域内；距离本项目最近的河流为滹沱河，位于本项目西北侧1.59km。本项目尾矿库在江河、湖泊、运河、渠道、水库最高水位线以上区域。</w:t>
      </w:r>
    </w:p>
    <w:p>
      <w:pPr>
        <w:pStyle w:val="62"/>
        <w:ind w:firstLine="480"/>
        <w:rPr>
          <w:rFonts w:hAnsi="宋体"/>
          <w:highlight w:val="none"/>
        </w:rPr>
      </w:pPr>
      <w:r>
        <w:rPr>
          <w:rFonts w:hint="eastAsia" w:hAnsi="宋体"/>
          <w:highlight w:val="none"/>
        </w:rPr>
        <w:t>本项目尾矿库库容满足项目生产能力要求。尾矿库选址满足《一般工业固体废物贮存和填埋污染控制标准》（</w:t>
      </w:r>
      <w:r>
        <w:rPr>
          <w:rFonts w:hAnsi="宋体"/>
          <w:highlight w:val="none"/>
        </w:rPr>
        <w:t>GB18599-2020）选址相关要求。</w:t>
      </w:r>
    </w:p>
    <w:p>
      <w:pPr>
        <w:pStyle w:val="62"/>
        <w:ind w:firstLine="480"/>
        <w:rPr>
          <w:rFonts w:hAnsi="宋体"/>
          <w:highlight w:val="none"/>
        </w:rPr>
      </w:pPr>
      <w:r>
        <w:rPr>
          <w:rFonts w:hint="eastAsia" w:hAnsi="宋体"/>
          <w:highlight w:val="none"/>
        </w:rPr>
        <w:t>根据5.3.3节水文地质试验结果：本项目所在区域</w:t>
      </w:r>
      <w:r>
        <w:rPr>
          <w:rFonts w:hint="eastAsia"/>
          <w:highlight w:val="none"/>
        </w:rPr>
        <w:t>土层</w:t>
      </w:r>
      <w:r>
        <w:rPr>
          <w:rFonts w:hint="eastAsia" w:hAnsi="宋体"/>
          <w:highlight w:val="none"/>
        </w:rPr>
        <w:t>垂向渗透系数是</w:t>
      </w:r>
      <w:r>
        <w:rPr>
          <w:rFonts w:hAnsi="宋体"/>
          <w:highlight w:val="none"/>
        </w:rPr>
        <w:t>5.20×10</w:t>
      </w:r>
      <w:r>
        <w:rPr>
          <w:rFonts w:hAnsi="宋体"/>
          <w:highlight w:val="none"/>
          <w:vertAlign w:val="superscript"/>
        </w:rPr>
        <w:t>-4</w:t>
      </w:r>
      <w:r>
        <w:rPr>
          <w:rFonts w:hint="eastAsia" w:hAnsi="宋体"/>
          <w:highlight w:val="none"/>
        </w:rPr>
        <w:t>cm/s，不能达到《一般工业固体废物贮存和填埋污染控制标准》（</w:t>
      </w:r>
      <w:r>
        <w:rPr>
          <w:rFonts w:hAnsi="宋体"/>
          <w:highlight w:val="none"/>
        </w:rPr>
        <w:t>GB18599-2020）</w:t>
      </w:r>
      <w:r>
        <w:rPr>
          <w:rFonts w:hint="eastAsia" w:hAnsi="宋体"/>
          <w:highlight w:val="none"/>
        </w:rPr>
        <w:t>5.2 I类场技术要求-5.2.1当天然基础层饱和渗透系数不大于1.0×10</w:t>
      </w:r>
      <w:r>
        <w:rPr>
          <w:rFonts w:hint="eastAsia" w:hAnsi="宋体"/>
          <w:highlight w:val="none"/>
          <w:vertAlign w:val="superscript"/>
        </w:rPr>
        <w:t>-5</w:t>
      </w:r>
      <w:r>
        <w:rPr>
          <w:rFonts w:hint="eastAsia" w:hAnsi="宋体"/>
          <w:highlight w:val="none"/>
        </w:rPr>
        <w:t>cm/s，且厚度不小于0.75m时，可以采用天然基础层作为防渗衬层的要求。</w:t>
      </w:r>
    </w:p>
    <w:p>
      <w:pPr>
        <w:pStyle w:val="62"/>
        <w:ind w:firstLine="480"/>
        <w:rPr>
          <w:rFonts w:hAnsi="宋体"/>
          <w:highlight w:val="none"/>
        </w:rPr>
      </w:pPr>
      <w:r>
        <w:rPr>
          <w:rFonts w:hint="eastAsia" w:hAnsi="宋体"/>
          <w:highlight w:val="none"/>
        </w:rPr>
        <w:t>环评要求：采用改性压实粘土类衬层做为防渗衬层，防渗渗透系数小于1.0×10</w:t>
      </w:r>
      <w:r>
        <w:rPr>
          <w:rFonts w:hint="eastAsia" w:hAnsi="宋体"/>
          <w:highlight w:val="none"/>
          <w:vertAlign w:val="superscript"/>
        </w:rPr>
        <w:t>-5</w:t>
      </w:r>
      <w:r>
        <w:rPr>
          <w:rFonts w:hint="eastAsia" w:hAnsi="宋体"/>
          <w:highlight w:val="none"/>
        </w:rPr>
        <w:t>cm/s且厚度大于0.75m。</w:t>
      </w:r>
    </w:p>
    <w:p>
      <w:pPr>
        <w:pStyle w:val="62"/>
        <w:ind w:firstLine="480"/>
        <w:rPr>
          <w:rFonts w:hAnsi="宋体"/>
          <w:highlight w:val="none"/>
        </w:rPr>
      </w:pPr>
      <w:r>
        <w:rPr>
          <w:rFonts w:hint="eastAsia" w:hAnsi="宋体"/>
          <w:highlight w:val="none"/>
        </w:rPr>
        <w:t>经现场踏勘，本项目尾矿库范围内存有少量由前公司排入尾矿砂，排入量约为3000m</w:t>
      </w:r>
      <w:r>
        <w:rPr>
          <w:rFonts w:hint="eastAsia" w:hAnsi="宋体"/>
          <w:highlight w:val="none"/>
          <w:vertAlign w:val="superscript"/>
        </w:rPr>
        <w:t>3</w:t>
      </w:r>
      <w:r>
        <w:rPr>
          <w:rFonts w:hint="eastAsia" w:hAnsi="宋体"/>
          <w:highlight w:val="none"/>
        </w:rPr>
        <w:t>，经现场调查已排入的尾矿砂所占区域的库底和边坡未做防渗措施，不能满足《一般工业固体废物贮存和填埋污染控制标准》（</w:t>
      </w:r>
      <w:r>
        <w:rPr>
          <w:rFonts w:hAnsi="宋体"/>
          <w:highlight w:val="none"/>
        </w:rPr>
        <w:t>GB18599-2020）</w:t>
      </w:r>
      <w:r>
        <w:rPr>
          <w:rFonts w:hint="eastAsia" w:hAnsi="宋体"/>
          <w:highlight w:val="none"/>
        </w:rPr>
        <w:t>5.2 I类场技术要求-5.2.1当天然基础层饱和渗透系数不大于1.0×10</w:t>
      </w:r>
      <w:r>
        <w:rPr>
          <w:rFonts w:hint="eastAsia" w:hAnsi="宋体"/>
          <w:highlight w:val="none"/>
          <w:vertAlign w:val="superscript"/>
        </w:rPr>
        <w:t>-5</w:t>
      </w:r>
      <w:r>
        <w:rPr>
          <w:rFonts w:hint="eastAsia" w:hAnsi="宋体"/>
          <w:highlight w:val="none"/>
        </w:rPr>
        <w:t>cm/s，且厚度不小于0.75m时，可以采用天然基础层作为防渗衬层的要求。</w:t>
      </w:r>
    </w:p>
    <w:p>
      <w:pPr>
        <w:pStyle w:val="62"/>
        <w:ind w:firstLine="480"/>
        <w:rPr>
          <w:rFonts w:hAnsi="宋体"/>
          <w:highlight w:val="none"/>
        </w:rPr>
      </w:pPr>
      <w:r>
        <w:rPr>
          <w:rFonts w:hint="eastAsia" w:hAnsi="宋体"/>
          <w:highlight w:val="none"/>
        </w:rPr>
        <w:t>环评提出整改措施：该尾矿砂堆存区域距离尾矿库拦渣坝约35m，建设单位先期建设拦渣坝及前端库区防渗和</w:t>
      </w:r>
      <w:r>
        <w:rPr>
          <w:rFonts w:hAnsi="宋体"/>
          <w:spacing w:val="-1"/>
          <w:highlight w:val="none"/>
        </w:rPr>
        <w:t>排</w:t>
      </w:r>
      <w:r>
        <w:rPr>
          <w:rFonts w:hAnsi="宋体"/>
          <w:spacing w:val="2"/>
          <w:highlight w:val="none"/>
        </w:rPr>
        <w:t>水</w:t>
      </w:r>
      <w:r>
        <w:rPr>
          <w:rFonts w:hAnsi="宋体"/>
          <w:spacing w:val="-1"/>
          <w:highlight w:val="none"/>
        </w:rPr>
        <w:t>涵</w:t>
      </w:r>
      <w:r>
        <w:rPr>
          <w:rFonts w:hAnsi="宋体"/>
          <w:highlight w:val="none"/>
        </w:rPr>
        <w:t>管</w:t>
      </w:r>
      <w:r>
        <w:rPr>
          <w:rFonts w:hint="eastAsia" w:hAnsi="宋体"/>
          <w:highlight w:val="none"/>
        </w:rPr>
        <w:t>工作，待工作完成后，将该部分尾矿砂转到坝前，然后继续</w:t>
      </w:r>
      <w:r>
        <w:rPr>
          <w:rFonts w:hint="eastAsia"/>
          <w:highlight w:val="none"/>
        </w:rPr>
        <w:t>库区其它区域工</w:t>
      </w:r>
      <w:r>
        <w:rPr>
          <w:rFonts w:hint="eastAsia" w:hAnsi="宋体"/>
          <w:highlight w:val="none"/>
        </w:rPr>
        <w:t>作。</w:t>
      </w:r>
    </w:p>
    <w:p>
      <w:pPr>
        <w:pStyle w:val="62"/>
        <w:ind w:firstLine="480"/>
        <w:rPr>
          <w:rFonts w:hAnsi="宋体"/>
          <w:highlight w:val="none"/>
        </w:rPr>
      </w:pPr>
      <w:r>
        <w:rPr>
          <w:rFonts w:hint="eastAsia" w:hAnsi="宋体"/>
          <w:highlight w:val="none"/>
        </w:rPr>
        <w:t>2、建、构筑物</w:t>
      </w:r>
    </w:p>
    <w:p>
      <w:pPr>
        <w:pStyle w:val="62"/>
        <w:ind w:firstLine="480"/>
        <w:rPr>
          <w:rFonts w:hAnsi="宋体"/>
          <w:highlight w:val="none"/>
        </w:rPr>
      </w:pPr>
      <w:r>
        <w:rPr>
          <w:rFonts w:hAnsi="宋体"/>
          <w:highlight w:val="none"/>
        </w:rPr>
        <w:t>建</w:t>
      </w:r>
      <w:r>
        <w:rPr>
          <w:rFonts w:hAnsi="宋体"/>
          <w:spacing w:val="2"/>
          <w:highlight w:val="none"/>
        </w:rPr>
        <w:t>、</w:t>
      </w:r>
      <w:r>
        <w:rPr>
          <w:rFonts w:hAnsi="宋体"/>
          <w:highlight w:val="none"/>
        </w:rPr>
        <w:t>构</w:t>
      </w:r>
      <w:r>
        <w:rPr>
          <w:rFonts w:hAnsi="宋体"/>
          <w:spacing w:val="2"/>
          <w:highlight w:val="none"/>
        </w:rPr>
        <w:t>筑</w:t>
      </w:r>
      <w:r>
        <w:rPr>
          <w:rFonts w:hAnsi="宋体"/>
          <w:highlight w:val="none"/>
        </w:rPr>
        <w:t>物全厂建、构筑物一览表见表3.</w:t>
      </w:r>
      <w:r>
        <w:rPr>
          <w:rFonts w:hint="eastAsia" w:hAnsi="宋体"/>
          <w:highlight w:val="none"/>
        </w:rPr>
        <w:t>1</w:t>
      </w:r>
      <w:r>
        <w:rPr>
          <w:rFonts w:hAnsi="宋体"/>
          <w:highlight w:val="none"/>
        </w:rPr>
        <w:t>-</w:t>
      </w:r>
      <w:r>
        <w:rPr>
          <w:rFonts w:hint="eastAsia" w:hAnsi="宋体"/>
          <w:highlight w:val="none"/>
        </w:rPr>
        <w:t>3</w:t>
      </w:r>
      <w:r>
        <w:rPr>
          <w:rFonts w:hAnsi="宋体"/>
          <w:highlight w:val="none"/>
        </w:rPr>
        <w:t>。</w:t>
      </w:r>
    </w:p>
    <w:p>
      <w:pPr>
        <w:pStyle w:val="65"/>
        <w:rPr>
          <w:rFonts w:hAnsi="宋体"/>
          <w:highlight w:val="none"/>
        </w:rPr>
      </w:pPr>
      <w:r>
        <w:rPr>
          <w:rFonts w:hAnsi="宋体"/>
          <w:highlight w:val="none"/>
        </w:rPr>
        <w:t>表3.</w:t>
      </w:r>
      <w:r>
        <w:rPr>
          <w:rFonts w:hint="eastAsia" w:hAnsi="宋体"/>
          <w:highlight w:val="none"/>
        </w:rPr>
        <w:t>1</w:t>
      </w:r>
      <w:r>
        <w:rPr>
          <w:rFonts w:hAnsi="宋体"/>
          <w:highlight w:val="none"/>
        </w:rPr>
        <w:t>-</w:t>
      </w:r>
      <w:r>
        <w:rPr>
          <w:rFonts w:hint="eastAsia" w:hAnsi="宋体"/>
          <w:highlight w:val="none"/>
        </w:rPr>
        <w:t xml:space="preserve">3  </w:t>
      </w:r>
      <w:r>
        <w:rPr>
          <w:rFonts w:hAnsi="宋体"/>
          <w:highlight w:val="none"/>
        </w:rPr>
        <w:t>全</w:t>
      </w:r>
      <w:r>
        <w:rPr>
          <w:rFonts w:hAnsi="宋体"/>
          <w:spacing w:val="2"/>
          <w:highlight w:val="none"/>
        </w:rPr>
        <w:t>厂</w:t>
      </w:r>
      <w:r>
        <w:rPr>
          <w:rFonts w:hAnsi="宋体"/>
          <w:highlight w:val="none"/>
        </w:rPr>
        <w:t>建</w:t>
      </w:r>
      <w:r>
        <w:rPr>
          <w:rFonts w:hAnsi="宋体"/>
          <w:spacing w:val="2"/>
          <w:highlight w:val="none"/>
        </w:rPr>
        <w:t>构</w:t>
      </w:r>
      <w:r>
        <w:rPr>
          <w:rFonts w:hAnsi="宋体"/>
          <w:highlight w:val="none"/>
        </w:rPr>
        <w:t>筑物</w:t>
      </w:r>
      <w:r>
        <w:rPr>
          <w:rFonts w:hAnsi="宋体"/>
          <w:spacing w:val="2"/>
          <w:highlight w:val="none"/>
        </w:rPr>
        <w:t>一</w:t>
      </w:r>
      <w:r>
        <w:rPr>
          <w:rFonts w:hAnsi="宋体"/>
          <w:highlight w:val="none"/>
        </w:rPr>
        <w:t>览表</w:t>
      </w:r>
    </w:p>
    <w:tbl>
      <w:tblPr>
        <w:tblStyle w:val="77"/>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771"/>
        <w:gridCol w:w="1507"/>
        <w:gridCol w:w="3686"/>
        <w:gridCol w:w="1843"/>
        <w:gridCol w:w="94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spacing w:val="-1"/>
                <w:highlight w:val="none"/>
                <w:lang w:eastAsia="en-US"/>
              </w:rPr>
              <w:t>序</w:t>
            </w:r>
            <w:r>
              <w:rPr>
                <w:rFonts w:hAnsi="Calibri"/>
                <w:highlight w:val="none"/>
                <w:lang w:eastAsia="en-US"/>
              </w:rPr>
              <w:t>号</w:t>
            </w:r>
          </w:p>
        </w:tc>
        <w:tc>
          <w:tcPr>
            <w:tcW w:w="1507" w:type="dxa"/>
            <w:vAlign w:val="center"/>
          </w:tcPr>
          <w:p>
            <w:pPr>
              <w:pStyle w:val="234"/>
              <w:rPr>
                <w:rFonts w:hAnsi="Calibri"/>
                <w:highlight w:val="none"/>
                <w:lang w:eastAsia="en-US"/>
              </w:rPr>
            </w:pPr>
            <w:r>
              <w:rPr>
                <w:rFonts w:hAnsi="Calibri"/>
                <w:spacing w:val="-1"/>
                <w:highlight w:val="none"/>
                <w:lang w:eastAsia="en-US"/>
              </w:rPr>
              <w:t>建</w:t>
            </w:r>
            <w:r>
              <w:rPr>
                <w:rFonts w:hAnsi="Calibri"/>
                <w:spacing w:val="2"/>
                <w:highlight w:val="none"/>
                <w:lang w:eastAsia="en-US"/>
              </w:rPr>
              <w:t>（</w:t>
            </w:r>
            <w:r>
              <w:rPr>
                <w:rFonts w:hAnsi="Calibri"/>
                <w:spacing w:val="-1"/>
                <w:highlight w:val="none"/>
                <w:lang w:eastAsia="en-US"/>
              </w:rPr>
              <w:t>构</w:t>
            </w:r>
            <w:r>
              <w:rPr>
                <w:rFonts w:hAnsi="Calibri"/>
                <w:spacing w:val="2"/>
                <w:highlight w:val="none"/>
                <w:lang w:eastAsia="en-US"/>
              </w:rPr>
              <w:t>）</w:t>
            </w:r>
            <w:r>
              <w:rPr>
                <w:rFonts w:hAnsi="Calibri"/>
                <w:spacing w:val="-1"/>
                <w:highlight w:val="none"/>
                <w:lang w:eastAsia="en-US"/>
              </w:rPr>
              <w:t>筑</w:t>
            </w:r>
            <w:r>
              <w:rPr>
                <w:rFonts w:hAnsi="Calibri"/>
                <w:spacing w:val="2"/>
                <w:highlight w:val="none"/>
                <w:lang w:eastAsia="en-US"/>
              </w:rPr>
              <w:t>物</w:t>
            </w:r>
            <w:r>
              <w:rPr>
                <w:rFonts w:hAnsi="Calibri"/>
                <w:spacing w:val="-1"/>
                <w:highlight w:val="none"/>
                <w:lang w:eastAsia="en-US"/>
              </w:rPr>
              <w:t>名</w:t>
            </w:r>
            <w:r>
              <w:rPr>
                <w:rFonts w:hAnsi="Calibri"/>
                <w:highlight w:val="none"/>
                <w:lang w:eastAsia="en-US"/>
              </w:rPr>
              <w:t>称</w:t>
            </w:r>
          </w:p>
        </w:tc>
        <w:tc>
          <w:tcPr>
            <w:tcW w:w="3686" w:type="dxa"/>
            <w:vAlign w:val="center"/>
          </w:tcPr>
          <w:p>
            <w:pPr>
              <w:pStyle w:val="234"/>
              <w:rPr>
                <w:rFonts w:hAnsi="Calibri"/>
                <w:highlight w:val="none"/>
                <w:lang w:eastAsia="en-US"/>
              </w:rPr>
            </w:pPr>
            <w:r>
              <w:rPr>
                <w:rFonts w:hAnsi="Calibri"/>
                <w:spacing w:val="-1"/>
                <w:highlight w:val="none"/>
                <w:lang w:eastAsia="en-US"/>
              </w:rPr>
              <w:t>相</w:t>
            </w:r>
            <w:r>
              <w:rPr>
                <w:rFonts w:hAnsi="Calibri"/>
                <w:spacing w:val="2"/>
                <w:highlight w:val="none"/>
                <w:lang w:eastAsia="en-US"/>
              </w:rPr>
              <w:t>关</w:t>
            </w:r>
            <w:r>
              <w:rPr>
                <w:rFonts w:hAnsi="Calibri"/>
                <w:spacing w:val="-1"/>
                <w:highlight w:val="none"/>
                <w:lang w:eastAsia="en-US"/>
              </w:rPr>
              <w:t>参</w:t>
            </w:r>
            <w:r>
              <w:rPr>
                <w:rFonts w:hAnsi="Calibri"/>
                <w:highlight w:val="none"/>
                <w:lang w:eastAsia="en-US"/>
              </w:rPr>
              <w:t>数</w:t>
            </w:r>
          </w:p>
        </w:tc>
        <w:tc>
          <w:tcPr>
            <w:tcW w:w="1843" w:type="dxa"/>
            <w:vAlign w:val="center"/>
          </w:tcPr>
          <w:p>
            <w:pPr>
              <w:pStyle w:val="234"/>
              <w:rPr>
                <w:rFonts w:hAnsi="Calibri"/>
                <w:highlight w:val="none"/>
                <w:lang w:eastAsia="en-US"/>
              </w:rPr>
            </w:pPr>
            <w:r>
              <w:rPr>
                <w:rFonts w:hAnsi="Calibri"/>
                <w:highlight w:val="none"/>
                <w:lang w:eastAsia="en-US"/>
              </w:rPr>
              <w:t>结构形式</w:t>
            </w:r>
          </w:p>
        </w:tc>
        <w:tc>
          <w:tcPr>
            <w:tcW w:w="943" w:type="dxa"/>
            <w:vAlign w:val="center"/>
          </w:tcPr>
          <w:p>
            <w:pPr>
              <w:pStyle w:val="234"/>
              <w:rPr>
                <w:rFonts w:hAnsi="Calibri"/>
                <w:highlight w:val="none"/>
                <w:lang w:eastAsia="en-US"/>
              </w:rPr>
            </w:pPr>
            <w:r>
              <w:rPr>
                <w:rFonts w:hAnsi="Calibri"/>
                <w:spacing w:val="-1"/>
                <w:highlight w:val="none"/>
                <w:lang w:eastAsia="en-US"/>
              </w:rPr>
              <w:t>备</w:t>
            </w:r>
            <w:r>
              <w:rPr>
                <w:rFonts w:hAnsi="Calibri"/>
                <w:highlight w:val="none"/>
                <w:lang w:eastAsia="en-US"/>
              </w:rPr>
              <w:t>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highlight w:val="none"/>
                <w:lang w:eastAsia="en-US"/>
              </w:rPr>
              <w:t>1</w:t>
            </w:r>
          </w:p>
        </w:tc>
        <w:tc>
          <w:tcPr>
            <w:tcW w:w="1507" w:type="dxa"/>
            <w:vAlign w:val="center"/>
          </w:tcPr>
          <w:p>
            <w:pPr>
              <w:pStyle w:val="234"/>
              <w:rPr>
                <w:rFonts w:hAnsi="Calibri"/>
                <w:highlight w:val="none"/>
                <w:lang w:eastAsia="en-US"/>
              </w:rPr>
            </w:pPr>
            <w:r>
              <w:rPr>
                <w:rFonts w:hAnsi="Calibri"/>
                <w:spacing w:val="-1"/>
                <w:highlight w:val="none"/>
                <w:lang w:eastAsia="en-US"/>
              </w:rPr>
              <w:t>原</w:t>
            </w:r>
            <w:r>
              <w:rPr>
                <w:rFonts w:hAnsi="Calibri"/>
                <w:spacing w:val="2"/>
                <w:highlight w:val="none"/>
                <w:lang w:eastAsia="en-US"/>
              </w:rPr>
              <w:t>料</w:t>
            </w:r>
            <w:r>
              <w:rPr>
                <w:rFonts w:hAnsi="Calibri"/>
                <w:highlight w:val="none"/>
                <w:lang w:eastAsia="en-US"/>
              </w:rPr>
              <w:t>库</w:t>
            </w:r>
          </w:p>
        </w:tc>
        <w:tc>
          <w:tcPr>
            <w:tcW w:w="3686" w:type="dxa"/>
            <w:vAlign w:val="center"/>
          </w:tcPr>
          <w:p>
            <w:pPr>
              <w:pStyle w:val="234"/>
              <w:rPr>
                <w:rFonts w:hAnsi="Calibri"/>
                <w:sz w:val="10"/>
                <w:szCs w:val="10"/>
                <w:highlight w:val="none"/>
                <w:lang w:eastAsia="zh-CN"/>
              </w:rPr>
            </w:pPr>
            <w:r>
              <w:rPr>
                <w:rFonts w:hint="eastAsia" w:hAnsi="Calibri"/>
                <w:spacing w:val="-1"/>
                <w:highlight w:val="none"/>
                <w:lang w:eastAsia="zh-CN"/>
              </w:rPr>
              <w:t>占地</w:t>
            </w:r>
            <w:r>
              <w:rPr>
                <w:rFonts w:hAnsi="Calibri"/>
                <w:spacing w:val="-1"/>
                <w:highlight w:val="none"/>
                <w:lang w:eastAsia="zh-CN"/>
              </w:rPr>
              <w:t>面</w:t>
            </w:r>
            <w:r>
              <w:rPr>
                <w:rFonts w:hAnsi="Calibri"/>
                <w:highlight w:val="none"/>
                <w:lang w:eastAsia="zh-CN"/>
              </w:rPr>
              <w:t>积</w:t>
            </w:r>
            <w:r>
              <w:rPr>
                <w:rFonts w:hAnsi="Calibri"/>
                <w:spacing w:val="1"/>
                <w:highlight w:val="none"/>
                <w:lang w:eastAsia="zh-CN"/>
              </w:rPr>
              <w:t>1</w:t>
            </w:r>
            <w:r>
              <w:rPr>
                <w:rFonts w:hAnsi="Calibri"/>
                <w:spacing w:val="-2"/>
                <w:highlight w:val="none"/>
                <w:lang w:eastAsia="zh-CN"/>
              </w:rPr>
              <w:t>2</w:t>
            </w:r>
            <w:r>
              <w:rPr>
                <w:rFonts w:hAnsi="Calibri"/>
                <w:spacing w:val="1"/>
                <w:highlight w:val="none"/>
                <w:lang w:eastAsia="zh-CN"/>
              </w:rPr>
              <w:t>00</w:t>
            </w:r>
            <w:r>
              <w:rPr>
                <w:rFonts w:hint="eastAsia" w:hAnsi="Calibri"/>
                <w:spacing w:val="1"/>
                <w:highlight w:val="none"/>
                <w:lang w:eastAsia="zh-CN"/>
              </w:rPr>
              <w:t>m</w:t>
            </w:r>
            <w:r>
              <w:rPr>
                <w:rFonts w:hint="eastAsia" w:hAnsi="Calibri"/>
                <w:spacing w:val="1"/>
                <w:highlight w:val="none"/>
                <w:vertAlign w:val="superscript"/>
                <w:lang w:eastAsia="zh-CN"/>
              </w:rPr>
              <w:t>2</w:t>
            </w:r>
            <w:r>
              <w:rPr>
                <w:rFonts w:hint="eastAsia" w:hAnsi="Calibri"/>
                <w:spacing w:val="1"/>
                <w:highlight w:val="none"/>
                <w:lang w:eastAsia="zh-CN"/>
              </w:rPr>
              <w:t>，外形尺寸40m×30m</w:t>
            </w:r>
          </w:p>
        </w:tc>
        <w:tc>
          <w:tcPr>
            <w:tcW w:w="1843" w:type="dxa"/>
            <w:vAlign w:val="center"/>
          </w:tcPr>
          <w:p>
            <w:pPr>
              <w:pStyle w:val="234"/>
              <w:rPr>
                <w:rFonts w:hAnsi="Calibri"/>
                <w:highlight w:val="none"/>
                <w:lang w:eastAsia="en-US"/>
              </w:rPr>
            </w:pPr>
            <w:r>
              <w:rPr>
                <w:rFonts w:hAnsi="Calibri"/>
                <w:spacing w:val="-1"/>
                <w:highlight w:val="none"/>
                <w:lang w:eastAsia="en-US"/>
              </w:rPr>
              <w:t>全</w:t>
            </w:r>
            <w:r>
              <w:rPr>
                <w:rFonts w:hAnsi="Calibri"/>
                <w:spacing w:val="2"/>
                <w:highlight w:val="none"/>
                <w:lang w:eastAsia="en-US"/>
              </w:rPr>
              <w:t>封</w:t>
            </w:r>
            <w:r>
              <w:rPr>
                <w:rFonts w:hAnsi="Calibri"/>
                <w:spacing w:val="-1"/>
                <w:highlight w:val="none"/>
                <w:lang w:eastAsia="en-US"/>
              </w:rPr>
              <w:t>闭</w:t>
            </w:r>
            <w:r>
              <w:rPr>
                <w:rFonts w:hAnsi="Calibri"/>
                <w:spacing w:val="2"/>
                <w:highlight w:val="none"/>
                <w:lang w:eastAsia="en-US"/>
              </w:rPr>
              <w:t>轻</w:t>
            </w:r>
            <w:r>
              <w:rPr>
                <w:rFonts w:hAnsi="Calibri"/>
                <w:spacing w:val="-1"/>
                <w:highlight w:val="none"/>
                <w:lang w:eastAsia="en-US"/>
              </w:rPr>
              <w:t>钢</w:t>
            </w:r>
            <w:r>
              <w:rPr>
                <w:rFonts w:hAnsi="Calibri"/>
                <w:spacing w:val="2"/>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highlight w:val="none"/>
                <w:lang w:eastAsia="en-US"/>
              </w:rPr>
              <w:t>2</w:t>
            </w:r>
          </w:p>
        </w:tc>
        <w:tc>
          <w:tcPr>
            <w:tcW w:w="1507" w:type="dxa"/>
            <w:vAlign w:val="center"/>
          </w:tcPr>
          <w:p>
            <w:pPr>
              <w:pStyle w:val="234"/>
              <w:rPr>
                <w:rFonts w:hAnsi="Calibri"/>
                <w:highlight w:val="none"/>
                <w:lang w:eastAsia="en-US"/>
              </w:rPr>
            </w:pPr>
            <w:r>
              <w:rPr>
                <w:rFonts w:hint="eastAsia" w:hAnsi="Calibri"/>
                <w:spacing w:val="-1"/>
                <w:highlight w:val="none"/>
                <w:lang w:eastAsia="en-US"/>
              </w:rPr>
              <w:t>废石</w:t>
            </w:r>
            <w:r>
              <w:rPr>
                <w:rFonts w:hAnsi="Calibri"/>
                <w:highlight w:val="none"/>
                <w:lang w:eastAsia="en-US"/>
              </w:rPr>
              <w:t>库</w:t>
            </w:r>
          </w:p>
        </w:tc>
        <w:tc>
          <w:tcPr>
            <w:tcW w:w="3686" w:type="dxa"/>
            <w:vAlign w:val="center"/>
          </w:tcPr>
          <w:p>
            <w:pPr>
              <w:pStyle w:val="234"/>
              <w:rPr>
                <w:rFonts w:hAnsi="Calibri"/>
                <w:sz w:val="10"/>
                <w:szCs w:val="10"/>
                <w:highlight w:val="none"/>
                <w:lang w:eastAsia="zh-CN"/>
              </w:rPr>
            </w:pPr>
            <w:r>
              <w:rPr>
                <w:rFonts w:hint="eastAsia" w:hAnsi="Calibri"/>
                <w:spacing w:val="-1"/>
                <w:highlight w:val="none"/>
                <w:lang w:eastAsia="zh-CN"/>
              </w:rPr>
              <w:t>占地</w:t>
            </w:r>
            <w:r>
              <w:rPr>
                <w:rFonts w:hAnsi="Calibri"/>
                <w:spacing w:val="-1"/>
                <w:highlight w:val="none"/>
                <w:lang w:eastAsia="zh-CN"/>
              </w:rPr>
              <w:t>面</w:t>
            </w:r>
            <w:r>
              <w:rPr>
                <w:rFonts w:hAnsi="Calibri"/>
                <w:highlight w:val="none"/>
                <w:lang w:eastAsia="zh-CN"/>
              </w:rPr>
              <w:t>积</w:t>
            </w:r>
            <w:r>
              <w:rPr>
                <w:rFonts w:hint="eastAsia" w:hAnsi="Calibri"/>
                <w:spacing w:val="-2"/>
                <w:highlight w:val="none"/>
                <w:lang w:eastAsia="zh-CN"/>
              </w:rPr>
              <w:t>10</w:t>
            </w:r>
            <w:r>
              <w:rPr>
                <w:rFonts w:hAnsi="Calibri"/>
                <w:spacing w:val="1"/>
                <w:highlight w:val="none"/>
                <w:lang w:eastAsia="zh-CN"/>
              </w:rPr>
              <w:t>00</w:t>
            </w:r>
            <w:r>
              <w:rPr>
                <w:rFonts w:hint="eastAsia" w:hAnsi="Calibri"/>
                <w:spacing w:val="1"/>
                <w:highlight w:val="none"/>
                <w:lang w:eastAsia="zh-CN"/>
              </w:rPr>
              <w:t>m</w:t>
            </w:r>
            <w:r>
              <w:rPr>
                <w:rFonts w:hint="eastAsia" w:hAnsi="Calibri"/>
                <w:spacing w:val="1"/>
                <w:highlight w:val="none"/>
                <w:vertAlign w:val="superscript"/>
                <w:lang w:eastAsia="zh-CN"/>
              </w:rPr>
              <w:t>2</w:t>
            </w:r>
            <w:r>
              <w:rPr>
                <w:rFonts w:hint="eastAsia" w:hAnsi="Calibri"/>
                <w:spacing w:val="1"/>
                <w:highlight w:val="none"/>
                <w:lang w:eastAsia="zh-CN"/>
              </w:rPr>
              <w:t>，外形尺寸33m×30m</w:t>
            </w:r>
          </w:p>
        </w:tc>
        <w:tc>
          <w:tcPr>
            <w:tcW w:w="1843" w:type="dxa"/>
            <w:vAlign w:val="center"/>
          </w:tcPr>
          <w:p>
            <w:pPr>
              <w:pStyle w:val="234"/>
              <w:rPr>
                <w:rFonts w:hAnsi="Calibri"/>
                <w:highlight w:val="none"/>
                <w:lang w:eastAsia="en-US"/>
              </w:rPr>
            </w:pPr>
            <w:r>
              <w:rPr>
                <w:rFonts w:hAnsi="Calibri"/>
                <w:spacing w:val="-1"/>
                <w:highlight w:val="none"/>
                <w:lang w:eastAsia="en-US"/>
              </w:rPr>
              <w:t>全</w:t>
            </w:r>
            <w:r>
              <w:rPr>
                <w:rFonts w:hAnsi="Calibri"/>
                <w:spacing w:val="2"/>
                <w:highlight w:val="none"/>
                <w:lang w:eastAsia="en-US"/>
              </w:rPr>
              <w:t>封</w:t>
            </w:r>
            <w:r>
              <w:rPr>
                <w:rFonts w:hAnsi="Calibri"/>
                <w:spacing w:val="-1"/>
                <w:highlight w:val="none"/>
                <w:lang w:eastAsia="en-US"/>
              </w:rPr>
              <w:t>闭</w:t>
            </w:r>
            <w:r>
              <w:rPr>
                <w:rFonts w:hAnsi="Calibri"/>
                <w:spacing w:val="2"/>
                <w:highlight w:val="none"/>
                <w:lang w:eastAsia="en-US"/>
              </w:rPr>
              <w:t>轻</w:t>
            </w:r>
            <w:r>
              <w:rPr>
                <w:rFonts w:hAnsi="Calibri"/>
                <w:spacing w:val="-1"/>
                <w:highlight w:val="none"/>
                <w:lang w:eastAsia="en-US"/>
              </w:rPr>
              <w:t>钢</w:t>
            </w:r>
            <w:r>
              <w:rPr>
                <w:rFonts w:hAnsi="Calibri"/>
                <w:spacing w:val="2"/>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highlight w:val="none"/>
                <w:lang w:eastAsia="en-US"/>
              </w:rPr>
              <w:t>3</w:t>
            </w:r>
          </w:p>
        </w:tc>
        <w:tc>
          <w:tcPr>
            <w:tcW w:w="1507" w:type="dxa"/>
            <w:vAlign w:val="center"/>
          </w:tcPr>
          <w:p>
            <w:pPr>
              <w:pStyle w:val="234"/>
              <w:rPr>
                <w:rFonts w:hAnsi="Calibri"/>
                <w:highlight w:val="none"/>
                <w:lang w:eastAsia="en-US"/>
              </w:rPr>
            </w:pPr>
            <w:r>
              <w:rPr>
                <w:rFonts w:hint="eastAsia" w:hAnsi="Calibri"/>
                <w:spacing w:val="-1"/>
                <w:highlight w:val="none"/>
                <w:lang w:eastAsia="en-US"/>
              </w:rPr>
              <w:t>成品</w:t>
            </w:r>
            <w:r>
              <w:rPr>
                <w:rFonts w:hAnsi="Calibri"/>
                <w:highlight w:val="none"/>
                <w:lang w:eastAsia="en-US"/>
              </w:rPr>
              <w:t>库</w:t>
            </w:r>
          </w:p>
        </w:tc>
        <w:tc>
          <w:tcPr>
            <w:tcW w:w="3686" w:type="dxa"/>
            <w:vAlign w:val="center"/>
          </w:tcPr>
          <w:p>
            <w:pPr>
              <w:pStyle w:val="234"/>
              <w:rPr>
                <w:rFonts w:hAnsi="Calibri"/>
                <w:sz w:val="10"/>
                <w:szCs w:val="10"/>
                <w:highlight w:val="none"/>
                <w:lang w:eastAsia="zh-CN"/>
              </w:rPr>
            </w:pPr>
            <w:r>
              <w:rPr>
                <w:rFonts w:hint="eastAsia" w:hAnsi="Calibri"/>
                <w:spacing w:val="-1"/>
                <w:highlight w:val="none"/>
                <w:lang w:eastAsia="zh-CN"/>
              </w:rPr>
              <w:t>占地</w:t>
            </w:r>
            <w:r>
              <w:rPr>
                <w:rFonts w:hAnsi="Calibri"/>
                <w:spacing w:val="-1"/>
                <w:highlight w:val="none"/>
                <w:lang w:eastAsia="zh-CN"/>
              </w:rPr>
              <w:t>面</w:t>
            </w:r>
            <w:r>
              <w:rPr>
                <w:rFonts w:hAnsi="Calibri"/>
                <w:highlight w:val="none"/>
                <w:lang w:eastAsia="zh-CN"/>
              </w:rPr>
              <w:t>积</w:t>
            </w:r>
            <w:r>
              <w:rPr>
                <w:rFonts w:hint="eastAsia" w:hAnsi="Calibri"/>
                <w:spacing w:val="1"/>
                <w:highlight w:val="none"/>
                <w:lang w:eastAsia="zh-CN"/>
              </w:rPr>
              <w:t>5</w:t>
            </w:r>
            <w:r>
              <w:rPr>
                <w:rFonts w:hAnsi="Calibri"/>
                <w:spacing w:val="1"/>
                <w:highlight w:val="none"/>
                <w:lang w:eastAsia="zh-CN"/>
              </w:rPr>
              <w:t>00</w:t>
            </w:r>
            <w:r>
              <w:rPr>
                <w:rFonts w:hint="eastAsia" w:hAnsi="Calibri"/>
                <w:spacing w:val="1"/>
                <w:highlight w:val="none"/>
                <w:lang w:eastAsia="zh-CN"/>
              </w:rPr>
              <w:t>m</w:t>
            </w:r>
            <w:r>
              <w:rPr>
                <w:rFonts w:hint="eastAsia" w:hAnsi="Calibri"/>
                <w:spacing w:val="1"/>
                <w:highlight w:val="none"/>
                <w:vertAlign w:val="superscript"/>
                <w:lang w:eastAsia="zh-CN"/>
              </w:rPr>
              <w:t>2</w:t>
            </w:r>
            <w:r>
              <w:rPr>
                <w:rFonts w:hint="eastAsia" w:hAnsi="Calibri"/>
                <w:spacing w:val="1"/>
                <w:highlight w:val="none"/>
                <w:lang w:eastAsia="zh-CN"/>
              </w:rPr>
              <w:t>，外形尺寸25m×20m</w:t>
            </w:r>
          </w:p>
        </w:tc>
        <w:tc>
          <w:tcPr>
            <w:tcW w:w="1843" w:type="dxa"/>
            <w:vAlign w:val="center"/>
          </w:tcPr>
          <w:p>
            <w:pPr>
              <w:pStyle w:val="234"/>
              <w:rPr>
                <w:rFonts w:hAnsi="Calibri"/>
                <w:highlight w:val="none"/>
                <w:lang w:eastAsia="en-US"/>
              </w:rPr>
            </w:pPr>
            <w:r>
              <w:rPr>
                <w:rFonts w:hAnsi="Calibri"/>
                <w:spacing w:val="-1"/>
                <w:highlight w:val="none"/>
                <w:lang w:eastAsia="en-US"/>
              </w:rPr>
              <w:t>全</w:t>
            </w:r>
            <w:r>
              <w:rPr>
                <w:rFonts w:hAnsi="Calibri"/>
                <w:spacing w:val="2"/>
                <w:highlight w:val="none"/>
                <w:lang w:eastAsia="en-US"/>
              </w:rPr>
              <w:t>封</w:t>
            </w:r>
            <w:r>
              <w:rPr>
                <w:rFonts w:hAnsi="Calibri"/>
                <w:spacing w:val="-1"/>
                <w:highlight w:val="none"/>
                <w:lang w:eastAsia="en-US"/>
              </w:rPr>
              <w:t>闭</w:t>
            </w:r>
            <w:r>
              <w:rPr>
                <w:rFonts w:hAnsi="Calibri"/>
                <w:spacing w:val="2"/>
                <w:highlight w:val="none"/>
                <w:lang w:eastAsia="en-US"/>
              </w:rPr>
              <w:t>轻</w:t>
            </w:r>
            <w:r>
              <w:rPr>
                <w:rFonts w:hAnsi="Calibri"/>
                <w:spacing w:val="-1"/>
                <w:highlight w:val="none"/>
                <w:lang w:eastAsia="en-US"/>
              </w:rPr>
              <w:t>钢</w:t>
            </w:r>
            <w:r>
              <w:rPr>
                <w:rFonts w:hAnsi="Calibri"/>
                <w:spacing w:val="2"/>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highlight w:val="none"/>
                <w:lang w:eastAsia="en-US"/>
              </w:rPr>
              <w:t>4</w:t>
            </w:r>
          </w:p>
        </w:tc>
        <w:tc>
          <w:tcPr>
            <w:tcW w:w="1507" w:type="dxa"/>
            <w:vAlign w:val="center"/>
          </w:tcPr>
          <w:p>
            <w:pPr>
              <w:pStyle w:val="234"/>
              <w:rPr>
                <w:rFonts w:hAnsi="Calibri"/>
                <w:highlight w:val="none"/>
                <w:lang w:eastAsia="en-US"/>
              </w:rPr>
            </w:pPr>
            <w:r>
              <w:rPr>
                <w:rFonts w:hint="eastAsia" w:hAnsi="Calibri"/>
                <w:spacing w:val="-1"/>
                <w:highlight w:val="none"/>
                <w:lang w:eastAsia="en-US"/>
              </w:rPr>
              <w:t>生产</w:t>
            </w:r>
            <w:r>
              <w:rPr>
                <w:rFonts w:hAnsi="Calibri"/>
                <w:spacing w:val="-1"/>
                <w:highlight w:val="none"/>
                <w:lang w:eastAsia="en-US"/>
              </w:rPr>
              <w:t>车</w:t>
            </w:r>
            <w:r>
              <w:rPr>
                <w:rFonts w:hAnsi="Calibri"/>
                <w:highlight w:val="none"/>
                <w:lang w:eastAsia="en-US"/>
              </w:rPr>
              <w:t>间</w:t>
            </w:r>
          </w:p>
        </w:tc>
        <w:tc>
          <w:tcPr>
            <w:tcW w:w="3686" w:type="dxa"/>
            <w:vAlign w:val="center"/>
          </w:tcPr>
          <w:p>
            <w:pPr>
              <w:pStyle w:val="234"/>
              <w:rPr>
                <w:rFonts w:hAnsi="Calibri"/>
                <w:sz w:val="10"/>
                <w:szCs w:val="10"/>
                <w:highlight w:val="none"/>
                <w:lang w:eastAsia="zh-CN"/>
              </w:rPr>
            </w:pPr>
            <w:r>
              <w:rPr>
                <w:rFonts w:hint="eastAsia" w:hAnsi="Calibri"/>
                <w:spacing w:val="-1"/>
                <w:highlight w:val="none"/>
                <w:lang w:eastAsia="zh-CN"/>
              </w:rPr>
              <w:t>占地</w:t>
            </w:r>
            <w:r>
              <w:rPr>
                <w:rFonts w:hAnsi="Calibri"/>
                <w:spacing w:val="-1"/>
                <w:highlight w:val="none"/>
                <w:lang w:eastAsia="zh-CN"/>
              </w:rPr>
              <w:t>面</w:t>
            </w:r>
            <w:r>
              <w:rPr>
                <w:rFonts w:hAnsi="Calibri"/>
                <w:highlight w:val="none"/>
                <w:lang w:eastAsia="zh-CN"/>
              </w:rPr>
              <w:t>积</w:t>
            </w:r>
            <w:r>
              <w:rPr>
                <w:rFonts w:hint="eastAsia" w:hAnsi="Calibri"/>
                <w:spacing w:val="1"/>
                <w:highlight w:val="none"/>
                <w:lang w:eastAsia="zh-CN"/>
              </w:rPr>
              <w:t>54</w:t>
            </w:r>
            <w:r>
              <w:rPr>
                <w:rFonts w:hAnsi="Calibri"/>
                <w:spacing w:val="1"/>
                <w:highlight w:val="none"/>
                <w:lang w:eastAsia="zh-CN"/>
              </w:rPr>
              <w:t>0</w:t>
            </w:r>
            <w:r>
              <w:rPr>
                <w:rFonts w:hint="eastAsia" w:hAnsi="Calibri"/>
                <w:spacing w:val="1"/>
                <w:highlight w:val="none"/>
                <w:lang w:eastAsia="zh-CN"/>
              </w:rPr>
              <w:t>m</w:t>
            </w:r>
            <w:r>
              <w:rPr>
                <w:rFonts w:hint="eastAsia" w:hAnsi="Calibri"/>
                <w:spacing w:val="1"/>
                <w:highlight w:val="none"/>
                <w:vertAlign w:val="superscript"/>
                <w:lang w:eastAsia="zh-CN"/>
              </w:rPr>
              <w:t>2</w:t>
            </w:r>
            <w:r>
              <w:rPr>
                <w:rFonts w:hint="eastAsia" w:hAnsi="Calibri"/>
                <w:spacing w:val="1"/>
                <w:highlight w:val="none"/>
                <w:lang w:eastAsia="zh-CN"/>
              </w:rPr>
              <w:t>，外形尺寸27m×20m</w:t>
            </w:r>
          </w:p>
        </w:tc>
        <w:tc>
          <w:tcPr>
            <w:tcW w:w="1843" w:type="dxa"/>
            <w:vAlign w:val="center"/>
          </w:tcPr>
          <w:p>
            <w:pPr>
              <w:pStyle w:val="234"/>
              <w:rPr>
                <w:rFonts w:hAnsi="Calibri"/>
                <w:highlight w:val="none"/>
                <w:lang w:eastAsia="en-US"/>
              </w:rPr>
            </w:pPr>
            <w:r>
              <w:rPr>
                <w:rFonts w:hAnsi="Calibri"/>
                <w:spacing w:val="-1"/>
                <w:highlight w:val="none"/>
                <w:lang w:eastAsia="en-US"/>
              </w:rPr>
              <w:t>全</w:t>
            </w:r>
            <w:r>
              <w:rPr>
                <w:rFonts w:hAnsi="Calibri"/>
                <w:spacing w:val="2"/>
                <w:highlight w:val="none"/>
                <w:lang w:eastAsia="en-US"/>
              </w:rPr>
              <w:t>封</w:t>
            </w:r>
            <w:r>
              <w:rPr>
                <w:rFonts w:hAnsi="Calibri"/>
                <w:spacing w:val="-1"/>
                <w:highlight w:val="none"/>
                <w:lang w:eastAsia="en-US"/>
              </w:rPr>
              <w:t>闭</w:t>
            </w:r>
            <w:r>
              <w:rPr>
                <w:rFonts w:hAnsi="Calibri"/>
                <w:spacing w:val="2"/>
                <w:highlight w:val="none"/>
                <w:lang w:eastAsia="en-US"/>
              </w:rPr>
              <w:t>轻</w:t>
            </w:r>
            <w:r>
              <w:rPr>
                <w:rFonts w:hAnsi="Calibri"/>
                <w:spacing w:val="-1"/>
                <w:highlight w:val="none"/>
                <w:lang w:eastAsia="en-US"/>
              </w:rPr>
              <w:t>钢</w:t>
            </w:r>
            <w:r>
              <w:rPr>
                <w:rFonts w:hAnsi="Calibri"/>
                <w:spacing w:val="2"/>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依托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highlight w:val="none"/>
                <w:lang w:eastAsia="en-US"/>
              </w:rPr>
              <w:t>5</w:t>
            </w:r>
          </w:p>
        </w:tc>
        <w:tc>
          <w:tcPr>
            <w:tcW w:w="1507" w:type="dxa"/>
            <w:vAlign w:val="center"/>
          </w:tcPr>
          <w:p>
            <w:pPr>
              <w:pStyle w:val="234"/>
              <w:rPr>
                <w:rFonts w:hAnsi="Calibri"/>
                <w:highlight w:val="none"/>
                <w:lang w:eastAsia="en-US"/>
              </w:rPr>
            </w:pPr>
            <w:r>
              <w:rPr>
                <w:rFonts w:hAnsi="Calibri"/>
                <w:spacing w:val="-1"/>
                <w:highlight w:val="none"/>
                <w:lang w:eastAsia="en-US"/>
              </w:rPr>
              <w:t>压</w:t>
            </w:r>
            <w:r>
              <w:rPr>
                <w:rFonts w:hAnsi="Calibri"/>
                <w:spacing w:val="2"/>
                <w:highlight w:val="none"/>
                <w:lang w:eastAsia="en-US"/>
              </w:rPr>
              <w:t>滤</w:t>
            </w:r>
            <w:r>
              <w:rPr>
                <w:rFonts w:hAnsi="Calibri"/>
                <w:spacing w:val="-1"/>
                <w:highlight w:val="none"/>
                <w:lang w:eastAsia="en-US"/>
              </w:rPr>
              <w:t>车</w:t>
            </w:r>
            <w:r>
              <w:rPr>
                <w:rFonts w:hAnsi="Calibri"/>
                <w:highlight w:val="none"/>
                <w:lang w:eastAsia="en-US"/>
              </w:rPr>
              <w:t>间</w:t>
            </w:r>
          </w:p>
        </w:tc>
        <w:tc>
          <w:tcPr>
            <w:tcW w:w="3686" w:type="dxa"/>
            <w:vAlign w:val="center"/>
          </w:tcPr>
          <w:p>
            <w:pPr>
              <w:pStyle w:val="234"/>
              <w:rPr>
                <w:rFonts w:hAnsi="Calibri"/>
                <w:sz w:val="10"/>
                <w:szCs w:val="10"/>
                <w:highlight w:val="none"/>
                <w:lang w:eastAsia="en-US"/>
              </w:rPr>
            </w:pPr>
            <w:r>
              <w:rPr>
                <w:rFonts w:hAnsi="Calibri"/>
                <w:spacing w:val="-1"/>
                <w:highlight w:val="none"/>
                <w:lang w:eastAsia="en-US"/>
              </w:rPr>
              <w:t>建</w:t>
            </w:r>
            <w:r>
              <w:rPr>
                <w:rFonts w:hAnsi="Calibri"/>
                <w:spacing w:val="2"/>
                <w:highlight w:val="none"/>
                <w:lang w:eastAsia="en-US"/>
              </w:rPr>
              <w:t>筑</w:t>
            </w:r>
            <w:r>
              <w:rPr>
                <w:rFonts w:hAnsi="Calibri"/>
                <w:spacing w:val="-1"/>
                <w:highlight w:val="none"/>
                <w:lang w:eastAsia="en-US"/>
              </w:rPr>
              <w:t>面</w:t>
            </w:r>
            <w:r>
              <w:rPr>
                <w:rFonts w:hAnsi="Calibri"/>
                <w:spacing w:val="2"/>
                <w:highlight w:val="none"/>
                <w:lang w:eastAsia="en-US"/>
              </w:rPr>
              <w:t>积</w:t>
            </w:r>
            <w:r>
              <w:rPr>
                <w:rFonts w:hAnsi="Calibri"/>
                <w:highlight w:val="none"/>
                <w:lang w:eastAsia="en-US"/>
              </w:rPr>
              <w:t>约</w:t>
            </w:r>
            <w:r>
              <w:rPr>
                <w:rFonts w:hAnsi="Calibri"/>
                <w:spacing w:val="1"/>
                <w:highlight w:val="none"/>
                <w:lang w:eastAsia="en-US"/>
              </w:rPr>
              <w:t>15</w:t>
            </w:r>
            <w:r>
              <w:rPr>
                <w:rFonts w:hAnsi="Calibri"/>
                <w:spacing w:val="-2"/>
                <w:highlight w:val="none"/>
                <w:lang w:eastAsia="en-US"/>
              </w:rPr>
              <w:t>0</w:t>
            </w:r>
            <w:r>
              <w:rPr>
                <w:rFonts w:hAnsi="Calibri"/>
                <w:spacing w:val="1"/>
                <w:highlight w:val="none"/>
                <w:lang w:eastAsia="en-US"/>
              </w:rPr>
              <w:t>m</w:t>
            </w:r>
            <w:r>
              <w:rPr>
                <w:rFonts w:hAnsi="Calibri"/>
                <w:position w:val="11"/>
                <w:sz w:val="10"/>
                <w:szCs w:val="10"/>
                <w:highlight w:val="none"/>
                <w:lang w:eastAsia="en-US"/>
              </w:rPr>
              <w:t>2</w:t>
            </w:r>
          </w:p>
        </w:tc>
        <w:tc>
          <w:tcPr>
            <w:tcW w:w="1843" w:type="dxa"/>
            <w:vAlign w:val="center"/>
          </w:tcPr>
          <w:p>
            <w:pPr>
              <w:pStyle w:val="234"/>
              <w:rPr>
                <w:rFonts w:hAnsi="Calibri"/>
                <w:highlight w:val="none"/>
                <w:lang w:eastAsia="en-US"/>
              </w:rPr>
            </w:pPr>
            <w:r>
              <w:rPr>
                <w:rFonts w:hAnsi="Calibri"/>
                <w:spacing w:val="-1"/>
                <w:highlight w:val="none"/>
                <w:lang w:eastAsia="en-US"/>
              </w:rPr>
              <w:t>全</w:t>
            </w:r>
            <w:r>
              <w:rPr>
                <w:rFonts w:hAnsi="Calibri"/>
                <w:spacing w:val="2"/>
                <w:highlight w:val="none"/>
                <w:lang w:eastAsia="en-US"/>
              </w:rPr>
              <w:t>封</w:t>
            </w:r>
            <w:r>
              <w:rPr>
                <w:rFonts w:hAnsi="Calibri"/>
                <w:spacing w:val="-1"/>
                <w:highlight w:val="none"/>
                <w:lang w:eastAsia="en-US"/>
              </w:rPr>
              <w:t>闭</w:t>
            </w:r>
            <w:r>
              <w:rPr>
                <w:rFonts w:hAnsi="Calibri"/>
                <w:spacing w:val="2"/>
                <w:highlight w:val="none"/>
                <w:lang w:eastAsia="en-US"/>
              </w:rPr>
              <w:t>轻</w:t>
            </w:r>
            <w:r>
              <w:rPr>
                <w:rFonts w:hAnsi="Calibri"/>
                <w:spacing w:val="-1"/>
                <w:highlight w:val="none"/>
                <w:lang w:eastAsia="en-US"/>
              </w:rPr>
              <w:t>钢</w:t>
            </w:r>
            <w:r>
              <w:rPr>
                <w:rFonts w:hAnsi="Calibri"/>
                <w:spacing w:val="2"/>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依托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highlight w:val="none"/>
                <w:lang w:eastAsia="en-US"/>
              </w:rPr>
              <w:t>6</w:t>
            </w:r>
          </w:p>
        </w:tc>
        <w:tc>
          <w:tcPr>
            <w:tcW w:w="1507" w:type="dxa"/>
            <w:vAlign w:val="center"/>
          </w:tcPr>
          <w:p>
            <w:pPr>
              <w:pStyle w:val="234"/>
              <w:rPr>
                <w:rFonts w:hAnsi="Calibri"/>
                <w:highlight w:val="none"/>
                <w:lang w:eastAsia="en-US"/>
              </w:rPr>
            </w:pPr>
            <w:r>
              <w:rPr>
                <w:rFonts w:hAnsi="Calibri"/>
                <w:spacing w:val="-1"/>
                <w:highlight w:val="none"/>
                <w:lang w:eastAsia="en-US"/>
              </w:rPr>
              <w:t>危</w:t>
            </w:r>
            <w:r>
              <w:rPr>
                <w:rFonts w:hAnsi="Calibri"/>
                <w:spacing w:val="2"/>
                <w:highlight w:val="none"/>
                <w:lang w:eastAsia="en-US"/>
              </w:rPr>
              <w:t>废</w:t>
            </w:r>
            <w:r>
              <w:rPr>
                <w:rFonts w:hAnsi="Calibri"/>
                <w:spacing w:val="-1"/>
                <w:highlight w:val="none"/>
                <w:lang w:eastAsia="en-US"/>
              </w:rPr>
              <w:t>暂</w:t>
            </w:r>
            <w:r>
              <w:rPr>
                <w:rFonts w:hAnsi="Calibri"/>
                <w:spacing w:val="2"/>
                <w:highlight w:val="none"/>
                <w:lang w:eastAsia="en-US"/>
              </w:rPr>
              <w:t>存</w:t>
            </w:r>
            <w:r>
              <w:rPr>
                <w:rFonts w:hAnsi="Calibri"/>
                <w:highlight w:val="none"/>
                <w:lang w:eastAsia="en-US"/>
              </w:rPr>
              <w:t>间</w:t>
            </w:r>
          </w:p>
        </w:tc>
        <w:tc>
          <w:tcPr>
            <w:tcW w:w="3686" w:type="dxa"/>
            <w:vAlign w:val="center"/>
          </w:tcPr>
          <w:p>
            <w:pPr>
              <w:pStyle w:val="234"/>
              <w:rPr>
                <w:rFonts w:hAnsi="Calibri"/>
                <w:sz w:val="10"/>
                <w:szCs w:val="10"/>
                <w:highlight w:val="none"/>
                <w:lang w:eastAsia="en-US"/>
              </w:rPr>
            </w:pPr>
            <w:r>
              <w:rPr>
                <w:rFonts w:hAnsi="Calibri"/>
                <w:spacing w:val="-1"/>
                <w:highlight w:val="none"/>
                <w:lang w:eastAsia="en-US"/>
              </w:rPr>
              <w:t>建</w:t>
            </w:r>
            <w:r>
              <w:rPr>
                <w:rFonts w:hAnsi="Calibri"/>
                <w:spacing w:val="2"/>
                <w:highlight w:val="none"/>
                <w:lang w:eastAsia="en-US"/>
              </w:rPr>
              <w:t>筑</w:t>
            </w:r>
            <w:r>
              <w:rPr>
                <w:rFonts w:hAnsi="Calibri"/>
                <w:spacing w:val="-1"/>
                <w:highlight w:val="none"/>
                <w:lang w:eastAsia="en-US"/>
              </w:rPr>
              <w:t>面</w:t>
            </w:r>
            <w:r>
              <w:rPr>
                <w:rFonts w:hAnsi="Calibri"/>
                <w:highlight w:val="none"/>
                <w:lang w:eastAsia="en-US"/>
              </w:rPr>
              <w:t>积</w:t>
            </w:r>
            <w:r>
              <w:rPr>
                <w:rFonts w:hint="eastAsia" w:hAnsi="Calibri"/>
                <w:spacing w:val="3"/>
                <w:highlight w:val="none"/>
                <w:lang w:eastAsia="en-US"/>
              </w:rPr>
              <w:t>1</w:t>
            </w:r>
            <w:r>
              <w:rPr>
                <w:rFonts w:hAnsi="Calibri"/>
                <w:spacing w:val="3"/>
                <w:highlight w:val="none"/>
                <w:lang w:eastAsia="en-US"/>
              </w:rPr>
              <w:t>0</w:t>
            </w:r>
            <w:r>
              <w:rPr>
                <w:rFonts w:hAnsi="Calibri"/>
                <w:spacing w:val="5"/>
                <w:highlight w:val="none"/>
                <w:lang w:eastAsia="en-US"/>
              </w:rPr>
              <w:t>m</w:t>
            </w:r>
            <w:r>
              <w:rPr>
                <w:rFonts w:hAnsi="Calibri"/>
                <w:position w:val="11"/>
                <w:sz w:val="10"/>
                <w:szCs w:val="10"/>
                <w:highlight w:val="none"/>
                <w:lang w:eastAsia="en-US"/>
              </w:rPr>
              <w:t>2</w:t>
            </w:r>
          </w:p>
        </w:tc>
        <w:tc>
          <w:tcPr>
            <w:tcW w:w="1843" w:type="dxa"/>
            <w:vAlign w:val="center"/>
          </w:tcPr>
          <w:p>
            <w:pPr>
              <w:pStyle w:val="234"/>
              <w:rPr>
                <w:rFonts w:hAnsi="Calibri"/>
                <w:highlight w:val="none"/>
                <w:lang w:eastAsia="en-US"/>
              </w:rPr>
            </w:pPr>
            <w:r>
              <w:rPr>
                <w:rFonts w:hAnsi="Calibri"/>
                <w:spacing w:val="-1"/>
                <w:highlight w:val="none"/>
                <w:lang w:eastAsia="en-US"/>
              </w:rPr>
              <w:t>轻</w:t>
            </w:r>
            <w:r>
              <w:rPr>
                <w:rFonts w:hAnsi="Calibri"/>
                <w:spacing w:val="2"/>
                <w:highlight w:val="none"/>
                <w:lang w:eastAsia="en-US"/>
              </w:rPr>
              <w:t>钢</w:t>
            </w:r>
            <w:r>
              <w:rPr>
                <w:rFonts w:hAnsi="Calibri"/>
                <w:spacing w:val="-1"/>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highlight w:val="none"/>
                <w:lang w:eastAsia="en-US"/>
              </w:rPr>
              <w:t>7</w:t>
            </w:r>
          </w:p>
        </w:tc>
        <w:tc>
          <w:tcPr>
            <w:tcW w:w="1507" w:type="dxa"/>
            <w:vAlign w:val="center"/>
          </w:tcPr>
          <w:p>
            <w:pPr>
              <w:pStyle w:val="234"/>
              <w:rPr>
                <w:rFonts w:hAnsi="Calibri"/>
                <w:highlight w:val="none"/>
                <w:lang w:eastAsia="en-US"/>
              </w:rPr>
            </w:pPr>
            <w:r>
              <w:rPr>
                <w:rFonts w:hAnsi="Calibri"/>
                <w:spacing w:val="-1"/>
                <w:highlight w:val="none"/>
                <w:lang w:eastAsia="en-US"/>
              </w:rPr>
              <w:t>办</w:t>
            </w:r>
            <w:r>
              <w:rPr>
                <w:rFonts w:hAnsi="Calibri"/>
                <w:spacing w:val="2"/>
                <w:highlight w:val="none"/>
                <w:lang w:eastAsia="en-US"/>
              </w:rPr>
              <w:t>公</w:t>
            </w:r>
            <w:r>
              <w:rPr>
                <w:rFonts w:hAnsi="Calibri"/>
                <w:highlight w:val="none"/>
                <w:lang w:eastAsia="en-US"/>
              </w:rPr>
              <w:t>区</w:t>
            </w:r>
          </w:p>
        </w:tc>
        <w:tc>
          <w:tcPr>
            <w:tcW w:w="3686" w:type="dxa"/>
            <w:vAlign w:val="center"/>
          </w:tcPr>
          <w:p>
            <w:pPr>
              <w:pStyle w:val="234"/>
              <w:rPr>
                <w:rFonts w:hAnsi="Calibri"/>
                <w:sz w:val="10"/>
                <w:szCs w:val="10"/>
                <w:highlight w:val="none"/>
                <w:lang w:eastAsia="en-US"/>
              </w:rPr>
            </w:pPr>
            <w:r>
              <w:rPr>
                <w:rFonts w:hAnsi="Calibri"/>
                <w:spacing w:val="-1"/>
                <w:highlight w:val="none"/>
                <w:lang w:eastAsia="en-US"/>
              </w:rPr>
              <w:t>建</w:t>
            </w:r>
            <w:r>
              <w:rPr>
                <w:rFonts w:hAnsi="Calibri"/>
                <w:spacing w:val="2"/>
                <w:highlight w:val="none"/>
                <w:lang w:eastAsia="en-US"/>
              </w:rPr>
              <w:t>筑</w:t>
            </w:r>
            <w:r>
              <w:rPr>
                <w:rFonts w:hAnsi="Calibri"/>
                <w:spacing w:val="-1"/>
                <w:highlight w:val="none"/>
                <w:lang w:eastAsia="en-US"/>
              </w:rPr>
              <w:t>面</w:t>
            </w:r>
            <w:r>
              <w:rPr>
                <w:rFonts w:hAnsi="Calibri"/>
                <w:highlight w:val="none"/>
                <w:lang w:eastAsia="en-US"/>
              </w:rPr>
              <w:t>积</w:t>
            </w:r>
            <w:r>
              <w:rPr>
                <w:rFonts w:hAnsi="Calibri"/>
                <w:spacing w:val="1"/>
                <w:highlight w:val="none"/>
                <w:lang w:eastAsia="en-US"/>
              </w:rPr>
              <w:t>12</w:t>
            </w:r>
            <w:r>
              <w:rPr>
                <w:rFonts w:hAnsi="Calibri"/>
                <w:spacing w:val="3"/>
                <w:highlight w:val="none"/>
                <w:lang w:eastAsia="en-US"/>
              </w:rPr>
              <w:t>0</w:t>
            </w:r>
            <w:r>
              <w:rPr>
                <w:rFonts w:hAnsi="Calibri"/>
                <w:spacing w:val="5"/>
                <w:highlight w:val="none"/>
                <w:lang w:eastAsia="en-US"/>
              </w:rPr>
              <w:t>m</w:t>
            </w:r>
            <w:r>
              <w:rPr>
                <w:rFonts w:hAnsi="Calibri"/>
                <w:position w:val="10"/>
                <w:sz w:val="10"/>
                <w:szCs w:val="10"/>
                <w:highlight w:val="none"/>
                <w:lang w:eastAsia="en-US"/>
              </w:rPr>
              <w:t>2</w:t>
            </w:r>
          </w:p>
        </w:tc>
        <w:tc>
          <w:tcPr>
            <w:tcW w:w="1843" w:type="dxa"/>
            <w:vAlign w:val="center"/>
          </w:tcPr>
          <w:p>
            <w:pPr>
              <w:pStyle w:val="234"/>
              <w:rPr>
                <w:rFonts w:hAnsi="Calibri"/>
                <w:highlight w:val="none"/>
                <w:lang w:eastAsia="en-US"/>
              </w:rPr>
            </w:pPr>
            <w:r>
              <w:rPr>
                <w:rFonts w:hAnsi="Calibri"/>
                <w:spacing w:val="-1"/>
                <w:highlight w:val="none"/>
                <w:lang w:eastAsia="en-US"/>
              </w:rPr>
              <w:t>轻</w:t>
            </w:r>
            <w:r>
              <w:rPr>
                <w:rFonts w:hAnsi="Calibri"/>
                <w:spacing w:val="2"/>
                <w:highlight w:val="none"/>
                <w:lang w:eastAsia="en-US"/>
              </w:rPr>
              <w:t>钢</w:t>
            </w:r>
            <w:r>
              <w:rPr>
                <w:rFonts w:hAnsi="Calibri"/>
                <w:spacing w:val="-1"/>
                <w:highlight w:val="none"/>
                <w:lang w:eastAsia="en-US"/>
              </w:rPr>
              <w:t>结</w:t>
            </w:r>
            <w:r>
              <w:rPr>
                <w:rFonts w:hAnsi="Calibri"/>
                <w:highlight w:val="none"/>
                <w:lang w:eastAsia="en-US"/>
              </w:rPr>
              <w:t>构</w:t>
            </w:r>
          </w:p>
        </w:tc>
        <w:tc>
          <w:tcPr>
            <w:tcW w:w="943" w:type="dxa"/>
            <w:vAlign w:val="center"/>
          </w:tcPr>
          <w:p>
            <w:pPr>
              <w:pStyle w:val="234"/>
              <w:rPr>
                <w:rFonts w:hAnsi="Calibri"/>
                <w:highlight w:val="none"/>
                <w:lang w:eastAsia="en-US"/>
              </w:rPr>
            </w:pPr>
            <w:r>
              <w:rPr>
                <w:rFonts w:hAnsi="Calibri"/>
                <w:highlight w:val="none"/>
                <w:lang w:eastAsia="en-US"/>
              </w:rPr>
              <w:t>依托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highlight w:val="none"/>
                <w:lang w:eastAsia="en-US"/>
              </w:rPr>
              <w:t>8</w:t>
            </w:r>
          </w:p>
        </w:tc>
        <w:tc>
          <w:tcPr>
            <w:tcW w:w="1507" w:type="dxa"/>
            <w:vAlign w:val="center"/>
          </w:tcPr>
          <w:p>
            <w:pPr>
              <w:pStyle w:val="234"/>
              <w:rPr>
                <w:rFonts w:hAnsi="Calibri"/>
                <w:highlight w:val="none"/>
                <w:lang w:eastAsia="en-US"/>
              </w:rPr>
            </w:pPr>
            <w:r>
              <w:rPr>
                <w:rFonts w:hint="eastAsia" w:hAnsi="Calibri"/>
                <w:spacing w:val="-1"/>
                <w:highlight w:val="none"/>
                <w:lang w:eastAsia="en-US"/>
              </w:rPr>
              <w:t>沉砂</w:t>
            </w:r>
            <w:r>
              <w:rPr>
                <w:rFonts w:hAnsi="Calibri"/>
                <w:highlight w:val="none"/>
                <w:lang w:eastAsia="en-US"/>
              </w:rPr>
              <w:t>池</w:t>
            </w:r>
          </w:p>
        </w:tc>
        <w:tc>
          <w:tcPr>
            <w:tcW w:w="3686" w:type="dxa"/>
            <w:vAlign w:val="center"/>
          </w:tcPr>
          <w:p>
            <w:pPr>
              <w:pStyle w:val="234"/>
              <w:rPr>
                <w:rFonts w:hAnsi="Calibri"/>
                <w:highlight w:val="none"/>
                <w:lang w:eastAsia="en-US"/>
              </w:rPr>
            </w:pPr>
            <w:r>
              <w:rPr>
                <w:rFonts w:hint="eastAsia" w:hAnsi="Calibri"/>
                <w:spacing w:val="2"/>
                <w:highlight w:val="none"/>
                <w:lang w:eastAsia="en-US"/>
              </w:rPr>
              <w:t>容积400m</w:t>
            </w:r>
            <w:r>
              <w:rPr>
                <w:rFonts w:hint="eastAsia" w:hAnsi="Calibri"/>
                <w:spacing w:val="2"/>
                <w:highlight w:val="none"/>
                <w:vertAlign w:val="superscript"/>
                <w:lang w:eastAsia="en-US"/>
              </w:rPr>
              <w:t>3，</w:t>
            </w:r>
            <w:r>
              <w:rPr>
                <w:rFonts w:hAnsi="Calibri"/>
                <w:spacing w:val="2"/>
                <w:highlight w:val="none"/>
                <w:lang w:eastAsia="en-US"/>
              </w:rPr>
              <w:t>最</w:t>
            </w:r>
            <w:r>
              <w:rPr>
                <w:rFonts w:hAnsi="Calibri"/>
                <w:spacing w:val="-1"/>
                <w:highlight w:val="none"/>
                <w:lang w:eastAsia="en-US"/>
              </w:rPr>
              <w:t>大</w:t>
            </w:r>
            <w:r>
              <w:rPr>
                <w:rFonts w:hAnsi="Calibri"/>
                <w:spacing w:val="2"/>
                <w:highlight w:val="none"/>
                <w:lang w:eastAsia="en-US"/>
              </w:rPr>
              <w:t>深</w:t>
            </w:r>
            <w:r>
              <w:rPr>
                <w:rFonts w:hAnsi="Calibri"/>
                <w:highlight w:val="none"/>
                <w:lang w:eastAsia="en-US"/>
              </w:rPr>
              <w:t>度</w:t>
            </w:r>
            <w:r>
              <w:rPr>
                <w:rFonts w:hint="eastAsia" w:hAnsi="Calibri"/>
                <w:spacing w:val="1"/>
                <w:highlight w:val="none"/>
                <w:lang w:eastAsia="en-US"/>
              </w:rPr>
              <w:t>6</w:t>
            </w:r>
            <w:r>
              <w:rPr>
                <w:rFonts w:hAnsi="Calibri"/>
                <w:highlight w:val="none"/>
                <w:lang w:eastAsia="en-US"/>
              </w:rPr>
              <w:t>m</w:t>
            </w:r>
          </w:p>
        </w:tc>
        <w:tc>
          <w:tcPr>
            <w:tcW w:w="1843" w:type="dxa"/>
            <w:vAlign w:val="center"/>
          </w:tcPr>
          <w:p>
            <w:pPr>
              <w:pStyle w:val="234"/>
              <w:rPr>
                <w:rFonts w:hAnsi="Calibri"/>
                <w:highlight w:val="none"/>
                <w:lang w:eastAsia="en-US"/>
              </w:rPr>
            </w:pPr>
            <w:r>
              <w:rPr>
                <w:rFonts w:hAnsi="Calibri"/>
                <w:spacing w:val="-1"/>
                <w:highlight w:val="none"/>
                <w:lang w:eastAsia="en-US"/>
              </w:rPr>
              <w:t>混</w:t>
            </w:r>
            <w:r>
              <w:rPr>
                <w:rFonts w:hAnsi="Calibri"/>
                <w:spacing w:val="2"/>
                <w:highlight w:val="none"/>
                <w:lang w:eastAsia="en-US"/>
              </w:rPr>
              <w:t>凝</w:t>
            </w:r>
            <w:r>
              <w:rPr>
                <w:rFonts w:hAnsi="Calibri"/>
                <w:spacing w:val="-1"/>
                <w:highlight w:val="none"/>
                <w:lang w:eastAsia="en-US"/>
              </w:rPr>
              <w:t>土</w:t>
            </w:r>
            <w:r>
              <w:rPr>
                <w:rFonts w:hAnsi="Calibri"/>
                <w:spacing w:val="2"/>
                <w:highlight w:val="none"/>
                <w:lang w:eastAsia="en-US"/>
              </w:rPr>
              <w:t>浇</w:t>
            </w:r>
            <w:r>
              <w:rPr>
                <w:rFonts w:hAnsi="Calibri"/>
                <w:spacing w:val="-1"/>
                <w:highlight w:val="none"/>
                <w:lang w:eastAsia="en-US"/>
              </w:rPr>
              <w:t>筑</w:t>
            </w:r>
            <w:r>
              <w:rPr>
                <w:rFonts w:hAnsi="Calibri"/>
                <w:spacing w:val="2"/>
                <w:highlight w:val="none"/>
                <w:lang w:eastAsia="en-US"/>
              </w:rPr>
              <w:t>池</w:t>
            </w:r>
            <w:r>
              <w:rPr>
                <w:rFonts w:hAnsi="Calibri"/>
                <w:highlight w:val="none"/>
                <w:lang w:eastAsia="en-US"/>
              </w:rPr>
              <w:t>体</w:t>
            </w:r>
          </w:p>
        </w:tc>
        <w:tc>
          <w:tcPr>
            <w:tcW w:w="943" w:type="dxa"/>
            <w:vAlign w:val="center"/>
          </w:tcPr>
          <w:p>
            <w:pPr>
              <w:pStyle w:val="234"/>
              <w:rPr>
                <w:rFonts w:hAnsi="Calibri"/>
                <w:highlight w:val="none"/>
                <w:lang w:eastAsia="en-US"/>
              </w:rPr>
            </w:pPr>
            <w:r>
              <w:rPr>
                <w:rFonts w:hAnsi="Calibri"/>
                <w:highlight w:val="none"/>
                <w:lang w:eastAsia="en-US"/>
              </w:rPr>
              <w:t>依托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highlight w:val="none"/>
                <w:lang w:eastAsia="en-US"/>
              </w:rPr>
              <w:t>9</w:t>
            </w:r>
          </w:p>
        </w:tc>
        <w:tc>
          <w:tcPr>
            <w:tcW w:w="1507" w:type="dxa"/>
            <w:vAlign w:val="center"/>
          </w:tcPr>
          <w:p>
            <w:pPr>
              <w:pStyle w:val="234"/>
              <w:rPr>
                <w:rFonts w:hAnsi="Calibri"/>
                <w:highlight w:val="none"/>
                <w:lang w:eastAsia="en-US"/>
              </w:rPr>
            </w:pPr>
            <w:r>
              <w:rPr>
                <w:rFonts w:hAnsi="Calibri"/>
                <w:spacing w:val="-1"/>
                <w:highlight w:val="none"/>
                <w:lang w:eastAsia="en-US"/>
              </w:rPr>
              <w:t>浓</w:t>
            </w:r>
            <w:r>
              <w:rPr>
                <w:rFonts w:hAnsi="Calibri"/>
                <w:spacing w:val="2"/>
                <w:highlight w:val="none"/>
                <w:lang w:eastAsia="en-US"/>
              </w:rPr>
              <w:t>缩</w:t>
            </w:r>
            <w:r>
              <w:rPr>
                <w:rFonts w:hAnsi="Calibri"/>
                <w:highlight w:val="none"/>
                <w:lang w:eastAsia="en-US"/>
              </w:rPr>
              <w:t>池</w:t>
            </w:r>
          </w:p>
        </w:tc>
        <w:tc>
          <w:tcPr>
            <w:tcW w:w="3686" w:type="dxa"/>
            <w:vAlign w:val="center"/>
          </w:tcPr>
          <w:p>
            <w:pPr>
              <w:pStyle w:val="234"/>
              <w:rPr>
                <w:rFonts w:hAnsi="Calibri"/>
                <w:sz w:val="10"/>
                <w:szCs w:val="10"/>
                <w:highlight w:val="none"/>
                <w:lang w:eastAsia="en-US"/>
              </w:rPr>
            </w:pPr>
            <w:r>
              <w:rPr>
                <w:rFonts w:hAnsi="Calibri"/>
                <w:spacing w:val="-1"/>
                <w:highlight w:val="none"/>
                <w:lang w:eastAsia="en-US"/>
              </w:rPr>
              <w:t>Φ</w:t>
            </w:r>
            <w:r>
              <w:rPr>
                <w:rFonts w:hint="eastAsia" w:hAnsi="Calibri"/>
                <w:spacing w:val="1"/>
                <w:highlight w:val="none"/>
                <w:lang w:eastAsia="en-US"/>
              </w:rPr>
              <w:t>18</w:t>
            </w:r>
            <w:r>
              <w:rPr>
                <w:rFonts w:hAnsi="Calibri"/>
                <w:spacing w:val="-2"/>
                <w:highlight w:val="none"/>
                <w:lang w:eastAsia="en-US"/>
              </w:rPr>
              <w:t>m</w:t>
            </w:r>
            <w:r>
              <w:rPr>
                <w:rFonts w:hAnsi="Calibri"/>
                <w:spacing w:val="-1"/>
                <w:highlight w:val="none"/>
                <w:lang w:eastAsia="en-US"/>
              </w:rPr>
              <w:t>，</w:t>
            </w:r>
            <w:r>
              <w:rPr>
                <w:rFonts w:hAnsi="Calibri"/>
                <w:spacing w:val="2"/>
                <w:highlight w:val="none"/>
                <w:lang w:eastAsia="en-US"/>
              </w:rPr>
              <w:t>池</w:t>
            </w:r>
            <w:r>
              <w:rPr>
                <w:rFonts w:hAnsi="Calibri"/>
                <w:highlight w:val="none"/>
                <w:lang w:eastAsia="en-US"/>
              </w:rPr>
              <w:t>容</w:t>
            </w:r>
            <w:r>
              <w:rPr>
                <w:rFonts w:hint="eastAsia" w:hAnsi="Calibri"/>
                <w:spacing w:val="1"/>
                <w:highlight w:val="none"/>
                <w:lang w:eastAsia="en-US"/>
              </w:rPr>
              <w:t>1167</w:t>
            </w:r>
            <w:r>
              <w:rPr>
                <w:rFonts w:hAnsi="Calibri"/>
                <w:spacing w:val="-2"/>
                <w:highlight w:val="none"/>
                <w:lang w:eastAsia="en-US"/>
              </w:rPr>
              <w:t>m</w:t>
            </w:r>
            <w:r>
              <w:rPr>
                <w:rFonts w:hAnsi="Calibri"/>
                <w:position w:val="11"/>
                <w:sz w:val="10"/>
                <w:szCs w:val="10"/>
                <w:highlight w:val="none"/>
                <w:lang w:eastAsia="en-US"/>
              </w:rPr>
              <w:t>3</w:t>
            </w:r>
          </w:p>
        </w:tc>
        <w:tc>
          <w:tcPr>
            <w:tcW w:w="1843" w:type="dxa"/>
            <w:vAlign w:val="center"/>
          </w:tcPr>
          <w:p>
            <w:pPr>
              <w:pStyle w:val="234"/>
              <w:rPr>
                <w:rFonts w:hAnsi="Calibri"/>
                <w:highlight w:val="none"/>
                <w:lang w:eastAsia="en-US"/>
              </w:rPr>
            </w:pPr>
            <w:r>
              <w:rPr>
                <w:rFonts w:hAnsi="Calibri"/>
                <w:spacing w:val="-1"/>
                <w:highlight w:val="none"/>
                <w:lang w:eastAsia="en-US"/>
              </w:rPr>
              <w:t>混</w:t>
            </w:r>
            <w:r>
              <w:rPr>
                <w:rFonts w:hAnsi="Calibri"/>
                <w:spacing w:val="2"/>
                <w:highlight w:val="none"/>
                <w:lang w:eastAsia="en-US"/>
              </w:rPr>
              <w:t>凝</w:t>
            </w:r>
            <w:r>
              <w:rPr>
                <w:rFonts w:hAnsi="Calibri"/>
                <w:spacing w:val="-1"/>
                <w:highlight w:val="none"/>
                <w:lang w:eastAsia="en-US"/>
              </w:rPr>
              <w:t>土</w:t>
            </w:r>
            <w:r>
              <w:rPr>
                <w:rFonts w:hAnsi="Calibri"/>
                <w:spacing w:val="2"/>
                <w:highlight w:val="none"/>
                <w:lang w:eastAsia="en-US"/>
              </w:rPr>
              <w:t>浇</w:t>
            </w:r>
            <w:r>
              <w:rPr>
                <w:rFonts w:hAnsi="Calibri"/>
                <w:spacing w:val="-1"/>
                <w:highlight w:val="none"/>
                <w:lang w:eastAsia="en-US"/>
              </w:rPr>
              <w:t>筑</w:t>
            </w:r>
            <w:r>
              <w:rPr>
                <w:rFonts w:hAnsi="Calibri"/>
                <w:spacing w:val="2"/>
                <w:highlight w:val="none"/>
                <w:lang w:eastAsia="en-US"/>
              </w:rPr>
              <w:t>池</w:t>
            </w:r>
            <w:r>
              <w:rPr>
                <w:rFonts w:hAnsi="Calibri"/>
                <w:highlight w:val="none"/>
                <w:lang w:eastAsia="en-US"/>
              </w:rPr>
              <w:t>体</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spacing w:val="1"/>
                <w:highlight w:val="none"/>
                <w:lang w:eastAsia="en-US"/>
              </w:rPr>
              <w:t>1</w:t>
            </w:r>
            <w:r>
              <w:rPr>
                <w:rFonts w:hAnsi="Calibri"/>
                <w:highlight w:val="none"/>
                <w:lang w:eastAsia="en-US"/>
              </w:rPr>
              <w:t>0</w:t>
            </w:r>
          </w:p>
        </w:tc>
        <w:tc>
          <w:tcPr>
            <w:tcW w:w="1507" w:type="dxa"/>
            <w:vAlign w:val="center"/>
          </w:tcPr>
          <w:p>
            <w:pPr>
              <w:pStyle w:val="234"/>
              <w:rPr>
                <w:rFonts w:hAnsi="Calibri"/>
                <w:highlight w:val="none"/>
                <w:lang w:eastAsia="en-US"/>
              </w:rPr>
            </w:pPr>
            <w:r>
              <w:rPr>
                <w:rFonts w:hAnsi="Calibri"/>
                <w:spacing w:val="-1"/>
                <w:highlight w:val="none"/>
                <w:lang w:eastAsia="en-US"/>
              </w:rPr>
              <w:t>循</w:t>
            </w:r>
            <w:r>
              <w:rPr>
                <w:rFonts w:hAnsi="Calibri"/>
                <w:spacing w:val="2"/>
                <w:highlight w:val="none"/>
                <w:lang w:eastAsia="en-US"/>
              </w:rPr>
              <w:t>环</w:t>
            </w:r>
            <w:r>
              <w:rPr>
                <w:rFonts w:hAnsi="Calibri"/>
                <w:spacing w:val="-1"/>
                <w:highlight w:val="none"/>
                <w:lang w:eastAsia="en-US"/>
              </w:rPr>
              <w:t>水</w:t>
            </w:r>
            <w:r>
              <w:rPr>
                <w:rFonts w:hAnsi="Calibri"/>
                <w:highlight w:val="none"/>
                <w:lang w:eastAsia="en-US"/>
              </w:rPr>
              <w:t>池</w:t>
            </w:r>
          </w:p>
        </w:tc>
        <w:tc>
          <w:tcPr>
            <w:tcW w:w="3686" w:type="dxa"/>
            <w:vAlign w:val="center"/>
          </w:tcPr>
          <w:p>
            <w:pPr>
              <w:pStyle w:val="234"/>
              <w:rPr>
                <w:rFonts w:hAnsi="Calibri"/>
                <w:sz w:val="10"/>
                <w:szCs w:val="10"/>
                <w:highlight w:val="none"/>
                <w:lang w:eastAsia="en-US"/>
              </w:rPr>
            </w:pPr>
            <w:r>
              <w:rPr>
                <w:rFonts w:hAnsi="Calibri"/>
                <w:spacing w:val="-1"/>
                <w:highlight w:val="none"/>
                <w:lang w:eastAsia="en-US"/>
              </w:rPr>
              <w:t>总</w:t>
            </w:r>
            <w:r>
              <w:rPr>
                <w:rFonts w:hAnsi="Calibri"/>
                <w:spacing w:val="2"/>
                <w:highlight w:val="none"/>
                <w:lang w:eastAsia="en-US"/>
              </w:rPr>
              <w:t>池</w:t>
            </w:r>
            <w:r>
              <w:rPr>
                <w:rFonts w:hAnsi="Calibri"/>
                <w:highlight w:val="none"/>
                <w:lang w:eastAsia="en-US"/>
              </w:rPr>
              <w:t>容</w:t>
            </w:r>
            <w:r>
              <w:rPr>
                <w:rFonts w:hint="eastAsia" w:hAnsi="Calibri"/>
                <w:spacing w:val="1"/>
                <w:highlight w:val="none"/>
                <w:lang w:eastAsia="en-US"/>
              </w:rPr>
              <w:t>2</w:t>
            </w:r>
            <w:r>
              <w:rPr>
                <w:rFonts w:hAnsi="Calibri"/>
                <w:spacing w:val="1"/>
                <w:highlight w:val="none"/>
                <w:lang w:eastAsia="en-US"/>
              </w:rPr>
              <w:t>0</w:t>
            </w:r>
            <w:r>
              <w:rPr>
                <w:rFonts w:hAnsi="Calibri"/>
                <w:spacing w:val="-2"/>
                <w:highlight w:val="none"/>
                <w:lang w:eastAsia="en-US"/>
              </w:rPr>
              <w:t>0</w:t>
            </w:r>
            <w:r>
              <w:rPr>
                <w:rFonts w:hAnsi="Calibri"/>
                <w:spacing w:val="1"/>
                <w:highlight w:val="none"/>
                <w:lang w:eastAsia="en-US"/>
              </w:rPr>
              <w:t>m</w:t>
            </w:r>
            <w:r>
              <w:rPr>
                <w:rFonts w:hAnsi="Calibri"/>
                <w:position w:val="11"/>
                <w:sz w:val="10"/>
                <w:szCs w:val="10"/>
                <w:highlight w:val="none"/>
                <w:lang w:eastAsia="en-US"/>
              </w:rPr>
              <w:t>3</w:t>
            </w:r>
          </w:p>
        </w:tc>
        <w:tc>
          <w:tcPr>
            <w:tcW w:w="1843" w:type="dxa"/>
            <w:vAlign w:val="center"/>
          </w:tcPr>
          <w:p>
            <w:pPr>
              <w:pStyle w:val="234"/>
              <w:rPr>
                <w:rFonts w:hAnsi="Calibri"/>
                <w:highlight w:val="none"/>
                <w:lang w:eastAsia="en-US"/>
              </w:rPr>
            </w:pPr>
            <w:r>
              <w:rPr>
                <w:rFonts w:hAnsi="Calibri"/>
                <w:spacing w:val="-1"/>
                <w:highlight w:val="none"/>
                <w:lang w:eastAsia="en-US"/>
              </w:rPr>
              <w:t>混</w:t>
            </w:r>
            <w:r>
              <w:rPr>
                <w:rFonts w:hAnsi="Calibri"/>
                <w:spacing w:val="2"/>
                <w:highlight w:val="none"/>
                <w:lang w:eastAsia="en-US"/>
              </w:rPr>
              <w:t>凝</w:t>
            </w:r>
            <w:r>
              <w:rPr>
                <w:rFonts w:hAnsi="Calibri"/>
                <w:spacing w:val="-1"/>
                <w:highlight w:val="none"/>
                <w:lang w:eastAsia="en-US"/>
              </w:rPr>
              <w:t>土</w:t>
            </w:r>
            <w:r>
              <w:rPr>
                <w:rFonts w:hAnsi="Calibri"/>
                <w:spacing w:val="2"/>
                <w:highlight w:val="none"/>
                <w:lang w:eastAsia="en-US"/>
              </w:rPr>
              <w:t>浇</w:t>
            </w:r>
            <w:r>
              <w:rPr>
                <w:rFonts w:hAnsi="Calibri"/>
                <w:spacing w:val="-1"/>
                <w:highlight w:val="none"/>
                <w:lang w:eastAsia="en-US"/>
              </w:rPr>
              <w:t>筑</w:t>
            </w:r>
            <w:r>
              <w:rPr>
                <w:rFonts w:hAnsi="Calibri"/>
                <w:spacing w:val="2"/>
                <w:highlight w:val="none"/>
                <w:lang w:eastAsia="en-US"/>
              </w:rPr>
              <w:t>池</w:t>
            </w:r>
            <w:r>
              <w:rPr>
                <w:rFonts w:hAnsi="Calibri"/>
                <w:highlight w:val="none"/>
                <w:lang w:eastAsia="en-US"/>
              </w:rPr>
              <w:t>体</w:t>
            </w:r>
          </w:p>
        </w:tc>
        <w:tc>
          <w:tcPr>
            <w:tcW w:w="943" w:type="dxa"/>
            <w:vAlign w:val="center"/>
          </w:tcPr>
          <w:p>
            <w:pPr>
              <w:pStyle w:val="234"/>
              <w:rPr>
                <w:rFonts w:hAnsi="Calibri"/>
                <w:highlight w:val="none"/>
                <w:lang w:eastAsia="en-US"/>
              </w:rPr>
            </w:pPr>
            <w:r>
              <w:rPr>
                <w:rFonts w:hAnsi="Calibri"/>
                <w:highlight w:val="none"/>
                <w:lang w:eastAsia="en-US"/>
              </w:rPr>
              <w:t>依托</w:t>
            </w:r>
            <w:r>
              <w:rPr>
                <w:rFonts w:hint="eastAsia" w:asciiTheme="minorEastAsia" w:hAnsiTheme="minorEastAsia" w:eastAsiaTheme="minorEastAsia"/>
                <w:szCs w:val="21"/>
                <w:highlight w:val="none"/>
                <w:lang w:eastAsia="en-US"/>
              </w:rPr>
              <w:t>改造</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spacing w:val="1"/>
                <w:highlight w:val="none"/>
                <w:lang w:eastAsia="en-US"/>
              </w:rPr>
              <w:t>1</w:t>
            </w:r>
            <w:r>
              <w:rPr>
                <w:rFonts w:hAnsi="Calibri"/>
                <w:highlight w:val="none"/>
                <w:lang w:eastAsia="en-US"/>
              </w:rPr>
              <w:t>1</w:t>
            </w:r>
          </w:p>
        </w:tc>
        <w:tc>
          <w:tcPr>
            <w:tcW w:w="1507" w:type="dxa"/>
            <w:vAlign w:val="center"/>
          </w:tcPr>
          <w:p>
            <w:pPr>
              <w:pStyle w:val="234"/>
              <w:rPr>
                <w:rFonts w:hAnsi="Calibri"/>
                <w:highlight w:val="none"/>
                <w:lang w:eastAsia="en-US"/>
              </w:rPr>
            </w:pPr>
            <w:r>
              <w:rPr>
                <w:rFonts w:hAnsi="Calibri"/>
                <w:spacing w:val="-1"/>
                <w:highlight w:val="none"/>
                <w:lang w:eastAsia="en-US"/>
              </w:rPr>
              <w:t>事</w:t>
            </w:r>
            <w:r>
              <w:rPr>
                <w:rFonts w:hAnsi="Calibri"/>
                <w:spacing w:val="2"/>
                <w:highlight w:val="none"/>
                <w:lang w:eastAsia="en-US"/>
              </w:rPr>
              <w:t>故</w:t>
            </w:r>
            <w:r>
              <w:rPr>
                <w:rFonts w:hAnsi="Calibri"/>
                <w:spacing w:val="-1"/>
                <w:highlight w:val="none"/>
                <w:lang w:eastAsia="en-US"/>
              </w:rPr>
              <w:t>水</w:t>
            </w:r>
            <w:r>
              <w:rPr>
                <w:rFonts w:hAnsi="Calibri"/>
                <w:highlight w:val="none"/>
                <w:lang w:eastAsia="en-US"/>
              </w:rPr>
              <w:t>池</w:t>
            </w:r>
          </w:p>
        </w:tc>
        <w:tc>
          <w:tcPr>
            <w:tcW w:w="3686" w:type="dxa"/>
            <w:vAlign w:val="center"/>
          </w:tcPr>
          <w:p>
            <w:pPr>
              <w:pStyle w:val="234"/>
              <w:rPr>
                <w:rFonts w:hAnsi="Calibri"/>
                <w:sz w:val="10"/>
                <w:szCs w:val="10"/>
                <w:highlight w:val="none"/>
                <w:lang w:eastAsia="en-US"/>
              </w:rPr>
            </w:pPr>
            <w:r>
              <w:rPr>
                <w:rFonts w:hAnsi="Calibri"/>
                <w:spacing w:val="-1"/>
                <w:highlight w:val="none"/>
                <w:lang w:eastAsia="en-US"/>
              </w:rPr>
              <w:t>池</w:t>
            </w:r>
            <w:r>
              <w:rPr>
                <w:rFonts w:hAnsi="Calibri"/>
                <w:highlight w:val="none"/>
                <w:lang w:eastAsia="en-US"/>
              </w:rPr>
              <w:t>容</w:t>
            </w:r>
            <w:r>
              <w:rPr>
                <w:rFonts w:hint="eastAsia" w:hAnsi="Calibri"/>
                <w:spacing w:val="1"/>
                <w:highlight w:val="none"/>
                <w:lang w:eastAsia="en-US"/>
              </w:rPr>
              <w:t>1</w:t>
            </w:r>
            <w:r>
              <w:rPr>
                <w:rFonts w:hAnsi="Calibri"/>
                <w:spacing w:val="1"/>
                <w:highlight w:val="none"/>
                <w:lang w:eastAsia="en-US"/>
              </w:rPr>
              <w:t>500</w:t>
            </w:r>
            <w:r>
              <w:rPr>
                <w:rFonts w:hAnsi="Calibri"/>
                <w:spacing w:val="-2"/>
                <w:highlight w:val="none"/>
                <w:lang w:eastAsia="en-US"/>
              </w:rPr>
              <w:t>m</w:t>
            </w:r>
            <w:r>
              <w:rPr>
                <w:rFonts w:hAnsi="Calibri"/>
                <w:position w:val="11"/>
                <w:sz w:val="10"/>
                <w:szCs w:val="10"/>
                <w:highlight w:val="none"/>
                <w:lang w:eastAsia="en-US"/>
              </w:rPr>
              <w:t>3</w:t>
            </w:r>
          </w:p>
        </w:tc>
        <w:tc>
          <w:tcPr>
            <w:tcW w:w="1843" w:type="dxa"/>
            <w:vAlign w:val="center"/>
          </w:tcPr>
          <w:p>
            <w:pPr>
              <w:pStyle w:val="234"/>
              <w:rPr>
                <w:rFonts w:hAnsi="Calibri"/>
                <w:highlight w:val="none"/>
                <w:lang w:eastAsia="en-US"/>
              </w:rPr>
            </w:pPr>
            <w:r>
              <w:rPr>
                <w:rFonts w:hAnsi="Calibri"/>
                <w:spacing w:val="-1"/>
                <w:highlight w:val="none"/>
                <w:lang w:eastAsia="en-US"/>
              </w:rPr>
              <w:t>混</w:t>
            </w:r>
            <w:r>
              <w:rPr>
                <w:rFonts w:hAnsi="Calibri"/>
                <w:spacing w:val="2"/>
                <w:highlight w:val="none"/>
                <w:lang w:eastAsia="en-US"/>
              </w:rPr>
              <w:t>凝</w:t>
            </w:r>
            <w:r>
              <w:rPr>
                <w:rFonts w:hAnsi="Calibri"/>
                <w:spacing w:val="-1"/>
                <w:highlight w:val="none"/>
                <w:lang w:eastAsia="en-US"/>
              </w:rPr>
              <w:t>土</w:t>
            </w:r>
            <w:r>
              <w:rPr>
                <w:rFonts w:hAnsi="Calibri"/>
                <w:spacing w:val="2"/>
                <w:highlight w:val="none"/>
                <w:lang w:eastAsia="en-US"/>
              </w:rPr>
              <w:t>浇</w:t>
            </w:r>
            <w:r>
              <w:rPr>
                <w:rFonts w:hAnsi="Calibri"/>
                <w:spacing w:val="-1"/>
                <w:highlight w:val="none"/>
                <w:lang w:eastAsia="en-US"/>
              </w:rPr>
              <w:t>筑</w:t>
            </w:r>
            <w:r>
              <w:rPr>
                <w:rFonts w:hAnsi="Calibri"/>
                <w:spacing w:val="2"/>
                <w:highlight w:val="none"/>
                <w:lang w:eastAsia="en-US"/>
              </w:rPr>
              <w:t>池</w:t>
            </w:r>
            <w:r>
              <w:rPr>
                <w:rFonts w:hAnsi="Calibri"/>
                <w:highlight w:val="none"/>
                <w:lang w:eastAsia="en-US"/>
              </w:rPr>
              <w:t>体</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highlight w:val="none"/>
                <w:lang w:eastAsia="en-US"/>
              </w:rPr>
            </w:pPr>
            <w:r>
              <w:rPr>
                <w:rFonts w:hAnsi="Calibri"/>
                <w:spacing w:val="1"/>
                <w:highlight w:val="none"/>
                <w:lang w:eastAsia="en-US"/>
              </w:rPr>
              <w:t>1</w:t>
            </w:r>
            <w:r>
              <w:rPr>
                <w:rFonts w:hAnsi="Calibri"/>
                <w:highlight w:val="none"/>
                <w:lang w:eastAsia="en-US"/>
              </w:rPr>
              <w:t>2</w:t>
            </w:r>
          </w:p>
        </w:tc>
        <w:tc>
          <w:tcPr>
            <w:tcW w:w="1507" w:type="dxa"/>
            <w:vAlign w:val="center"/>
          </w:tcPr>
          <w:p>
            <w:pPr>
              <w:pStyle w:val="234"/>
              <w:rPr>
                <w:rFonts w:hAnsi="Calibri"/>
                <w:highlight w:val="none"/>
                <w:lang w:eastAsia="en-US"/>
              </w:rPr>
            </w:pPr>
            <w:r>
              <w:rPr>
                <w:rFonts w:hAnsi="Calibri"/>
                <w:spacing w:val="-1"/>
                <w:highlight w:val="none"/>
                <w:lang w:eastAsia="en-US"/>
              </w:rPr>
              <w:t>初</w:t>
            </w:r>
            <w:r>
              <w:rPr>
                <w:rFonts w:hAnsi="Calibri"/>
                <w:spacing w:val="2"/>
                <w:highlight w:val="none"/>
                <w:lang w:eastAsia="en-US"/>
              </w:rPr>
              <w:t>期</w:t>
            </w:r>
            <w:r>
              <w:rPr>
                <w:rFonts w:hAnsi="Calibri"/>
                <w:spacing w:val="-1"/>
                <w:highlight w:val="none"/>
                <w:lang w:eastAsia="en-US"/>
              </w:rPr>
              <w:t>雨</w:t>
            </w:r>
            <w:r>
              <w:rPr>
                <w:rFonts w:hAnsi="Calibri"/>
                <w:spacing w:val="2"/>
                <w:highlight w:val="none"/>
                <w:lang w:eastAsia="en-US"/>
              </w:rPr>
              <w:t>水</w:t>
            </w:r>
            <w:r>
              <w:rPr>
                <w:rFonts w:hAnsi="Calibri"/>
                <w:spacing w:val="-1"/>
                <w:highlight w:val="none"/>
                <w:lang w:eastAsia="en-US"/>
              </w:rPr>
              <w:t>收</w:t>
            </w:r>
            <w:r>
              <w:rPr>
                <w:rFonts w:hAnsi="Calibri"/>
                <w:spacing w:val="2"/>
                <w:highlight w:val="none"/>
                <w:lang w:eastAsia="en-US"/>
              </w:rPr>
              <w:t>集</w:t>
            </w:r>
            <w:r>
              <w:rPr>
                <w:rFonts w:hAnsi="Calibri"/>
                <w:highlight w:val="none"/>
                <w:lang w:eastAsia="en-US"/>
              </w:rPr>
              <w:t>池</w:t>
            </w:r>
          </w:p>
        </w:tc>
        <w:tc>
          <w:tcPr>
            <w:tcW w:w="3686" w:type="dxa"/>
            <w:vAlign w:val="center"/>
          </w:tcPr>
          <w:p>
            <w:pPr>
              <w:pStyle w:val="234"/>
              <w:rPr>
                <w:rFonts w:hAnsi="Calibri"/>
                <w:sz w:val="10"/>
                <w:szCs w:val="10"/>
                <w:highlight w:val="none"/>
                <w:lang w:eastAsia="en-US"/>
              </w:rPr>
            </w:pPr>
            <w:r>
              <w:rPr>
                <w:rFonts w:hint="eastAsia" w:hAnsi="Calibri"/>
                <w:spacing w:val="3"/>
                <w:highlight w:val="none"/>
                <w:lang w:eastAsia="en-US"/>
              </w:rPr>
              <w:t>16</w:t>
            </w:r>
            <w:r>
              <w:rPr>
                <w:rFonts w:hAnsi="Calibri"/>
                <w:spacing w:val="3"/>
                <w:highlight w:val="none"/>
                <w:lang w:eastAsia="en-US"/>
              </w:rPr>
              <w:t>0</w:t>
            </w:r>
            <w:r>
              <w:rPr>
                <w:rFonts w:hAnsi="Calibri"/>
                <w:spacing w:val="8"/>
                <w:highlight w:val="none"/>
                <w:lang w:eastAsia="en-US"/>
              </w:rPr>
              <w:t>m</w:t>
            </w:r>
            <w:r>
              <w:rPr>
                <w:rFonts w:hAnsi="Calibri"/>
                <w:position w:val="10"/>
                <w:sz w:val="10"/>
                <w:szCs w:val="10"/>
                <w:highlight w:val="none"/>
                <w:lang w:eastAsia="en-US"/>
              </w:rPr>
              <w:t>3</w:t>
            </w:r>
          </w:p>
        </w:tc>
        <w:tc>
          <w:tcPr>
            <w:tcW w:w="1843" w:type="dxa"/>
            <w:vAlign w:val="center"/>
          </w:tcPr>
          <w:p>
            <w:pPr>
              <w:pStyle w:val="234"/>
              <w:rPr>
                <w:rFonts w:hAnsi="Calibri"/>
                <w:highlight w:val="none"/>
                <w:lang w:eastAsia="en-US"/>
              </w:rPr>
            </w:pPr>
            <w:r>
              <w:rPr>
                <w:rFonts w:hAnsi="Calibri"/>
                <w:spacing w:val="-1"/>
                <w:highlight w:val="none"/>
                <w:lang w:eastAsia="en-US"/>
              </w:rPr>
              <w:t>混</w:t>
            </w:r>
            <w:r>
              <w:rPr>
                <w:rFonts w:hAnsi="Calibri"/>
                <w:spacing w:val="2"/>
                <w:highlight w:val="none"/>
                <w:lang w:eastAsia="en-US"/>
              </w:rPr>
              <w:t>凝</w:t>
            </w:r>
            <w:r>
              <w:rPr>
                <w:rFonts w:hAnsi="Calibri"/>
                <w:spacing w:val="-1"/>
                <w:highlight w:val="none"/>
                <w:lang w:eastAsia="en-US"/>
              </w:rPr>
              <w:t>土</w:t>
            </w:r>
            <w:r>
              <w:rPr>
                <w:rFonts w:hAnsi="Calibri"/>
                <w:spacing w:val="2"/>
                <w:highlight w:val="none"/>
                <w:lang w:eastAsia="en-US"/>
              </w:rPr>
              <w:t>浇</w:t>
            </w:r>
            <w:r>
              <w:rPr>
                <w:rFonts w:hAnsi="Calibri"/>
                <w:spacing w:val="-1"/>
                <w:highlight w:val="none"/>
                <w:lang w:eastAsia="en-US"/>
              </w:rPr>
              <w:t>筑</w:t>
            </w:r>
            <w:r>
              <w:rPr>
                <w:rFonts w:hAnsi="Calibri"/>
                <w:spacing w:val="2"/>
                <w:highlight w:val="none"/>
                <w:lang w:eastAsia="en-US"/>
              </w:rPr>
              <w:t>池</w:t>
            </w:r>
            <w:r>
              <w:rPr>
                <w:rFonts w:hAnsi="Calibri"/>
                <w:highlight w:val="none"/>
                <w:lang w:eastAsia="en-US"/>
              </w:rPr>
              <w:t>体</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1" w:type="dxa"/>
            <w:vAlign w:val="center"/>
          </w:tcPr>
          <w:p>
            <w:pPr>
              <w:pStyle w:val="234"/>
              <w:rPr>
                <w:rFonts w:hAnsi="Calibri"/>
                <w:highlight w:val="none"/>
                <w:lang w:eastAsia="en-US"/>
              </w:rPr>
            </w:pPr>
            <w:r>
              <w:rPr>
                <w:rFonts w:hAnsi="Calibri"/>
                <w:spacing w:val="1"/>
                <w:highlight w:val="none"/>
                <w:lang w:eastAsia="en-US"/>
              </w:rPr>
              <w:t>1</w:t>
            </w:r>
            <w:r>
              <w:rPr>
                <w:rFonts w:hAnsi="Calibri"/>
                <w:highlight w:val="none"/>
                <w:lang w:eastAsia="en-US"/>
              </w:rPr>
              <w:t>3</w:t>
            </w:r>
          </w:p>
        </w:tc>
        <w:tc>
          <w:tcPr>
            <w:tcW w:w="1507" w:type="dxa"/>
            <w:vAlign w:val="center"/>
          </w:tcPr>
          <w:p>
            <w:pPr>
              <w:pStyle w:val="234"/>
              <w:rPr>
                <w:rFonts w:hAnsi="Calibri"/>
                <w:highlight w:val="none"/>
                <w:lang w:eastAsia="en-US"/>
              </w:rPr>
            </w:pPr>
            <w:r>
              <w:rPr>
                <w:rFonts w:hAnsi="Calibri"/>
                <w:spacing w:val="-1"/>
                <w:highlight w:val="none"/>
                <w:lang w:eastAsia="en-US"/>
              </w:rPr>
              <w:t>洗</w:t>
            </w:r>
            <w:r>
              <w:rPr>
                <w:rFonts w:hAnsi="Calibri"/>
                <w:spacing w:val="2"/>
                <w:highlight w:val="none"/>
                <w:lang w:eastAsia="en-US"/>
              </w:rPr>
              <w:t>车</w:t>
            </w:r>
            <w:r>
              <w:rPr>
                <w:rFonts w:hAnsi="Calibri"/>
                <w:spacing w:val="-1"/>
                <w:highlight w:val="none"/>
                <w:lang w:eastAsia="en-US"/>
              </w:rPr>
              <w:t>平</w:t>
            </w:r>
            <w:r>
              <w:rPr>
                <w:rFonts w:hAnsi="Calibri"/>
                <w:highlight w:val="none"/>
                <w:lang w:eastAsia="en-US"/>
              </w:rPr>
              <w:t>台</w:t>
            </w:r>
          </w:p>
        </w:tc>
        <w:tc>
          <w:tcPr>
            <w:tcW w:w="3686" w:type="dxa"/>
            <w:vAlign w:val="center"/>
          </w:tcPr>
          <w:p>
            <w:pPr>
              <w:pStyle w:val="234"/>
              <w:rPr>
                <w:rFonts w:hAnsi="Calibri"/>
                <w:sz w:val="10"/>
                <w:szCs w:val="10"/>
                <w:highlight w:val="none"/>
                <w:lang w:eastAsia="zh-CN"/>
              </w:rPr>
            </w:pPr>
            <w:r>
              <w:rPr>
                <w:rFonts w:hAnsi="Calibri"/>
                <w:spacing w:val="-1"/>
                <w:highlight w:val="none"/>
                <w:lang w:eastAsia="zh-CN"/>
              </w:rPr>
              <w:t>全</w:t>
            </w:r>
            <w:r>
              <w:rPr>
                <w:rFonts w:hAnsi="Calibri"/>
                <w:spacing w:val="2"/>
                <w:highlight w:val="none"/>
                <w:lang w:eastAsia="zh-CN"/>
              </w:rPr>
              <w:t>自</w:t>
            </w:r>
            <w:r>
              <w:rPr>
                <w:rFonts w:hAnsi="Calibri"/>
                <w:spacing w:val="-1"/>
                <w:highlight w:val="none"/>
                <w:lang w:eastAsia="zh-CN"/>
              </w:rPr>
              <w:t>动</w:t>
            </w:r>
            <w:r>
              <w:rPr>
                <w:rFonts w:hAnsi="Calibri"/>
                <w:spacing w:val="2"/>
                <w:highlight w:val="none"/>
                <w:lang w:eastAsia="zh-CN"/>
              </w:rPr>
              <w:t>洗</w:t>
            </w:r>
            <w:r>
              <w:rPr>
                <w:rFonts w:hAnsi="Calibri"/>
                <w:spacing w:val="-1"/>
                <w:highlight w:val="none"/>
                <w:lang w:eastAsia="zh-CN"/>
              </w:rPr>
              <w:t>车</w:t>
            </w:r>
            <w:r>
              <w:rPr>
                <w:rFonts w:hAnsi="Calibri"/>
                <w:spacing w:val="2"/>
                <w:highlight w:val="none"/>
                <w:lang w:eastAsia="zh-CN"/>
              </w:rPr>
              <w:t>机</w:t>
            </w:r>
            <w:r>
              <w:rPr>
                <w:rFonts w:hAnsi="Calibri"/>
                <w:spacing w:val="-1"/>
                <w:highlight w:val="none"/>
                <w:lang w:eastAsia="zh-CN"/>
              </w:rPr>
              <w:t>，</w:t>
            </w:r>
            <w:r>
              <w:rPr>
                <w:rFonts w:hAnsi="Calibri"/>
                <w:spacing w:val="2"/>
                <w:highlight w:val="none"/>
                <w:lang w:eastAsia="zh-CN"/>
              </w:rPr>
              <w:t>回</w:t>
            </w:r>
            <w:r>
              <w:rPr>
                <w:rFonts w:hAnsi="Calibri"/>
                <w:spacing w:val="-1"/>
                <w:highlight w:val="none"/>
                <w:lang w:eastAsia="zh-CN"/>
              </w:rPr>
              <w:t>用</w:t>
            </w:r>
            <w:r>
              <w:rPr>
                <w:rFonts w:hAnsi="Calibri"/>
                <w:spacing w:val="2"/>
                <w:highlight w:val="none"/>
                <w:lang w:eastAsia="zh-CN"/>
              </w:rPr>
              <w:t>水</w:t>
            </w:r>
            <w:r>
              <w:rPr>
                <w:rFonts w:hAnsi="Calibri"/>
                <w:highlight w:val="none"/>
                <w:lang w:eastAsia="zh-CN"/>
              </w:rPr>
              <w:t>池</w:t>
            </w:r>
            <w:r>
              <w:rPr>
                <w:rFonts w:hAnsi="Calibri"/>
                <w:spacing w:val="1"/>
                <w:highlight w:val="none"/>
                <w:lang w:eastAsia="zh-CN"/>
              </w:rPr>
              <w:t>20</w:t>
            </w:r>
            <w:r>
              <w:rPr>
                <w:rFonts w:hAnsi="Calibri"/>
                <w:spacing w:val="-2"/>
                <w:highlight w:val="none"/>
                <w:lang w:eastAsia="zh-CN"/>
              </w:rPr>
              <w:t>m</w:t>
            </w:r>
            <w:r>
              <w:rPr>
                <w:rFonts w:hAnsi="Calibri"/>
                <w:position w:val="11"/>
                <w:sz w:val="10"/>
                <w:szCs w:val="10"/>
                <w:highlight w:val="none"/>
                <w:lang w:eastAsia="zh-CN"/>
              </w:rPr>
              <w:t>2</w:t>
            </w:r>
          </w:p>
        </w:tc>
        <w:tc>
          <w:tcPr>
            <w:tcW w:w="1843" w:type="dxa"/>
            <w:vAlign w:val="center"/>
          </w:tcPr>
          <w:p>
            <w:pPr>
              <w:pStyle w:val="234"/>
              <w:rPr>
                <w:rFonts w:hAnsi="Calibri"/>
                <w:highlight w:val="none"/>
                <w:lang w:eastAsia="en-US"/>
              </w:rPr>
            </w:pPr>
            <w:r>
              <w:rPr>
                <w:rFonts w:hAnsi="Calibri"/>
                <w:spacing w:val="1"/>
                <w:highlight w:val="none"/>
                <w:lang w:eastAsia="en-US"/>
              </w:rPr>
              <w:t>100</w:t>
            </w:r>
            <w:r>
              <w:rPr>
                <w:rFonts w:hAnsi="Calibri"/>
                <w:spacing w:val="-2"/>
                <w:highlight w:val="none"/>
                <w:lang w:eastAsia="en-US"/>
              </w:rPr>
              <w:t>%</w:t>
            </w:r>
            <w:r>
              <w:rPr>
                <w:rFonts w:hAnsi="Calibri"/>
                <w:spacing w:val="-1"/>
                <w:highlight w:val="none"/>
                <w:lang w:eastAsia="en-US"/>
              </w:rPr>
              <w:t>覆</w:t>
            </w:r>
            <w:r>
              <w:rPr>
                <w:rFonts w:hAnsi="Calibri"/>
                <w:spacing w:val="2"/>
                <w:highlight w:val="none"/>
                <w:lang w:eastAsia="en-US"/>
              </w:rPr>
              <w:t>盖</w:t>
            </w:r>
            <w:r>
              <w:rPr>
                <w:rFonts w:hAnsi="Calibri"/>
                <w:spacing w:val="-1"/>
                <w:highlight w:val="none"/>
                <w:lang w:eastAsia="en-US"/>
              </w:rPr>
              <w:t>车</w:t>
            </w:r>
            <w:r>
              <w:rPr>
                <w:rFonts w:hAnsi="Calibri"/>
                <w:spacing w:val="2"/>
                <w:highlight w:val="none"/>
                <w:lang w:eastAsia="en-US"/>
              </w:rPr>
              <w:t>身</w:t>
            </w:r>
            <w:r>
              <w:rPr>
                <w:rFonts w:hAnsi="Calibri"/>
                <w:highlight w:val="none"/>
                <w:lang w:eastAsia="en-US"/>
              </w:rPr>
              <w:t>、</w:t>
            </w:r>
            <w:r>
              <w:rPr>
                <w:rFonts w:hAnsi="Calibri"/>
                <w:spacing w:val="-1"/>
                <w:highlight w:val="none"/>
                <w:lang w:eastAsia="en-US"/>
              </w:rPr>
              <w:t>车</w:t>
            </w:r>
            <w:r>
              <w:rPr>
                <w:rFonts w:hAnsi="Calibri"/>
                <w:highlight w:val="none"/>
                <w:lang w:eastAsia="en-US"/>
              </w:rPr>
              <w:t>胎</w:t>
            </w:r>
          </w:p>
        </w:tc>
        <w:tc>
          <w:tcPr>
            <w:tcW w:w="943" w:type="dxa"/>
            <w:vAlign w:val="center"/>
          </w:tcPr>
          <w:p>
            <w:pPr>
              <w:pStyle w:val="234"/>
              <w:rPr>
                <w:rFonts w:hAnsi="Calibri"/>
                <w:highlight w:val="none"/>
                <w:lang w:eastAsia="en-US"/>
              </w:rPr>
            </w:pPr>
            <w:r>
              <w:rPr>
                <w:rFonts w:hAnsi="Calibri"/>
                <w:highlight w:val="none"/>
                <w:lang w:eastAsia="en-US"/>
              </w:rPr>
              <w:t>新建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771" w:type="dxa"/>
            <w:vAlign w:val="center"/>
          </w:tcPr>
          <w:p>
            <w:pPr>
              <w:pStyle w:val="234"/>
              <w:rPr>
                <w:rFonts w:hAnsi="Calibri"/>
                <w:spacing w:val="1"/>
                <w:highlight w:val="none"/>
                <w:lang w:eastAsia="en-US"/>
              </w:rPr>
            </w:pPr>
            <w:r>
              <w:rPr>
                <w:rFonts w:hint="eastAsia" w:hAnsi="Calibri"/>
                <w:spacing w:val="1"/>
                <w:highlight w:val="none"/>
                <w:lang w:eastAsia="en-US"/>
              </w:rPr>
              <w:t>14</w:t>
            </w:r>
          </w:p>
        </w:tc>
        <w:tc>
          <w:tcPr>
            <w:tcW w:w="1507" w:type="dxa"/>
            <w:vAlign w:val="center"/>
          </w:tcPr>
          <w:p>
            <w:pPr>
              <w:pStyle w:val="234"/>
              <w:rPr>
                <w:rFonts w:hAnsi="Calibri"/>
                <w:spacing w:val="-1"/>
                <w:highlight w:val="none"/>
                <w:lang w:eastAsia="en-US"/>
              </w:rPr>
            </w:pPr>
            <w:r>
              <w:rPr>
                <w:rFonts w:hint="eastAsia" w:hAnsi="Calibri"/>
                <w:spacing w:val="-1"/>
                <w:highlight w:val="none"/>
                <w:lang w:eastAsia="en-US"/>
              </w:rPr>
              <w:t>跑、冒、滴、漏水池</w:t>
            </w:r>
          </w:p>
        </w:tc>
        <w:tc>
          <w:tcPr>
            <w:tcW w:w="3686" w:type="dxa"/>
            <w:vAlign w:val="center"/>
          </w:tcPr>
          <w:p>
            <w:pPr>
              <w:pStyle w:val="234"/>
              <w:rPr>
                <w:rFonts w:hAnsi="Calibri"/>
                <w:spacing w:val="-1"/>
                <w:highlight w:val="none"/>
                <w:lang w:eastAsia="en-US"/>
              </w:rPr>
            </w:pPr>
            <w:r>
              <w:rPr>
                <w:rFonts w:hint="eastAsia" w:hAnsi="Calibri"/>
                <w:spacing w:val="1"/>
                <w:highlight w:val="none"/>
                <w:lang w:eastAsia="en-US"/>
              </w:rPr>
              <w:t>6</w:t>
            </w:r>
            <w:r>
              <w:rPr>
                <w:rFonts w:hAnsi="Calibri"/>
                <w:spacing w:val="1"/>
                <w:highlight w:val="none"/>
                <w:lang w:eastAsia="en-US"/>
              </w:rPr>
              <w:t>0</w:t>
            </w:r>
            <w:r>
              <w:rPr>
                <w:rFonts w:hAnsi="Calibri"/>
                <w:spacing w:val="-2"/>
                <w:highlight w:val="none"/>
                <w:lang w:eastAsia="en-US"/>
              </w:rPr>
              <w:t>m</w:t>
            </w:r>
            <w:r>
              <w:rPr>
                <w:rFonts w:hint="eastAsia" w:hAnsi="Calibri"/>
                <w:position w:val="11"/>
                <w:sz w:val="10"/>
                <w:szCs w:val="10"/>
                <w:highlight w:val="none"/>
                <w:lang w:eastAsia="en-US"/>
              </w:rPr>
              <w:t>3</w:t>
            </w:r>
          </w:p>
        </w:tc>
        <w:tc>
          <w:tcPr>
            <w:tcW w:w="1843" w:type="dxa"/>
            <w:vAlign w:val="center"/>
          </w:tcPr>
          <w:p>
            <w:pPr>
              <w:pStyle w:val="234"/>
              <w:rPr>
                <w:rFonts w:hAnsi="Calibri"/>
                <w:spacing w:val="1"/>
                <w:highlight w:val="none"/>
                <w:lang w:eastAsia="en-US"/>
              </w:rPr>
            </w:pPr>
            <w:r>
              <w:rPr>
                <w:rFonts w:hAnsi="Calibri"/>
                <w:spacing w:val="-1"/>
                <w:highlight w:val="none"/>
                <w:lang w:eastAsia="en-US"/>
              </w:rPr>
              <w:t>混</w:t>
            </w:r>
            <w:r>
              <w:rPr>
                <w:rFonts w:hAnsi="Calibri"/>
                <w:spacing w:val="2"/>
                <w:highlight w:val="none"/>
                <w:lang w:eastAsia="en-US"/>
              </w:rPr>
              <w:t>凝</w:t>
            </w:r>
            <w:r>
              <w:rPr>
                <w:rFonts w:hAnsi="Calibri"/>
                <w:spacing w:val="-1"/>
                <w:highlight w:val="none"/>
                <w:lang w:eastAsia="en-US"/>
              </w:rPr>
              <w:t>土</w:t>
            </w:r>
            <w:r>
              <w:rPr>
                <w:rFonts w:hAnsi="Calibri"/>
                <w:spacing w:val="2"/>
                <w:highlight w:val="none"/>
                <w:lang w:eastAsia="en-US"/>
              </w:rPr>
              <w:t>浇</w:t>
            </w:r>
            <w:r>
              <w:rPr>
                <w:rFonts w:hAnsi="Calibri"/>
                <w:spacing w:val="-1"/>
                <w:highlight w:val="none"/>
                <w:lang w:eastAsia="en-US"/>
              </w:rPr>
              <w:t>筑</w:t>
            </w:r>
            <w:r>
              <w:rPr>
                <w:rFonts w:hAnsi="Calibri"/>
                <w:spacing w:val="2"/>
                <w:highlight w:val="none"/>
                <w:lang w:eastAsia="en-US"/>
              </w:rPr>
              <w:t>池</w:t>
            </w:r>
            <w:r>
              <w:rPr>
                <w:rFonts w:hAnsi="Calibri"/>
                <w:highlight w:val="none"/>
                <w:lang w:eastAsia="en-US"/>
              </w:rPr>
              <w:t>体</w:t>
            </w:r>
          </w:p>
        </w:tc>
        <w:tc>
          <w:tcPr>
            <w:tcW w:w="943" w:type="dxa"/>
            <w:vAlign w:val="center"/>
          </w:tcPr>
          <w:p>
            <w:pPr>
              <w:pStyle w:val="234"/>
              <w:rPr>
                <w:rFonts w:hAnsi="Calibri"/>
                <w:spacing w:val="1"/>
                <w:highlight w:val="none"/>
                <w:lang w:eastAsia="en-US"/>
              </w:rPr>
            </w:pPr>
            <w:r>
              <w:rPr>
                <w:rFonts w:hAnsi="Calibri"/>
                <w:highlight w:val="none"/>
                <w:lang w:eastAsia="en-US"/>
              </w:rPr>
              <w:t>新建</w:t>
            </w:r>
          </w:p>
        </w:tc>
      </w:tr>
    </w:tbl>
    <w:p>
      <w:pPr>
        <w:pStyle w:val="62"/>
        <w:ind w:firstLine="480"/>
        <w:rPr>
          <w:rFonts w:hAnsi="宋体"/>
          <w:highlight w:val="none"/>
        </w:rPr>
      </w:pPr>
      <w:r>
        <w:rPr>
          <w:rFonts w:hint="eastAsia" w:hAnsi="宋体"/>
          <w:highlight w:val="none"/>
        </w:rPr>
        <w:t>3、</w:t>
      </w:r>
      <w:r>
        <w:rPr>
          <w:rFonts w:hAnsi="宋体"/>
          <w:highlight w:val="none"/>
        </w:rPr>
        <w:t>储存方案</w:t>
      </w:r>
    </w:p>
    <w:p>
      <w:pPr>
        <w:pStyle w:val="62"/>
        <w:ind w:firstLine="480"/>
        <w:rPr>
          <w:rFonts w:hAnsi="宋体"/>
          <w:highlight w:val="none"/>
        </w:rPr>
      </w:pPr>
      <w:r>
        <w:rPr>
          <w:rFonts w:hAnsi="宋体"/>
          <w:highlight w:val="none"/>
        </w:rPr>
        <w:t>原料矿石由汽车运至厂区后</w:t>
      </w:r>
      <w:r>
        <w:rPr>
          <w:rFonts w:hint="eastAsia" w:hAnsi="宋体"/>
          <w:highlight w:val="none"/>
        </w:rPr>
        <w:t>堆</w:t>
      </w:r>
      <w:r>
        <w:rPr>
          <w:rFonts w:hAnsi="宋体"/>
          <w:highlight w:val="none"/>
        </w:rPr>
        <w:t>存于全封闭原料库内；精矿粉堆放于全封闭成品库内</w:t>
      </w:r>
      <w:r>
        <w:rPr>
          <w:rFonts w:hint="eastAsia" w:hAnsi="宋体"/>
          <w:highlight w:val="none"/>
        </w:rPr>
        <w:t>；干选废石堆存</w:t>
      </w:r>
      <w:r>
        <w:rPr>
          <w:rFonts w:hAnsi="宋体"/>
          <w:highlight w:val="none"/>
        </w:rPr>
        <w:t>于全封闭</w:t>
      </w:r>
      <w:r>
        <w:rPr>
          <w:rFonts w:hint="eastAsia" w:hAnsi="宋体"/>
          <w:highlight w:val="none"/>
        </w:rPr>
        <w:t>废石库内</w:t>
      </w:r>
      <w:r>
        <w:rPr>
          <w:rFonts w:hAnsi="宋体"/>
          <w:highlight w:val="none"/>
        </w:rPr>
        <w:t>。</w:t>
      </w:r>
      <w:r>
        <w:rPr>
          <w:rFonts w:hint="eastAsia" w:hAnsi="宋体"/>
          <w:highlight w:val="none"/>
        </w:rPr>
        <w:t>各物料储库采用全封闭轻钢结构，高度8m，并配套喷雾抑尘设施。</w:t>
      </w:r>
    </w:p>
    <w:p>
      <w:pPr>
        <w:pStyle w:val="62"/>
        <w:ind w:firstLine="480"/>
        <w:rPr>
          <w:rFonts w:hAnsi="宋体"/>
          <w:highlight w:val="none"/>
        </w:rPr>
      </w:pPr>
      <w:r>
        <w:rPr>
          <w:rFonts w:hint="eastAsia" w:hAnsi="宋体"/>
          <w:highlight w:val="none"/>
        </w:rPr>
        <w:t>其中原矿储库面积1200m</w:t>
      </w:r>
      <w:r>
        <w:rPr>
          <w:rFonts w:hint="eastAsia" w:hAnsi="宋体"/>
          <w:highlight w:val="none"/>
          <w:vertAlign w:val="superscript"/>
        </w:rPr>
        <w:t>2</w:t>
      </w:r>
      <w:r>
        <w:rPr>
          <w:rFonts w:hint="eastAsia" w:hAnsi="宋体"/>
          <w:highlight w:val="none"/>
        </w:rPr>
        <w:t>。项目一天加工1000吨原矿，原料库一般正常存储7天的量，即7000吨，堆密度按2.5t/m</w:t>
      </w:r>
      <w:r>
        <w:rPr>
          <w:rFonts w:hint="eastAsia" w:hAnsi="宋体"/>
          <w:highlight w:val="none"/>
          <w:vertAlign w:val="superscript"/>
        </w:rPr>
        <w:t>3</w:t>
      </w:r>
      <w:r>
        <w:rPr>
          <w:rFonts w:hint="eastAsia" w:hAnsi="宋体"/>
          <w:highlight w:val="none"/>
        </w:rPr>
        <w:t>计，则体积约2800m</w:t>
      </w:r>
      <w:r>
        <w:rPr>
          <w:rFonts w:hint="eastAsia" w:hAnsi="宋体"/>
          <w:highlight w:val="none"/>
          <w:vertAlign w:val="superscript"/>
        </w:rPr>
        <w:t>3</w:t>
      </w:r>
      <w:r>
        <w:rPr>
          <w:rFonts w:hint="eastAsia" w:hAnsi="宋体"/>
          <w:highlight w:val="none"/>
        </w:rPr>
        <w:t>，堆高3m计，则堆放面积934m</w:t>
      </w:r>
      <w:r>
        <w:rPr>
          <w:rFonts w:hint="eastAsia" w:hAnsi="宋体"/>
          <w:highlight w:val="none"/>
          <w:vertAlign w:val="superscript"/>
        </w:rPr>
        <w:t>2</w:t>
      </w:r>
      <w:r>
        <w:rPr>
          <w:rFonts w:hint="eastAsia" w:hAnsi="宋体"/>
          <w:highlight w:val="none"/>
        </w:rPr>
        <w:t>，原矿库足可满足正常7天的存储需要。</w:t>
      </w:r>
    </w:p>
    <w:p>
      <w:pPr>
        <w:pStyle w:val="62"/>
        <w:ind w:firstLine="480"/>
        <w:rPr>
          <w:rFonts w:hAnsi="宋体"/>
          <w:highlight w:val="none"/>
        </w:rPr>
      </w:pPr>
      <w:r>
        <w:rPr>
          <w:rFonts w:hint="eastAsia" w:hAnsi="宋体"/>
          <w:highlight w:val="none"/>
        </w:rPr>
        <w:t>成品库面积500m</w:t>
      </w:r>
      <w:r>
        <w:rPr>
          <w:rFonts w:hint="eastAsia" w:hAnsi="宋体"/>
          <w:highlight w:val="none"/>
          <w:vertAlign w:val="superscript"/>
        </w:rPr>
        <w:t>2</w:t>
      </w:r>
      <w:r>
        <w:rPr>
          <w:rFonts w:hint="eastAsia" w:hAnsi="宋体"/>
          <w:highlight w:val="none"/>
        </w:rPr>
        <w:t>。7日产量2051吨，堆密度按4.2t/m</w:t>
      </w:r>
      <w:r>
        <w:rPr>
          <w:rFonts w:hint="eastAsia" w:hAnsi="宋体"/>
          <w:highlight w:val="none"/>
          <w:vertAlign w:val="superscript"/>
        </w:rPr>
        <w:t>3</w:t>
      </w:r>
      <w:r>
        <w:rPr>
          <w:rFonts w:hint="eastAsia" w:hAnsi="宋体"/>
          <w:highlight w:val="none"/>
        </w:rPr>
        <w:t>计，则体积约488m</w:t>
      </w:r>
      <w:r>
        <w:rPr>
          <w:rFonts w:hint="eastAsia" w:hAnsi="宋体"/>
          <w:highlight w:val="none"/>
          <w:vertAlign w:val="superscript"/>
        </w:rPr>
        <w:t>3</w:t>
      </w:r>
      <w:r>
        <w:rPr>
          <w:rFonts w:hint="eastAsia" w:hAnsi="宋体"/>
          <w:highlight w:val="none"/>
        </w:rPr>
        <w:t>，堆高2m计，则堆放面积244m</w:t>
      </w:r>
      <w:r>
        <w:rPr>
          <w:rFonts w:hint="eastAsia" w:hAnsi="宋体"/>
          <w:highlight w:val="none"/>
          <w:vertAlign w:val="superscript"/>
        </w:rPr>
        <w:t>2</w:t>
      </w:r>
      <w:r>
        <w:rPr>
          <w:rFonts w:hint="eastAsia" w:hAnsi="宋体"/>
          <w:highlight w:val="none"/>
        </w:rPr>
        <w:t>；</w:t>
      </w:r>
    </w:p>
    <w:p>
      <w:pPr>
        <w:pStyle w:val="62"/>
        <w:ind w:firstLine="480"/>
        <w:rPr>
          <w:rFonts w:hAnsi="宋体"/>
          <w:highlight w:val="none"/>
        </w:rPr>
      </w:pPr>
      <w:r>
        <w:rPr>
          <w:rFonts w:hint="eastAsia" w:hAnsi="宋体"/>
          <w:highlight w:val="none"/>
        </w:rPr>
        <w:t>干选废石产生量660吨/天，7日产量4620吨，堆密度按2.5t/m</w:t>
      </w:r>
      <w:r>
        <w:rPr>
          <w:rFonts w:hint="eastAsia" w:hAnsi="宋体"/>
          <w:highlight w:val="none"/>
          <w:vertAlign w:val="superscript"/>
        </w:rPr>
        <w:t>3</w:t>
      </w:r>
      <w:r>
        <w:rPr>
          <w:rFonts w:hint="eastAsia" w:hAnsi="宋体"/>
          <w:highlight w:val="none"/>
        </w:rPr>
        <w:t>，堆高2.5m计，则堆放面积739m</w:t>
      </w:r>
      <w:r>
        <w:rPr>
          <w:rFonts w:hint="eastAsia" w:hAnsi="宋体"/>
          <w:highlight w:val="none"/>
          <w:vertAlign w:val="superscript"/>
        </w:rPr>
        <w:t>2</w:t>
      </w:r>
      <w:r>
        <w:rPr>
          <w:rFonts w:hint="eastAsia" w:hAnsi="宋体"/>
          <w:highlight w:val="none"/>
        </w:rPr>
        <w:t>。因此干选废石库面积1000m</w:t>
      </w:r>
      <w:r>
        <w:rPr>
          <w:rFonts w:hint="eastAsia" w:hAnsi="宋体"/>
          <w:highlight w:val="none"/>
          <w:vertAlign w:val="superscript"/>
        </w:rPr>
        <w:t>2</w:t>
      </w:r>
      <w:r>
        <w:rPr>
          <w:rFonts w:hint="eastAsia" w:hAnsi="宋体"/>
          <w:highlight w:val="none"/>
        </w:rPr>
        <w:t>，足可以满足正常7天的存储需要。</w:t>
      </w:r>
    </w:p>
    <w:p>
      <w:pPr>
        <w:pStyle w:val="4"/>
        <w:ind w:firstLine="562"/>
        <w:rPr>
          <w:rFonts w:hAnsi="宋体"/>
          <w:highlight w:val="none"/>
        </w:rPr>
      </w:pPr>
      <w:r>
        <w:rPr>
          <w:rFonts w:hAnsi="宋体"/>
          <w:highlight w:val="none"/>
        </w:rPr>
        <w:t>3.</w:t>
      </w:r>
      <w:r>
        <w:rPr>
          <w:rFonts w:hint="eastAsia" w:hAnsi="宋体"/>
          <w:highlight w:val="none"/>
        </w:rPr>
        <w:t>1</w:t>
      </w:r>
      <w:r>
        <w:rPr>
          <w:rFonts w:hAnsi="宋体"/>
          <w:highlight w:val="none"/>
        </w:rPr>
        <w:t>.3</w:t>
      </w:r>
      <w:r>
        <w:rPr>
          <w:rFonts w:hint="eastAsia" w:hAnsi="宋体"/>
          <w:highlight w:val="none"/>
        </w:rPr>
        <w:t>项目</w:t>
      </w:r>
      <w:r>
        <w:rPr>
          <w:rFonts w:hAnsi="宋体"/>
          <w:highlight w:val="none"/>
        </w:rPr>
        <w:t>厂区平面布置图</w:t>
      </w:r>
    </w:p>
    <w:p>
      <w:pPr>
        <w:pStyle w:val="62"/>
        <w:ind w:firstLine="480"/>
        <w:rPr>
          <w:rFonts w:hAnsi="宋体"/>
          <w:highlight w:val="none"/>
        </w:rPr>
      </w:pPr>
      <w:r>
        <w:rPr>
          <w:rFonts w:hint="eastAsia" w:hAnsi="宋体"/>
          <w:highlight w:val="none"/>
        </w:rPr>
        <w:t>1、选矿厂区平面布置</w:t>
      </w:r>
    </w:p>
    <w:p>
      <w:pPr>
        <w:pStyle w:val="62"/>
        <w:ind w:firstLine="480"/>
        <w:rPr>
          <w:rFonts w:hAnsi="宋体"/>
          <w:snapToGrid w:val="0"/>
          <w:szCs w:val="24"/>
          <w:highlight w:val="none"/>
        </w:rPr>
      </w:pPr>
      <w:r>
        <w:rPr>
          <w:rFonts w:hAnsi="宋体"/>
          <w:highlight w:val="none"/>
        </w:rPr>
        <w:t>厂区的平面布置结合地形、工程条件及工艺要求，做到有利生产，方便生活，节约用地，环保安全等要求。厂区平面布置情况如下：</w:t>
      </w:r>
      <w:r>
        <w:rPr>
          <w:rFonts w:hint="eastAsia" w:hAnsi="宋体"/>
          <w:highlight w:val="none"/>
        </w:rPr>
        <w:t>生活区与原料区进行了分离，原料区采用防风抑尘网进行了封闭。</w:t>
      </w:r>
      <w:r>
        <w:rPr>
          <w:rFonts w:hAnsi="宋体"/>
          <w:highlight w:val="none"/>
        </w:rPr>
        <w:t>生活区和</w:t>
      </w:r>
      <w:r>
        <w:rPr>
          <w:rFonts w:hint="eastAsia" w:hAnsi="宋体"/>
          <w:highlight w:val="none"/>
        </w:rPr>
        <w:t>办公室</w:t>
      </w:r>
      <w:r>
        <w:rPr>
          <w:rFonts w:hAnsi="宋体"/>
          <w:highlight w:val="none"/>
        </w:rPr>
        <w:t>位于厂区</w:t>
      </w:r>
      <w:r>
        <w:rPr>
          <w:rFonts w:hint="eastAsia" w:hAnsi="宋体"/>
          <w:highlight w:val="none"/>
        </w:rPr>
        <w:t>东南角</w:t>
      </w:r>
      <w:r>
        <w:rPr>
          <w:rFonts w:hAnsi="宋体"/>
          <w:highlight w:val="none"/>
        </w:rPr>
        <w:t>，原料库位于厂区</w:t>
      </w:r>
      <w:r>
        <w:rPr>
          <w:rFonts w:hint="eastAsia" w:hAnsi="宋体"/>
          <w:highlight w:val="none"/>
        </w:rPr>
        <w:t>西</w:t>
      </w:r>
      <w:r>
        <w:rPr>
          <w:rFonts w:hAnsi="宋体"/>
          <w:highlight w:val="none"/>
        </w:rPr>
        <w:t>侧，</w:t>
      </w:r>
      <w:r>
        <w:rPr>
          <w:rFonts w:hint="eastAsia" w:hAnsi="宋体"/>
          <w:highlight w:val="none"/>
        </w:rPr>
        <w:t>从原料库北侧由西向东分别布置一破、二破、三破和干选；生产车间位于干选车间的东侧；</w:t>
      </w:r>
      <w:r>
        <w:rPr>
          <w:rFonts w:hAnsi="宋体"/>
          <w:highlight w:val="none"/>
        </w:rPr>
        <w:t>大门位于厂区</w:t>
      </w:r>
      <w:r>
        <w:rPr>
          <w:rFonts w:hint="eastAsia" w:hAnsi="宋体"/>
          <w:highlight w:val="none"/>
        </w:rPr>
        <w:t>东</w:t>
      </w:r>
      <w:r>
        <w:rPr>
          <w:rFonts w:hAnsi="宋体"/>
          <w:highlight w:val="none"/>
        </w:rPr>
        <w:t>侧</w:t>
      </w:r>
      <w:r>
        <w:rPr>
          <w:rFonts w:hint="eastAsia" w:hAnsi="宋体"/>
          <w:highlight w:val="none"/>
        </w:rPr>
        <w:t>，同时设置物流出入口位于东南角</w:t>
      </w:r>
      <w:r>
        <w:rPr>
          <w:rFonts w:hAnsi="宋体"/>
          <w:highlight w:val="none"/>
        </w:rPr>
        <w:t>。办公用房</w:t>
      </w:r>
      <w:r>
        <w:rPr>
          <w:rFonts w:hAnsi="宋体"/>
          <w:snapToGrid w:val="0"/>
          <w:szCs w:val="24"/>
          <w:highlight w:val="none"/>
        </w:rPr>
        <w:t>占地面积</w:t>
      </w:r>
      <w:r>
        <w:rPr>
          <w:rFonts w:hint="eastAsia" w:hAnsi="宋体"/>
          <w:snapToGrid w:val="0"/>
          <w:szCs w:val="24"/>
          <w:highlight w:val="none"/>
        </w:rPr>
        <w:t>12</w:t>
      </w:r>
      <w:r>
        <w:rPr>
          <w:rFonts w:hAnsi="宋体"/>
          <w:snapToGrid w:val="0"/>
          <w:szCs w:val="24"/>
          <w:highlight w:val="none"/>
        </w:rPr>
        <w:t>0m</w:t>
      </w:r>
      <w:r>
        <w:rPr>
          <w:rFonts w:hAnsi="宋体"/>
          <w:snapToGrid w:val="0"/>
          <w:szCs w:val="24"/>
          <w:highlight w:val="none"/>
          <w:vertAlign w:val="superscript"/>
        </w:rPr>
        <w:t>2</w:t>
      </w:r>
      <w:r>
        <w:rPr>
          <w:rFonts w:hAnsi="宋体"/>
          <w:snapToGrid w:val="0"/>
          <w:szCs w:val="24"/>
          <w:highlight w:val="none"/>
        </w:rPr>
        <w:t>，内设办公室、会议室等。</w:t>
      </w:r>
    </w:p>
    <w:p>
      <w:pPr>
        <w:pStyle w:val="62"/>
        <w:ind w:firstLine="480"/>
        <w:rPr>
          <w:rFonts w:hAnsi="宋体"/>
          <w:highlight w:val="none"/>
        </w:rPr>
      </w:pPr>
      <w:r>
        <w:rPr>
          <w:rFonts w:hint="eastAsia" w:hAnsi="宋体"/>
          <w:highlight w:val="none"/>
        </w:rPr>
        <w:t>主选车间1座，层高12米，钢结构，占地面积约540m</w:t>
      </w:r>
      <w:r>
        <w:rPr>
          <w:rFonts w:hint="eastAsia" w:hAnsi="宋体"/>
          <w:highlight w:val="none"/>
          <w:vertAlign w:val="superscript"/>
        </w:rPr>
        <w:t>2</w:t>
      </w:r>
      <w:r>
        <w:rPr>
          <w:rFonts w:hint="eastAsia" w:hAnsi="宋体"/>
          <w:highlight w:val="none"/>
        </w:rPr>
        <w:t>，外形尺寸27m×20m，内置湿选设备球磨机2台、磁选机5台、高频筛5组、脱水机1台。</w:t>
      </w:r>
    </w:p>
    <w:p>
      <w:pPr>
        <w:ind w:firstLine="480"/>
        <w:rPr>
          <w:rFonts w:ascii="宋体" w:hAnsi="宋体"/>
          <w:highlight w:val="none"/>
        </w:rPr>
      </w:pPr>
      <w:r>
        <w:rPr>
          <w:rFonts w:ascii="宋体" w:hAnsi="宋体"/>
          <w:highlight w:val="none"/>
        </w:rPr>
        <w:t>本项目选矿厂平面布置图见</w:t>
      </w:r>
      <w:r>
        <w:rPr>
          <w:rFonts w:hint="eastAsia" w:ascii="宋体" w:hAnsi="宋体"/>
          <w:highlight w:val="none"/>
        </w:rPr>
        <w:t>附</w:t>
      </w:r>
      <w:r>
        <w:rPr>
          <w:rFonts w:ascii="宋体" w:hAnsi="宋体"/>
          <w:highlight w:val="none"/>
        </w:rPr>
        <w:t>图3-1。</w:t>
      </w:r>
    </w:p>
    <w:p>
      <w:pPr>
        <w:ind w:firstLine="480"/>
        <w:rPr>
          <w:rFonts w:ascii="宋体" w:hAnsi="宋体"/>
          <w:highlight w:val="none"/>
        </w:rPr>
      </w:pPr>
      <w:r>
        <w:rPr>
          <w:rFonts w:hint="eastAsia" w:ascii="宋体" w:hAnsi="宋体"/>
          <w:highlight w:val="none"/>
        </w:rPr>
        <w:t>2、尾矿库</w:t>
      </w:r>
    </w:p>
    <w:p>
      <w:pPr>
        <w:pStyle w:val="62"/>
        <w:ind w:firstLine="480"/>
        <w:rPr>
          <w:rFonts w:hAnsi="宋体"/>
          <w:highlight w:val="none"/>
        </w:rPr>
      </w:pPr>
      <w:r>
        <w:rPr>
          <w:rFonts w:hint="eastAsia" w:hAnsi="宋体"/>
          <w:highlight w:val="none"/>
        </w:rPr>
        <w:t>本项目尾矿库已于2020年1月委托山西省冶金设计院进行设计，设计方案如下：</w:t>
      </w:r>
    </w:p>
    <w:p>
      <w:pPr>
        <w:pStyle w:val="62"/>
        <w:ind w:firstLine="480"/>
        <w:rPr>
          <w:rFonts w:hAnsi="宋体"/>
          <w:highlight w:val="none"/>
        </w:rPr>
      </w:pPr>
      <w:r>
        <w:rPr>
          <w:rFonts w:hint="eastAsia" w:hAnsi="宋体"/>
          <w:highlight w:val="none"/>
        </w:rPr>
        <w:t>尾矿库选址位于选矿厂东侧的黄土冲沟内。沟谷大致呈东南一西北走向，库区所占冲沟自沟头向下游延伸约550米。</w:t>
      </w:r>
    </w:p>
    <w:p>
      <w:pPr>
        <w:pStyle w:val="62"/>
        <w:ind w:firstLine="480"/>
        <w:rPr>
          <w:rFonts w:hAnsi="宋体"/>
          <w:highlight w:val="none"/>
        </w:rPr>
      </w:pPr>
      <w:r>
        <w:rPr>
          <w:rFonts w:hint="eastAsia" w:hAnsi="宋体"/>
          <w:highlight w:val="none"/>
        </w:rPr>
        <w:t>尾矿库占地面积约1.97hm</w:t>
      </w:r>
      <w:r>
        <w:rPr>
          <w:rFonts w:hint="eastAsia" w:hAnsi="宋体"/>
          <w:highlight w:val="none"/>
          <w:vertAlign w:val="superscript"/>
        </w:rPr>
        <w:t>2</w:t>
      </w:r>
      <w:r>
        <w:rPr>
          <w:rFonts w:hint="eastAsia" w:hAnsi="宋体"/>
          <w:highlight w:val="none"/>
        </w:rPr>
        <w:t>，荒沟深度约7米，尾砂平均堆积高度为6米，上面1米覆壤土，封场后恢复为耕地，封场后的高程与东侧耕地高程一致。尾矿库总库容13.79万m</w:t>
      </w:r>
      <w:r>
        <w:rPr>
          <w:rFonts w:hint="eastAsia" w:hAnsi="宋体"/>
          <w:highlight w:val="none"/>
          <w:vertAlign w:val="superscript"/>
        </w:rPr>
        <w:t>3</w:t>
      </w:r>
      <w:r>
        <w:rPr>
          <w:rFonts w:hint="eastAsia" w:hAnsi="宋体"/>
          <w:highlight w:val="none"/>
        </w:rPr>
        <w:t>，有效库容为10.74万m</w:t>
      </w:r>
      <w:r>
        <w:rPr>
          <w:rFonts w:hint="eastAsia" w:hAnsi="宋体"/>
          <w:highlight w:val="none"/>
          <w:vertAlign w:val="superscript"/>
        </w:rPr>
        <w:t>3</w:t>
      </w:r>
      <w:r>
        <w:rPr>
          <w:rFonts w:hint="eastAsia" w:hAnsi="宋体"/>
          <w:highlight w:val="none"/>
        </w:rPr>
        <w:t>。</w:t>
      </w:r>
    </w:p>
    <w:p>
      <w:pPr>
        <w:pStyle w:val="62"/>
        <w:ind w:firstLine="480"/>
        <w:rPr>
          <w:rFonts w:hAnsi="宋体"/>
          <w:highlight w:val="none"/>
        </w:rPr>
      </w:pPr>
      <w:r>
        <w:rPr>
          <w:rFonts w:hint="eastAsia" w:hAnsi="宋体"/>
          <w:highlight w:val="none"/>
        </w:rPr>
        <w:t>根据库址处地质条件和筑坝材料情况，确定下游坝为碾压堆土坝，筑坝材料采用库内两侧岸坡黄土，为不透水坝体。利用沟内现有的土壤进行坝的制作，这样既能有效的节约了筑坝成本，相对地增加了库容，又能较好地保护了库区周边环境不至于因尾矿库建设而遭到较严重破坏。</w:t>
      </w:r>
    </w:p>
    <w:p>
      <w:pPr>
        <w:pStyle w:val="62"/>
        <w:ind w:firstLine="480"/>
        <w:rPr>
          <w:rFonts w:hAnsi="宋体"/>
          <w:highlight w:val="none"/>
        </w:rPr>
      </w:pPr>
      <w:r>
        <w:rPr>
          <w:rFonts w:hint="eastAsia" w:hAnsi="宋体"/>
          <w:highlight w:val="none"/>
        </w:rPr>
        <w:t>拦渣坝设计为碾压堆土坝，坝高4.5m，坝顶宽4m，上游侧边坡坡比为l:1.8，下游侧边坡坡比为1:2.0，并且在拦渣坝的下游侧边坡设马道，坡趾构筑排水棱体。拦渣坝上游坡面设防渗层（自内向外依次为：HDPE防渗膜一层，防渗膜厚度不小于1.5mm、2-5mm砂砾料垫层，垫层厚度为300mm)，外设300mm厚碎石护层，以保护拦渣坝内坡面，防止发生尾砂渗漏。坝址处进行清基平整，按平均清基深1m设计，清到稳定的岩土层，坝址处两侧坝肩山坡覆盖层较厚，杂草较多，应清除表层覆盖层和杂草、树根等，露出新鲜基土层。</w:t>
      </w:r>
    </w:p>
    <w:p>
      <w:pPr>
        <w:pStyle w:val="62"/>
        <w:ind w:firstLine="480"/>
        <w:rPr>
          <w:rFonts w:hAnsi="宋体"/>
          <w:highlight w:val="none"/>
        </w:rPr>
      </w:pPr>
      <w:r>
        <w:rPr>
          <w:rFonts w:hint="eastAsia" w:hAnsi="宋体"/>
          <w:highlight w:val="none"/>
        </w:rPr>
        <w:t>拦渣坝堆筑完成后，要在坝顶和马道修筑相应的排水沟，拦渣坝东侧坝肩修筑截洪沟。设计为矩形断面，净宽0.5m，净深0.55m，壁厚0.3m，采用M7.5水泥砂浆砌MU30片石结构，本项目尾矿库西侧为道路，现场踏勘道路较西侧农田高，尾矿库西侧雨水不会进入尾矿库内，因此尾矿库西侧不设置截水沟；东侧为农田项目设置截水沟，总长550m。封场后作为灌溉渠。</w:t>
      </w:r>
    </w:p>
    <w:p>
      <w:pPr>
        <w:pStyle w:val="62"/>
        <w:ind w:firstLine="480"/>
        <w:rPr>
          <w:rFonts w:hAnsi="宋体"/>
          <w:highlight w:val="none"/>
        </w:rPr>
      </w:pPr>
      <w:r>
        <w:rPr>
          <w:rFonts w:hint="eastAsia" w:hAnsi="宋体"/>
          <w:highlight w:val="none"/>
        </w:rPr>
        <w:t>库内排洪系统由排水井一砼排洪管构成，采用直径0.5m成品钢筋混凝土圆管涵，管涵长550m。在库内澄清水边线以内修筑排水井，设计排水井采用砼框架式结构，底部由直径1000mm混凝土管连通，并延伸至拦渣坝外坡以外，排洪管按沟底自然坡度安放在管座上，管座要坐落在稳定的基土层上，以防下沉，造成排水管断裂。设计库内排洪系统一次性建成。</w:t>
      </w:r>
    </w:p>
    <w:p>
      <w:pPr>
        <w:pStyle w:val="62"/>
        <w:ind w:firstLine="480"/>
        <w:rPr>
          <w:rFonts w:hAnsi="宋体"/>
          <w:highlight w:val="none"/>
        </w:rPr>
      </w:pPr>
      <w:r>
        <w:rPr>
          <w:rFonts w:hint="eastAsia" w:hAnsi="宋体"/>
          <w:highlight w:val="none"/>
        </w:rPr>
        <w:t>尾矿库有效尾砂填埋量为10.74万m</w:t>
      </w:r>
      <w:r>
        <w:rPr>
          <w:rFonts w:hint="eastAsia" w:hAnsi="宋体"/>
          <w:highlight w:val="none"/>
          <w:vertAlign w:val="superscript"/>
        </w:rPr>
        <w:t>3</w:t>
      </w:r>
      <w:r>
        <w:rPr>
          <w:rFonts w:hint="eastAsia" w:hAnsi="宋体"/>
          <w:highlight w:val="none"/>
        </w:rPr>
        <w:t>。本项目尾砂每年产生约3000吨，约2000m</w:t>
      </w:r>
      <w:r>
        <w:rPr>
          <w:rFonts w:hint="eastAsia" w:hAnsi="宋体"/>
          <w:highlight w:val="none"/>
          <w:vertAlign w:val="superscript"/>
        </w:rPr>
        <w:t>3</w:t>
      </w:r>
      <w:r>
        <w:rPr>
          <w:rFonts w:hint="eastAsia" w:hAnsi="宋体"/>
          <w:highlight w:val="none"/>
        </w:rPr>
        <w:t>，能满足本项目50a使用。</w:t>
      </w:r>
    </w:p>
    <w:p>
      <w:pPr>
        <w:ind w:firstLine="480"/>
        <w:rPr>
          <w:rFonts w:hint="eastAsia" w:ascii="宋体" w:hAnsi="宋体"/>
          <w:highlight w:val="none"/>
        </w:rPr>
      </w:pPr>
      <w:r>
        <w:rPr>
          <w:rFonts w:hint="eastAsia" w:ascii="宋体" w:hAnsi="宋体"/>
          <w:highlight w:val="none"/>
        </w:rPr>
        <w:t>尾矿库平面布置图见附图3-2。</w:t>
      </w:r>
    </w:p>
    <w:p>
      <w:pPr>
        <w:ind w:firstLine="480"/>
        <w:rPr>
          <w:rFonts w:hint="eastAsia" w:ascii="宋体" w:hAnsi="宋体" w:eastAsia="宋体"/>
          <w:highlight w:val="none"/>
          <w:lang w:val="en-US" w:eastAsia="zh-CN"/>
        </w:rPr>
      </w:pPr>
      <w:r>
        <w:rPr>
          <w:rFonts w:hint="eastAsia" w:ascii="宋体" w:hAnsi="宋体"/>
          <w:highlight w:val="none"/>
        </w:rPr>
        <w:t>2022年5月9日，繁峙县自然资源局出具了本项目选厂和尾矿库占地与三调图核对后地类属于建设用地的证明材料</w:t>
      </w:r>
      <w:r>
        <w:rPr>
          <w:rFonts w:hint="eastAsia" w:ascii="宋体" w:hAnsi="宋体"/>
          <w:highlight w:val="none"/>
          <w:lang w:eastAsia="zh-CN"/>
        </w:rPr>
        <w:t>，</w:t>
      </w:r>
      <w:r>
        <w:rPr>
          <w:rFonts w:hint="eastAsia" w:ascii="宋体" w:hAnsi="宋体"/>
          <w:highlight w:val="none"/>
          <w:lang w:val="en-US" w:eastAsia="zh-CN"/>
        </w:rPr>
        <w:t>本项目占地符合用地规划。</w:t>
      </w:r>
    </w:p>
    <w:p>
      <w:pPr>
        <w:pStyle w:val="4"/>
        <w:ind w:firstLine="562"/>
        <w:rPr>
          <w:rFonts w:hAnsi="宋体"/>
          <w:highlight w:val="none"/>
        </w:rPr>
      </w:pPr>
      <w:r>
        <w:rPr>
          <w:rFonts w:hAnsi="宋体"/>
          <w:highlight w:val="none"/>
        </w:rPr>
        <w:t>3.</w:t>
      </w:r>
      <w:r>
        <w:rPr>
          <w:rFonts w:hint="eastAsia" w:hAnsi="宋体"/>
          <w:highlight w:val="none"/>
        </w:rPr>
        <w:t>1.4低品位铁矿石洗选工艺</w:t>
      </w:r>
    </w:p>
    <w:p>
      <w:pPr>
        <w:ind w:firstLine="480"/>
        <w:rPr>
          <w:rFonts w:ascii="宋体" w:hAnsi="宋体"/>
          <w:highlight w:val="none"/>
        </w:rPr>
      </w:pPr>
      <w:r>
        <w:rPr>
          <w:rFonts w:hint="eastAsia" w:ascii="宋体" w:hAnsi="宋体"/>
          <w:highlight w:val="none"/>
        </w:rPr>
        <w:t>1、</w:t>
      </w:r>
      <w:r>
        <w:rPr>
          <w:rFonts w:ascii="宋体" w:hAnsi="宋体"/>
          <w:highlight w:val="none"/>
        </w:rPr>
        <w:t>原料储存</w:t>
      </w:r>
    </w:p>
    <w:p>
      <w:pPr>
        <w:ind w:firstLine="480"/>
        <w:rPr>
          <w:rFonts w:ascii="宋体" w:hAnsi="宋体"/>
          <w:highlight w:val="none"/>
        </w:rPr>
      </w:pPr>
      <w:r>
        <w:rPr>
          <w:rFonts w:ascii="宋体" w:hAnsi="宋体"/>
          <w:highlight w:val="none"/>
        </w:rPr>
        <w:t>本项目原料来自五台县三吉铁矿有限责任公司，由汽车运至厂区原料库内备用。项目新建一座1</w:t>
      </w:r>
      <w:r>
        <w:rPr>
          <w:rFonts w:hint="eastAsia" w:ascii="宋体" w:hAnsi="宋体"/>
          <w:highlight w:val="none"/>
        </w:rPr>
        <w:t>2</w:t>
      </w:r>
      <w:r>
        <w:rPr>
          <w:rFonts w:ascii="宋体" w:hAnsi="宋体"/>
          <w:highlight w:val="none"/>
        </w:rPr>
        <w:t>00m</w:t>
      </w:r>
      <w:r>
        <w:rPr>
          <w:rFonts w:ascii="宋体" w:hAnsi="宋体"/>
          <w:highlight w:val="none"/>
          <w:vertAlign w:val="superscript"/>
        </w:rPr>
        <w:t>2</w:t>
      </w:r>
      <w:r>
        <w:rPr>
          <w:rFonts w:ascii="宋体" w:hAnsi="宋体"/>
          <w:highlight w:val="none"/>
        </w:rPr>
        <w:t>的全封闭原料库，可堆存约7d原料。</w:t>
      </w:r>
    </w:p>
    <w:p>
      <w:pPr>
        <w:ind w:firstLine="480"/>
        <w:rPr>
          <w:rFonts w:ascii="宋体" w:hAnsi="宋体"/>
          <w:highlight w:val="none"/>
        </w:rPr>
      </w:pPr>
      <w:r>
        <w:rPr>
          <w:rFonts w:ascii="宋体" w:hAnsi="宋体"/>
          <w:highlight w:val="none"/>
        </w:rPr>
        <w:t>该工序产生的污染物主要为原料储存和装卸产生的粉尘，汽车运输的扬尘和噪声。</w:t>
      </w:r>
    </w:p>
    <w:p>
      <w:pPr>
        <w:pStyle w:val="62"/>
        <w:ind w:firstLine="480"/>
        <w:rPr>
          <w:rFonts w:hAnsi="宋体"/>
          <w:highlight w:val="none"/>
        </w:rPr>
      </w:pPr>
      <w:r>
        <w:rPr>
          <w:rFonts w:hint="eastAsia" w:hAnsi="宋体"/>
          <w:highlight w:val="none"/>
        </w:rPr>
        <w:t>2、</w:t>
      </w:r>
      <w:r>
        <w:rPr>
          <w:rFonts w:hAnsi="宋体"/>
          <w:highlight w:val="none"/>
        </w:rPr>
        <w:t>破碎</w:t>
      </w:r>
    </w:p>
    <w:p>
      <w:pPr>
        <w:pStyle w:val="62"/>
        <w:ind w:firstLine="480"/>
        <w:rPr>
          <w:rFonts w:hAnsi="宋体"/>
          <w:highlight w:val="none"/>
        </w:rPr>
      </w:pPr>
      <w:r>
        <w:rPr>
          <w:rFonts w:hAnsi="宋体"/>
          <w:highlight w:val="none"/>
        </w:rPr>
        <w:t>原矿进厂后置于原料库，生产时，原矿</w:t>
      </w:r>
      <w:r>
        <w:rPr>
          <w:rFonts w:hint="eastAsia" w:hAnsi="宋体"/>
          <w:highlight w:val="none"/>
        </w:rPr>
        <w:t>首先</w:t>
      </w:r>
      <w:r>
        <w:rPr>
          <w:rFonts w:hAnsi="宋体"/>
          <w:highlight w:val="none"/>
        </w:rPr>
        <w:t>进入破碎系统进行破碎，本项目采用三段破碎系统，一段采用颚式破碎机PE</w:t>
      </w:r>
      <w:r>
        <w:rPr>
          <w:rFonts w:hint="eastAsia" w:hAnsi="宋体"/>
          <w:highlight w:val="none"/>
        </w:rPr>
        <w:t>5</w:t>
      </w:r>
      <w:r>
        <w:rPr>
          <w:rFonts w:hAnsi="宋体"/>
          <w:highlight w:val="none"/>
        </w:rPr>
        <w:t>00×</w:t>
      </w:r>
      <w:r>
        <w:rPr>
          <w:rFonts w:hint="eastAsia" w:hAnsi="宋体"/>
          <w:highlight w:val="none"/>
        </w:rPr>
        <w:t>75</w:t>
      </w:r>
      <w:r>
        <w:rPr>
          <w:rFonts w:hAnsi="宋体"/>
          <w:highlight w:val="none"/>
        </w:rPr>
        <w:t>0进行破碎，一段将物料破碎至约</w:t>
      </w:r>
      <w:r>
        <w:rPr>
          <w:rFonts w:hint="eastAsia" w:hAnsi="宋体"/>
          <w:highlight w:val="none"/>
        </w:rPr>
        <w:t>5</w:t>
      </w:r>
      <w:r>
        <w:rPr>
          <w:rFonts w:hAnsi="宋体"/>
          <w:highlight w:val="none"/>
        </w:rPr>
        <w:t>cm左右</w:t>
      </w:r>
      <w:r>
        <w:rPr>
          <w:rFonts w:hint="eastAsia" w:hAnsi="宋体"/>
          <w:highlight w:val="none"/>
        </w:rPr>
        <w:t>；二</w:t>
      </w:r>
      <w:r>
        <w:rPr>
          <w:rFonts w:hAnsi="宋体"/>
          <w:highlight w:val="none"/>
        </w:rPr>
        <w:t>段采用颚式破碎机PE</w:t>
      </w:r>
      <w:r>
        <w:rPr>
          <w:rFonts w:hint="eastAsia" w:hAnsi="宋体"/>
          <w:highlight w:val="none"/>
        </w:rPr>
        <w:t>X25</w:t>
      </w:r>
      <w:r>
        <w:rPr>
          <w:rFonts w:hAnsi="宋体"/>
          <w:highlight w:val="none"/>
        </w:rPr>
        <w:t>0×</w:t>
      </w:r>
      <w:r>
        <w:rPr>
          <w:rFonts w:hint="eastAsia" w:hAnsi="宋体"/>
          <w:highlight w:val="none"/>
        </w:rPr>
        <w:t>120</w:t>
      </w:r>
      <w:r>
        <w:rPr>
          <w:rFonts w:hAnsi="宋体"/>
          <w:highlight w:val="none"/>
        </w:rPr>
        <w:t>0进行破碎，</w:t>
      </w:r>
      <w:r>
        <w:rPr>
          <w:rFonts w:hint="eastAsia" w:hAnsi="宋体"/>
          <w:highlight w:val="none"/>
        </w:rPr>
        <w:t>二</w:t>
      </w:r>
      <w:r>
        <w:rPr>
          <w:rFonts w:hAnsi="宋体"/>
          <w:highlight w:val="none"/>
        </w:rPr>
        <w:t>段将物料破碎至约</w:t>
      </w:r>
      <w:r>
        <w:rPr>
          <w:rFonts w:hint="eastAsia" w:hAnsi="宋体"/>
          <w:highlight w:val="none"/>
        </w:rPr>
        <w:t>1</w:t>
      </w:r>
      <w:r>
        <w:rPr>
          <w:rFonts w:hAnsi="宋体"/>
          <w:highlight w:val="none"/>
        </w:rPr>
        <w:t>cm左右</w:t>
      </w:r>
      <w:r>
        <w:rPr>
          <w:rFonts w:hint="eastAsia" w:hAnsi="宋体"/>
          <w:highlight w:val="none"/>
        </w:rPr>
        <w:t>；三</w:t>
      </w:r>
      <w:r>
        <w:rPr>
          <w:rFonts w:hAnsi="宋体"/>
          <w:highlight w:val="none"/>
        </w:rPr>
        <w:t>段</w:t>
      </w:r>
      <w:r>
        <w:rPr>
          <w:rFonts w:hint="eastAsia" w:hAnsi="宋体"/>
          <w:highlight w:val="none"/>
        </w:rPr>
        <w:t>采用</w:t>
      </w:r>
      <w:r>
        <w:rPr>
          <w:rFonts w:hAnsi="宋体"/>
          <w:highlight w:val="none"/>
        </w:rPr>
        <w:t>圆锥破碎机，</w:t>
      </w:r>
      <w:r>
        <w:rPr>
          <w:rFonts w:hint="eastAsia" w:hAnsi="宋体"/>
          <w:highlight w:val="none"/>
        </w:rPr>
        <w:t>三</w:t>
      </w:r>
      <w:r>
        <w:rPr>
          <w:rFonts w:hAnsi="宋体"/>
          <w:highlight w:val="none"/>
        </w:rPr>
        <w:t>段圆锥破出料粒度基本在0.5cm左右。</w:t>
      </w:r>
    </w:p>
    <w:p>
      <w:pPr>
        <w:pStyle w:val="62"/>
        <w:ind w:firstLine="480"/>
        <w:rPr>
          <w:rFonts w:hAnsi="宋体"/>
          <w:highlight w:val="none"/>
        </w:rPr>
      </w:pPr>
      <w:r>
        <w:rPr>
          <w:rFonts w:hint="eastAsia" w:hAnsi="宋体"/>
          <w:highlight w:val="none"/>
        </w:rPr>
        <w:t>该工序产生的污染物主要为破碎粉尘和设备噪声。</w:t>
      </w:r>
    </w:p>
    <w:p>
      <w:pPr>
        <w:pStyle w:val="62"/>
        <w:ind w:firstLine="480"/>
        <w:rPr>
          <w:rFonts w:hAnsi="宋体"/>
          <w:highlight w:val="none"/>
        </w:rPr>
      </w:pPr>
      <w:r>
        <w:rPr>
          <w:rFonts w:hint="eastAsia" w:hAnsi="宋体"/>
          <w:highlight w:val="none"/>
        </w:rPr>
        <w:t>3、干选</w:t>
      </w:r>
    </w:p>
    <w:p>
      <w:pPr>
        <w:pStyle w:val="62"/>
        <w:ind w:firstLine="480"/>
        <w:rPr>
          <w:rFonts w:hAnsi="宋体"/>
          <w:highlight w:val="none"/>
        </w:rPr>
      </w:pPr>
      <w:r>
        <w:rPr>
          <w:rFonts w:hAnsi="宋体"/>
          <w:highlight w:val="none"/>
        </w:rPr>
        <w:t>破碎</w:t>
      </w:r>
      <w:r>
        <w:rPr>
          <w:rFonts w:hint="eastAsia" w:hAnsi="宋体"/>
          <w:highlight w:val="none"/>
        </w:rPr>
        <w:t>好</w:t>
      </w:r>
      <w:r>
        <w:rPr>
          <w:rFonts w:hAnsi="宋体"/>
          <w:highlight w:val="none"/>
        </w:rPr>
        <w:t>物料经干式磁选机选铁后，</w:t>
      </w:r>
      <w:r>
        <w:rPr>
          <w:rFonts w:hint="eastAsia" w:hAnsi="宋体"/>
          <w:highlight w:val="none"/>
        </w:rPr>
        <w:t>选出</w:t>
      </w:r>
      <w:r>
        <w:rPr>
          <w:rFonts w:hAnsi="宋体"/>
          <w:highlight w:val="none"/>
        </w:rPr>
        <w:t>物料进入下一步工序，干选机尾矿作为</w:t>
      </w:r>
      <w:r>
        <w:rPr>
          <w:rFonts w:hint="eastAsia" w:hAnsi="宋体"/>
          <w:highlight w:val="none"/>
        </w:rPr>
        <w:t>粒料</w:t>
      </w:r>
      <w:r>
        <w:rPr>
          <w:rFonts w:hAnsi="宋体"/>
          <w:highlight w:val="none"/>
        </w:rPr>
        <w:t>置于</w:t>
      </w:r>
      <w:r>
        <w:rPr>
          <w:rFonts w:hint="eastAsia" w:hAnsi="宋体"/>
          <w:highlight w:val="none"/>
        </w:rPr>
        <w:t>废石</w:t>
      </w:r>
      <w:r>
        <w:rPr>
          <w:rFonts w:hAnsi="宋体"/>
          <w:highlight w:val="none"/>
        </w:rPr>
        <w:t>库中，等待外售综合利用。</w:t>
      </w:r>
    </w:p>
    <w:p>
      <w:pPr>
        <w:pStyle w:val="62"/>
        <w:ind w:firstLine="480"/>
        <w:rPr>
          <w:rFonts w:hAnsi="宋体"/>
          <w:highlight w:val="none"/>
        </w:rPr>
      </w:pPr>
      <w:r>
        <w:rPr>
          <w:rFonts w:hint="eastAsia" w:hAnsi="宋体"/>
          <w:highlight w:val="none"/>
        </w:rPr>
        <w:t>该工序产生的污染物主要为干选粉尘、废石和设备噪声。</w:t>
      </w:r>
    </w:p>
    <w:p>
      <w:pPr>
        <w:pStyle w:val="62"/>
        <w:ind w:firstLine="480"/>
        <w:rPr>
          <w:rFonts w:hAnsi="宋体"/>
          <w:highlight w:val="none"/>
        </w:rPr>
      </w:pPr>
      <w:r>
        <w:rPr>
          <w:rFonts w:hint="eastAsia" w:hAnsi="宋体"/>
          <w:highlight w:val="none"/>
        </w:rPr>
        <w:t>4、湿选</w:t>
      </w:r>
    </w:p>
    <w:p>
      <w:pPr>
        <w:pStyle w:val="62"/>
        <w:ind w:firstLine="480"/>
        <w:rPr>
          <w:rFonts w:hAnsi="宋体"/>
          <w:highlight w:val="none"/>
        </w:rPr>
      </w:pPr>
      <w:r>
        <w:rPr>
          <w:rFonts w:hAnsi="宋体"/>
          <w:highlight w:val="none"/>
        </w:rPr>
        <w:t>剩余约</w:t>
      </w:r>
      <w:r>
        <w:rPr>
          <w:rFonts w:hint="eastAsia" w:hAnsi="宋体"/>
          <w:highlight w:val="none"/>
        </w:rPr>
        <w:t>34</w:t>
      </w:r>
      <w:r>
        <w:rPr>
          <w:rFonts w:hAnsi="宋体"/>
          <w:highlight w:val="none"/>
        </w:rPr>
        <w:t>%的物料加水，送入球磨机进行球磨MQG2100×3600。一次球磨出料后，送入磁选机进行磁选（</w:t>
      </w:r>
      <w:r>
        <w:rPr>
          <w:rFonts w:hint="eastAsia" w:hAnsi="宋体"/>
          <w:highlight w:val="none"/>
        </w:rPr>
        <w:t>3</w:t>
      </w:r>
      <w:r>
        <w:rPr>
          <w:rFonts w:hAnsi="宋体"/>
          <w:highlight w:val="none"/>
        </w:rPr>
        <w:t>台并联），选出的物料泵入高频筛。由高频筛选出的合格物料送入</w:t>
      </w:r>
      <w:r>
        <w:rPr>
          <w:rFonts w:hint="eastAsia" w:hAnsi="宋体"/>
          <w:highlight w:val="none"/>
        </w:rPr>
        <w:t>一</w:t>
      </w:r>
      <w:r>
        <w:rPr>
          <w:rFonts w:hAnsi="宋体"/>
          <w:highlight w:val="none"/>
        </w:rPr>
        <w:t>台磁选进一步磁选，选出物料即为</w:t>
      </w:r>
      <w:r>
        <w:rPr>
          <w:rFonts w:hint="eastAsia" w:hAnsi="宋体"/>
          <w:highlight w:val="none"/>
        </w:rPr>
        <w:t>58</w:t>
      </w:r>
      <w:r>
        <w:rPr>
          <w:rFonts w:hAnsi="宋体"/>
          <w:highlight w:val="none"/>
        </w:rPr>
        <w:t>%品位的铁精粉，经甩干机脱水，即为成品，入库待售。</w:t>
      </w:r>
    </w:p>
    <w:p>
      <w:pPr>
        <w:pStyle w:val="62"/>
        <w:ind w:firstLine="480"/>
        <w:rPr>
          <w:rFonts w:hAnsi="宋体"/>
          <w:highlight w:val="none"/>
        </w:rPr>
      </w:pPr>
      <w:r>
        <w:rPr>
          <w:rFonts w:hAnsi="宋体"/>
          <w:highlight w:val="none"/>
        </w:rPr>
        <w:t>高频筛出来的不合格物料，首先经过一道浓缩磁选，磁选出的物料进入球磨机进行二磨球磨机2700mm×7000mm。二磨出料后，由</w:t>
      </w:r>
      <w:r>
        <w:rPr>
          <w:rFonts w:hint="eastAsia" w:hAnsi="宋体"/>
          <w:highlight w:val="none"/>
        </w:rPr>
        <w:t>泵将</w:t>
      </w:r>
      <w:r>
        <w:rPr>
          <w:rFonts w:hAnsi="宋体"/>
          <w:highlight w:val="none"/>
        </w:rPr>
        <w:t>物料返回高频筛。</w:t>
      </w:r>
    </w:p>
    <w:p>
      <w:pPr>
        <w:pStyle w:val="62"/>
        <w:ind w:firstLine="480"/>
        <w:rPr>
          <w:rFonts w:hAnsi="宋体"/>
          <w:highlight w:val="none"/>
        </w:rPr>
      </w:pPr>
      <w:r>
        <w:rPr>
          <w:rFonts w:hAnsi="宋体"/>
          <w:highlight w:val="none"/>
        </w:rPr>
        <w:t>厂内所有湿式磁选机出来的尾矿浆均进入一台强磁机扫选，强磁选出的物料返回高频筛，尾矿浆进入浓缩、压滤系统。</w:t>
      </w:r>
    </w:p>
    <w:p>
      <w:pPr>
        <w:pStyle w:val="62"/>
        <w:ind w:firstLine="480"/>
        <w:rPr>
          <w:rFonts w:hAnsi="宋体"/>
          <w:highlight w:val="none"/>
        </w:rPr>
      </w:pPr>
      <w:r>
        <w:rPr>
          <w:rFonts w:hint="eastAsia" w:hAnsi="宋体"/>
          <w:highlight w:val="none"/>
        </w:rPr>
        <w:t>该工序产生的污染物主要为湿选废水和设备噪声。</w:t>
      </w:r>
    </w:p>
    <w:p>
      <w:pPr>
        <w:pStyle w:val="62"/>
        <w:ind w:firstLine="480"/>
        <w:rPr>
          <w:rFonts w:hAnsi="宋体"/>
          <w:highlight w:val="none"/>
        </w:rPr>
      </w:pPr>
      <w:r>
        <w:rPr>
          <w:rFonts w:hint="eastAsia" w:hAnsi="宋体"/>
          <w:highlight w:val="none"/>
        </w:rPr>
        <w:t>5、</w:t>
      </w:r>
      <w:r>
        <w:rPr>
          <w:rFonts w:hAnsi="宋体"/>
          <w:highlight w:val="none"/>
        </w:rPr>
        <w:t>浓缩、压滤</w:t>
      </w:r>
    </w:p>
    <w:p>
      <w:pPr>
        <w:pStyle w:val="62"/>
        <w:ind w:firstLine="480"/>
        <w:rPr>
          <w:rFonts w:hAnsi="宋体"/>
          <w:highlight w:val="none"/>
        </w:rPr>
      </w:pPr>
      <w:r>
        <w:rPr>
          <w:rFonts w:hAnsi="宋体"/>
          <w:highlight w:val="none"/>
        </w:rPr>
        <w:t>强磁机尾矿浆，泵入捞砂池，利用捞砂机捞得粗砂，</w:t>
      </w:r>
      <w:r>
        <w:rPr>
          <w:rFonts w:hint="eastAsia" w:hAnsi="宋体"/>
          <w:highlight w:val="none"/>
        </w:rPr>
        <w:t>在废石暂存</w:t>
      </w:r>
      <w:r>
        <w:rPr>
          <w:rFonts w:hAnsi="宋体"/>
          <w:highlight w:val="none"/>
        </w:rPr>
        <w:t>外售综合利用。</w:t>
      </w:r>
    </w:p>
    <w:p>
      <w:pPr>
        <w:pStyle w:val="62"/>
        <w:ind w:firstLine="480"/>
        <w:rPr>
          <w:rFonts w:hAnsi="宋体"/>
          <w:highlight w:val="none"/>
        </w:rPr>
      </w:pPr>
      <w:r>
        <w:rPr>
          <w:rFonts w:hAnsi="宋体"/>
          <w:highlight w:val="none"/>
        </w:rPr>
        <w:t>捞砂池内剩余尾矿浆泵入浓缩池，浓缩池</w:t>
      </w:r>
      <w:r>
        <w:rPr>
          <w:rFonts w:hint="eastAsia" w:hAnsi="宋体"/>
          <w:highlight w:val="none"/>
        </w:rPr>
        <w:t>φ18</w:t>
      </w:r>
      <w:r>
        <w:rPr>
          <w:rFonts w:hAnsi="宋体"/>
          <w:highlight w:val="none"/>
        </w:rPr>
        <w:t>m。尾矿浆浓缩后，</w:t>
      </w:r>
      <w:r>
        <w:rPr>
          <w:rFonts w:hint="eastAsia" w:hAnsi="宋体"/>
          <w:highlight w:val="none"/>
        </w:rPr>
        <w:t>尾</w:t>
      </w:r>
      <w:r>
        <w:rPr>
          <w:rFonts w:hAnsi="宋体"/>
          <w:highlight w:val="none"/>
        </w:rPr>
        <w:t>砂至压滤机房，压滤后于</w:t>
      </w:r>
      <w:r>
        <w:rPr>
          <w:rFonts w:hint="eastAsia" w:hAnsi="宋体"/>
          <w:highlight w:val="none"/>
        </w:rPr>
        <w:t>尾矿库</w:t>
      </w:r>
      <w:r>
        <w:rPr>
          <w:rFonts w:hAnsi="宋体"/>
          <w:highlight w:val="none"/>
        </w:rPr>
        <w:t>合理堆存。压滤机的过滤水</w:t>
      </w:r>
      <w:r>
        <w:rPr>
          <w:rFonts w:hint="eastAsia" w:hAnsi="宋体"/>
          <w:highlight w:val="none"/>
        </w:rPr>
        <w:t>返回浓缩池。</w:t>
      </w:r>
      <w:r>
        <w:rPr>
          <w:rFonts w:hAnsi="宋体"/>
          <w:highlight w:val="none"/>
        </w:rPr>
        <w:t>浓缩池溢流水进入循环水池作为选矿水循环使用。</w:t>
      </w:r>
    </w:p>
    <w:p>
      <w:pPr>
        <w:pStyle w:val="62"/>
        <w:ind w:firstLine="480"/>
        <w:rPr>
          <w:rFonts w:hAnsi="宋体"/>
          <w:highlight w:val="none"/>
        </w:rPr>
      </w:pPr>
      <w:r>
        <w:rPr>
          <w:rFonts w:hint="eastAsia" w:hAnsi="宋体"/>
          <w:highlight w:val="none"/>
        </w:rPr>
        <w:t>该工序产生的污染物主要为湿选粗砂、尾砂、废水和设备噪声。</w:t>
      </w:r>
    </w:p>
    <w:p>
      <w:pPr>
        <w:spacing w:line="240" w:lineRule="auto"/>
        <w:ind w:firstLine="0" w:firstLineChars="0"/>
        <w:jc w:val="center"/>
        <w:rPr>
          <w:rFonts w:ascii="宋体" w:hAnsi="宋体"/>
          <w:szCs w:val="22"/>
          <w:highlight w:val="none"/>
        </w:rPr>
      </w:pPr>
      <w:r>
        <w:rPr>
          <w:rFonts w:ascii="宋体" w:hAnsi="宋体"/>
          <w:szCs w:val="22"/>
          <w:highlight w:val="none"/>
        </w:rPr>
        <w:drawing>
          <wp:inline distT="0" distB="0" distL="0" distR="0">
            <wp:extent cx="5615940" cy="6241415"/>
            <wp:effectExtent l="0" t="0" r="3810" b="6985"/>
            <wp:docPr id="20" name="图片 20" descr="F:\环评资料\我的项目\2021\1\选矿厂\选矿\送审本\Drawing1 Model (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环评资料\我的项目\2021\1\选矿厂\选矿\送审本\Drawing1 Model (1)_看图王.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15940" cy="6241561"/>
                    </a:xfrm>
                    <a:prstGeom prst="rect">
                      <a:avLst/>
                    </a:prstGeom>
                    <a:noFill/>
                    <a:ln>
                      <a:noFill/>
                    </a:ln>
                  </pic:spPr>
                </pic:pic>
              </a:graphicData>
            </a:graphic>
          </wp:inline>
        </w:drawing>
      </w:r>
    </w:p>
    <w:p>
      <w:pPr>
        <w:pStyle w:val="65"/>
        <w:rPr>
          <w:rFonts w:hAnsi="宋体"/>
          <w:highlight w:val="none"/>
        </w:rPr>
      </w:pPr>
      <w:r>
        <w:rPr>
          <w:rFonts w:hint="eastAsia" w:hAnsi="宋体"/>
          <w:highlight w:val="none"/>
        </w:rPr>
        <w:t>图3-1  工艺流程及产污节点图</w:t>
      </w:r>
    </w:p>
    <w:p>
      <w:pPr>
        <w:pStyle w:val="4"/>
        <w:ind w:firstLine="562"/>
        <w:rPr>
          <w:rFonts w:hAnsi="宋体"/>
          <w:highlight w:val="none"/>
        </w:rPr>
      </w:pPr>
      <w:r>
        <w:rPr>
          <w:rFonts w:hAnsi="宋体"/>
          <w:highlight w:val="none"/>
        </w:rPr>
        <w:t>3.</w:t>
      </w:r>
      <w:r>
        <w:rPr>
          <w:rFonts w:hint="eastAsia" w:hAnsi="宋体"/>
          <w:highlight w:val="none"/>
        </w:rPr>
        <w:t>1</w:t>
      </w:r>
      <w:r>
        <w:rPr>
          <w:rFonts w:hAnsi="宋体"/>
          <w:highlight w:val="none"/>
        </w:rPr>
        <w:t>.</w:t>
      </w:r>
      <w:r>
        <w:rPr>
          <w:rFonts w:hint="eastAsia" w:hAnsi="宋体"/>
          <w:highlight w:val="none"/>
        </w:rPr>
        <w:t>5</w:t>
      </w:r>
      <w:r>
        <w:rPr>
          <w:rFonts w:hAnsi="宋体"/>
          <w:highlight w:val="none"/>
        </w:rPr>
        <w:t>主要生产设备</w:t>
      </w:r>
    </w:p>
    <w:p>
      <w:pPr>
        <w:spacing w:before="50" w:line="240" w:lineRule="auto"/>
        <w:ind w:left="700" w:right="1707" w:firstLine="0" w:firstLineChars="0"/>
        <w:jc w:val="left"/>
        <w:rPr>
          <w:rFonts w:ascii="宋体" w:hAnsi="宋体"/>
          <w:kern w:val="0"/>
          <w:highlight w:val="none"/>
        </w:rPr>
      </w:pPr>
      <w:r>
        <w:rPr>
          <w:rFonts w:hint="eastAsia" w:ascii="宋体" w:hAnsi="宋体"/>
          <w:kern w:val="0"/>
          <w:highlight w:val="none"/>
        </w:rPr>
        <w:t>1、项目</w:t>
      </w:r>
      <w:r>
        <w:rPr>
          <w:rFonts w:ascii="宋体" w:hAnsi="宋体"/>
          <w:kern w:val="0"/>
          <w:highlight w:val="none"/>
        </w:rPr>
        <w:t>主要生产设</w:t>
      </w:r>
      <w:r>
        <w:rPr>
          <w:rStyle w:val="63"/>
          <w:rFonts w:hAnsi="宋体"/>
          <w:highlight w:val="none"/>
        </w:rPr>
        <w:t>备见表3.</w:t>
      </w:r>
      <w:r>
        <w:rPr>
          <w:rStyle w:val="63"/>
          <w:rFonts w:hint="eastAsia" w:hAnsi="宋体"/>
          <w:highlight w:val="none"/>
        </w:rPr>
        <w:t>1</w:t>
      </w:r>
      <w:r>
        <w:rPr>
          <w:rStyle w:val="63"/>
          <w:rFonts w:hAnsi="宋体"/>
          <w:highlight w:val="none"/>
        </w:rPr>
        <w:t>-</w:t>
      </w:r>
      <w:r>
        <w:rPr>
          <w:rStyle w:val="63"/>
          <w:rFonts w:hint="eastAsia" w:hAnsi="宋体"/>
          <w:highlight w:val="none"/>
        </w:rPr>
        <w:t>4</w:t>
      </w:r>
      <w:r>
        <w:rPr>
          <w:rStyle w:val="63"/>
          <w:rFonts w:hAnsi="宋体"/>
          <w:highlight w:val="none"/>
        </w:rPr>
        <w:t>。</w:t>
      </w:r>
    </w:p>
    <w:p>
      <w:pPr>
        <w:pStyle w:val="65"/>
        <w:rPr>
          <w:rFonts w:hAnsi="宋体"/>
          <w:highlight w:val="none"/>
        </w:rPr>
      </w:pPr>
      <w:r>
        <w:rPr>
          <w:rFonts w:hAnsi="宋体"/>
          <w:highlight w:val="none"/>
        </w:rPr>
        <w:t>表3.</w:t>
      </w:r>
      <w:r>
        <w:rPr>
          <w:rFonts w:hint="eastAsia" w:hAnsi="宋体"/>
          <w:highlight w:val="none"/>
        </w:rPr>
        <w:t>1</w:t>
      </w:r>
      <w:r>
        <w:rPr>
          <w:rFonts w:hAnsi="宋体"/>
          <w:highlight w:val="none"/>
        </w:rPr>
        <w:t>-</w:t>
      </w:r>
      <w:r>
        <w:rPr>
          <w:rFonts w:hint="eastAsia" w:hAnsi="宋体"/>
          <w:highlight w:val="none"/>
        </w:rPr>
        <w:t xml:space="preserve">4  </w:t>
      </w:r>
      <w:r>
        <w:rPr>
          <w:rFonts w:hAnsi="宋体"/>
          <w:highlight w:val="none"/>
        </w:rPr>
        <w:t>项</w:t>
      </w:r>
      <w:r>
        <w:rPr>
          <w:rFonts w:hAnsi="宋体"/>
          <w:spacing w:val="2"/>
          <w:highlight w:val="none"/>
        </w:rPr>
        <w:t>目</w:t>
      </w:r>
      <w:r>
        <w:rPr>
          <w:rFonts w:hAnsi="宋体"/>
          <w:highlight w:val="none"/>
        </w:rPr>
        <w:t>主</w:t>
      </w:r>
      <w:r>
        <w:rPr>
          <w:rFonts w:hAnsi="宋体"/>
          <w:spacing w:val="2"/>
          <w:highlight w:val="none"/>
        </w:rPr>
        <w:t>要</w:t>
      </w:r>
      <w:r>
        <w:rPr>
          <w:rFonts w:hAnsi="宋体"/>
          <w:highlight w:val="none"/>
        </w:rPr>
        <w:t>生</w:t>
      </w:r>
      <w:r>
        <w:rPr>
          <w:rFonts w:hAnsi="宋体"/>
          <w:spacing w:val="2"/>
          <w:highlight w:val="none"/>
        </w:rPr>
        <w:t>产</w:t>
      </w:r>
      <w:r>
        <w:rPr>
          <w:rFonts w:hAnsi="宋体"/>
          <w:highlight w:val="none"/>
        </w:rPr>
        <w:t>设备表</w:t>
      </w:r>
    </w:p>
    <w:p>
      <w:pPr>
        <w:spacing w:before="3" w:line="50" w:lineRule="exact"/>
        <w:ind w:firstLine="0" w:firstLineChars="0"/>
        <w:jc w:val="left"/>
        <w:rPr>
          <w:rFonts w:ascii="宋体" w:hAnsi="宋体"/>
          <w:kern w:val="0"/>
          <w:sz w:val="5"/>
          <w:szCs w:val="5"/>
          <w:highlight w:val="none"/>
        </w:rPr>
      </w:pPr>
    </w:p>
    <w:tbl>
      <w:tblPr>
        <w:tblStyle w:val="74"/>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146"/>
        <w:gridCol w:w="2287"/>
        <w:gridCol w:w="3175"/>
        <w:gridCol w:w="989"/>
        <w:gridCol w:w="115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spacing w:val="-1"/>
                <w:highlight w:val="none"/>
                <w:lang w:eastAsia="en-US"/>
              </w:rPr>
              <w:t>序</w:t>
            </w:r>
            <w:r>
              <w:rPr>
                <w:rFonts w:hAnsi="宋体"/>
                <w:highlight w:val="none"/>
                <w:lang w:eastAsia="en-US"/>
              </w:rPr>
              <w:t>号</w:t>
            </w:r>
          </w:p>
        </w:tc>
        <w:tc>
          <w:tcPr>
            <w:tcW w:w="2287" w:type="dxa"/>
            <w:vAlign w:val="center"/>
          </w:tcPr>
          <w:p>
            <w:pPr>
              <w:pStyle w:val="234"/>
              <w:rPr>
                <w:rFonts w:hAnsi="宋体"/>
                <w:highlight w:val="none"/>
                <w:lang w:eastAsia="en-US"/>
              </w:rPr>
            </w:pPr>
            <w:r>
              <w:rPr>
                <w:rFonts w:hAnsi="宋体"/>
                <w:spacing w:val="-1"/>
                <w:highlight w:val="none"/>
                <w:lang w:eastAsia="en-US"/>
              </w:rPr>
              <w:t>设</w:t>
            </w:r>
            <w:r>
              <w:rPr>
                <w:rFonts w:hAnsi="宋体"/>
                <w:spacing w:val="2"/>
                <w:highlight w:val="none"/>
                <w:lang w:eastAsia="en-US"/>
              </w:rPr>
              <w:t>备</w:t>
            </w:r>
            <w:r>
              <w:rPr>
                <w:rFonts w:hAnsi="宋体"/>
                <w:spacing w:val="-1"/>
                <w:highlight w:val="none"/>
                <w:lang w:eastAsia="en-US"/>
              </w:rPr>
              <w:t>名</w:t>
            </w:r>
            <w:r>
              <w:rPr>
                <w:rFonts w:hAnsi="宋体"/>
                <w:highlight w:val="none"/>
                <w:lang w:eastAsia="en-US"/>
              </w:rPr>
              <w:t>称</w:t>
            </w:r>
          </w:p>
        </w:tc>
        <w:tc>
          <w:tcPr>
            <w:tcW w:w="3175" w:type="dxa"/>
            <w:vAlign w:val="center"/>
          </w:tcPr>
          <w:p>
            <w:pPr>
              <w:pStyle w:val="234"/>
              <w:rPr>
                <w:rFonts w:hAnsi="宋体"/>
                <w:highlight w:val="none"/>
                <w:lang w:eastAsia="en-US"/>
              </w:rPr>
            </w:pPr>
            <w:r>
              <w:rPr>
                <w:rFonts w:hAnsi="宋体"/>
                <w:spacing w:val="-1"/>
                <w:highlight w:val="none"/>
                <w:lang w:eastAsia="en-US"/>
              </w:rPr>
              <w:t>规</w:t>
            </w:r>
            <w:r>
              <w:rPr>
                <w:rFonts w:hAnsi="宋体"/>
                <w:spacing w:val="2"/>
                <w:highlight w:val="none"/>
                <w:lang w:eastAsia="en-US"/>
              </w:rPr>
              <w:t>格</w:t>
            </w:r>
            <w:r>
              <w:rPr>
                <w:rFonts w:hAnsi="宋体"/>
                <w:spacing w:val="-1"/>
                <w:highlight w:val="none"/>
                <w:lang w:eastAsia="en-US"/>
              </w:rPr>
              <w:t>型</w:t>
            </w:r>
            <w:r>
              <w:rPr>
                <w:rFonts w:hAnsi="宋体"/>
                <w:highlight w:val="none"/>
                <w:lang w:eastAsia="en-US"/>
              </w:rPr>
              <w:t>号</w:t>
            </w:r>
          </w:p>
        </w:tc>
        <w:tc>
          <w:tcPr>
            <w:tcW w:w="989" w:type="dxa"/>
            <w:vAlign w:val="center"/>
          </w:tcPr>
          <w:p>
            <w:pPr>
              <w:pStyle w:val="234"/>
              <w:rPr>
                <w:rFonts w:hAnsi="宋体"/>
                <w:highlight w:val="none"/>
                <w:lang w:eastAsia="en-US"/>
              </w:rPr>
            </w:pPr>
            <w:r>
              <w:rPr>
                <w:rFonts w:hAnsi="宋体"/>
                <w:spacing w:val="-1"/>
                <w:highlight w:val="none"/>
                <w:lang w:eastAsia="en-US"/>
              </w:rPr>
              <w:t>数</w:t>
            </w:r>
            <w:r>
              <w:rPr>
                <w:rFonts w:hAnsi="宋体"/>
                <w:highlight w:val="none"/>
                <w:lang w:eastAsia="en-US"/>
              </w:rPr>
              <w:t>量</w:t>
            </w:r>
          </w:p>
        </w:tc>
        <w:tc>
          <w:tcPr>
            <w:tcW w:w="1153" w:type="dxa"/>
            <w:vAlign w:val="center"/>
          </w:tcPr>
          <w:p>
            <w:pPr>
              <w:pStyle w:val="234"/>
              <w:rPr>
                <w:rFonts w:hAnsi="宋体"/>
                <w:highlight w:val="none"/>
                <w:lang w:eastAsia="en-US"/>
              </w:rPr>
            </w:pPr>
            <w:r>
              <w:rPr>
                <w:rFonts w:hAnsi="宋体"/>
                <w:spacing w:val="-1"/>
                <w:highlight w:val="none"/>
                <w:lang w:eastAsia="en-US"/>
              </w:rPr>
              <w:t>备</w:t>
            </w:r>
            <w:r>
              <w:rPr>
                <w:rFonts w:hAnsi="宋体"/>
                <w:highlight w:val="none"/>
                <w:lang w:eastAsia="en-US"/>
              </w:rPr>
              <w:t>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一</w:t>
            </w:r>
          </w:p>
        </w:tc>
        <w:tc>
          <w:tcPr>
            <w:tcW w:w="7604" w:type="dxa"/>
            <w:gridSpan w:val="4"/>
            <w:vAlign w:val="center"/>
          </w:tcPr>
          <w:p>
            <w:pPr>
              <w:pStyle w:val="234"/>
              <w:rPr>
                <w:rFonts w:hAnsi="宋体"/>
                <w:highlight w:val="none"/>
                <w:lang w:eastAsia="en-US"/>
              </w:rPr>
            </w:pPr>
            <w:r>
              <w:rPr>
                <w:rFonts w:hAnsi="宋体"/>
                <w:spacing w:val="-1"/>
                <w:highlight w:val="none"/>
                <w:lang w:eastAsia="en-US"/>
              </w:rPr>
              <w:t>初</w:t>
            </w:r>
            <w:r>
              <w:rPr>
                <w:rFonts w:hAnsi="宋体"/>
                <w:spacing w:val="2"/>
                <w:highlight w:val="none"/>
                <w:lang w:eastAsia="en-US"/>
              </w:rPr>
              <w:t>选</w:t>
            </w:r>
            <w:r>
              <w:rPr>
                <w:rFonts w:hAnsi="宋体"/>
                <w:spacing w:val="-1"/>
                <w:highlight w:val="none"/>
                <w:lang w:eastAsia="en-US"/>
              </w:rPr>
              <w:t>车</w:t>
            </w:r>
            <w:r>
              <w:rPr>
                <w:rFonts w:hAnsi="宋体"/>
                <w:highlight w:val="none"/>
                <w:lang w:eastAsia="en-US"/>
              </w:rPr>
              <w:t>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1</w:t>
            </w:r>
          </w:p>
        </w:tc>
        <w:tc>
          <w:tcPr>
            <w:tcW w:w="2287" w:type="dxa"/>
            <w:vAlign w:val="center"/>
          </w:tcPr>
          <w:p>
            <w:pPr>
              <w:pStyle w:val="234"/>
              <w:rPr>
                <w:rFonts w:hAnsi="宋体"/>
                <w:highlight w:val="none"/>
                <w:lang w:eastAsia="en-US"/>
              </w:rPr>
            </w:pPr>
            <w:r>
              <w:rPr>
                <w:rFonts w:hAnsi="宋体"/>
                <w:spacing w:val="-1"/>
                <w:highlight w:val="none"/>
                <w:lang w:eastAsia="en-US"/>
              </w:rPr>
              <w:t>颚</w:t>
            </w:r>
            <w:r>
              <w:rPr>
                <w:rFonts w:hAnsi="宋体"/>
                <w:spacing w:val="2"/>
                <w:highlight w:val="none"/>
                <w:lang w:eastAsia="en-US"/>
              </w:rPr>
              <w:t>式</w:t>
            </w:r>
            <w:r>
              <w:rPr>
                <w:rFonts w:hAnsi="宋体"/>
                <w:spacing w:val="-1"/>
                <w:highlight w:val="none"/>
                <w:lang w:eastAsia="en-US"/>
              </w:rPr>
              <w:t>破</w:t>
            </w:r>
            <w:r>
              <w:rPr>
                <w:rFonts w:hAnsi="宋体"/>
                <w:spacing w:val="2"/>
                <w:highlight w:val="none"/>
                <w:lang w:eastAsia="en-US"/>
              </w:rPr>
              <w:t>碎</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1"/>
                <w:highlight w:val="none"/>
                <w:lang w:eastAsia="en-US"/>
              </w:rPr>
              <w:t>PE</w:t>
            </w:r>
            <w:r>
              <w:rPr>
                <w:rFonts w:hint="eastAsia" w:hAnsi="宋体"/>
                <w:spacing w:val="-2"/>
                <w:highlight w:val="none"/>
                <w:lang w:eastAsia="en-US"/>
              </w:rPr>
              <w:t>5</w:t>
            </w:r>
            <w:r>
              <w:rPr>
                <w:rFonts w:hAnsi="宋体"/>
                <w:spacing w:val="1"/>
                <w:highlight w:val="none"/>
                <w:lang w:eastAsia="en-US"/>
              </w:rPr>
              <w:t>00</w:t>
            </w:r>
            <w:r>
              <w:rPr>
                <w:rFonts w:hint="eastAsia" w:hAnsi="宋体"/>
                <w:spacing w:val="1"/>
                <w:highlight w:val="none"/>
                <w:lang w:eastAsia="en-US"/>
              </w:rPr>
              <w:t>×</w:t>
            </w:r>
            <w:r>
              <w:rPr>
                <w:rFonts w:hint="eastAsia" w:hAnsi="宋体"/>
                <w:spacing w:val="-2"/>
                <w:highlight w:val="none"/>
                <w:lang w:eastAsia="en-US"/>
              </w:rPr>
              <w:t>75</w:t>
            </w:r>
            <w:r>
              <w:rPr>
                <w:rFonts w:hAnsi="宋体"/>
                <w:spacing w:val="1"/>
                <w:highlight w:val="none"/>
                <w:lang w:eastAsia="en-US"/>
              </w:rPr>
              <w:t>0</w:t>
            </w:r>
            <w:r>
              <w:rPr>
                <w:rFonts w:hAnsi="宋体"/>
                <w:spacing w:val="-1"/>
                <w:highlight w:val="none"/>
                <w:lang w:eastAsia="en-US"/>
              </w:rPr>
              <w:t>，能</w:t>
            </w:r>
            <w:r>
              <w:rPr>
                <w:rFonts w:hAnsi="宋体"/>
                <w:highlight w:val="none"/>
                <w:lang w:eastAsia="en-US"/>
              </w:rPr>
              <w:t>力</w:t>
            </w:r>
            <w:r>
              <w:rPr>
                <w:rFonts w:hint="eastAsia" w:hAnsi="宋体"/>
                <w:spacing w:val="1"/>
                <w:highlight w:val="none"/>
                <w:lang w:eastAsia="en-US"/>
              </w:rPr>
              <w:t>4</w:t>
            </w:r>
            <w:r>
              <w:rPr>
                <w:rFonts w:hAnsi="宋体"/>
                <w:spacing w:val="1"/>
                <w:highlight w:val="none"/>
                <w:lang w:eastAsia="en-US"/>
              </w:rPr>
              <w:t>0</w:t>
            </w:r>
            <w:r>
              <w:rPr>
                <w:rFonts w:hAnsi="宋体"/>
                <w:spacing w:val="-2"/>
                <w:highlight w:val="none"/>
                <w:lang w:eastAsia="en-US"/>
              </w:rPr>
              <w:t>~</w:t>
            </w:r>
            <w:r>
              <w:rPr>
                <w:rFonts w:hint="eastAsia" w:hAnsi="宋体"/>
                <w:spacing w:val="1"/>
                <w:highlight w:val="none"/>
                <w:lang w:eastAsia="en-US"/>
              </w:rPr>
              <w:t>1</w:t>
            </w:r>
            <w:r>
              <w:rPr>
                <w:rFonts w:hAnsi="宋体"/>
                <w:spacing w:val="1"/>
                <w:highlight w:val="none"/>
                <w:lang w:eastAsia="en-US"/>
              </w:rPr>
              <w:t>00</w:t>
            </w:r>
            <w:r>
              <w:rPr>
                <w:rFonts w:hAnsi="宋体"/>
                <w:spacing w:val="-2"/>
                <w:highlight w:val="none"/>
                <w:lang w:eastAsia="en-US"/>
              </w:rPr>
              <w:t>t</w:t>
            </w:r>
            <w:r>
              <w:rPr>
                <w:rFonts w:hAnsi="宋体"/>
                <w:spacing w:val="1"/>
                <w:highlight w:val="none"/>
                <w:lang w:eastAsia="en-US"/>
              </w:rPr>
              <w:t>/</w:t>
            </w:r>
            <w:r>
              <w:rPr>
                <w:rFonts w:hAnsi="宋体"/>
                <w:highlight w:val="none"/>
                <w:lang w:eastAsia="en-US"/>
              </w:rPr>
              <w:t>h</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46" w:type="dxa"/>
            <w:vAlign w:val="center"/>
          </w:tcPr>
          <w:p>
            <w:pPr>
              <w:pStyle w:val="234"/>
              <w:rPr>
                <w:rFonts w:hAnsi="宋体"/>
                <w:highlight w:val="none"/>
                <w:lang w:eastAsia="en-US"/>
              </w:rPr>
            </w:pPr>
            <w:r>
              <w:rPr>
                <w:rFonts w:hAnsi="宋体"/>
                <w:highlight w:val="none"/>
                <w:lang w:eastAsia="en-US"/>
              </w:rPr>
              <w:t>2</w:t>
            </w:r>
          </w:p>
        </w:tc>
        <w:tc>
          <w:tcPr>
            <w:tcW w:w="2287" w:type="dxa"/>
            <w:vAlign w:val="center"/>
          </w:tcPr>
          <w:p>
            <w:pPr>
              <w:pStyle w:val="234"/>
              <w:rPr>
                <w:rFonts w:hAnsi="宋体"/>
                <w:highlight w:val="none"/>
                <w:lang w:eastAsia="en-US"/>
              </w:rPr>
            </w:pPr>
            <w:r>
              <w:rPr>
                <w:rFonts w:hAnsi="宋体"/>
                <w:spacing w:val="-1"/>
                <w:highlight w:val="none"/>
                <w:lang w:eastAsia="en-US"/>
              </w:rPr>
              <w:t>颚</w:t>
            </w:r>
            <w:r>
              <w:rPr>
                <w:rFonts w:hAnsi="宋体"/>
                <w:spacing w:val="2"/>
                <w:highlight w:val="none"/>
                <w:lang w:eastAsia="en-US"/>
              </w:rPr>
              <w:t>式</w:t>
            </w:r>
            <w:r>
              <w:rPr>
                <w:rFonts w:hAnsi="宋体"/>
                <w:spacing w:val="-1"/>
                <w:highlight w:val="none"/>
                <w:lang w:eastAsia="en-US"/>
              </w:rPr>
              <w:t>破</w:t>
            </w:r>
            <w:r>
              <w:rPr>
                <w:rFonts w:hAnsi="宋体"/>
                <w:spacing w:val="2"/>
                <w:highlight w:val="none"/>
                <w:lang w:eastAsia="en-US"/>
              </w:rPr>
              <w:t>碎</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1"/>
                <w:highlight w:val="none"/>
                <w:lang w:eastAsia="en-US"/>
              </w:rPr>
              <w:t>PE</w:t>
            </w:r>
            <w:r>
              <w:rPr>
                <w:rFonts w:hint="eastAsia" w:hAnsi="宋体"/>
                <w:spacing w:val="1"/>
                <w:highlight w:val="none"/>
                <w:lang w:eastAsia="en-US"/>
              </w:rPr>
              <w:t>X</w:t>
            </w:r>
            <w:r>
              <w:rPr>
                <w:rFonts w:hint="eastAsia" w:hAnsi="宋体"/>
                <w:spacing w:val="-2"/>
                <w:highlight w:val="none"/>
                <w:lang w:eastAsia="en-US"/>
              </w:rPr>
              <w:t>25</w:t>
            </w:r>
            <w:r>
              <w:rPr>
                <w:rFonts w:hAnsi="宋体"/>
                <w:spacing w:val="1"/>
                <w:highlight w:val="none"/>
                <w:lang w:eastAsia="en-US"/>
              </w:rPr>
              <w:t>0</w:t>
            </w:r>
            <w:r>
              <w:rPr>
                <w:rFonts w:hint="eastAsia" w:hAnsi="宋体"/>
                <w:spacing w:val="1"/>
                <w:highlight w:val="none"/>
                <w:lang w:eastAsia="en-US"/>
              </w:rPr>
              <w:t>×</w:t>
            </w:r>
            <w:r>
              <w:rPr>
                <w:rFonts w:hint="eastAsia" w:hAnsi="宋体"/>
                <w:spacing w:val="-2"/>
                <w:highlight w:val="none"/>
                <w:lang w:eastAsia="en-US"/>
              </w:rPr>
              <w:t>120</w:t>
            </w:r>
            <w:r>
              <w:rPr>
                <w:rFonts w:hAnsi="宋体"/>
                <w:spacing w:val="1"/>
                <w:highlight w:val="none"/>
                <w:lang w:eastAsia="en-US"/>
              </w:rPr>
              <w:t>0</w:t>
            </w:r>
            <w:r>
              <w:rPr>
                <w:rFonts w:hAnsi="宋体"/>
                <w:spacing w:val="-1"/>
                <w:highlight w:val="none"/>
                <w:lang w:eastAsia="en-US"/>
              </w:rPr>
              <w:t>，能</w:t>
            </w:r>
            <w:r>
              <w:rPr>
                <w:rFonts w:hAnsi="宋体"/>
                <w:highlight w:val="none"/>
                <w:lang w:eastAsia="en-US"/>
              </w:rPr>
              <w:t>力</w:t>
            </w:r>
            <w:r>
              <w:rPr>
                <w:rFonts w:hint="eastAsia" w:hAnsi="宋体"/>
                <w:spacing w:val="1"/>
                <w:highlight w:val="none"/>
                <w:lang w:eastAsia="en-US"/>
              </w:rPr>
              <w:t>2</w:t>
            </w:r>
            <w:r>
              <w:rPr>
                <w:rFonts w:hAnsi="宋体"/>
                <w:spacing w:val="1"/>
                <w:highlight w:val="none"/>
                <w:lang w:eastAsia="en-US"/>
              </w:rPr>
              <w:t>0</w:t>
            </w:r>
            <w:r>
              <w:rPr>
                <w:rFonts w:hAnsi="宋体"/>
                <w:spacing w:val="-2"/>
                <w:highlight w:val="none"/>
                <w:lang w:eastAsia="en-US"/>
              </w:rPr>
              <w:t>~</w:t>
            </w:r>
            <w:r>
              <w:rPr>
                <w:rFonts w:hint="eastAsia" w:hAnsi="宋体"/>
                <w:spacing w:val="1"/>
                <w:highlight w:val="none"/>
                <w:lang w:eastAsia="en-US"/>
              </w:rPr>
              <w:t>6</w:t>
            </w:r>
            <w:r>
              <w:rPr>
                <w:rFonts w:hAnsi="宋体"/>
                <w:spacing w:val="1"/>
                <w:highlight w:val="none"/>
                <w:lang w:eastAsia="en-US"/>
              </w:rPr>
              <w:t>0</w:t>
            </w:r>
            <w:r>
              <w:rPr>
                <w:rFonts w:hAnsi="宋体"/>
                <w:spacing w:val="-2"/>
                <w:highlight w:val="none"/>
                <w:lang w:eastAsia="en-US"/>
              </w:rPr>
              <w:t>t</w:t>
            </w:r>
            <w:r>
              <w:rPr>
                <w:rFonts w:hAnsi="宋体"/>
                <w:spacing w:val="1"/>
                <w:highlight w:val="none"/>
                <w:lang w:eastAsia="en-US"/>
              </w:rPr>
              <w:t>/</w:t>
            </w:r>
            <w:r>
              <w:rPr>
                <w:rFonts w:hAnsi="宋体"/>
                <w:highlight w:val="none"/>
                <w:lang w:eastAsia="en-US"/>
              </w:rPr>
              <w:t>h</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3</w:t>
            </w:r>
          </w:p>
        </w:tc>
        <w:tc>
          <w:tcPr>
            <w:tcW w:w="2287" w:type="dxa"/>
            <w:vAlign w:val="center"/>
          </w:tcPr>
          <w:p>
            <w:pPr>
              <w:pStyle w:val="234"/>
              <w:rPr>
                <w:rFonts w:hAnsi="宋体"/>
                <w:highlight w:val="none"/>
                <w:lang w:eastAsia="en-US"/>
              </w:rPr>
            </w:pPr>
            <w:r>
              <w:rPr>
                <w:rFonts w:hAnsi="宋体"/>
                <w:spacing w:val="-1"/>
                <w:highlight w:val="none"/>
                <w:lang w:eastAsia="en-US"/>
              </w:rPr>
              <w:t>圆</w:t>
            </w:r>
            <w:r>
              <w:rPr>
                <w:rFonts w:hAnsi="宋体"/>
                <w:spacing w:val="2"/>
                <w:highlight w:val="none"/>
                <w:lang w:eastAsia="en-US"/>
              </w:rPr>
              <w:t>锥</w:t>
            </w:r>
            <w:r>
              <w:rPr>
                <w:rFonts w:hAnsi="宋体"/>
                <w:spacing w:val="-1"/>
                <w:highlight w:val="none"/>
                <w:lang w:eastAsia="en-US"/>
              </w:rPr>
              <w:t>破</w:t>
            </w:r>
            <w:r>
              <w:rPr>
                <w:rFonts w:hAnsi="宋体"/>
                <w:spacing w:val="2"/>
                <w:highlight w:val="none"/>
                <w:lang w:eastAsia="en-US"/>
              </w:rPr>
              <w:t>碎</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1"/>
                <w:highlight w:val="none"/>
                <w:lang w:eastAsia="en-US"/>
              </w:rPr>
              <w:t>PY</w:t>
            </w:r>
            <w:r>
              <w:rPr>
                <w:rFonts w:hint="eastAsia" w:hAnsi="宋体"/>
                <w:spacing w:val="1"/>
                <w:highlight w:val="none"/>
                <w:lang w:eastAsia="en-US"/>
              </w:rPr>
              <w:t>D</w:t>
            </w:r>
            <w:r>
              <w:rPr>
                <w:rFonts w:hint="eastAsia" w:hAnsi="宋体"/>
                <w:spacing w:val="-2"/>
                <w:highlight w:val="none"/>
                <w:lang w:eastAsia="en-US"/>
              </w:rPr>
              <w:t>-1200</w:t>
            </w:r>
            <w:r>
              <w:rPr>
                <w:rFonts w:hint="eastAsia" w:hAnsi="宋体"/>
                <w:spacing w:val="1"/>
                <w:highlight w:val="none"/>
                <w:lang w:eastAsia="en-US"/>
              </w:rPr>
              <w:t>，</w:t>
            </w:r>
            <w:r>
              <w:rPr>
                <w:rFonts w:hAnsi="宋体"/>
                <w:spacing w:val="-1"/>
                <w:highlight w:val="none"/>
                <w:lang w:eastAsia="en-US"/>
              </w:rPr>
              <w:t>能</w:t>
            </w:r>
            <w:r>
              <w:rPr>
                <w:rFonts w:hAnsi="宋体"/>
                <w:highlight w:val="none"/>
                <w:lang w:eastAsia="en-US"/>
              </w:rPr>
              <w:t>力</w:t>
            </w:r>
            <w:r>
              <w:rPr>
                <w:rFonts w:hint="eastAsia" w:hAnsi="宋体"/>
                <w:spacing w:val="1"/>
                <w:highlight w:val="none"/>
                <w:lang w:eastAsia="en-US"/>
              </w:rPr>
              <w:t>18</w:t>
            </w:r>
            <w:r>
              <w:rPr>
                <w:rFonts w:hAnsi="宋体"/>
                <w:spacing w:val="-2"/>
                <w:highlight w:val="none"/>
                <w:lang w:eastAsia="en-US"/>
              </w:rPr>
              <w:t>~</w:t>
            </w:r>
            <w:r>
              <w:rPr>
                <w:rFonts w:hint="eastAsia" w:hAnsi="宋体"/>
                <w:spacing w:val="1"/>
                <w:highlight w:val="none"/>
                <w:lang w:eastAsia="en-US"/>
              </w:rPr>
              <w:t>105</w:t>
            </w:r>
            <w:r>
              <w:rPr>
                <w:rFonts w:hAnsi="宋体"/>
                <w:spacing w:val="-2"/>
                <w:highlight w:val="none"/>
                <w:lang w:eastAsia="en-US"/>
              </w:rPr>
              <w:t>t</w:t>
            </w:r>
            <w:r>
              <w:rPr>
                <w:rFonts w:hAnsi="宋体"/>
                <w:spacing w:val="1"/>
                <w:highlight w:val="none"/>
                <w:lang w:eastAsia="en-US"/>
              </w:rPr>
              <w:t>/</w:t>
            </w:r>
            <w:r>
              <w:rPr>
                <w:rFonts w:hAnsi="宋体"/>
                <w:highlight w:val="none"/>
                <w:lang w:eastAsia="en-US"/>
              </w:rPr>
              <w:t>h</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4</w:t>
            </w:r>
          </w:p>
        </w:tc>
        <w:tc>
          <w:tcPr>
            <w:tcW w:w="2287" w:type="dxa"/>
            <w:vAlign w:val="center"/>
          </w:tcPr>
          <w:p>
            <w:pPr>
              <w:pStyle w:val="234"/>
              <w:rPr>
                <w:rFonts w:hAnsi="宋体"/>
                <w:highlight w:val="none"/>
                <w:lang w:eastAsia="en-US"/>
              </w:rPr>
            </w:pPr>
            <w:r>
              <w:rPr>
                <w:rFonts w:hAnsi="宋体"/>
                <w:spacing w:val="-1"/>
                <w:highlight w:val="none"/>
                <w:lang w:eastAsia="en-US"/>
              </w:rPr>
              <w:t>干</w:t>
            </w:r>
            <w:r>
              <w:rPr>
                <w:rFonts w:hAnsi="宋体"/>
                <w:spacing w:val="2"/>
                <w:highlight w:val="none"/>
                <w:lang w:eastAsia="en-US"/>
              </w:rPr>
              <w:t>式</w:t>
            </w:r>
            <w:r>
              <w:rPr>
                <w:rFonts w:hAnsi="宋体"/>
                <w:spacing w:val="-1"/>
                <w:highlight w:val="none"/>
                <w:lang w:eastAsia="en-US"/>
              </w:rPr>
              <w:t>磁</w:t>
            </w:r>
            <w:r>
              <w:rPr>
                <w:rFonts w:hAnsi="宋体"/>
                <w:spacing w:val="2"/>
                <w:highlight w:val="none"/>
                <w:lang w:eastAsia="en-US"/>
              </w:rPr>
              <w:t>选</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2"/>
                <w:highlight w:val="none"/>
                <w:lang w:eastAsia="en-US"/>
              </w:rPr>
              <w:t>Φ</w:t>
            </w:r>
            <w:r>
              <w:rPr>
                <w:rFonts w:hint="eastAsia" w:hAnsi="宋体"/>
                <w:spacing w:val="2"/>
                <w:highlight w:val="none"/>
                <w:lang w:eastAsia="en-US"/>
              </w:rPr>
              <w:t>500</w:t>
            </w:r>
            <w:r>
              <w:rPr>
                <w:rFonts w:hint="eastAsia" w:hAnsi="宋体"/>
                <w:spacing w:val="1"/>
                <w:highlight w:val="none"/>
                <w:lang w:eastAsia="en-US"/>
              </w:rPr>
              <w:t>×</w:t>
            </w:r>
            <w:r>
              <w:rPr>
                <w:rFonts w:hint="eastAsia" w:hAnsi="宋体"/>
                <w:spacing w:val="-2"/>
                <w:highlight w:val="none"/>
                <w:lang w:eastAsia="en-US"/>
              </w:rPr>
              <w:t>65</w:t>
            </w:r>
            <w:r>
              <w:rPr>
                <w:rFonts w:hAnsi="宋体"/>
                <w:spacing w:val="1"/>
                <w:highlight w:val="none"/>
                <w:lang w:eastAsia="en-US"/>
              </w:rPr>
              <w:t>0</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二</w:t>
            </w:r>
          </w:p>
        </w:tc>
        <w:tc>
          <w:tcPr>
            <w:tcW w:w="7604" w:type="dxa"/>
            <w:gridSpan w:val="4"/>
            <w:vAlign w:val="center"/>
          </w:tcPr>
          <w:p>
            <w:pPr>
              <w:pStyle w:val="234"/>
              <w:rPr>
                <w:rFonts w:hAnsi="宋体"/>
                <w:highlight w:val="none"/>
                <w:lang w:eastAsia="en-US"/>
              </w:rPr>
            </w:pPr>
            <w:r>
              <w:rPr>
                <w:rFonts w:hAnsi="宋体"/>
                <w:spacing w:val="-1"/>
                <w:highlight w:val="none"/>
                <w:lang w:eastAsia="en-US"/>
              </w:rPr>
              <w:t>主</w:t>
            </w:r>
            <w:r>
              <w:rPr>
                <w:rFonts w:hAnsi="宋体"/>
                <w:spacing w:val="2"/>
                <w:highlight w:val="none"/>
                <w:lang w:eastAsia="en-US"/>
              </w:rPr>
              <w:t>选</w:t>
            </w:r>
            <w:r>
              <w:rPr>
                <w:rFonts w:hAnsi="宋体"/>
                <w:spacing w:val="-1"/>
                <w:highlight w:val="none"/>
                <w:lang w:eastAsia="en-US"/>
              </w:rPr>
              <w:t>车</w:t>
            </w:r>
            <w:r>
              <w:rPr>
                <w:rFonts w:hAnsi="宋体"/>
                <w:highlight w:val="none"/>
                <w:lang w:eastAsia="en-US"/>
              </w:rPr>
              <w:t>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46" w:type="dxa"/>
            <w:vAlign w:val="center"/>
          </w:tcPr>
          <w:p>
            <w:pPr>
              <w:pStyle w:val="234"/>
              <w:rPr>
                <w:rFonts w:hAnsi="宋体"/>
                <w:highlight w:val="none"/>
                <w:lang w:eastAsia="en-US"/>
              </w:rPr>
            </w:pPr>
            <w:r>
              <w:rPr>
                <w:rFonts w:hAnsi="宋体"/>
                <w:highlight w:val="none"/>
                <w:lang w:eastAsia="en-US"/>
              </w:rPr>
              <w:t>6</w:t>
            </w:r>
          </w:p>
        </w:tc>
        <w:tc>
          <w:tcPr>
            <w:tcW w:w="2287" w:type="dxa"/>
            <w:vAlign w:val="center"/>
          </w:tcPr>
          <w:p>
            <w:pPr>
              <w:pStyle w:val="234"/>
              <w:rPr>
                <w:rFonts w:hAnsi="宋体"/>
                <w:highlight w:val="none"/>
                <w:lang w:eastAsia="en-US"/>
              </w:rPr>
            </w:pPr>
            <w:r>
              <w:rPr>
                <w:rFonts w:hAnsi="宋体"/>
                <w:spacing w:val="-1"/>
                <w:highlight w:val="none"/>
                <w:lang w:eastAsia="en-US"/>
              </w:rPr>
              <w:t>球</w:t>
            </w:r>
            <w:r>
              <w:rPr>
                <w:rFonts w:hAnsi="宋体"/>
                <w:spacing w:val="2"/>
                <w:highlight w:val="none"/>
                <w:lang w:eastAsia="en-US"/>
              </w:rPr>
              <w:t>磨</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w w:val="95"/>
                <w:highlight w:val="none"/>
                <w:lang w:eastAsia="en-US"/>
              </w:rPr>
              <w:t>MQG</w:t>
            </w:r>
            <w:r>
              <w:rPr>
                <w:rFonts w:hAnsi="宋体"/>
                <w:spacing w:val="-2"/>
                <w:w w:val="95"/>
                <w:highlight w:val="none"/>
                <w:lang w:eastAsia="en-US"/>
              </w:rPr>
              <w:t>2</w:t>
            </w:r>
            <w:r>
              <w:rPr>
                <w:rFonts w:hint="eastAsia" w:hAnsi="宋体"/>
                <w:w w:val="95"/>
                <w:highlight w:val="none"/>
                <w:lang w:eastAsia="en-US"/>
              </w:rPr>
              <w:t>1</w:t>
            </w:r>
            <w:r>
              <w:rPr>
                <w:rFonts w:hAnsi="宋体"/>
                <w:w w:val="95"/>
                <w:highlight w:val="none"/>
                <w:lang w:eastAsia="en-US"/>
              </w:rPr>
              <w:t>00</w:t>
            </w:r>
            <w:r>
              <w:rPr>
                <w:rFonts w:hint="eastAsia" w:hAnsi="宋体"/>
                <w:spacing w:val="1"/>
                <w:highlight w:val="none"/>
                <w:lang w:eastAsia="en-US"/>
              </w:rPr>
              <w:t>×</w:t>
            </w:r>
            <w:r>
              <w:rPr>
                <w:rFonts w:hint="eastAsia" w:hAnsi="宋体"/>
                <w:w w:val="95"/>
                <w:highlight w:val="none"/>
                <w:lang w:eastAsia="en-US"/>
              </w:rPr>
              <w:t>36</w:t>
            </w:r>
            <w:r>
              <w:rPr>
                <w:rFonts w:hAnsi="宋体"/>
                <w:w w:val="95"/>
                <w:highlight w:val="none"/>
                <w:lang w:eastAsia="en-US"/>
              </w:rPr>
              <w:t>0</w:t>
            </w:r>
            <w:r>
              <w:rPr>
                <w:rFonts w:hAnsi="宋体"/>
                <w:spacing w:val="-2"/>
                <w:w w:val="95"/>
                <w:highlight w:val="none"/>
                <w:lang w:eastAsia="en-US"/>
              </w:rPr>
              <w:t>0</w:t>
            </w:r>
            <w:r>
              <w:rPr>
                <w:rFonts w:hint="eastAsia" w:hAnsi="宋体"/>
                <w:w w:val="95"/>
                <w:highlight w:val="none"/>
                <w:lang w:eastAsia="en-US"/>
              </w:rPr>
              <w:t>，</w:t>
            </w:r>
            <w:r>
              <w:rPr>
                <w:rFonts w:hAnsi="宋体"/>
                <w:spacing w:val="-1"/>
                <w:w w:val="95"/>
                <w:highlight w:val="none"/>
                <w:lang w:eastAsia="en-US"/>
              </w:rPr>
              <w:t>能</w:t>
            </w:r>
            <w:r>
              <w:rPr>
                <w:rFonts w:hAnsi="宋体"/>
                <w:w w:val="95"/>
                <w:highlight w:val="none"/>
                <w:lang w:eastAsia="en-US"/>
              </w:rPr>
              <w:t>力</w:t>
            </w:r>
            <w:r>
              <w:rPr>
                <w:rFonts w:hint="eastAsia" w:hAnsi="宋体"/>
                <w:w w:val="95"/>
                <w:highlight w:val="none"/>
                <w:lang w:eastAsia="en-US"/>
              </w:rPr>
              <w:t>8</w:t>
            </w:r>
            <w:r>
              <w:rPr>
                <w:rFonts w:hAnsi="宋体"/>
                <w:spacing w:val="-2"/>
                <w:w w:val="95"/>
                <w:highlight w:val="none"/>
                <w:lang w:eastAsia="en-US"/>
              </w:rPr>
              <w:t>~</w:t>
            </w:r>
            <w:r>
              <w:rPr>
                <w:rFonts w:hint="eastAsia" w:hAnsi="宋体"/>
                <w:w w:val="95"/>
                <w:highlight w:val="none"/>
                <w:lang w:eastAsia="en-US"/>
              </w:rPr>
              <w:t>16</w:t>
            </w:r>
            <w:r>
              <w:rPr>
                <w:rFonts w:hAnsi="宋体"/>
                <w:spacing w:val="-2"/>
                <w:w w:val="95"/>
                <w:highlight w:val="none"/>
                <w:lang w:eastAsia="en-US"/>
              </w:rPr>
              <w:t>t</w:t>
            </w:r>
            <w:r>
              <w:rPr>
                <w:rFonts w:hAnsi="宋体"/>
                <w:w w:val="95"/>
                <w:highlight w:val="none"/>
                <w:lang w:eastAsia="en-US"/>
              </w:rPr>
              <w:t>/h</w:t>
            </w:r>
          </w:p>
        </w:tc>
        <w:tc>
          <w:tcPr>
            <w:tcW w:w="989" w:type="dxa"/>
            <w:vAlign w:val="center"/>
          </w:tcPr>
          <w:p>
            <w:pPr>
              <w:pStyle w:val="234"/>
              <w:rPr>
                <w:rFonts w:hAnsi="宋体"/>
                <w:highlight w:val="none"/>
                <w:lang w:eastAsia="en-US"/>
              </w:rPr>
            </w:pPr>
            <w:r>
              <w:rPr>
                <w:rFonts w:hint="eastAsia"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7</w:t>
            </w:r>
          </w:p>
        </w:tc>
        <w:tc>
          <w:tcPr>
            <w:tcW w:w="2287" w:type="dxa"/>
            <w:vAlign w:val="center"/>
          </w:tcPr>
          <w:p>
            <w:pPr>
              <w:pStyle w:val="234"/>
              <w:rPr>
                <w:rFonts w:hAnsi="宋体"/>
                <w:highlight w:val="none"/>
                <w:lang w:eastAsia="en-US"/>
              </w:rPr>
            </w:pPr>
            <w:r>
              <w:rPr>
                <w:rFonts w:hAnsi="宋体"/>
                <w:spacing w:val="-1"/>
                <w:highlight w:val="none"/>
                <w:lang w:eastAsia="en-US"/>
              </w:rPr>
              <w:t>分</w:t>
            </w:r>
            <w:r>
              <w:rPr>
                <w:rFonts w:hAnsi="宋体"/>
                <w:spacing w:val="2"/>
                <w:highlight w:val="none"/>
                <w:lang w:eastAsia="en-US"/>
              </w:rPr>
              <w:t>级</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1"/>
                <w:highlight w:val="none"/>
                <w:lang w:eastAsia="en-US"/>
              </w:rPr>
              <w:t>SSL</w:t>
            </w:r>
            <w:r>
              <w:rPr>
                <w:rFonts w:hAnsi="宋体"/>
                <w:spacing w:val="-2"/>
                <w:highlight w:val="none"/>
                <w:lang w:eastAsia="en-US"/>
              </w:rPr>
              <w:t>1</w:t>
            </w:r>
            <w:r>
              <w:rPr>
                <w:rFonts w:hAnsi="宋体"/>
                <w:spacing w:val="1"/>
                <w:highlight w:val="none"/>
                <w:lang w:eastAsia="en-US"/>
              </w:rPr>
              <w:t>000</w:t>
            </w:r>
            <w:r>
              <w:rPr>
                <w:rFonts w:hAnsi="宋体"/>
                <w:spacing w:val="-2"/>
                <w:highlight w:val="none"/>
                <w:lang w:eastAsia="en-US"/>
              </w:rPr>
              <w:t>X</w:t>
            </w:r>
            <w:r>
              <w:rPr>
                <w:rFonts w:hAnsi="宋体"/>
                <w:spacing w:val="1"/>
                <w:highlight w:val="none"/>
                <w:lang w:eastAsia="en-US"/>
              </w:rPr>
              <w:t>120</w:t>
            </w:r>
            <w:r>
              <w:rPr>
                <w:rFonts w:hAnsi="宋体"/>
                <w:spacing w:val="-2"/>
                <w:highlight w:val="none"/>
                <w:lang w:eastAsia="en-US"/>
              </w:rPr>
              <w:t>0</w:t>
            </w:r>
            <w:r>
              <w:rPr>
                <w:rFonts w:hAnsi="宋体"/>
                <w:highlight w:val="none"/>
                <w:lang w:eastAsia="en-US"/>
              </w:rPr>
              <w:t>0</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8</w:t>
            </w:r>
          </w:p>
        </w:tc>
        <w:tc>
          <w:tcPr>
            <w:tcW w:w="2287" w:type="dxa"/>
            <w:vAlign w:val="center"/>
          </w:tcPr>
          <w:p>
            <w:pPr>
              <w:pStyle w:val="234"/>
              <w:rPr>
                <w:rFonts w:hAnsi="宋体"/>
                <w:highlight w:val="none"/>
                <w:lang w:eastAsia="en-US"/>
              </w:rPr>
            </w:pPr>
            <w:r>
              <w:rPr>
                <w:rFonts w:hAnsi="宋体"/>
                <w:spacing w:val="-1"/>
                <w:highlight w:val="none"/>
                <w:lang w:eastAsia="en-US"/>
              </w:rPr>
              <w:t>磁</w:t>
            </w:r>
            <w:r>
              <w:rPr>
                <w:rFonts w:hAnsi="宋体"/>
                <w:spacing w:val="2"/>
                <w:highlight w:val="none"/>
                <w:lang w:eastAsia="en-US"/>
              </w:rPr>
              <w:t>选</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2"/>
                <w:highlight w:val="none"/>
                <w:lang w:eastAsia="en-US"/>
              </w:rPr>
              <w:t>Φ</w:t>
            </w:r>
            <w:r>
              <w:rPr>
                <w:rFonts w:hint="eastAsia" w:hAnsi="宋体"/>
                <w:spacing w:val="2"/>
                <w:highlight w:val="none"/>
                <w:lang w:eastAsia="en-US"/>
              </w:rPr>
              <w:t>900</w:t>
            </w:r>
            <w:r>
              <w:rPr>
                <w:rFonts w:hint="eastAsia" w:hAnsi="宋体"/>
                <w:spacing w:val="1"/>
                <w:highlight w:val="none"/>
                <w:lang w:eastAsia="en-US"/>
              </w:rPr>
              <w:t>×</w:t>
            </w:r>
            <w:r>
              <w:rPr>
                <w:rFonts w:hint="eastAsia" w:hAnsi="宋体"/>
                <w:spacing w:val="-2"/>
                <w:highlight w:val="none"/>
                <w:lang w:eastAsia="en-US"/>
              </w:rPr>
              <w:t>120</w:t>
            </w:r>
            <w:r>
              <w:rPr>
                <w:rFonts w:hAnsi="宋体"/>
                <w:spacing w:val="1"/>
                <w:highlight w:val="none"/>
                <w:lang w:eastAsia="en-US"/>
              </w:rPr>
              <w:t>0</w:t>
            </w:r>
          </w:p>
        </w:tc>
        <w:tc>
          <w:tcPr>
            <w:tcW w:w="989" w:type="dxa"/>
            <w:vAlign w:val="center"/>
          </w:tcPr>
          <w:p>
            <w:pPr>
              <w:pStyle w:val="234"/>
              <w:rPr>
                <w:rFonts w:hAnsi="宋体"/>
                <w:highlight w:val="none"/>
                <w:lang w:eastAsia="en-US"/>
              </w:rPr>
            </w:pPr>
            <w:r>
              <w:rPr>
                <w:rFonts w:hint="eastAsia" w:hAnsi="宋体"/>
                <w:highlight w:val="none"/>
                <w:lang w:eastAsia="en-US"/>
              </w:rPr>
              <w:t>3</w:t>
            </w:r>
          </w:p>
        </w:tc>
        <w:tc>
          <w:tcPr>
            <w:tcW w:w="1153" w:type="dxa"/>
            <w:vAlign w:val="center"/>
          </w:tcPr>
          <w:p>
            <w:pPr>
              <w:pStyle w:val="234"/>
              <w:rPr>
                <w:rFonts w:hAnsi="Calibri"/>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9</w:t>
            </w:r>
          </w:p>
        </w:tc>
        <w:tc>
          <w:tcPr>
            <w:tcW w:w="2287" w:type="dxa"/>
            <w:vAlign w:val="center"/>
          </w:tcPr>
          <w:p>
            <w:pPr>
              <w:pStyle w:val="234"/>
              <w:rPr>
                <w:rFonts w:hAnsi="宋体"/>
                <w:highlight w:val="none"/>
                <w:lang w:eastAsia="en-US"/>
              </w:rPr>
            </w:pPr>
            <w:r>
              <w:rPr>
                <w:rFonts w:hint="eastAsia" w:hAnsi="宋体"/>
                <w:spacing w:val="-1"/>
                <w:highlight w:val="none"/>
                <w:lang w:eastAsia="en-US"/>
              </w:rPr>
              <w:t>脱水</w:t>
            </w:r>
            <w:r>
              <w:rPr>
                <w:rFonts w:hAnsi="宋体"/>
                <w:spacing w:val="-1"/>
                <w:highlight w:val="none"/>
                <w:lang w:eastAsia="en-US"/>
              </w:rPr>
              <w:t>磁</w:t>
            </w:r>
            <w:r>
              <w:rPr>
                <w:rFonts w:hAnsi="宋体"/>
                <w:spacing w:val="2"/>
                <w:highlight w:val="none"/>
                <w:lang w:eastAsia="en-US"/>
              </w:rPr>
              <w:t>选</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2"/>
                <w:highlight w:val="none"/>
                <w:lang w:eastAsia="en-US"/>
              </w:rPr>
              <w:t>Φ</w:t>
            </w:r>
            <w:r>
              <w:rPr>
                <w:rFonts w:hint="eastAsia" w:hAnsi="宋体"/>
                <w:spacing w:val="2"/>
                <w:highlight w:val="none"/>
                <w:lang w:eastAsia="en-US"/>
              </w:rPr>
              <w:t>1200</w:t>
            </w:r>
            <w:r>
              <w:rPr>
                <w:rFonts w:hint="eastAsia" w:hAnsi="宋体"/>
                <w:spacing w:val="1"/>
                <w:highlight w:val="none"/>
                <w:lang w:eastAsia="en-US"/>
              </w:rPr>
              <w:t>×</w:t>
            </w:r>
            <w:r>
              <w:rPr>
                <w:rFonts w:hint="eastAsia" w:hAnsi="宋体"/>
                <w:spacing w:val="-2"/>
                <w:highlight w:val="none"/>
                <w:lang w:eastAsia="en-US"/>
              </w:rPr>
              <w:t>200</w:t>
            </w:r>
            <w:r>
              <w:rPr>
                <w:rFonts w:hAnsi="宋体"/>
                <w:spacing w:val="1"/>
                <w:highlight w:val="none"/>
                <w:lang w:eastAsia="en-US"/>
              </w:rPr>
              <w:t>0</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宋体"/>
                <w:highlight w:val="none"/>
                <w:lang w:eastAsia="en-US"/>
              </w:rPr>
            </w:pPr>
            <w:r>
              <w:rPr>
                <w:rFonts w:hAnsi="宋体"/>
                <w:spacing w:val="-1"/>
                <w:highlight w:val="none"/>
                <w:lang w:eastAsia="en-US"/>
              </w:rPr>
              <w:t>浓</w:t>
            </w:r>
            <w:r>
              <w:rPr>
                <w:rFonts w:hAnsi="宋体"/>
                <w:spacing w:val="2"/>
                <w:highlight w:val="none"/>
                <w:lang w:eastAsia="en-US"/>
              </w:rPr>
              <w:t>缩</w:t>
            </w:r>
            <w:r>
              <w:rPr>
                <w:rFonts w:hAnsi="宋体"/>
                <w:spacing w:val="-1"/>
                <w:highlight w:val="none"/>
                <w:lang w:eastAsia="en-US"/>
              </w:rPr>
              <w:t>磁</w:t>
            </w:r>
            <w:r>
              <w:rPr>
                <w:rFonts w:hAnsi="宋体"/>
                <w:highlight w:val="none"/>
                <w:lang w:eastAsia="en-US"/>
              </w:rPr>
              <w:t>选、</w:t>
            </w: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46" w:type="dxa"/>
            <w:vAlign w:val="center"/>
          </w:tcPr>
          <w:p>
            <w:pPr>
              <w:pStyle w:val="234"/>
              <w:rPr>
                <w:rFonts w:hAnsi="宋体"/>
                <w:highlight w:val="none"/>
                <w:lang w:eastAsia="en-US"/>
              </w:rPr>
            </w:pPr>
            <w:r>
              <w:rPr>
                <w:rFonts w:hAnsi="宋体"/>
                <w:spacing w:val="1"/>
                <w:highlight w:val="none"/>
                <w:lang w:eastAsia="en-US"/>
              </w:rPr>
              <w:t>1</w:t>
            </w:r>
            <w:r>
              <w:rPr>
                <w:rFonts w:hAnsi="宋体"/>
                <w:highlight w:val="none"/>
                <w:lang w:eastAsia="en-US"/>
              </w:rPr>
              <w:t>0</w:t>
            </w:r>
          </w:p>
        </w:tc>
        <w:tc>
          <w:tcPr>
            <w:tcW w:w="2287" w:type="dxa"/>
            <w:vAlign w:val="center"/>
          </w:tcPr>
          <w:p>
            <w:pPr>
              <w:pStyle w:val="234"/>
              <w:rPr>
                <w:rFonts w:hAnsi="宋体"/>
                <w:highlight w:val="none"/>
                <w:lang w:eastAsia="en-US"/>
              </w:rPr>
            </w:pPr>
            <w:r>
              <w:rPr>
                <w:rFonts w:hint="eastAsia" w:hAnsi="宋体"/>
                <w:spacing w:val="-1"/>
                <w:highlight w:val="none"/>
                <w:lang w:eastAsia="en-US"/>
              </w:rPr>
              <w:t>尾矿回收</w:t>
            </w:r>
            <w:r>
              <w:rPr>
                <w:rFonts w:hAnsi="宋体"/>
                <w:spacing w:val="-1"/>
                <w:highlight w:val="none"/>
                <w:lang w:eastAsia="en-US"/>
              </w:rPr>
              <w:t>磁</w:t>
            </w:r>
            <w:r>
              <w:rPr>
                <w:rFonts w:hAnsi="宋体"/>
                <w:spacing w:val="2"/>
                <w:highlight w:val="none"/>
                <w:lang w:eastAsia="en-US"/>
              </w:rPr>
              <w:t>选</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2"/>
                <w:highlight w:val="none"/>
                <w:lang w:eastAsia="en-US"/>
              </w:rPr>
              <w:t>Φ</w:t>
            </w:r>
            <w:r>
              <w:rPr>
                <w:rFonts w:hint="eastAsia" w:hAnsi="宋体"/>
                <w:spacing w:val="2"/>
                <w:highlight w:val="none"/>
                <w:lang w:eastAsia="en-US"/>
              </w:rPr>
              <w:t>1200</w:t>
            </w:r>
            <w:r>
              <w:rPr>
                <w:rFonts w:hint="eastAsia" w:hAnsi="宋体"/>
                <w:spacing w:val="1"/>
                <w:highlight w:val="none"/>
                <w:lang w:eastAsia="en-US"/>
              </w:rPr>
              <w:t>×</w:t>
            </w:r>
            <w:r>
              <w:rPr>
                <w:rFonts w:hint="eastAsia" w:hAnsi="宋体"/>
                <w:spacing w:val="-2"/>
                <w:highlight w:val="none"/>
                <w:lang w:eastAsia="en-US"/>
              </w:rPr>
              <w:t>300</w:t>
            </w:r>
            <w:r>
              <w:rPr>
                <w:rFonts w:hAnsi="宋体"/>
                <w:spacing w:val="1"/>
                <w:highlight w:val="none"/>
                <w:lang w:eastAsia="en-US"/>
              </w:rPr>
              <w:t>0</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宋体"/>
                <w:highlight w:val="none"/>
                <w:lang w:eastAsia="en-US"/>
              </w:rPr>
            </w:pPr>
            <w:r>
              <w:rPr>
                <w:rFonts w:hAnsi="宋体"/>
                <w:spacing w:val="-1"/>
                <w:highlight w:val="none"/>
                <w:lang w:eastAsia="en-US"/>
              </w:rPr>
              <w:t>强</w:t>
            </w:r>
            <w:r>
              <w:rPr>
                <w:rFonts w:hAnsi="宋体"/>
                <w:highlight w:val="none"/>
                <w:lang w:eastAsia="en-US"/>
              </w:rPr>
              <w:t>磁、</w:t>
            </w: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spacing w:val="1"/>
                <w:highlight w:val="none"/>
                <w:lang w:eastAsia="en-US"/>
              </w:rPr>
              <w:t>1</w:t>
            </w:r>
            <w:r>
              <w:rPr>
                <w:rFonts w:hAnsi="宋体"/>
                <w:highlight w:val="none"/>
                <w:lang w:eastAsia="en-US"/>
              </w:rPr>
              <w:t>1</w:t>
            </w:r>
          </w:p>
        </w:tc>
        <w:tc>
          <w:tcPr>
            <w:tcW w:w="2287" w:type="dxa"/>
            <w:vAlign w:val="center"/>
          </w:tcPr>
          <w:p>
            <w:pPr>
              <w:pStyle w:val="234"/>
              <w:rPr>
                <w:rFonts w:hAnsi="宋体"/>
                <w:highlight w:val="none"/>
                <w:lang w:eastAsia="en-US"/>
              </w:rPr>
            </w:pPr>
            <w:r>
              <w:rPr>
                <w:rFonts w:hAnsi="宋体"/>
                <w:spacing w:val="-1"/>
                <w:highlight w:val="none"/>
                <w:lang w:eastAsia="en-US"/>
              </w:rPr>
              <w:t>高</w:t>
            </w:r>
            <w:r>
              <w:rPr>
                <w:rFonts w:hAnsi="宋体"/>
                <w:spacing w:val="2"/>
                <w:highlight w:val="none"/>
                <w:lang w:eastAsia="en-US"/>
              </w:rPr>
              <w:t>频</w:t>
            </w:r>
            <w:r>
              <w:rPr>
                <w:rFonts w:hAnsi="宋体"/>
                <w:highlight w:val="none"/>
                <w:lang w:eastAsia="en-US"/>
              </w:rPr>
              <w:t>筛</w:t>
            </w:r>
          </w:p>
        </w:tc>
        <w:tc>
          <w:tcPr>
            <w:tcW w:w="3175" w:type="dxa"/>
            <w:vAlign w:val="center"/>
          </w:tcPr>
          <w:p>
            <w:pPr>
              <w:pStyle w:val="234"/>
              <w:rPr>
                <w:rFonts w:hAnsi="宋体"/>
                <w:highlight w:val="none"/>
                <w:lang w:eastAsia="en-US"/>
              </w:rPr>
            </w:pPr>
            <w:r>
              <w:rPr>
                <w:rFonts w:hint="eastAsia" w:hAnsi="宋体"/>
                <w:spacing w:val="2"/>
                <w:highlight w:val="none"/>
                <w:lang w:eastAsia="en-US"/>
              </w:rPr>
              <w:t>1000</w:t>
            </w:r>
            <w:r>
              <w:rPr>
                <w:rFonts w:hint="eastAsia" w:hAnsi="宋体"/>
                <w:spacing w:val="1"/>
                <w:highlight w:val="none"/>
                <w:lang w:eastAsia="en-US"/>
              </w:rPr>
              <w:t>×</w:t>
            </w:r>
            <w:r>
              <w:rPr>
                <w:rFonts w:hint="eastAsia" w:hAnsi="宋体"/>
                <w:spacing w:val="-2"/>
                <w:highlight w:val="none"/>
                <w:lang w:eastAsia="en-US"/>
              </w:rPr>
              <w:t>2700</w:t>
            </w:r>
          </w:p>
        </w:tc>
        <w:tc>
          <w:tcPr>
            <w:tcW w:w="989" w:type="dxa"/>
            <w:vAlign w:val="center"/>
          </w:tcPr>
          <w:p>
            <w:pPr>
              <w:pStyle w:val="234"/>
              <w:rPr>
                <w:rFonts w:hAnsi="宋体"/>
                <w:highlight w:val="none"/>
                <w:lang w:eastAsia="en-US"/>
              </w:rPr>
            </w:pPr>
            <w:r>
              <w:rPr>
                <w:rFonts w:hint="eastAsia" w:hAnsi="宋体"/>
                <w:highlight w:val="none"/>
                <w:lang w:eastAsia="en-US"/>
              </w:rPr>
              <w:t>5</w:t>
            </w:r>
          </w:p>
        </w:tc>
        <w:tc>
          <w:tcPr>
            <w:tcW w:w="1153" w:type="dxa"/>
            <w:vAlign w:val="center"/>
          </w:tcPr>
          <w:p>
            <w:pPr>
              <w:pStyle w:val="234"/>
              <w:rPr>
                <w:rFonts w:hAnsi="宋体"/>
                <w:sz w:val="22"/>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spacing w:val="1"/>
                <w:highlight w:val="none"/>
                <w:lang w:eastAsia="en-US"/>
              </w:rPr>
            </w:pPr>
            <w:r>
              <w:rPr>
                <w:rFonts w:hAnsi="宋体"/>
                <w:spacing w:val="1"/>
                <w:highlight w:val="none"/>
                <w:lang w:eastAsia="en-US"/>
              </w:rPr>
              <w:t>1</w:t>
            </w:r>
            <w:r>
              <w:rPr>
                <w:rFonts w:hAnsi="宋体"/>
                <w:highlight w:val="none"/>
                <w:lang w:eastAsia="en-US"/>
              </w:rPr>
              <w:t>2</w:t>
            </w:r>
          </w:p>
        </w:tc>
        <w:tc>
          <w:tcPr>
            <w:tcW w:w="2287" w:type="dxa"/>
            <w:vAlign w:val="center"/>
          </w:tcPr>
          <w:p>
            <w:pPr>
              <w:pStyle w:val="234"/>
              <w:rPr>
                <w:rFonts w:hAnsi="宋体"/>
                <w:spacing w:val="-1"/>
                <w:highlight w:val="none"/>
                <w:lang w:eastAsia="en-US"/>
              </w:rPr>
            </w:pPr>
            <w:r>
              <w:rPr>
                <w:rFonts w:hint="eastAsia" w:hAnsi="宋体"/>
                <w:spacing w:val="-1"/>
                <w:highlight w:val="none"/>
                <w:lang w:eastAsia="en-US"/>
              </w:rPr>
              <w:t>溢流</w:t>
            </w:r>
            <w:r>
              <w:rPr>
                <w:rFonts w:hAnsi="宋体"/>
                <w:spacing w:val="-1"/>
                <w:highlight w:val="none"/>
                <w:lang w:eastAsia="en-US"/>
              </w:rPr>
              <w:t>球</w:t>
            </w:r>
            <w:r>
              <w:rPr>
                <w:rFonts w:hAnsi="宋体"/>
                <w:spacing w:val="2"/>
                <w:highlight w:val="none"/>
                <w:lang w:eastAsia="en-US"/>
              </w:rPr>
              <w:t>磨</w:t>
            </w:r>
            <w:r>
              <w:rPr>
                <w:rFonts w:hAnsi="宋体"/>
                <w:highlight w:val="none"/>
                <w:lang w:eastAsia="en-US"/>
              </w:rPr>
              <w:t>机</w:t>
            </w:r>
          </w:p>
        </w:tc>
        <w:tc>
          <w:tcPr>
            <w:tcW w:w="3175" w:type="dxa"/>
            <w:vAlign w:val="center"/>
          </w:tcPr>
          <w:p>
            <w:pPr>
              <w:pStyle w:val="234"/>
              <w:rPr>
                <w:rFonts w:hAnsi="宋体"/>
                <w:spacing w:val="1"/>
                <w:highlight w:val="none"/>
                <w:lang w:eastAsia="en-US"/>
              </w:rPr>
            </w:pPr>
            <w:r>
              <w:rPr>
                <w:rFonts w:hAnsi="宋体"/>
                <w:spacing w:val="1"/>
                <w:highlight w:val="none"/>
                <w:lang w:eastAsia="en-US"/>
              </w:rPr>
              <w:t>MQ</w:t>
            </w:r>
            <w:r>
              <w:rPr>
                <w:rFonts w:hint="eastAsia" w:hAnsi="宋体"/>
                <w:spacing w:val="1"/>
                <w:highlight w:val="none"/>
                <w:lang w:eastAsia="en-US"/>
              </w:rPr>
              <w:t>2700</w:t>
            </w:r>
            <w:r>
              <w:rPr>
                <w:rFonts w:hAnsi="宋体"/>
                <w:spacing w:val="1"/>
                <w:highlight w:val="none"/>
                <w:lang w:eastAsia="en-US"/>
              </w:rPr>
              <w:t>×</w:t>
            </w:r>
            <w:r>
              <w:rPr>
                <w:rFonts w:hint="eastAsia" w:hAnsi="宋体"/>
                <w:spacing w:val="1"/>
                <w:highlight w:val="none"/>
                <w:lang w:eastAsia="en-US"/>
              </w:rPr>
              <w:t>70</w:t>
            </w:r>
            <w:r>
              <w:rPr>
                <w:rFonts w:hAnsi="宋体"/>
                <w:spacing w:val="1"/>
                <w:highlight w:val="none"/>
                <w:lang w:eastAsia="en-US"/>
              </w:rPr>
              <w:t>00</w:t>
            </w:r>
          </w:p>
        </w:tc>
        <w:tc>
          <w:tcPr>
            <w:tcW w:w="989" w:type="dxa"/>
            <w:vAlign w:val="center"/>
          </w:tcPr>
          <w:p>
            <w:pPr>
              <w:pStyle w:val="234"/>
              <w:rPr>
                <w:rFonts w:hAnsi="宋体"/>
                <w:highlight w:val="none"/>
                <w:lang w:eastAsia="en-US"/>
              </w:rPr>
            </w:pPr>
            <w:r>
              <w:rPr>
                <w:rFonts w:hint="eastAsia" w:hAnsi="宋体"/>
                <w:highlight w:val="none"/>
                <w:lang w:eastAsia="en-US"/>
              </w:rPr>
              <w:t>1</w:t>
            </w:r>
          </w:p>
        </w:tc>
        <w:tc>
          <w:tcPr>
            <w:tcW w:w="1153" w:type="dxa"/>
            <w:vAlign w:val="center"/>
          </w:tcPr>
          <w:p>
            <w:pPr>
              <w:pStyle w:val="234"/>
              <w:rPr>
                <w:rFonts w:hAnsi="宋体"/>
                <w:sz w:val="22"/>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spacing w:val="1"/>
                <w:highlight w:val="none"/>
                <w:lang w:eastAsia="en-US"/>
              </w:rPr>
            </w:pPr>
            <w:r>
              <w:rPr>
                <w:rFonts w:hint="eastAsia" w:hAnsi="宋体"/>
                <w:highlight w:val="none"/>
                <w:lang w:eastAsia="en-US"/>
              </w:rPr>
              <w:t>13</w:t>
            </w:r>
          </w:p>
        </w:tc>
        <w:tc>
          <w:tcPr>
            <w:tcW w:w="2287" w:type="dxa"/>
            <w:vAlign w:val="center"/>
          </w:tcPr>
          <w:p>
            <w:pPr>
              <w:pStyle w:val="234"/>
              <w:rPr>
                <w:rFonts w:hAnsi="宋体"/>
                <w:spacing w:val="-1"/>
                <w:highlight w:val="none"/>
                <w:lang w:eastAsia="zh-CN"/>
              </w:rPr>
            </w:pPr>
            <w:r>
              <w:rPr>
                <w:rFonts w:hint="eastAsia" w:hAnsi="宋体"/>
                <w:spacing w:val="-1"/>
                <w:highlight w:val="none"/>
                <w:lang w:eastAsia="zh-CN"/>
              </w:rPr>
              <w:t>品位提升器（磁选柱）</w:t>
            </w:r>
          </w:p>
        </w:tc>
        <w:tc>
          <w:tcPr>
            <w:tcW w:w="3175" w:type="dxa"/>
            <w:vAlign w:val="center"/>
          </w:tcPr>
          <w:p>
            <w:pPr>
              <w:pStyle w:val="234"/>
              <w:rPr>
                <w:rFonts w:hAnsi="宋体"/>
                <w:spacing w:val="1"/>
                <w:highlight w:val="none"/>
                <w:lang w:eastAsia="en-US"/>
              </w:rPr>
            </w:pPr>
            <w:r>
              <w:rPr>
                <w:rFonts w:hint="eastAsia" w:hAnsi="宋体"/>
                <w:spacing w:val="1"/>
                <w:highlight w:val="none"/>
                <w:lang w:eastAsia="en-US"/>
              </w:rPr>
              <w:t>/</w:t>
            </w:r>
          </w:p>
        </w:tc>
        <w:tc>
          <w:tcPr>
            <w:tcW w:w="989" w:type="dxa"/>
            <w:vAlign w:val="center"/>
          </w:tcPr>
          <w:p>
            <w:pPr>
              <w:pStyle w:val="234"/>
              <w:rPr>
                <w:rFonts w:hAnsi="宋体"/>
                <w:highlight w:val="none"/>
                <w:lang w:eastAsia="en-US"/>
              </w:rPr>
            </w:pPr>
            <w:r>
              <w:rPr>
                <w:rFonts w:hint="eastAsia" w:hAnsi="宋体"/>
                <w:highlight w:val="none"/>
                <w:lang w:eastAsia="en-US"/>
              </w:rPr>
              <w:t>1</w:t>
            </w:r>
          </w:p>
        </w:tc>
        <w:tc>
          <w:tcPr>
            <w:tcW w:w="1153" w:type="dxa"/>
            <w:vAlign w:val="center"/>
          </w:tcPr>
          <w:p>
            <w:pPr>
              <w:pStyle w:val="234"/>
              <w:rPr>
                <w:rFonts w:hAnsi="宋体"/>
                <w:sz w:val="22"/>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46" w:type="dxa"/>
            <w:vAlign w:val="center"/>
          </w:tcPr>
          <w:p>
            <w:pPr>
              <w:pStyle w:val="234"/>
              <w:rPr>
                <w:rFonts w:hAnsi="宋体"/>
                <w:highlight w:val="none"/>
                <w:lang w:eastAsia="en-US"/>
              </w:rPr>
            </w:pPr>
            <w:r>
              <w:rPr>
                <w:rFonts w:hint="eastAsia" w:hAnsi="宋体"/>
                <w:highlight w:val="none"/>
                <w:lang w:eastAsia="en-US"/>
              </w:rPr>
              <w:t>14</w:t>
            </w:r>
          </w:p>
        </w:tc>
        <w:tc>
          <w:tcPr>
            <w:tcW w:w="2287" w:type="dxa"/>
            <w:vAlign w:val="center"/>
          </w:tcPr>
          <w:p>
            <w:pPr>
              <w:pStyle w:val="234"/>
              <w:rPr>
                <w:rFonts w:hAnsi="宋体"/>
                <w:highlight w:val="none"/>
                <w:lang w:eastAsia="en-US"/>
              </w:rPr>
            </w:pPr>
            <w:r>
              <w:rPr>
                <w:rFonts w:hAnsi="宋体"/>
                <w:spacing w:val="-1"/>
                <w:highlight w:val="none"/>
                <w:lang w:eastAsia="en-US"/>
              </w:rPr>
              <w:t>甩</w:t>
            </w:r>
            <w:r>
              <w:rPr>
                <w:rFonts w:hAnsi="宋体"/>
                <w:spacing w:val="2"/>
                <w:highlight w:val="none"/>
                <w:lang w:eastAsia="en-US"/>
              </w:rPr>
              <w:t>干</w:t>
            </w:r>
            <w:r>
              <w:rPr>
                <w:rFonts w:hAnsi="宋体"/>
                <w:spacing w:val="-1"/>
                <w:highlight w:val="none"/>
                <w:lang w:eastAsia="en-US"/>
              </w:rPr>
              <w:t>脱</w:t>
            </w:r>
            <w:r>
              <w:rPr>
                <w:rFonts w:hAnsi="宋体"/>
                <w:spacing w:val="2"/>
                <w:highlight w:val="none"/>
                <w:lang w:eastAsia="en-US"/>
              </w:rPr>
              <w:t>水</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1"/>
                <w:highlight w:val="none"/>
                <w:lang w:eastAsia="en-US"/>
              </w:rPr>
              <w:t>GP</w:t>
            </w:r>
            <w:r>
              <w:rPr>
                <w:rFonts w:hAnsi="宋体"/>
                <w:spacing w:val="-2"/>
                <w:highlight w:val="none"/>
                <w:lang w:eastAsia="en-US"/>
              </w:rPr>
              <w:t>T</w:t>
            </w:r>
            <w:r>
              <w:rPr>
                <w:rFonts w:hint="eastAsia" w:hAnsi="宋体"/>
                <w:spacing w:val="-1"/>
                <w:highlight w:val="none"/>
                <w:lang w:eastAsia="en-US"/>
              </w:rPr>
              <w:t>-</w:t>
            </w:r>
            <w:r>
              <w:rPr>
                <w:rFonts w:hAnsi="宋体"/>
                <w:spacing w:val="1"/>
                <w:highlight w:val="none"/>
                <w:lang w:eastAsia="en-US"/>
              </w:rPr>
              <w:t>8</w:t>
            </w:r>
            <w:r>
              <w:rPr>
                <w:rFonts w:hAnsi="宋体"/>
                <w:highlight w:val="none"/>
                <w:lang w:eastAsia="en-US"/>
              </w:rPr>
              <w:t>4</w:t>
            </w:r>
          </w:p>
        </w:tc>
        <w:tc>
          <w:tcPr>
            <w:tcW w:w="989" w:type="dxa"/>
            <w:vAlign w:val="center"/>
          </w:tcPr>
          <w:p>
            <w:pPr>
              <w:pStyle w:val="234"/>
              <w:rPr>
                <w:rFonts w:hAnsi="宋体"/>
                <w:highlight w:val="none"/>
                <w:lang w:eastAsia="en-US"/>
              </w:rPr>
            </w:pPr>
            <w:r>
              <w:rPr>
                <w:rFonts w:hAnsi="宋体"/>
                <w:highlight w:val="none"/>
                <w:lang w:eastAsia="en-US"/>
              </w:rPr>
              <w:t>2</w:t>
            </w:r>
          </w:p>
        </w:tc>
        <w:tc>
          <w:tcPr>
            <w:tcW w:w="1153" w:type="dxa"/>
            <w:vAlign w:val="center"/>
          </w:tcPr>
          <w:p>
            <w:pPr>
              <w:pStyle w:val="234"/>
              <w:rPr>
                <w:rFonts w:hAnsi="宋体"/>
                <w:sz w:val="22"/>
                <w:highlight w:val="none"/>
                <w:lang w:eastAsia="en-US"/>
              </w:rPr>
            </w:pPr>
            <w:r>
              <w:rPr>
                <w:rFonts w:hAnsi="Calibri"/>
                <w:highlight w:val="none"/>
                <w:lang w:eastAsia="en-US"/>
              </w:rPr>
              <w:t>已建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Ansi="宋体"/>
                <w:highlight w:val="none"/>
                <w:lang w:eastAsia="en-US"/>
              </w:rPr>
              <w:t>三</w:t>
            </w:r>
          </w:p>
        </w:tc>
        <w:tc>
          <w:tcPr>
            <w:tcW w:w="7604" w:type="dxa"/>
            <w:gridSpan w:val="4"/>
            <w:vAlign w:val="center"/>
          </w:tcPr>
          <w:p>
            <w:pPr>
              <w:pStyle w:val="234"/>
              <w:rPr>
                <w:rFonts w:hAnsi="宋体"/>
                <w:highlight w:val="none"/>
                <w:lang w:eastAsia="en-US"/>
              </w:rPr>
            </w:pPr>
            <w:r>
              <w:rPr>
                <w:rFonts w:hAnsi="宋体"/>
                <w:spacing w:val="-1"/>
                <w:highlight w:val="none"/>
                <w:lang w:eastAsia="en-US"/>
              </w:rPr>
              <w:t>浓</w:t>
            </w:r>
            <w:r>
              <w:rPr>
                <w:rFonts w:hAnsi="宋体"/>
                <w:spacing w:val="2"/>
                <w:highlight w:val="none"/>
                <w:lang w:eastAsia="en-US"/>
              </w:rPr>
              <w:t>缩</w:t>
            </w:r>
            <w:r>
              <w:rPr>
                <w:rFonts w:hAnsi="宋体"/>
                <w:spacing w:val="-1"/>
                <w:highlight w:val="none"/>
                <w:lang w:eastAsia="en-US"/>
              </w:rPr>
              <w:t>压</w:t>
            </w:r>
            <w:r>
              <w:rPr>
                <w:rFonts w:hAnsi="宋体"/>
                <w:spacing w:val="2"/>
                <w:highlight w:val="none"/>
                <w:lang w:eastAsia="en-US"/>
              </w:rPr>
              <w:t>滤</w:t>
            </w:r>
            <w:r>
              <w:rPr>
                <w:rFonts w:hAnsi="宋体"/>
                <w:spacing w:val="-1"/>
                <w:highlight w:val="none"/>
                <w:lang w:eastAsia="en-US"/>
              </w:rPr>
              <w:t>系</w:t>
            </w:r>
            <w:r>
              <w:rPr>
                <w:rFonts w:hAnsi="宋体"/>
                <w:highlight w:val="none"/>
                <w:lang w:eastAsia="en-US"/>
              </w:rPr>
              <w:t>统</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int="eastAsia" w:hAnsi="宋体"/>
                <w:spacing w:val="1"/>
                <w:highlight w:val="none"/>
                <w:lang w:eastAsia="en-US"/>
              </w:rPr>
              <w:t>15</w:t>
            </w:r>
          </w:p>
        </w:tc>
        <w:tc>
          <w:tcPr>
            <w:tcW w:w="2287" w:type="dxa"/>
            <w:vAlign w:val="center"/>
          </w:tcPr>
          <w:p>
            <w:pPr>
              <w:pStyle w:val="234"/>
              <w:rPr>
                <w:rFonts w:hAnsi="宋体"/>
                <w:highlight w:val="none"/>
                <w:lang w:eastAsia="en-US"/>
              </w:rPr>
            </w:pPr>
            <w:r>
              <w:rPr>
                <w:rFonts w:hAnsi="宋体"/>
                <w:spacing w:val="-1"/>
                <w:highlight w:val="none"/>
                <w:lang w:eastAsia="en-US"/>
              </w:rPr>
              <w:t>捞</w:t>
            </w:r>
            <w:r>
              <w:rPr>
                <w:rFonts w:hAnsi="宋体"/>
                <w:spacing w:val="2"/>
                <w:highlight w:val="none"/>
                <w:lang w:eastAsia="en-US"/>
              </w:rPr>
              <w:t>砂</w:t>
            </w:r>
            <w:r>
              <w:rPr>
                <w:rFonts w:hAnsi="宋体"/>
                <w:highlight w:val="none"/>
                <w:lang w:eastAsia="en-US"/>
              </w:rPr>
              <w:t>机</w:t>
            </w:r>
          </w:p>
        </w:tc>
        <w:tc>
          <w:tcPr>
            <w:tcW w:w="3175" w:type="dxa"/>
            <w:vAlign w:val="center"/>
          </w:tcPr>
          <w:p>
            <w:pPr>
              <w:pStyle w:val="234"/>
              <w:rPr>
                <w:rFonts w:hAnsi="宋体"/>
                <w:highlight w:val="none"/>
                <w:lang w:eastAsia="en-US"/>
              </w:rPr>
            </w:pPr>
            <w:r>
              <w:rPr>
                <w:rFonts w:hAnsi="宋体"/>
                <w:spacing w:val="1"/>
                <w:highlight w:val="none"/>
                <w:lang w:eastAsia="en-US"/>
              </w:rPr>
              <w:t>S</w:t>
            </w:r>
            <w:r>
              <w:rPr>
                <w:rFonts w:hAnsi="宋体"/>
                <w:spacing w:val="-2"/>
                <w:highlight w:val="none"/>
                <w:lang w:eastAsia="en-US"/>
              </w:rPr>
              <w:t>L</w:t>
            </w:r>
            <w:r>
              <w:rPr>
                <w:rFonts w:hAnsi="宋体"/>
                <w:spacing w:val="2"/>
                <w:highlight w:val="none"/>
                <w:lang w:eastAsia="en-US"/>
              </w:rPr>
              <w:t>―</w:t>
            </w:r>
            <w:r>
              <w:rPr>
                <w:rFonts w:hAnsi="宋体"/>
                <w:spacing w:val="1"/>
                <w:highlight w:val="none"/>
                <w:lang w:eastAsia="en-US"/>
              </w:rPr>
              <w:t>40</w:t>
            </w:r>
            <w:r>
              <w:rPr>
                <w:rFonts w:hAnsi="宋体"/>
                <w:spacing w:val="-2"/>
                <w:highlight w:val="none"/>
                <w:lang w:eastAsia="en-US"/>
              </w:rPr>
              <w:t>6</w:t>
            </w:r>
            <w:r>
              <w:rPr>
                <w:rFonts w:hAnsi="宋体"/>
                <w:spacing w:val="1"/>
                <w:highlight w:val="none"/>
                <w:lang w:eastAsia="en-US"/>
              </w:rPr>
              <w:t>0</w:t>
            </w:r>
            <w:r>
              <w:rPr>
                <w:rFonts w:hAnsi="宋体"/>
                <w:spacing w:val="-1"/>
                <w:highlight w:val="none"/>
                <w:lang w:eastAsia="en-US"/>
              </w:rPr>
              <w:t>，</w:t>
            </w:r>
            <w:r>
              <w:rPr>
                <w:rFonts w:hAnsi="宋体"/>
                <w:spacing w:val="2"/>
                <w:highlight w:val="none"/>
                <w:lang w:eastAsia="en-US"/>
              </w:rPr>
              <w:t>Φ</w:t>
            </w:r>
            <w:r>
              <w:rPr>
                <w:rFonts w:hAnsi="宋体"/>
                <w:spacing w:val="1"/>
                <w:highlight w:val="none"/>
                <w:lang w:eastAsia="en-US"/>
              </w:rPr>
              <w:t>5</w:t>
            </w:r>
            <w:r>
              <w:rPr>
                <w:rFonts w:hAnsi="宋体"/>
                <w:highlight w:val="none"/>
                <w:lang w:eastAsia="en-US"/>
              </w:rPr>
              <w:t>m</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未建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46" w:type="dxa"/>
            <w:vAlign w:val="center"/>
          </w:tcPr>
          <w:p>
            <w:pPr>
              <w:pStyle w:val="234"/>
              <w:rPr>
                <w:rFonts w:hAnsi="宋体"/>
                <w:highlight w:val="none"/>
                <w:lang w:eastAsia="en-US"/>
              </w:rPr>
            </w:pPr>
            <w:r>
              <w:rPr>
                <w:rFonts w:hint="eastAsia" w:hAnsi="宋体"/>
                <w:spacing w:val="1"/>
                <w:highlight w:val="none"/>
                <w:lang w:eastAsia="en-US"/>
              </w:rPr>
              <w:t>16</w:t>
            </w:r>
          </w:p>
        </w:tc>
        <w:tc>
          <w:tcPr>
            <w:tcW w:w="2287" w:type="dxa"/>
            <w:vAlign w:val="center"/>
          </w:tcPr>
          <w:p>
            <w:pPr>
              <w:pStyle w:val="234"/>
              <w:rPr>
                <w:rFonts w:hAnsi="宋体"/>
                <w:highlight w:val="none"/>
                <w:lang w:eastAsia="en-US"/>
              </w:rPr>
            </w:pPr>
            <w:r>
              <w:rPr>
                <w:rFonts w:hAnsi="宋体"/>
                <w:spacing w:val="-1"/>
                <w:highlight w:val="none"/>
                <w:lang w:eastAsia="en-US"/>
              </w:rPr>
              <w:t>浓</w:t>
            </w:r>
            <w:r>
              <w:rPr>
                <w:rFonts w:hAnsi="宋体"/>
                <w:spacing w:val="2"/>
                <w:highlight w:val="none"/>
                <w:lang w:eastAsia="en-US"/>
              </w:rPr>
              <w:t>缩</w:t>
            </w:r>
            <w:r>
              <w:rPr>
                <w:rFonts w:hAnsi="宋体"/>
                <w:highlight w:val="none"/>
                <w:lang w:eastAsia="en-US"/>
              </w:rPr>
              <w:t>机</w:t>
            </w:r>
          </w:p>
        </w:tc>
        <w:tc>
          <w:tcPr>
            <w:tcW w:w="3175" w:type="dxa"/>
            <w:vAlign w:val="center"/>
          </w:tcPr>
          <w:p>
            <w:pPr>
              <w:pStyle w:val="234"/>
              <w:rPr>
                <w:rFonts w:hAnsi="宋体"/>
                <w:sz w:val="10"/>
                <w:szCs w:val="10"/>
                <w:highlight w:val="none"/>
                <w:lang w:eastAsia="en-US"/>
              </w:rPr>
            </w:pPr>
            <w:r>
              <w:rPr>
                <w:rFonts w:hAnsi="宋体"/>
                <w:spacing w:val="-1"/>
                <w:highlight w:val="none"/>
                <w:lang w:eastAsia="en-US"/>
              </w:rPr>
              <w:t>Φ</w:t>
            </w:r>
            <w:r>
              <w:rPr>
                <w:rFonts w:hint="eastAsia" w:hAnsi="宋体"/>
                <w:spacing w:val="1"/>
                <w:highlight w:val="none"/>
                <w:lang w:eastAsia="en-US"/>
              </w:rPr>
              <w:t>18</w:t>
            </w:r>
            <w:r>
              <w:rPr>
                <w:rFonts w:hAnsi="宋体"/>
                <w:spacing w:val="1"/>
                <w:highlight w:val="none"/>
                <w:lang w:eastAsia="en-US"/>
              </w:rPr>
              <w:t>m</w:t>
            </w:r>
            <w:r>
              <w:rPr>
                <w:rFonts w:hAnsi="宋体"/>
                <w:spacing w:val="-1"/>
                <w:highlight w:val="none"/>
                <w:lang w:eastAsia="en-US"/>
              </w:rPr>
              <w:t>，</w:t>
            </w:r>
            <w:r>
              <w:rPr>
                <w:rFonts w:hAnsi="宋体"/>
                <w:spacing w:val="2"/>
                <w:highlight w:val="none"/>
                <w:lang w:eastAsia="en-US"/>
              </w:rPr>
              <w:t>池</w:t>
            </w:r>
            <w:r>
              <w:rPr>
                <w:rFonts w:hAnsi="宋体"/>
                <w:highlight w:val="none"/>
                <w:lang w:eastAsia="en-US"/>
              </w:rPr>
              <w:t>容</w:t>
            </w:r>
            <w:r>
              <w:rPr>
                <w:rFonts w:hint="eastAsia" w:hAnsi="宋体"/>
                <w:spacing w:val="1"/>
                <w:highlight w:val="none"/>
                <w:lang w:eastAsia="en-US"/>
              </w:rPr>
              <w:t>1167</w:t>
            </w:r>
            <w:r>
              <w:rPr>
                <w:rFonts w:hAnsi="宋体"/>
                <w:spacing w:val="1"/>
                <w:highlight w:val="none"/>
                <w:lang w:eastAsia="en-US"/>
              </w:rPr>
              <w:t>m</w:t>
            </w:r>
            <w:r>
              <w:rPr>
                <w:rFonts w:hAnsi="宋体"/>
                <w:position w:val="11"/>
                <w:sz w:val="10"/>
                <w:szCs w:val="10"/>
                <w:highlight w:val="none"/>
                <w:lang w:eastAsia="en-US"/>
              </w:rPr>
              <w:t>3</w:t>
            </w:r>
          </w:p>
        </w:tc>
        <w:tc>
          <w:tcPr>
            <w:tcW w:w="989" w:type="dxa"/>
            <w:vAlign w:val="center"/>
          </w:tcPr>
          <w:p>
            <w:pPr>
              <w:pStyle w:val="234"/>
              <w:rPr>
                <w:rFonts w:hAnsi="宋体"/>
                <w:highlight w:val="none"/>
                <w:lang w:eastAsia="en-US"/>
              </w:rPr>
            </w:pPr>
            <w:r>
              <w:rPr>
                <w:rFonts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未建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46" w:type="dxa"/>
            <w:vAlign w:val="center"/>
          </w:tcPr>
          <w:p>
            <w:pPr>
              <w:pStyle w:val="234"/>
              <w:rPr>
                <w:rFonts w:hAnsi="宋体"/>
                <w:highlight w:val="none"/>
                <w:lang w:eastAsia="en-US"/>
              </w:rPr>
            </w:pPr>
            <w:r>
              <w:rPr>
                <w:rFonts w:hint="eastAsia" w:hAnsi="宋体"/>
                <w:spacing w:val="1"/>
                <w:highlight w:val="none"/>
                <w:lang w:eastAsia="en-US"/>
              </w:rPr>
              <w:t>17</w:t>
            </w:r>
          </w:p>
        </w:tc>
        <w:tc>
          <w:tcPr>
            <w:tcW w:w="2287" w:type="dxa"/>
            <w:vAlign w:val="center"/>
          </w:tcPr>
          <w:p>
            <w:pPr>
              <w:pStyle w:val="234"/>
              <w:rPr>
                <w:rFonts w:hAnsi="宋体"/>
                <w:highlight w:val="none"/>
                <w:lang w:eastAsia="en-US"/>
              </w:rPr>
            </w:pPr>
            <w:r>
              <w:rPr>
                <w:rFonts w:hAnsi="宋体"/>
                <w:spacing w:val="-1"/>
                <w:highlight w:val="none"/>
                <w:lang w:eastAsia="en-US"/>
              </w:rPr>
              <w:t>压</w:t>
            </w:r>
            <w:r>
              <w:rPr>
                <w:rFonts w:hAnsi="宋体"/>
                <w:spacing w:val="2"/>
                <w:highlight w:val="none"/>
                <w:lang w:eastAsia="en-US"/>
              </w:rPr>
              <w:t>滤</w:t>
            </w:r>
            <w:r>
              <w:rPr>
                <w:rFonts w:hAnsi="宋体"/>
                <w:highlight w:val="none"/>
                <w:lang w:eastAsia="en-US"/>
              </w:rPr>
              <w:t>机</w:t>
            </w:r>
          </w:p>
        </w:tc>
        <w:tc>
          <w:tcPr>
            <w:tcW w:w="3175" w:type="dxa"/>
            <w:vAlign w:val="center"/>
          </w:tcPr>
          <w:p>
            <w:pPr>
              <w:pStyle w:val="234"/>
              <w:rPr>
                <w:rFonts w:hAnsi="宋体"/>
                <w:highlight w:val="none"/>
                <w:lang w:eastAsia="zh-CN"/>
              </w:rPr>
            </w:pPr>
            <w:r>
              <w:rPr>
                <w:rFonts w:hAnsi="宋体"/>
                <w:spacing w:val="-1"/>
                <w:highlight w:val="none"/>
                <w:lang w:eastAsia="zh-CN"/>
              </w:rPr>
              <w:t>板</w:t>
            </w:r>
            <w:r>
              <w:rPr>
                <w:rFonts w:hAnsi="宋体"/>
                <w:spacing w:val="2"/>
                <w:highlight w:val="none"/>
                <w:lang w:eastAsia="zh-CN"/>
              </w:rPr>
              <w:t>框</w:t>
            </w:r>
            <w:r>
              <w:rPr>
                <w:rFonts w:hAnsi="宋体"/>
                <w:spacing w:val="-1"/>
                <w:highlight w:val="none"/>
                <w:lang w:eastAsia="zh-CN"/>
              </w:rPr>
              <w:t>压</w:t>
            </w:r>
            <w:r>
              <w:rPr>
                <w:rFonts w:hAnsi="宋体"/>
                <w:spacing w:val="2"/>
                <w:highlight w:val="none"/>
                <w:lang w:eastAsia="zh-CN"/>
              </w:rPr>
              <w:t>滤</w:t>
            </w:r>
            <w:r>
              <w:rPr>
                <w:rFonts w:hAnsi="宋体"/>
                <w:spacing w:val="-1"/>
                <w:highlight w:val="none"/>
                <w:lang w:eastAsia="zh-CN"/>
              </w:rPr>
              <w:t>机</w:t>
            </w:r>
            <w:r>
              <w:rPr>
                <w:rFonts w:hAnsi="宋体"/>
                <w:spacing w:val="2"/>
                <w:highlight w:val="none"/>
                <w:lang w:eastAsia="zh-CN"/>
              </w:rPr>
              <w:t>，</w:t>
            </w:r>
            <w:r>
              <w:rPr>
                <w:rFonts w:hAnsi="宋体"/>
                <w:spacing w:val="1"/>
                <w:highlight w:val="none"/>
                <w:lang w:eastAsia="zh-CN"/>
              </w:rPr>
              <w:t>XM</w:t>
            </w:r>
            <w:r>
              <w:rPr>
                <w:rFonts w:hAnsi="宋体"/>
                <w:spacing w:val="-2"/>
                <w:highlight w:val="none"/>
                <w:lang w:eastAsia="zh-CN"/>
              </w:rPr>
              <w:t>Z</w:t>
            </w:r>
            <w:r>
              <w:rPr>
                <w:rFonts w:hAnsi="宋体"/>
                <w:spacing w:val="1"/>
                <w:highlight w:val="none"/>
                <w:lang w:eastAsia="zh-CN"/>
              </w:rPr>
              <w:t>50</w:t>
            </w:r>
            <w:r>
              <w:rPr>
                <w:rFonts w:hAnsi="宋体"/>
                <w:highlight w:val="none"/>
                <w:lang w:eastAsia="zh-CN"/>
              </w:rPr>
              <w:t>0型</w:t>
            </w:r>
          </w:p>
        </w:tc>
        <w:tc>
          <w:tcPr>
            <w:tcW w:w="989" w:type="dxa"/>
            <w:vAlign w:val="center"/>
          </w:tcPr>
          <w:p>
            <w:pPr>
              <w:pStyle w:val="234"/>
              <w:rPr>
                <w:rFonts w:hAnsi="宋体"/>
                <w:highlight w:val="none"/>
                <w:lang w:eastAsia="en-US"/>
              </w:rPr>
            </w:pPr>
            <w:r>
              <w:rPr>
                <w:rFonts w:hint="eastAsia" w:hAnsi="宋体"/>
                <w:highlight w:val="none"/>
                <w:lang w:eastAsia="en-US"/>
              </w:rPr>
              <w:t>1</w:t>
            </w:r>
          </w:p>
        </w:tc>
        <w:tc>
          <w:tcPr>
            <w:tcW w:w="1153" w:type="dxa"/>
            <w:vAlign w:val="center"/>
          </w:tcPr>
          <w:p>
            <w:pPr>
              <w:pStyle w:val="234"/>
              <w:rPr>
                <w:rFonts w:hAnsi="Calibri"/>
                <w:highlight w:val="none"/>
                <w:lang w:eastAsia="en-US"/>
              </w:rPr>
            </w:pPr>
            <w:r>
              <w:rPr>
                <w:rFonts w:hAnsi="Calibri"/>
                <w:highlight w:val="none"/>
                <w:lang w:eastAsia="en-US"/>
              </w:rPr>
              <w:t>未建</w:t>
            </w:r>
          </w:p>
        </w:tc>
      </w:tr>
    </w:tbl>
    <w:p>
      <w:pPr>
        <w:pStyle w:val="62"/>
        <w:ind w:firstLine="480"/>
        <w:rPr>
          <w:rFonts w:hAnsi="宋体"/>
          <w:highlight w:val="none"/>
        </w:rPr>
      </w:pPr>
      <w:r>
        <w:rPr>
          <w:rFonts w:hint="eastAsia" w:hAnsi="宋体"/>
          <w:highlight w:val="none"/>
        </w:rPr>
        <w:t>本项目于2019年6月建设完成并投入运行。所有设备均未超过使用寿命，本次环评期间有考虑设备更换问题。本项目浓缩系统设备未建设，不存在更换问题。</w:t>
      </w:r>
    </w:p>
    <w:p>
      <w:pPr>
        <w:pStyle w:val="62"/>
        <w:ind w:firstLine="480"/>
        <w:rPr>
          <w:rFonts w:hAnsi="宋体"/>
          <w:highlight w:val="none"/>
        </w:rPr>
      </w:pPr>
      <w:r>
        <w:rPr>
          <w:rFonts w:hint="eastAsia" w:hAnsi="宋体"/>
          <w:highlight w:val="none"/>
        </w:rPr>
        <w:t>2、生产设备符合性分析</w:t>
      </w:r>
    </w:p>
    <w:p>
      <w:pPr>
        <w:pStyle w:val="62"/>
        <w:ind w:firstLine="480"/>
        <w:rPr>
          <w:rFonts w:hAnsi="宋体"/>
          <w:highlight w:val="none"/>
        </w:rPr>
      </w:pPr>
      <w:r>
        <w:rPr>
          <w:rFonts w:hAnsi="宋体"/>
          <w:highlight w:val="none"/>
        </w:rPr>
        <w:t>本项目入选能力30万t/a，工作300天，</w:t>
      </w:r>
      <w:r>
        <w:rPr>
          <w:rFonts w:hint="eastAsia" w:hAnsi="宋体"/>
          <w:highlight w:val="none"/>
        </w:rPr>
        <w:t>24</w:t>
      </w:r>
      <w:r>
        <w:rPr>
          <w:rFonts w:hAnsi="宋体"/>
          <w:highlight w:val="none"/>
        </w:rPr>
        <w:t>h/d</w:t>
      </w:r>
      <w:r>
        <w:rPr>
          <w:rFonts w:hint="eastAsia" w:hAnsi="宋体"/>
          <w:highlight w:val="none"/>
        </w:rPr>
        <w:t>，每小时原料需要破碎41.67t/h。一段采用颚式破碎机PE500×750进行破碎，破碎</w:t>
      </w:r>
      <w:r>
        <w:rPr>
          <w:rFonts w:hAnsi="宋体"/>
          <w:spacing w:val="-1"/>
          <w:highlight w:val="none"/>
        </w:rPr>
        <w:t>能</w:t>
      </w:r>
      <w:r>
        <w:rPr>
          <w:rFonts w:hAnsi="宋体"/>
          <w:highlight w:val="none"/>
        </w:rPr>
        <w:t>力</w:t>
      </w:r>
      <w:r>
        <w:rPr>
          <w:rFonts w:hint="eastAsia" w:hAnsi="宋体"/>
          <w:spacing w:val="1"/>
          <w:highlight w:val="none"/>
        </w:rPr>
        <w:t>4</w:t>
      </w:r>
      <w:r>
        <w:rPr>
          <w:rFonts w:hAnsi="宋体"/>
          <w:spacing w:val="1"/>
          <w:highlight w:val="none"/>
        </w:rPr>
        <w:t>0</w:t>
      </w:r>
      <w:r>
        <w:rPr>
          <w:rFonts w:hAnsi="宋体"/>
          <w:spacing w:val="-2"/>
          <w:highlight w:val="none"/>
        </w:rPr>
        <w:t>~</w:t>
      </w:r>
      <w:r>
        <w:rPr>
          <w:rFonts w:hint="eastAsia" w:hAnsi="宋体"/>
          <w:spacing w:val="1"/>
          <w:highlight w:val="none"/>
        </w:rPr>
        <w:t>1</w:t>
      </w:r>
      <w:r>
        <w:rPr>
          <w:rFonts w:hAnsi="宋体"/>
          <w:spacing w:val="1"/>
          <w:highlight w:val="none"/>
        </w:rPr>
        <w:t>00</w:t>
      </w:r>
      <w:r>
        <w:rPr>
          <w:rFonts w:hAnsi="宋体"/>
          <w:spacing w:val="-2"/>
          <w:highlight w:val="none"/>
        </w:rPr>
        <w:t>t</w:t>
      </w:r>
      <w:r>
        <w:rPr>
          <w:rFonts w:hAnsi="宋体"/>
          <w:spacing w:val="1"/>
          <w:highlight w:val="none"/>
        </w:rPr>
        <w:t>/</w:t>
      </w:r>
      <w:r>
        <w:rPr>
          <w:rFonts w:hAnsi="宋体"/>
          <w:highlight w:val="none"/>
        </w:rPr>
        <w:t>h</w:t>
      </w:r>
      <w:r>
        <w:rPr>
          <w:rFonts w:hint="eastAsia" w:hAnsi="宋体"/>
          <w:highlight w:val="none"/>
        </w:rPr>
        <w:t>；二段采用颚式破碎机PEX250×1200进行破碎，破碎能力20~60t/h；三段采用圆锥破碎机，破碎能力18~105t/h。</w:t>
      </w:r>
      <w:r>
        <w:rPr>
          <w:rFonts w:hAnsi="宋体"/>
          <w:highlight w:val="none"/>
        </w:rPr>
        <w:t>项目各破碎机生产能力完全满足项目需要；</w:t>
      </w:r>
      <w:r>
        <w:rPr>
          <w:rFonts w:hint="eastAsia" w:hAnsi="宋体"/>
          <w:highlight w:val="none"/>
        </w:rPr>
        <w:t>本项目原料采用低品位原料，破碎后约34%的半成品进入到磨矿工序，</w:t>
      </w:r>
      <w:r>
        <w:rPr>
          <w:rFonts w:hAnsi="宋体"/>
          <w:highlight w:val="none"/>
        </w:rPr>
        <w:t>需要进球磨机的物料约</w:t>
      </w:r>
      <w:r>
        <w:rPr>
          <w:rFonts w:hint="eastAsia" w:hAnsi="宋体"/>
          <w:highlight w:val="none"/>
        </w:rPr>
        <w:t>12.5</w:t>
      </w:r>
      <w:r>
        <w:rPr>
          <w:rFonts w:hAnsi="宋体"/>
          <w:highlight w:val="none"/>
        </w:rPr>
        <w:t>t/h，本项目球磨机</w:t>
      </w:r>
      <w:r>
        <w:rPr>
          <w:rFonts w:hint="eastAsia" w:hAnsi="宋体"/>
          <w:highlight w:val="none"/>
        </w:rPr>
        <w:t>MQG2100×3600，生产能力8~16t/h，</w:t>
      </w:r>
      <w:r>
        <w:rPr>
          <w:rFonts w:hAnsi="宋体"/>
          <w:highlight w:val="none"/>
        </w:rPr>
        <w:t>设备完全满足生产需求。</w:t>
      </w:r>
    </w:p>
    <w:p>
      <w:pPr>
        <w:pStyle w:val="62"/>
        <w:ind w:firstLine="480"/>
        <w:rPr>
          <w:rFonts w:hAnsi="宋体"/>
          <w:highlight w:val="none"/>
        </w:rPr>
      </w:pPr>
      <w:r>
        <w:rPr>
          <w:rFonts w:hint="eastAsia" w:hAnsi="宋体"/>
          <w:highlight w:val="none"/>
        </w:rPr>
        <w:t>对照《淘汰落后生产能力、工艺和产品的目录》（1-4批），本项目设备均不在名录中，不属于明令淘汰的设备。</w:t>
      </w:r>
    </w:p>
    <w:p>
      <w:pPr>
        <w:pStyle w:val="62"/>
        <w:ind w:firstLine="480"/>
        <w:rPr>
          <w:rFonts w:hAnsi="宋体"/>
          <w:highlight w:val="none"/>
        </w:rPr>
      </w:pPr>
      <w:r>
        <w:rPr>
          <w:rFonts w:hint="eastAsia" w:hAnsi="宋体"/>
          <w:highlight w:val="none"/>
        </w:rPr>
        <w:t>3、浓缩池</w:t>
      </w:r>
    </w:p>
    <w:p>
      <w:pPr>
        <w:pStyle w:val="62"/>
        <w:ind w:firstLine="480"/>
        <w:rPr>
          <w:rFonts w:hAnsi="宋体"/>
          <w:highlight w:val="none"/>
        </w:rPr>
      </w:pPr>
      <w:r>
        <w:rPr>
          <w:rFonts w:hAnsi="宋体"/>
          <w:highlight w:val="none"/>
        </w:rPr>
        <w:t>本项目生产废水主要为尾矿</w:t>
      </w:r>
      <w:r>
        <w:rPr>
          <w:rFonts w:hint="eastAsia" w:hAnsi="宋体"/>
          <w:highlight w:val="none"/>
        </w:rPr>
        <w:t>浆，</w:t>
      </w:r>
      <w:r>
        <w:rPr>
          <w:rFonts w:hAnsi="宋体"/>
          <w:highlight w:val="none"/>
        </w:rPr>
        <w:t>尾矿浆</w:t>
      </w:r>
      <w:r>
        <w:rPr>
          <w:rFonts w:hint="eastAsia" w:hAnsi="宋体"/>
          <w:highlight w:val="none"/>
        </w:rPr>
        <w:t>产生量为897m</w:t>
      </w:r>
      <w:r>
        <w:rPr>
          <w:rFonts w:hint="eastAsia" w:hAnsi="宋体"/>
          <w:highlight w:val="none"/>
          <w:vertAlign w:val="superscript"/>
        </w:rPr>
        <w:t>3</w:t>
      </w:r>
      <w:r>
        <w:rPr>
          <w:rFonts w:hint="eastAsia" w:hAnsi="宋体"/>
          <w:highlight w:val="none"/>
        </w:rPr>
        <w:t>/d。本项目</w:t>
      </w:r>
      <w:r>
        <w:rPr>
          <w:rFonts w:hAnsi="宋体"/>
          <w:highlight w:val="none"/>
        </w:rPr>
        <w:t>尾矿浆</w:t>
      </w:r>
      <w:r>
        <w:rPr>
          <w:rFonts w:hint="eastAsia" w:hAnsi="宋体"/>
          <w:highlight w:val="none"/>
        </w:rPr>
        <w:t>处理规模量为897m</w:t>
      </w:r>
      <w:r>
        <w:rPr>
          <w:rFonts w:hint="eastAsia" w:hAnsi="宋体"/>
          <w:highlight w:val="none"/>
          <w:vertAlign w:val="superscript"/>
        </w:rPr>
        <w:t>3</w:t>
      </w:r>
      <w:r>
        <w:rPr>
          <w:rFonts w:hint="eastAsia" w:hAnsi="宋体"/>
          <w:highlight w:val="none"/>
        </w:rPr>
        <w:t>/d，</w:t>
      </w:r>
      <w:r>
        <w:rPr>
          <w:rFonts w:hAnsi="宋体"/>
          <w:highlight w:val="none"/>
        </w:rPr>
        <w:t>尾矿浆</w:t>
      </w:r>
      <w:r>
        <w:rPr>
          <w:rFonts w:hint="eastAsia" w:hAnsi="宋体"/>
          <w:highlight w:val="none"/>
        </w:rPr>
        <w:t>中主要污染物为悬浮物，根据数质量图，悬浮物含量为47t/d，悬浮物浓度为52397mg/l。</w:t>
      </w:r>
    </w:p>
    <w:p>
      <w:pPr>
        <w:pStyle w:val="62"/>
        <w:ind w:firstLine="480"/>
        <w:rPr>
          <w:rFonts w:hAnsi="宋体"/>
          <w:highlight w:val="none"/>
        </w:rPr>
      </w:pPr>
      <w:r>
        <w:rPr>
          <w:rFonts w:hAnsi="宋体"/>
          <w:highlight w:val="none"/>
        </w:rPr>
        <w:t>尾矿浆</w:t>
      </w:r>
      <w:r>
        <w:rPr>
          <w:rFonts w:hint="eastAsia" w:hAnsi="宋体"/>
          <w:highlight w:val="none"/>
        </w:rPr>
        <w:t>处理工艺为：</w:t>
      </w:r>
      <w:r>
        <w:rPr>
          <w:rFonts w:hAnsi="宋体"/>
          <w:highlight w:val="none"/>
        </w:rPr>
        <w:t>尾矿浆</w:t>
      </w:r>
      <w:r>
        <w:rPr>
          <w:rFonts w:hint="eastAsia" w:hAnsi="宋体"/>
          <w:highlight w:val="none"/>
        </w:rPr>
        <w:t>首先进入沉淀池，去除较大粒径尾砂，然后进入浓缩池，经浓缩池浓缩处理后，上清液回用于生产。沉淀物经压滤机压滤后排入尾矿内进行填埋处置。</w:t>
      </w:r>
    </w:p>
    <w:p>
      <w:pPr>
        <w:pStyle w:val="62"/>
        <w:ind w:firstLine="480"/>
        <w:rPr>
          <w:rFonts w:hAnsi="宋体"/>
          <w:sz w:val="13"/>
          <w:szCs w:val="13"/>
          <w:highlight w:val="none"/>
        </w:rPr>
      </w:pPr>
      <w:r>
        <w:rPr>
          <w:rFonts w:hAnsi="宋体"/>
          <w:highlight w:val="none"/>
        </w:rPr>
        <w:t>浓缩池计算：</w:t>
      </w:r>
    </w:p>
    <w:p>
      <w:pPr>
        <w:pStyle w:val="62"/>
        <w:ind w:firstLine="480"/>
        <w:rPr>
          <w:rFonts w:hAnsi="宋体"/>
          <w:highlight w:val="none"/>
        </w:rPr>
      </w:pPr>
      <w:r>
        <w:rPr>
          <w:rFonts w:hAnsi="宋体"/>
          <w:highlight w:val="none"/>
        </w:rPr>
        <w:t>本项目采用溢流中最大颗粒的沉降速度计算所需浓密机面积，公示如下：</w:t>
      </w:r>
    </w:p>
    <w:p>
      <w:pPr>
        <w:pStyle w:val="62"/>
        <w:spacing w:line="240" w:lineRule="auto"/>
        <w:ind w:firstLine="480"/>
        <w:jc w:val="center"/>
        <w:rPr>
          <w:rFonts w:hAnsi="宋体"/>
          <w:highlight w:val="none"/>
        </w:rPr>
      </w:pPr>
      <w:r>
        <w:rPr>
          <w:rFonts w:hAnsi="宋体"/>
          <w:highlight w:val="none"/>
          <w:lang w:val="en-US"/>
        </w:rPr>
        <w:drawing>
          <wp:inline distT="0" distB="0" distL="0" distR="0">
            <wp:extent cx="2156460" cy="1188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2156647" cy="1188823"/>
                    </a:xfrm>
                    <a:prstGeom prst="rect">
                      <a:avLst/>
                    </a:prstGeom>
                  </pic:spPr>
                </pic:pic>
              </a:graphicData>
            </a:graphic>
          </wp:inline>
        </w:drawing>
      </w:r>
    </w:p>
    <w:p>
      <w:pPr>
        <w:pStyle w:val="62"/>
        <w:ind w:firstLine="480"/>
        <w:rPr>
          <w:rFonts w:hAnsi="宋体"/>
          <w:sz w:val="16"/>
          <w:szCs w:val="16"/>
          <w:highlight w:val="none"/>
        </w:rPr>
      </w:pPr>
      <w:r>
        <w:rPr>
          <w:rFonts w:hAnsi="宋体"/>
          <w:highlight w:val="none"/>
        </w:rPr>
        <w:t>式中：A——浓密机的面积；</w:t>
      </w:r>
    </w:p>
    <w:p>
      <w:pPr>
        <w:pStyle w:val="62"/>
        <w:ind w:firstLine="1200" w:firstLineChars="500"/>
        <w:rPr>
          <w:rFonts w:hAnsi="宋体"/>
          <w:highlight w:val="none"/>
        </w:rPr>
      </w:pPr>
      <w:r>
        <w:rPr>
          <w:rFonts w:hAnsi="宋体"/>
          <w:highlight w:val="none"/>
        </w:rPr>
        <w:t>D——浓密机的直径；</w:t>
      </w:r>
    </w:p>
    <w:p>
      <w:pPr>
        <w:pStyle w:val="62"/>
        <w:ind w:firstLine="1200" w:firstLineChars="500"/>
        <w:rPr>
          <w:rFonts w:hAnsi="宋体"/>
          <w:highlight w:val="none"/>
        </w:rPr>
      </w:pPr>
      <w:r>
        <w:rPr>
          <w:rFonts w:hAnsi="宋体"/>
          <w:highlight w:val="none"/>
        </w:rPr>
        <w:t>G</w:t>
      </w:r>
      <w:r>
        <w:rPr>
          <w:rFonts w:hAnsi="宋体"/>
          <w:highlight w:val="none"/>
          <w:vertAlign w:val="subscript"/>
        </w:rPr>
        <w:t>d</w:t>
      </w:r>
      <w:r>
        <w:rPr>
          <w:rFonts w:hAnsi="宋体"/>
          <w:highlight w:val="none"/>
        </w:rPr>
        <w:t>——给入浓密机的固体量（粗砂经捞砂机捞走，尾砂进入浓密机）；</w:t>
      </w:r>
      <w:r>
        <w:rPr>
          <w:rFonts w:hint="eastAsia" w:hAnsi="宋体"/>
          <w:highlight w:val="none"/>
        </w:rPr>
        <w:t>根据数质量图，取11t。</w:t>
      </w:r>
    </w:p>
    <w:p>
      <w:pPr>
        <w:pStyle w:val="62"/>
        <w:ind w:firstLine="1200" w:firstLineChars="500"/>
        <w:rPr>
          <w:rFonts w:hAnsi="宋体"/>
          <w:highlight w:val="none"/>
        </w:rPr>
      </w:pPr>
      <w:r>
        <w:rPr>
          <w:rFonts w:hAnsi="宋体"/>
          <w:highlight w:val="none"/>
        </w:rPr>
        <w:t>m</w:t>
      </w:r>
      <w:r>
        <w:rPr>
          <w:rFonts w:hAnsi="宋体"/>
          <w:highlight w:val="none"/>
          <w:vertAlign w:val="subscript"/>
        </w:rPr>
        <w:t>1</w:t>
      </w:r>
      <w:r>
        <w:rPr>
          <w:rFonts w:hAnsi="宋体"/>
          <w:highlight w:val="none"/>
        </w:rPr>
        <w:t>——浓缩前尾矿浆体中水重与固体重之比</w:t>
      </w:r>
      <w:r>
        <w:rPr>
          <w:rFonts w:hint="eastAsia" w:hAnsi="宋体"/>
          <w:highlight w:val="none"/>
        </w:rPr>
        <w:t>，根据数质量图，取943/11。</w:t>
      </w:r>
    </w:p>
    <w:p>
      <w:pPr>
        <w:pStyle w:val="62"/>
        <w:ind w:firstLine="1200" w:firstLineChars="500"/>
        <w:rPr>
          <w:rFonts w:hAnsi="宋体"/>
          <w:highlight w:val="none"/>
        </w:rPr>
      </w:pPr>
      <w:r>
        <w:rPr>
          <w:rFonts w:hAnsi="宋体"/>
          <w:highlight w:val="none"/>
        </w:rPr>
        <w:t>m</w:t>
      </w:r>
      <w:r>
        <w:rPr>
          <w:rFonts w:hAnsi="宋体"/>
          <w:highlight w:val="none"/>
          <w:vertAlign w:val="subscript"/>
        </w:rPr>
        <w:t>2</w:t>
      </w:r>
      <w:r>
        <w:rPr>
          <w:rFonts w:hAnsi="宋体"/>
          <w:highlight w:val="none"/>
        </w:rPr>
        <w:t>——浓缩后尾矿浆体</w:t>
      </w:r>
      <w:r>
        <w:rPr>
          <w:rFonts w:hint="eastAsia" w:hAnsi="宋体"/>
          <w:highlight w:val="none"/>
        </w:rPr>
        <w:t>中水重与固体重之比，根据数质量图，取55/11t。</w:t>
      </w:r>
    </w:p>
    <w:p>
      <w:pPr>
        <w:pStyle w:val="62"/>
        <w:ind w:firstLine="1200" w:firstLineChars="500"/>
        <w:rPr>
          <w:rFonts w:hAnsi="宋体"/>
          <w:highlight w:val="none"/>
        </w:rPr>
      </w:pPr>
      <w:r>
        <w:rPr>
          <w:rFonts w:hAnsi="宋体"/>
          <w:highlight w:val="none"/>
        </w:rPr>
        <w:t>k</w:t>
      </w:r>
      <w:r>
        <w:rPr>
          <w:rFonts w:hAnsi="宋体"/>
          <w:highlight w:val="none"/>
          <w:vertAlign w:val="subscript"/>
        </w:rPr>
        <w:t>1</w:t>
      </w:r>
      <w:r>
        <w:rPr>
          <w:rFonts w:hAnsi="宋体"/>
          <w:highlight w:val="none"/>
        </w:rPr>
        <w:t>——矿量波动系数，计算取1.1；</w:t>
      </w:r>
    </w:p>
    <w:p>
      <w:pPr>
        <w:pStyle w:val="62"/>
        <w:ind w:firstLine="1200" w:firstLineChars="500"/>
        <w:rPr>
          <w:rFonts w:hAnsi="宋体"/>
          <w:highlight w:val="none"/>
        </w:rPr>
      </w:pPr>
      <w:r>
        <w:rPr>
          <w:rFonts w:hAnsi="宋体"/>
          <w:highlight w:val="none"/>
        </w:rPr>
        <w:t>k——浓密机有效面积系数</w:t>
      </w:r>
      <w:r>
        <w:rPr>
          <w:rFonts w:hint="eastAsia" w:hAnsi="宋体"/>
          <w:highlight w:val="none"/>
        </w:rPr>
        <w:t>，</w:t>
      </w:r>
      <w:r>
        <w:rPr>
          <w:rFonts w:hAnsi="宋体"/>
          <w:highlight w:val="none"/>
        </w:rPr>
        <w:t>计算取0.9；</w:t>
      </w:r>
    </w:p>
    <w:p>
      <w:pPr>
        <w:pStyle w:val="62"/>
        <w:ind w:firstLine="1200" w:firstLineChars="500"/>
        <w:rPr>
          <w:rFonts w:hAnsi="宋体"/>
          <w:highlight w:val="none"/>
        </w:rPr>
      </w:pPr>
      <w:r>
        <w:rPr>
          <w:rFonts w:hAnsi="宋体"/>
          <w:highlight w:val="none"/>
        </w:rPr>
        <w:t>u</w:t>
      </w:r>
      <w:r>
        <w:rPr>
          <w:rFonts w:hAnsi="宋体"/>
          <w:highlight w:val="none"/>
          <w:vertAlign w:val="subscript"/>
        </w:rPr>
        <w:t>0</w:t>
      </w:r>
      <w:r>
        <w:rPr>
          <w:rFonts w:hAnsi="宋体"/>
          <w:highlight w:val="none"/>
        </w:rPr>
        <w:t>——溢流中最大颗粒的自由沉降速度（mm/s），可按公式（2）计算；</w:t>
      </w:r>
    </w:p>
    <w:p>
      <w:pPr>
        <w:pStyle w:val="62"/>
        <w:ind w:firstLine="1210" w:firstLineChars="550"/>
        <w:rPr>
          <w:rFonts w:hAnsi="宋体"/>
          <w:sz w:val="14"/>
          <w:szCs w:val="14"/>
          <w:highlight w:val="none"/>
        </w:rPr>
      </w:pPr>
      <w:r>
        <w:rPr>
          <w:rFonts w:hAnsi="宋体"/>
          <w:sz w:val="22"/>
          <w:szCs w:val="22"/>
          <w:highlight w:val="none"/>
          <w:lang w:val="en-US"/>
        </w:rPr>
        <mc:AlternateContent>
          <mc:Choice Requires="wps">
            <w:drawing>
              <wp:anchor distT="0" distB="0" distL="114300" distR="114300" simplePos="0" relativeHeight="251691008" behindDoc="1" locked="0" layoutInCell="1" allowOverlap="1">
                <wp:simplePos x="0" y="0"/>
                <wp:positionH relativeFrom="page">
                  <wp:posOffset>1715770</wp:posOffset>
                </wp:positionH>
                <wp:positionV relativeFrom="paragraph">
                  <wp:posOffset>204470</wp:posOffset>
                </wp:positionV>
                <wp:extent cx="34290" cy="88265"/>
                <wp:effectExtent l="1270" t="0" r="2540" b="635"/>
                <wp:wrapNone/>
                <wp:docPr id="277"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34290" cy="88265"/>
                        </a:xfrm>
                        <a:prstGeom prst="rect">
                          <a:avLst/>
                        </a:prstGeom>
                        <a:noFill/>
                        <a:ln>
                          <a:noFill/>
                        </a:ln>
                      </wps:spPr>
                      <wps:txbx>
                        <w:txbxContent>
                          <w:p>
                            <w:pPr>
                              <w:spacing w:line="131" w:lineRule="exact"/>
                              <w:ind w:firstLine="210"/>
                              <w:rPr>
                                <w:rFonts w:ascii="hakuyoxingshu7000" w:hAnsi="hakuyoxingshu7000" w:eastAsia="hakuyoxingshu7000" w:cs="hakuyoxingshu7000"/>
                                <w:sz w:val="14"/>
                                <w:szCs w:val="14"/>
                              </w:rPr>
                            </w:pPr>
                            <w:r>
                              <w:rPr>
                                <w:rFonts w:ascii="hakuyoxingshu7000" w:hAnsi="hakuyoxingshu7000" w:eastAsia="hakuyoxingshu7000" w:cs="hakuyoxingshu7000"/>
                                <w:w w:val="75"/>
                                <w:sz w:val="14"/>
                                <w:szCs w:val="14"/>
                              </w:rPr>
                              <w:t>s</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35.1pt;margin-top:16.1pt;height:6.95pt;width:2.7pt;mso-position-horizontal-relative:page;z-index:-251625472;mso-width-relative:page;mso-height-relative:page;" filled="f" stroked="f" coordsize="21600,21600" o:gfxdata="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URlWTZAAAACQEAAA8AAAAAAAAAAQAg&#10;AAAAIgAAAGRycy9kb3ducmV2LnhtbFBLAQIUABQAAAAIAIdO4kCFDEpUDQIAAAYEAAAOAAAAAAAA&#10;AAEAIAAAACgBAABkcnMvZTJvRG9jLnhtbFBLBQYAAAAABgAGAFkBAACnBQAAAAA=&#10;">
                <v:fill on="f" focussize="0,0"/>
                <v:stroke on="f"/>
                <v:imagedata o:title=""/>
                <o:lock v:ext="edit" aspectratio="f"/>
                <v:textbox inset="0mm,0mm,0mm,0mm">
                  <w:txbxContent>
                    <w:p>
                      <w:pPr>
                        <w:spacing w:line="131" w:lineRule="exact"/>
                        <w:ind w:firstLine="210"/>
                        <w:rPr>
                          <w:rFonts w:ascii="hakuyoxingshu7000" w:hAnsi="hakuyoxingshu7000" w:eastAsia="hakuyoxingshu7000" w:cs="hakuyoxingshu7000"/>
                          <w:sz w:val="14"/>
                          <w:szCs w:val="14"/>
                        </w:rPr>
                      </w:pPr>
                      <w:r>
                        <w:rPr>
                          <w:rFonts w:ascii="hakuyoxingshu7000" w:hAnsi="hakuyoxingshu7000" w:eastAsia="hakuyoxingshu7000" w:cs="hakuyoxingshu7000"/>
                          <w:w w:val="75"/>
                          <w:sz w:val="14"/>
                          <w:szCs w:val="14"/>
                        </w:rPr>
                        <w:t>s</w:t>
                      </w:r>
                    </w:p>
                  </w:txbxContent>
                </v:textbox>
              </v:shape>
            </w:pict>
          </mc:Fallback>
        </mc:AlternateContent>
      </w:r>
      <w:r>
        <w:rPr>
          <w:rFonts w:hint="eastAsia" w:hAnsi="宋体" w:cs="宋体"/>
          <w:w w:val="95"/>
          <w:highlight w:val="none"/>
        </w:rPr>
        <w:t>ρ</w:t>
      </w:r>
      <w:r>
        <w:rPr>
          <w:rFonts w:hint="eastAsia" w:hAnsi="宋体" w:cs="宋体"/>
          <w:w w:val="95"/>
          <w:highlight w:val="none"/>
          <w:vertAlign w:val="subscript"/>
        </w:rPr>
        <w:t>s</w:t>
      </w:r>
      <w:r>
        <w:rPr>
          <w:rFonts w:hAnsi="宋体" w:cs="宋体"/>
          <w:w w:val="95"/>
          <w:highlight w:val="none"/>
        </w:rPr>
        <w:t>——水密度（t/m</w:t>
      </w:r>
      <w:r>
        <w:rPr>
          <w:rFonts w:hAnsi="宋体" w:cs="宋体"/>
          <w:w w:val="95"/>
          <w:position w:val="12"/>
          <w:sz w:val="12"/>
          <w:szCs w:val="12"/>
          <w:highlight w:val="none"/>
        </w:rPr>
        <w:t>3</w:t>
      </w:r>
      <w:r>
        <w:rPr>
          <w:rFonts w:hAnsi="宋体" w:cs="宋体"/>
          <w:w w:val="95"/>
          <w:highlight w:val="none"/>
        </w:rPr>
        <w:t>）；</w:t>
      </w:r>
    </w:p>
    <w:p>
      <w:pPr>
        <w:pStyle w:val="62"/>
        <w:ind w:firstLine="1140" w:firstLineChars="500"/>
        <w:rPr>
          <w:rFonts w:hAnsi="宋体"/>
          <w:highlight w:val="none"/>
        </w:rPr>
      </w:pPr>
      <w:r>
        <w:rPr>
          <w:rFonts w:hint="eastAsia" w:hAnsi="宋体" w:cs="宋体"/>
          <w:w w:val="95"/>
          <w:highlight w:val="none"/>
        </w:rPr>
        <w:t>ρ</w:t>
      </w:r>
      <w:r>
        <w:rPr>
          <w:rFonts w:hAnsi="宋体"/>
          <w:highlight w:val="none"/>
          <w:vertAlign w:val="subscript"/>
          <w:lang w:val="en-US"/>
        </w:rPr>
        <mc:AlternateContent>
          <mc:Choice Requires="wps">
            <w:drawing>
              <wp:anchor distT="0" distB="0" distL="114300" distR="114300" simplePos="0" relativeHeight="251692032" behindDoc="1" locked="0" layoutInCell="1" allowOverlap="1">
                <wp:simplePos x="0" y="0"/>
                <wp:positionH relativeFrom="page">
                  <wp:posOffset>1723390</wp:posOffset>
                </wp:positionH>
                <wp:positionV relativeFrom="paragraph">
                  <wp:posOffset>172720</wp:posOffset>
                </wp:positionV>
                <wp:extent cx="43815" cy="88265"/>
                <wp:effectExtent l="0" t="0" r="4445" b="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43815" cy="88265"/>
                        </a:xfrm>
                        <a:prstGeom prst="rect">
                          <a:avLst/>
                        </a:prstGeom>
                        <a:noFill/>
                        <a:ln>
                          <a:noFill/>
                        </a:ln>
                      </wps:spPr>
                      <wps:txbx>
                        <w:txbxContent>
                          <w:p>
                            <w:pPr>
                              <w:spacing w:line="139" w:lineRule="exact"/>
                              <w:ind w:firstLine="280"/>
                              <w:rPr>
                                <w:rFonts w:eastAsia="Times New Roman"/>
                                <w:sz w:val="14"/>
                                <w:szCs w:val="14"/>
                              </w:rPr>
                            </w:pPr>
                            <w:r>
                              <w:rPr>
                                <w:rFonts w:eastAsia="Times New Roman"/>
                                <w:i/>
                                <w:sz w:val="14"/>
                                <w:szCs w:val="14"/>
                              </w:rPr>
                              <w:t>g</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35.7pt;margin-top:13.6pt;height:6.95pt;width:3.45pt;mso-position-horizontal-relative:page;z-index:-251624448;mso-width-relative:page;mso-height-relative:page;" filled="f" stroked="f" coordsize="21600,21600" o:gfxdata="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EjnLzYAAAACQEAAA8AAAAAAAAAAQAg&#10;AAAAIgAAAGRycy9kb3ducmV2LnhtbFBLAQIUABQAAAAIAIdO4kCQr3RDDgIAAAYEAAAOAAAAAAAA&#10;AAEAIAAAACcBAABkcnMvZTJvRG9jLnhtbFBLBQYAAAAABgAGAFkBAACnBQAAAAA=&#10;">
                <v:fill on="f" focussize="0,0"/>
                <v:stroke on="f"/>
                <v:imagedata o:title=""/>
                <o:lock v:ext="edit" aspectratio="f"/>
                <v:textbox inset="0mm,0mm,0mm,0mm">
                  <w:txbxContent>
                    <w:p>
                      <w:pPr>
                        <w:spacing w:line="139" w:lineRule="exact"/>
                        <w:ind w:firstLine="280"/>
                        <w:rPr>
                          <w:rFonts w:eastAsia="Times New Roman"/>
                          <w:sz w:val="14"/>
                          <w:szCs w:val="14"/>
                        </w:rPr>
                      </w:pPr>
                      <w:r>
                        <w:rPr>
                          <w:rFonts w:eastAsia="Times New Roman"/>
                          <w:i/>
                          <w:sz w:val="14"/>
                          <w:szCs w:val="14"/>
                        </w:rPr>
                        <w:t>g</w:t>
                      </w:r>
                    </w:p>
                  </w:txbxContent>
                </v:textbox>
              </v:shape>
            </w:pict>
          </mc:Fallback>
        </mc:AlternateContent>
      </w:r>
      <w:r>
        <w:rPr>
          <w:rFonts w:hint="eastAsia" w:hAnsi="宋体" w:cs="宋体"/>
          <w:w w:val="95"/>
          <w:highlight w:val="none"/>
          <w:vertAlign w:val="subscript"/>
        </w:rPr>
        <w:t>g</w:t>
      </w:r>
      <w:r>
        <w:rPr>
          <w:rFonts w:hAnsi="宋体"/>
          <w:highlight w:val="none"/>
        </w:rPr>
        <w:t>——尾矿密度（t/m</w:t>
      </w:r>
      <w:r>
        <w:rPr>
          <w:rFonts w:hAnsi="宋体"/>
          <w:position w:val="12"/>
          <w:sz w:val="12"/>
          <w:szCs w:val="12"/>
          <w:highlight w:val="none"/>
        </w:rPr>
        <w:t>3</w:t>
      </w:r>
      <w:r>
        <w:rPr>
          <w:rFonts w:hAnsi="宋体"/>
          <w:highlight w:val="none"/>
        </w:rPr>
        <w:t>）</w:t>
      </w:r>
      <w:r>
        <w:rPr>
          <w:rFonts w:hint="eastAsia" w:hAnsi="宋体"/>
          <w:highlight w:val="none"/>
        </w:rPr>
        <w:t>，取2.5</w:t>
      </w:r>
      <w:r>
        <w:rPr>
          <w:rFonts w:hAnsi="宋体"/>
          <w:highlight w:val="none"/>
        </w:rPr>
        <w:t>；</w:t>
      </w:r>
    </w:p>
    <w:p>
      <w:pPr>
        <w:pStyle w:val="62"/>
        <w:ind w:firstLine="1200" w:firstLineChars="500"/>
        <w:rPr>
          <w:rFonts w:hAnsi="宋体"/>
          <w:highlight w:val="none"/>
        </w:rPr>
      </w:pPr>
      <w:r>
        <w:rPr>
          <w:rFonts w:hAnsi="宋体"/>
          <w:highlight w:val="none"/>
        </w:rPr>
        <w:t>d——溢流中允许的最大尾矿颗粒直径（mm），本次取0.01mm；</w:t>
      </w:r>
    </w:p>
    <w:p>
      <w:pPr>
        <w:pStyle w:val="62"/>
        <w:ind w:firstLine="480"/>
        <w:rPr>
          <w:rFonts w:hAnsi="宋体"/>
          <w:highlight w:val="none"/>
        </w:rPr>
      </w:pPr>
      <w:r>
        <w:rPr>
          <w:rFonts w:hAnsi="宋体"/>
          <w:highlight w:val="none"/>
        </w:rPr>
        <w:t>经计算，浓密机面积A</w:t>
      </w:r>
      <w:r>
        <w:rPr>
          <w:rFonts w:hint="eastAsia" w:hAnsi="宋体"/>
          <w:highlight w:val="none"/>
        </w:rPr>
        <w:t>=144.5</w:t>
      </w:r>
      <w:r>
        <w:rPr>
          <w:rFonts w:hAnsi="宋体"/>
          <w:highlight w:val="none"/>
        </w:rPr>
        <w:t>m</w:t>
      </w:r>
      <w:r>
        <w:rPr>
          <w:rFonts w:hAnsi="宋体"/>
          <w:highlight w:val="none"/>
          <w:vertAlign w:val="superscript"/>
        </w:rPr>
        <w:t>2</w:t>
      </w:r>
      <w:r>
        <w:rPr>
          <w:rFonts w:hAnsi="宋体"/>
          <w:highlight w:val="none"/>
        </w:rPr>
        <w:t>，浓密机直径D</w:t>
      </w:r>
      <w:r>
        <w:rPr>
          <w:rFonts w:hint="eastAsia" w:hAnsi="宋体"/>
          <w:highlight w:val="none"/>
        </w:rPr>
        <w:t>=13.57</w:t>
      </w:r>
      <w:r>
        <w:rPr>
          <w:rFonts w:hAnsi="宋体"/>
          <w:highlight w:val="none"/>
        </w:rPr>
        <w:t>m。</w:t>
      </w:r>
    </w:p>
    <w:p>
      <w:pPr>
        <w:pStyle w:val="62"/>
        <w:ind w:firstLine="480"/>
        <w:rPr>
          <w:rFonts w:hAnsi="宋体"/>
          <w:highlight w:val="none"/>
        </w:rPr>
      </w:pPr>
      <w:r>
        <w:rPr>
          <w:rFonts w:hAnsi="宋体"/>
          <w:highlight w:val="none"/>
        </w:rPr>
        <w:t>浓缩池</w:t>
      </w:r>
      <w:r>
        <w:rPr>
          <w:rFonts w:hint="eastAsia" w:hAnsi="宋体"/>
          <w:highlight w:val="none"/>
        </w:rPr>
        <w:t>平面布置图见附图3-3。</w:t>
      </w:r>
    </w:p>
    <w:p>
      <w:pPr>
        <w:pStyle w:val="62"/>
        <w:ind w:firstLine="480"/>
        <w:rPr>
          <w:rFonts w:hAnsi="宋体"/>
          <w:highlight w:val="none"/>
        </w:rPr>
      </w:pPr>
      <w:r>
        <w:rPr>
          <w:rFonts w:hAnsi="宋体"/>
          <w:highlight w:val="none"/>
        </w:rPr>
        <w:t>本项目拟建设直径</w:t>
      </w:r>
      <w:r>
        <w:rPr>
          <w:rFonts w:hint="eastAsia" w:hAnsi="宋体"/>
          <w:highlight w:val="none"/>
        </w:rPr>
        <w:t>18</w:t>
      </w:r>
      <w:r>
        <w:rPr>
          <w:rFonts w:hAnsi="宋体"/>
          <w:highlight w:val="none"/>
        </w:rPr>
        <w:t>m的浓缩池，能力完全</w:t>
      </w:r>
      <w:r>
        <w:rPr>
          <w:rFonts w:hint="eastAsia" w:hAnsi="宋体"/>
          <w:highlight w:val="none"/>
        </w:rPr>
        <w:t>可以</w:t>
      </w:r>
      <w:r>
        <w:rPr>
          <w:rFonts w:hAnsi="宋体"/>
          <w:highlight w:val="none"/>
        </w:rPr>
        <w:t>满足本项目尾砂浓缩的需要，可确保无尾矿浆外排。</w:t>
      </w:r>
      <w:r>
        <w:rPr>
          <w:rFonts w:hint="eastAsia" w:hAnsi="宋体"/>
          <w:highlight w:val="none"/>
        </w:rPr>
        <w:t>同时环评要求设置1座1500m</w:t>
      </w:r>
      <w:r>
        <w:rPr>
          <w:rFonts w:hint="eastAsia" w:hAnsi="宋体"/>
          <w:highlight w:val="none"/>
          <w:vertAlign w:val="superscript"/>
        </w:rPr>
        <w:t>3</w:t>
      </w:r>
      <w:r>
        <w:rPr>
          <w:rFonts w:hint="eastAsia" w:hAnsi="宋体"/>
          <w:highlight w:val="none"/>
        </w:rPr>
        <w:t>的事故水池，在事故事态下完全可以容纳全部的尾矿浆，保证尾矿浆不外排。</w:t>
      </w:r>
    </w:p>
    <w:p>
      <w:pPr>
        <w:pStyle w:val="4"/>
        <w:ind w:firstLine="562"/>
        <w:rPr>
          <w:rFonts w:hAnsi="宋体"/>
          <w:highlight w:val="none"/>
        </w:rPr>
      </w:pPr>
      <w:r>
        <w:rPr>
          <w:rFonts w:hAnsi="宋体"/>
          <w:highlight w:val="none"/>
        </w:rPr>
        <w:t>3.</w:t>
      </w:r>
      <w:r>
        <w:rPr>
          <w:rFonts w:hint="eastAsia" w:hAnsi="宋体"/>
          <w:highlight w:val="none"/>
        </w:rPr>
        <w:t>1</w:t>
      </w:r>
      <w:r>
        <w:rPr>
          <w:rFonts w:hAnsi="宋体"/>
          <w:highlight w:val="none"/>
        </w:rPr>
        <w:t>.</w:t>
      </w:r>
      <w:r>
        <w:rPr>
          <w:rFonts w:hint="eastAsia" w:hAnsi="宋体"/>
          <w:highlight w:val="none"/>
        </w:rPr>
        <w:t>6</w:t>
      </w:r>
      <w:r>
        <w:rPr>
          <w:rFonts w:hAnsi="宋体"/>
          <w:highlight w:val="none"/>
        </w:rPr>
        <w:t>物料平衡</w:t>
      </w:r>
    </w:p>
    <w:p>
      <w:pPr>
        <w:pStyle w:val="62"/>
        <w:ind w:firstLine="480"/>
        <w:rPr>
          <w:rFonts w:hAnsi="宋体"/>
          <w:highlight w:val="none"/>
        </w:rPr>
      </w:pPr>
      <w:r>
        <w:rPr>
          <w:rFonts w:hAnsi="宋体"/>
          <w:highlight w:val="none"/>
        </w:rPr>
        <w:t>本项目年选原矿</w:t>
      </w:r>
      <w:r>
        <w:rPr>
          <w:rFonts w:hAnsi="宋体" w:cs="hakuyoxingshu7000"/>
          <w:highlight w:val="none"/>
        </w:rPr>
        <w:t>30</w:t>
      </w:r>
      <w:r>
        <w:rPr>
          <w:rFonts w:hAnsi="宋体"/>
          <w:highlight w:val="none"/>
        </w:rPr>
        <w:t>万吨</w:t>
      </w:r>
      <w:r>
        <w:rPr>
          <w:rFonts w:hAnsi="宋体"/>
          <w:spacing w:val="-8"/>
          <w:highlight w:val="none"/>
        </w:rPr>
        <w:t>，</w:t>
      </w:r>
      <w:r>
        <w:rPr>
          <w:rFonts w:hAnsi="宋体"/>
          <w:highlight w:val="none"/>
        </w:rPr>
        <w:t>年产铁品位</w:t>
      </w:r>
      <w:r>
        <w:rPr>
          <w:rFonts w:hint="eastAsia" w:hAnsi="宋体" w:cs="hakuyoxingshu7000"/>
          <w:highlight w:val="none"/>
        </w:rPr>
        <w:t>58</w:t>
      </w:r>
      <w:r>
        <w:rPr>
          <w:rFonts w:hAnsi="宋体" w:cs="hakuyoxingshu7000"/>
          <w:highlight w:val="none"/>
        </w:rPr>
        <w:t>%</w:t>
      </w:r>
      <w:r>
        <w:rPr>
          <w:rFonts w:hAnsi="宋体"/>
          <w:highlight w:val="none"/>
        </w:rPr>
        <w:t>精粉</w:t>
      </w:r>
      <w:r>
        <w:rPr>
          <w:rFonts w:hint="eastAsia" w:hAnsi="宋体" w:cs="hakuyoxingshu7000"/>
          <w:highlight w:val="none"/>
        </w:rPr>
        <w:t>8.79</w:t>
      </w:r>
      <w:r>
        <w:rPr>
          <w:rFonts w:hAnsi="宋体"/>
          <w:highlight w:val="none"/>
        </w:rPr>
        <w:t>万吨</w:t>
      </w:r>
      <w:r>
        <w:rPr>
          <w:rFonts w:hAnsi="宋体"/>
          <w:spacing w:val="-8"/>
          <w:highlight w:val="none"/>
        </w:rPr>
        <w:t>，</w:t>
      </w:r>
      <w:r>
        <w:rPr>
          <w:rFonts w:hAnsi="宋体"/>
          <w:highlight w:val="none"/>
        </w:rPr>
        <w:t>副产尾矿</w:t>
      </w:r>
      <w:r>
        <w:rPr>
          <w:rFonts w:hint="eastAsia" w:hAnsi="宋体" w:cs="hakuyoxingshu7000"/>
          <w:highlight w:val="none"/>
        </w:rPr>
        <w:t>21.21</w:t>
      </w:r>
      <w:r>
        <w:rPr>
          <w:rFonts w:hAnsi="宋体"/>
          <w:highlight w:val="none"/>
        </w:rPr>
        <w:t>万吨</w:t>
      </w:r>
      <w:r>
        <w:rPr>
          <w:rFonts w:hAnsi="宋体" w:cs="hakuyoxingshu7000"/>
          <w:highlight w:val="none"/>
        </w:rPr>
        <w:t>/</w:t>
      </w:r>
      <w:r>
        <w:rPr>
          <w:rFonts w:hAnsi="宋体"/>
          <w:spacing w:val="-29"/>
          <w:highlight w:val="none"/>
        </w:rPr>
        <w:t>年</w:t>
      </w:r>
      <w:r>
        <w:rPr>
          <w:rFonts w:hAnsi="宋体"/>
          <w:highlight w:val="none"/>
        </w:rPr>
        <w:t>（</w:t>
      </w:r>
      <w:r>
        <w:rPr>
          <w:rFonts w:hint="eastAsia" w:hAnsi="宋体"/>
          <w:highlight w:val="none"/>
        </w:rPr>
        <w:t>废石</w:t>
      </w:r>
      <w:r>
        <w:rPr>
          <w:rFonts w:hint="eastAsia" w:hAnsi="宋体" w:cs="hakuyoxingshu7000"/>
          <w:highlight w:val="none"/>
        </w:rPr>
        <w:t>19.8</w:t>
      </w:r>
      <w:r>
        <w:rPr>
          <w:rFonts w:hAnsi="宋体"/>
          <w:highlight w:val="none"/>
        </w:rPr>
        <w:t>万吨</w:t>
      </w:r>
      <w:r>
        <w:rPr>
          <w:rFonts w:hAnsi="宋体"/>
          <w:spacing w:val="-32"/>
          <w:highlight w:val="none"/>
        </w:rPr>
        <w:t>、</w:t>
      </w:r>
      <w:r>
        <w:rPr>
          <w:rFonts w:hAnsi="宋体"/>
          <w:highlight w:val="none"/>
        </w:rPr>
        <w:t>粗砂</w:t>
      </w:r>
      <w:r>
        <w:rPr>
          <w:rFonts w:hint="eastAsia" w:hAnsi="宋体" w:cs="hakuyoxingshu7000"/>
          <w:highlight w:val="none"/>
        </w:rPr>
        <w:t>1.11</w:t>
      </w:r>
      <w:r>
        <w:rPr>
          <w:rFonts w:hAnsi="宋体"/>
          <w:spacing w:val="4"/>
          <w:highlight w:val="none"/>
        </w:rPr>
        <w:t>万吨、</w:t>
      </w:r>
      <w:r>
        <w:rPr>
          <w:rFonts w:hint="eastAsia" w:hAnsi="宋体"/>
          <w:spacing w:val="4"/>
          <w:highlight w:val="none"/>
        </w:rPr>
        <w:t>尾</w:t>
      </w:r>
      <w:r>
        <w:rPr>
          <w:rFonts w:hAnsi="宋体"/>
          <w:highlight w:val="none"/>
        </w:rPr>
        <w:t>砂</w:t>
      </w:r>
      <w:r>
        <w:rPr>
          <w:rFonts w:hint="eastAsia" w:hAnsi="宋体" w:cs="hakuyoxingshu7000"/>
          <w:highlight w:val="none"/>
        </w:rPr>
        <w:t>0.3</w:t>
      </w:r>
      <w:r>
        <w:rPr>
          <w:rFonts w:hAnsi="宋体"/>
          <w:spacing w:val="4"/>
          <w:highlight w:val="none"/>
        </w:rPr>
        <w:t>万</w:t>
      </w:r>
      <w:r>
        <w:rPr>
          <w:rFonts w:hAnsi="宋体"/>
          <w:spacing w:val="2"/>
          <w:highlight w:val="none"/>
        </w:rPr>
        <w:t>吨</w:t>
      </w:r>
      <w:r>
        <w:rPr>
          <w:rFonts w:hAnsi="宋体"/>
          <w:spacing w:val="4"/>
          <w:highlight w:val="none"/>
        </w:rPr>
        <w:t>）</w:t>
      </w:r>
      <w:r>
        <w:rPr>
          <w:rFonts w:hAnsi="宋体"/>
          <w:spacing w:val="7"/>
          <w:highlight w:val="none"/>
        </w:rPr>
        <w:t>。</w:t>
      </w:r>
      <w:r>
        <w:rPr>
          <w:rFonts w:hAnsi="宋体"/>
          <w:spacing w:val="4"/>
          <w:highlight w:val="none"/>
        </w:rPr>
        <w:t>投入产出平衡</w:t>
      </w:r>
      <w:r>
        <w:rPr>
          <w:rFonts w:hAnsi="宋体"/>
          <w:spacing w:val="2"/>
          <w:highlight w:val="none"/>
        </w:rPr>
        <w:t>表</w:t>
      </w:r>
      <w:r>
        <w:rPr>
          <w:rFonts w:hAnsi="宋体"/>
          <w:spacing w:val="4"/>
          <w:highlight w:val="none"/>
        </w:rPr>
        <w:t>情况见</w:t>
      </w:r>
      <w:r>
        <w:rPr>
          <w:rFonts w:hAnsi="宋体"/>
          <w:highlight w:val="none"/>
        </w:rPr>
        <w:t>表3.</w:t>
      </w:r>
      <w:r>
        <w:rPr>
          <w:rFonts w:hint="eastAsia" w:hAnsi="宋体"/>
          <w:highlight w:val="none"/>
        </w:rPr>
        <w:t>1</w:t>
      </w:r>
      <w:r>
        <w:rPr>
          <w:rFonts w:hAnsi="宋体"/>
          <w:highlight w:val="none"/>
        </w:rPr>
        <w:t>-</w:t>
      </w:r>
      <w:r>
        <w:rPr>
          <w:rFonts w:hint="eastAsia" w:hAnsi="宋体"/>
          <w:highlight w:val="none"/>
        </w:rPr>
        <w:t>5</w:t>
      </w:r>
      <w:r>
        <w:rPr>
          <w:rFonts w:hAnsi="宋体"/>
          <w:spacing w:val="4"/>
          <w:highlight w:val="none"/>
        </w:rPr>
        <w:t>，数量质量平衡图</w:t>
      </w:r>
      <w:r>
        <w:rPr>
          <w:rFonts w:hAnsi="宋体"/>
          <w:spacing w:val="2"/>
          <w:highlight w:val="none"/>
        </w:rPr>
        <w:t>见</w:t>
      </w:r>
      <w:r>
        <w:rPr>
          <w:rFonts w:hAnsi="宋体"/>
          <w:highlight w:val="none"/>
        </w:rPr>
        <w:t>图</w:t>
      </w:r>
      <w:r>
        <w:rPr>
          <w:rFonts w:hAnsi="宋体" w:cs="hakuyoxingshu7000"/>
          <w:highlight w:val="none"/>
        </w:rPr>
        <w:t>3</w:t>
      </w:r>
      <w:r>
        <w:rPr>
          <w:rFonts w:hAnsi="宋体" w:cs="hakuyoxingshu7000"/>
          <w:spacing w:val="-2"/>
          <w:highlight w:val="none"/>
        </w:rPr>
        <w:t>-</w:t>
      </w:r>
      <w:r>
        <w:rPr>
          <w:rFonts w:hint="eastAsia" w:hAnsi="宋体" w:cs="hakuyoxingshu7000"/>
          <w:highlight w:val="none"/>
        </w:rPr>
        <w:t>2</w:t>
      </w:r>
      <w:r>
        <w:rPr>
          <w:rFonts w:hAnsi="宋体" w:cs="hakuyoxingshu7000"/>
          <w:highlight w:val="none"/>
        </w:rPr>
        <w:t>，</w:t>
      </w:r>
      <w:r>
        <w:rPr>
          <w:rFonts w:hint="eastAsia" w:hAnsi="宋体" w:cs="hakuyoxingshu7000"/>
          <w:highlight w:val="none"/>
        </w:rPr>
        <w:t>铁金属平衡分析</w:t>
      </w:r>
      <w:r>
        <w:rPr>
          <w:rFonts w:hAnsi="宋体"/>
          <w:spacing w:val="4"/>
          <w:highlight w:val="none"/>
        </w:rPr>
        <w:t>图</w:t>
      </w:r>
      <w:r>
        <w:rPr>
          <w:rFonts w:hAnsi="宋体"/>
          <w:spacing w:val="2"/>
          <w:highlight w:val="none"/>
        </w:rPr>
        <w:t>见</w:t>
      </w:r>
      <w:r>
        <w:rPr>
          <w:rFonts w:hAnsi="宋体"/>
          <w:highlight w:val="none"/>
        </w:rPr>
        <w:t>图</w:t>
      </w:r>
      <w:r>
        <w:rPr>
          <w:rFonts w:hAnsi="宋体" w:cs="hakuyoxingshu7000"/>
          <w:highlight w:val="none"/>
        </w:rPr>
        <w:t>3</w:t>
      </w:r>
      <w:r>
        <w:rPr>
          <w:rFonts w:hAnsi="宋体" w:cs="hakuyoxingshu7000"/>
          <w:spacing w:val="-2"/>
          <w:highlight w:val="none"/>
        </w:rPr>
        <w:t>-</w:t>
      </w:r>
      <w:r>
        <w:rPr>
          <w:rFonts w:hint="eastAsia" w:hAnsi="宋体" w:cs="hakuyoxingshu7000"/>
          <w:highlight w:val="none"/>
        </w:rPr>
        <w:t>3</w:t>
      </w:r>
      <w:r>
        <w:rPr>
          <w:rFonts w:hAnsi="宋体"/>
          <w:highlight w:val="none"/>
        </w:rPr>
        <w:t>。</w:t>
      </w:r>
    </w:p>
    <w:p>
      <w:pPr>
        <w:pStyle w:val="65"/>
        <w:rPr>
          <w:rFonts w:hAnsi="宋体"/>
          <w:highlight w:val="none"/>
        </w:rPr>
      </w:pPr>
      <w:r>
        <w:rPr>
          <w:rFonts w:hAnsi="宋体"/>
          <w:highlight w:val="none"/>
        </w:rPr>
        <w:t>表3.</w:t>
      </w:r>
      <w:r>
        <w:rPr>
          <w:rFonts w:hint="eastAsia" w:hAnsi="宋体"/>
          <w:highlight w:val="none"/>
        </w:rPr>
        <w:t>1</w:t>
      </w:r>
      <w:r>
        <w:rPr>
          <w:rFonts w:hAnsi="宋体"/>
          <w:highlight w:val="none"/>
        </w:rPr>
        <w:t>-</w:t>
      </w:r>
      <w:r>
        <w:rPr>
          <w:rFonts w:hint="eastAsia" w:hAnsi="宋体"/>
          <w:highlight w:val="none"/>
        </w:rPr>
        <w:t xml:space="preserve">5  </w:t>
      </w:r>
      <w:r>
        <w:rPr>
          <w:rFonts w:hAnsi="宋体"/>
          <w:highlight w:val="none"/>
        </w:rPr>
        <w:t>项</w:t>
      </w:r>
      <w:r>
        <w:rPr>
          <w:rFonts w:hAnsi="宋体"/>
          <w:spacing w:val="2"/>
          <w:highlight w:val="none"/>
        </w:rPr>
        <w:t>目</w:t>
      </w:r>
      <w:r>
        <w:rPr>
          <w:rFonts w:hAnsi="宋体"/>
          <w:highlight w:val="none"/>
        </w:rPr>
        <w:t>投</w:t>
      </w:r>
      <w:r>
        <w:rPr>
          <w:rFonts w:hAnsi="宋体"/>
          <w:spacing w:val="2"/>
          <w:highlight w:val="none"/>
        </w:rPr>
        <w:t>入</w:t>
      </w:r>
      <w:r>
        <w:rPr>
          <w:rFonts w:hAnsi="宋体"/>
          <w:highlight w:val="none"/>
        </w:rPr>
        <w:t>产出</w:t>
      </w:r>
      <w:r>
        <w:rPr>
          <w:rFonts w:hAnsi="宋体"/>
          <w:spacing w:val="2"/>
          <w:highlight w:val="none"/>
        </w:rPr>
        <w:t>平</w:t>
      </w:r>
      <w:r>
        <w:rPr>
          <w:rFonts w:hAnsi="宋体"/>
          <w:highlight w:val="none"/>
        </w:rPr>
        <w:t>衡表</w:t>
      </w:r>
    </w:p>
    <w:p>
      <w:pPr>
        <w:spacing w:before="7" w:line="30" w:lineRule="exact"/>
        <w:ind w:firstLine="0" w:firstLineChars="0"/>
        <w:jc w:val="left"/>
        <w:rPr>
          <w:rFonts w:ascii="宋体" w:hAnsi="宋体"/>
          <w:kern w:val="0"/>
          <w:sz w:val="4"/>
          <w:szCs w:val="4"/>
          <w:highlight w:val="none"/>
        </w:rPr>
      </w:pPr>
    </w:p>
    <w:tbl>
      <w:tblPr>
        <w:tblStyle w:val="74"/>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91"/>
        <w:gridCol w:w="654"/>
        <w:gridCol w:w="914"/>
        <w:gridCol w:w="1327"/>
        <w:gridCol w:w="1050"/>
        <w:gridCol w:w="1327"/>
        <w:gridCol w:w="1314"/>
        <w:gridCol w:w="157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91" w:type="dxa"/>
            <w:vMerge w:val="restart"/>
            <w:vAlign w:val="center"/>
          </w:tcPr>
          <w:p>
            <w:pPr>
              <w:pStyle w:val="64"/>
              <w:widowControl w:val="0"/>
              <w:rPr>
                <w:rFonts w:hAnsi="宋体"/>
                <w:highlight w:val="none"/>
                <w:lang w:eastAsia="en-US"/>
              </w:rPr>
            </w:pPr>
            <w:r>
              <w:rPr>
                <w:rFonts w:hAnsi="宋体"/>
                <w:highlight w:val="none"/>
                <w:lang w:eastAsia="en-US"/>
              </w:rPr>
              <w:t>序</w:t>
            </w:r>
          </w:p>
          <w:p>
            <w:pPr>
              <w:pStyle w:val="64"/>
              <w:widowControl w:val="0"/>
              <w:rPr>
                <w:rFonts w:hAnsi="宋体"/>
                <w:highlight w:val="none"/>
                <w:lang w:eastAsia="en-US"/>
              </w:rPr>
            </w:pPr>
            <w:r>
              <w:rPr>
                <w:rFonts w:hAnsi="宋体"/>
                <w:highlight w:val="none"/>
                <w:lang w:eastAsia="en-US"/>
              </w:rPr>
              <w:t>号</w:t>
            </w:r>
          </w:p>
        </w:tc>
        <w:tc>
          <w:tcPr>
            <w:tcW w:w="1568" w:type="dxa"/>
            <w:gridSpan w:val="2"/>
            <w:vMerge w:val="restart"/>
            <w:vAlign w:val="center"/>
          </w:tcPr>
          <w:p>
            <w:pPr>
              <w:pStyle w:val="64"/>
              <w:widowControl w:val="0"/>
              <w:rPr>
                <w:rFonts w:hAnsi="宋体"/>
                <w:highlight w:val="none"/>
                <w:lang w:eastAsia="en-US"/>
              </w:rPr>
            </w:pPr>
            <w:r>
              <w:rPr>
                <w:rFonts w:hAnsi="宋体"/>
                <w:spacing w:val="-1"/>
                <w:highlight w:val="none"/>
                <w:lang w:eastAsia="en-US"/>
              </w:rPr>
              <w:t>品</w:t>
            </w:r>
            <w:r>
              <w:rPr>
                <w:rFonts w:hAnsi="宋体"/>
                <w:highlight w:val="none"/>
                <w:lang w:eastAsia="en-US"/>
              </w:rPr>
              <w:t>名</w:t>
            </w:r>
          </w:p>
        </w:tc>
        <w:tc>
          <w:tcPr>
            <w:tcW w:w="5018" w:type="dxa"/>
            <w:gridSpan w:val="4"/>
            <w:vAlign w:val="center"/>
          </w:tcPr>
          <w:p>
            <w:pPr>
              <w:pStyle w:val="64"/>
              <w:widowControl w:val="0"/>
              <w:rPr>
                <w:rFonts w:hAnsi="宋体"/>
                <w:highlight w:val="none"/>
                <w:lang w:eastAsia="en-US"/>
              </w:rPr>
            </w:pPr>
            <w:r>
              <w:rPr>
                <w:rFonts w:hAnsi="宋体"/>
                <w:spacing w:val="-1"/>
                <w:highlight w:val="none"/>
                <w:lang w:eastAsia="en-US"/>
              </w:rPr>
              <w:t>数</w:t>
            </w:r>
            <w:r>
              <w:rPr>
                <w:rFonts w:hAnsi="宋体"/>
                <w:highlight w:val="none"/>
                <w:lang w:eastAsia="en-US"/>
              </w:rPr>
              <w:t>量</w:t>
            </w:r>
          </w:p>
        </w:tc>
        <w:tc>
          <w:tcPr>
            <w:tcW w:w="1573" w:type="dxa"/>
            <w:vMerge w:val="restart"/>
            <w:vAlign w:val="center"/>
          </w:tcPr>
          <w:p>
            <w:pPr>
              <w:pStyle w:val="64"/>
              <w:widowControl w:val="0"/>
              <w:rPr>
                <w:rFonts w:hAnsi="宋体"/>
                <w:highlight w:val="none"/>
                <w:lang w:eastAsia="en-US"/>
              </w:rPr>
            </w:pPr>
            <w:r>
              <w:rPr>
                <w:rFonts w:hAnsi="宋体"/>
                <w:spacing w:val="-2"/>
                <w:w w:val="105"/>
                <w:highlight w:val="none"/>
                <w:lang w:eastAsia="en-US"/>
              </w:rPr>
              <w:t>品</w:t>
            </w:r>
            <w:r>
              <w:rPr>
                <w:rFonts w:hAnsi="宋体"/>
                <w:spacing w:val="2"/>
                <w:w w:val="105"/>
                <w:highlight w:val="none"/>
                <w:lang w:eastAsia="en-US"/>
              </w:rPr>
              <w:t>位</w:t>
            </w:r>
            <w:r>
              <w:rPr>
                <w:rFonts w:hAnsi="宋体"/>
                <w:spacing w:val="-2"/>
                <w:w w:val="105"/>
                <w:highlight w:val="none"/>
                <w:lang w:eastAsia="en-US"/>
              </w:rPr>
              <w:t>（</w:t>
            </w:r>
            <w:r>
              <w:rPr>
                <w:rFonts w:hAnsi="宋体" w:cs="hakuyoxingshu7000"/>
                <w:spacing w:val="-1"/>
                <w:w w:val="105"/>
                <w:highlight w:val="none"/>
                <w:lang w:eastAsia="en-US"/>
              </w:rPr>
              <w:t>F</w:t>
            </w:r>
            <w:r>
              <w:rPr>
                <w:rFonts w:hAnsi="宋体" w:cs="hakuyoxingshu7000"/>
                <w:spacing w:val="1"/>
                <w:w w:val="105"/>
                <w:highlight w:val="none"/>
                <w:lang w:eastAsia="en-US"/>
              </w:rPr>
              <w:t>e</w:t>
            </w:r>
            <w:r>
              <w:rPr>
                <w:rFonts w:hAnsi="宋体" w:cs="hakuyoxingshu7000"/>
                <w:w w:val="105"/>
                <w:highlight w:val="none"/>
                <w:lang w:eastAsia="en-US"/>
              </w:rPr>
              <w:t>%</w:t>
            </w:r>
            <w:r>
              <w:rPr>
                <w:rFonts w:hAnsi="宋体"/>
                <w:w w:val="105"/>
                <w:highlight w:val="none"/>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91" w:type="dxa"/>
            <w:vMerge w:val="continue"/>
            <w:vAlign w:val="center"/>
          </w:tcPr>
          <w:p>
            <w:pPr>
              <w:pStyle w:val="64"/>
              <w:widowControl w:val="0"/>
              <w:rPr>
                <w:rFonts w:hAnsi="宋体"/>
                <w:sz w:val="22"/>
                <w:szCs w:val="22"/>
                <w:highlight w:val="none"/>
                <w:lang w:eastAsia="en-US"/>
              </w:rPr>
            </w:pPr>
          </w:p>
        </w:tc>
        <w:tc>
          <w:tcPr>
            <w:tcW w:w="1568" w:type="dxa"/>
            <w:gridSpan w:val="2"/>
            <w:vMerge w:val="continue"/>
            <w:vAlign w:val="center"/>
          </w:tcPr>
          <w:p>
            <w:pPr>
              <w:pStyle w:val="64"/>
              <w:widowControl w:val="0"/>
              <w:rPr>
                <w:rFonts w:hAnsi="宋体"/>
                <w:sz w:val="22"/>
                <w:szCs w:val="22"/>
                <w:highlight w:val="none"/>
                <w:lang w:eastAsia="en-US"/>
              </w:rPr>
            </w:pPr>
          </w:p>
        </w:tc>
        <w:tc>
          <w:tcPr>
            <w:tcW w:w="1327" w:type="dxa"/>
            <w:vAlign w:val="center"/>
          </w:tcPr>
          <w:p>
            <w:pPr>
              <w:pStyle w:val="64"/>
              <w:widowControl w:val="0"/>
              <w:rPr>
                <w:rFonts w:hAnsi="宋体" w:cs="hakuyoxingshu7000"/>
                <w:highlight w:val="none"/>
                <w:lang w:eastAsia="en-US"/>
              </w:rPr>
            </w:pPr>
            <w:r>
              <w:rPr>
                <w:rFonts w:hAnsi="宋体"/>
                <w:spacing w:val="-1"/>
                <w:highlight w:val="none"/>
                <w:lang w:eastAsia="en-US"/>
              </w:rPr>
              <w:t>产</w:t>
            </w:r>
            <w:r>
              <w:rPr>
                <w:rFonts w:hAnsi="宋体"/>
                <w:spacing w:val="2"/>
                <w:highlight w:val="none"/>
                <w:lang w:eastAsia="en-US"/>
              </w:rPr>
              <w:t>率</w:t>
            </w:r>
            <w:r>
              <w:rPr>
                <w:rFonts w:hAnsi="宋体" w:cs="hakuyoxingshu7000"/>
                <w:highlight w:val="none"/>
                <w:lang w:eastAsia="en-US"/>
              </w:rPr>
              <w:t>(</w:t>
            </w:r>
            <w:r>
              <w:rPr>
                <w:rFonts w:hAnsi="宋体" w:cs="hakuyoxingshu7000"/>
                <w:spacing w:val="-2"/>
                <w:highlight w:val="none"/>
                <w:lang w:eastAsia="en-US"/>
              </w:rPr>
              <w:t>%</w:t>
            </w:r>
            <w:r>
              <w:rPr>
                <w:rFonts w:hAnsi="宋体" w:cs="hakuyoxingshu7000"/>
                <w:highlight w:val="none"/>
                <w:lang w:eastAsia="en-US"/>
              </w:rPr>
              <w:t>)</w:t>
            </w:r>
          </w:p>
        </w:tc>
        <w:tc>
          <w:tcPr>
            <w:tcW w:w="1050" w:type="dxa"/>
            <w:vAlign w:val="center"/>
          </w:tcPr>
          <w:p>
            <w:pPr>
              <w:pStyle w:val="64"/>
              <w:widowControl w:val="0"/>
              <w:rPr>
                <w:rFonts w:hAnsi="宋体" w:cs="hakuyoxingshu7000"/>
                <w:highlight w:val="none"/>
                <w:lang w:eastAsia="en-US"/>
              </w:rPr>
            </w:pPr>
            <w:r>
              <w:rPr>
                <w:rFonts w:hAnsi="宋体" w:cs="hakuyoxingshu7000"/>
                <w:w w:val="85"/>
                <w:highlight w:val="none"/>
                <w:lang w:eastAsia="en-US"/>
              </w:rPr>
              <w:t>(</w:t>
            </w:r>
            <w:r>
              <w:rPr>
                <w:rFonts w:hAnsi="宋体"/>
                <w:spacing w:val="-1"/>
                <w:w w:val="85"/>
                <w:highlight w:val="none"/>
                <w:lang w:eastAsia="en-US"/>
              </w:rPr>
              <w:t>吨</w:t>
            </w:r>
            <w:r>
              <w:rPr>
                <w:rFonts w:hAnsi="宋体" w:cs="hakuyoxingshu7000"/>
                <w:spacing w:val="3"/>
                <w:w w:val="85"/>
                <w:highlight w:val="none"/>
                <w:lang w:eastAsia="en-US"/>
              </w:rPr>
              <w:t>/</w:t>
            </w:r>
            <w:r>
              <w:rPr>
                <w:rFonts w:hAnsi="宋体"/>
                <w:spacing w:val="-1"/>
                <w:w w:val="85"/>
                <w:highlight w:val="none"/>
                <w:lang w:eastAsia="en-US"/>
              </w:rPr>
              <w:t>时</w:t>
            </w:r>
            <w:r>
              <w:rPr>
                <w:rFonts w:hAnsi="宋体" w:cs="hakuyoxingshu7000"/>
                <w:w w:val="85"/>
                <w:highlight w:val="none"/>
                <w:lang w:eastAsia="en-US"/>
              </w:rPr>
              <w:t>)</w:t>
            </w:r>
          </w:p>
        </w:tc>
        <w:tc>
          <w:tcPr>
            <w:tcW w:w="1327" w:type="dxa"/>
            <w:vAlign w:val="center"/>
          </w:tcPr>
          <w:p>
            <w:pPr>
              <w:pStyle w:val="64"/>
              <w:widowControl w:val="0"/>
              <w:rPr>
                <w:rFonts w:hAnsi="宋体" w:cs="hakuyoxingshu7000"/>
                <w:highlight w:val="none"/>
                <w:lang w:eastAsia="en-US"/>
              </w:rPr>
            </w:pPr>
            <w:r>
              <w:rPr>
                <w:rFonts w:hAnsi="宋体" w:cs="hakuyoxingshu7000"/>
                <w:w w:val="85"/>
                <w:highlight w:val="none"/>
                <w:lang w:eastAsia="en-US"/>
              </w:rPr>
              <w:t>(</w:t>
            </w:r>
            <w:r>
              <w:rPr>
                <w:rFonts w:hAnsi="宋体"/>
                <w:spacing w:val="1"/>
                <w:w w:val="85"/>
                <w:highlight w:val="none"/>
                <w:lang w:eastAsia="en-US"/>
              </w:rPr>
              <w:t>吨</w:t>
            </w:r>
            <w:r>
              <w:rPr>
                <w:rFonts w:hAnsi="宋体" w:cs="hakuyoxingshu7000"/>
                <w:spacing w:val="-2"/>
                <w:w w:val="85"/>
                <w:highlight w:val="none"/>
                <w:lang w:eastAsia="en-US"/>
              </w:rPr>
              <w:t>/</w:t>
            </w:r>
            <w:r>
              <w:rPr>
                <w:rFonts w:hAnsi="宋体"/>
                <w:spacing w:val="1"/>
                <w:w w:val="85"/>
                <w:highlight w:val="none"/>
                <w:lang w:eastAsia="en-US"/>
              </w:rPr>
              <w:t>日</w:t>
            </w:r>
            <w:r>
              <w:rPr>
                <w:rFonts w:hAnsi="宋体" w:cs="hakuyoxingshu7000"/>
                <w:w w:val="85"/>
                <w:highlight w:val="none"/>
                <w:lang w:eastAsia="en-US"/>
              </w:rPr>
              <w:t>)</w:t>
            </w:r>
          </w:p>
        </w:tc>
        <w:tc>
          <w:tcPr>
            <w:tcW w:w="1314" w:type="dxa"/>
            <w:vAlign w:val="center"/>
          </w:tcPr>
          <w:p>
            <w:pPr>
              <w:pStyle w:val="64"/>
              <w:widowControl w:val="0"/>
              <w:rPr>
                <w:rFonts w:hAnsi="宋体" w:cs="hakuyoxingshu7000"/>
                <w:highlight w:val="none"/>
                <w:lang w:eastAsia="en-US"/>
              </w:rPr>
            </w:pPr>
            <w:r>
              <w:rPr>
                <w:rFonts w:hAnsi="宋体" w:cs="hakuyoxingshu7000"/>
                <w:w w:val="85"/>
                <w:highlight w:val="none"/>
                <w:lang w:eastAsia="en-US"/>
              </w:rPr>
              <w:t>(</w:t>
            </w:r>
            <w:r>
              <w:rPr>
                <w:rFonts w:hAnsi="宋体"/>
                <w:spacing w:val="-1"/>
                <w:w w:val="85"/>
                <w:highlight w:val="none"/>
                <w:lang w:eastAsia="en-US"/>
              </w:rPr>
              <w:t>万</w:t>
            </w:r>
            <w:r>
              <w:rPr>
                <w:rFonts w:hAnsi="宋体"/>
                <w:spacing w:val="1"/>
                <w:w w:val="85"/>
                <w:highlight w:val="none"/>
                <w:lang w:eastAsia="en-US"/>
              </w:rPr>
              <w:t>吨</w:t>
            </w:r>
            <w:r>
              <w:rPr>
                <w:rFonts w:hAnsi="宋体" w:cs="hakuyoxingshu7000"/>
                <w:spacing w:val="-2"/>
                <w:w w:val="85"/>
                <w:highlight w:val="none"/>
                <w:lang w:eastAsia="en-US"/>
              </w:rPr>
              <w:t>/</w:t>
            </w:r>
            <w:r>
              <w:rPr>
                <w:rFonts w:hAnsi="宋体"/>
                <w:spacing w:val="1"/>
                <w:w w:val="85"/>
                <w:highlight w:val="none"/>
                <w:lang w:eastAsia="en-US"/>
              </w:rPr>
              <w:t>年</w:t>
            </w:r>
            <w:r>
              <w:rPr>
                <w:rFonts w:hAnsi="宋体" w:cs="hakuyoxingshu7000"/>
                <w:w w:val="85"/>
                <w:highlight w:val="none"/>
                <w:lang w:eastAsia="en-US"/>
              </w:rPr>
              <w:t>)</w:t>
            </w:r>
          </w:p>
        </w:tc>
        <w:tc>
          <w:tcPr>
            <w:tcW w:w="1573" w:type="dxa"/>
            <w:vMerge w:val="continue"/>
            <w:vAlign w:val="center"/>
          </w:tcPr>
          <w:p>
            <w:pPr>
              <w:pStyle w:val="64"/>
              <w:widowControl w:val="0"/>
              <w:rPr>
                <w:rFonts w:hAnsi="宋体"/>
                <w:sz w:val="22"/>
                <w:szCs w:val="22"/>
                <w:highlight w:val="none"/>
                <w:lang w:eastAsia="en-US"/>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91" w:type="dxa"/>
            <w:vAlign w:val="center"/>
          </w:tcPr>
          <w:p>
            <w:pPr>
              <w:pStyle w:val="64"/>
              <w:widowControl w:val="0"/>
              <w:rPr>
                <w:rFonts w:hAnsi="宋体" w:cs="hakuyoxingshu7000"/>
                <w:highlight w:val="none"/>
                <w:lang w:eastAsia="en-US"/>
              </w:rPr>
            </w:pPr>
            <w:r>
              <w:rPr>
                <w:rFonts w:hAnsi="宋体" w:cs="hakuyoxingshu7000"/>
                <w:highlight w:val="none"/>
                <w:lang w:eastAsia="en-US"/>
              </w:rPr>
              <w:t>1</w:t>
            </w:r>
          </w:p>
        </w:tc>
        <w:tc>
          <w:tcPr>
            <w:tcW w:w="1568" w:type="dxa"/>
            <w:gridSpan w:val="2"/>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采矿废石</w:t>
            </w:r>
          </w:p>
        </w:tc>
        <w:tc>
          <w:tcPr>
            <w:tcW w:w="1327" w:type="dxa"/>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100</w:t>
            </w:r>
          </w:p>
        </w:tc>
        <w:tc>
          <w:tcPr>
            <w:tcW w:w="1050"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41.67</w:t>
            </w:r>
          </w:p>
        </w:tc>
        <w:tc>
          <w:tcPr>
            <w:tcW w:w="1327" w:type="dxa"/>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1000</w:t>
            </w:r>
          </w:p>
        </w:tc>
        <w:tc>
          <w:tcPr>
            <w:tcW w:w="1314" w:type="dxa"/>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30</w:t>
            </w:r>
          </w:p>
        </w:tc>
        <w:tc>
          <w:tcPr>
            <w:tcW w:w="1573"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19.5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91" w:type="dxa"/>
            <w:vAlign w:val="center"/>
          </w:tcPr>
          <w:p>
            <w:pPr>
              <w:pStyle w:val="64"/>
              <w:widowControl w:val="0"/>
              <w:rPr>
                <w:rFonts w:hAnsi="宋体" w:cs="hakuyoxingshu7000"/>
                <w:highlight w:val="none"/>
                <w:lang w:eastAsia="en-US"/>
              </w:rPr>
            </w:pPr>
            <w:r>
              <w:rPr>
                <w:rFonts w:hAnsi="宋体" w:cs="hakuyoxingshu7000"/>
                <w:highlight w:val="none"/>
                <w:lang w:eastAsia="en-US"/>
              </w:rPr>
              <w:t>2</w:t>
            </w:r>
          </w:p>
        </w:tc>
        <w:tc>
          <w:tcPr>
            <w:tcW w:w="1568" w:type="dxa"/>
            <w:gridSpan w:val="2"/>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铁精矿粉</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29.3</w:t>
            </w:r>
          </w:p>
        </w:tc>
        <w:tc>
          <w:tcPr>
            <w:tcW w:w="1050"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12.21</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293</w:t>
            </w:r>
          </w:p>
        </w:tc>
        <w:tc>
          <w:tcPr>
            <w:tcW w:w="1314"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8.79</w:t>
            </w:r>
          </w:p>
        </w:tc>
        <w:tc>
          <w:tcPr>
            <w:tcW w:w="1573"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58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91" w:type="dxa"/>
            <w:vAlign w:val="center"/>
          </w:tcPr>
          <w:p>
            <w:pPr>
              <w:pStyle w:val="64"/>
              <w:widowControl w:val="0"/>
              <w:rPr>
                <w:rFonts w:hAnsi="宋体" w:cs="hakuyoxingshu7000"/>
                <w:highlight w:val="none"/>
                <w:lang w:eastAsia="en-US"/>
              </w:rPr>
            </w:pPr>
            <w:r>
              <w:rPr>
                <w:rFonts w:hAnsi="宋体" w:cs="hakuyoxingshu7000"/>
                <w:highlight w:val="none"/>
                <w:lang w:eastAsia="en-US"/>
              </w:rPr>
              <w:t>3</w:t>
            </w:r>
          </w:p>
        </w:tc>
        <w:tc>
          <w:tcPr>
            <w:tcW w:w="654" w:type="dxa"/>
            <w:vMerge w:val="restart"/>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尾矿</w:t>
            </w:r>
          </w:p>
        </w:tc>
        <w:tc>
          <w:tcPr>
            <w:tcW w:w="914" w:type="dxa"/>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干砂</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66</w:t>
            </w:r>
          </w:p>
        </w:tc>
        <w:tc>
          <w:tcPr>
            <w:tcW w:w="1050"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27.5</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660</w:t>
            </w:r>
          </w:p>
        </w:tc>
        <w:tc>
          <w:tcPr>
            <w:tcW w:w="1314"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19.8</w:t>
            </w:r>
          </w:p>
        </w:tc>
        <w:tc>
          <w:tcPr>
            <w:tcW w:w="1573"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3.5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91" w:type="dxa"/>
            <w:vAlign w:val="center"/>
          </w:tcPr>
          <w:p>
            <w:pPr>
              <w:pStyle w:val="64"/>
              <w:widowControl w:val="0"/>
              <w:rPr>
                <w:rFonts w:hAnsi="宋体" w:cs="hakuyoxingshu7000"/>
                <w:highlight w:val="none"/>
                <w:lang w:eastAsia="en-US"/>
              </w:rPr>
            </w:pPr>
            <w:r>
              <w:rPr>
                <w:rFonts w:hAnsi="宋体" w:cs="hakuyoxingshu7000"/>
                <w:highlight w:val="none"/>
                <w:lang w:eastAsia="en-US"/>
              </w:rPr>
              <w:t>4</w:t>
            </w:r>
          </w:p>
        </w:tc>
        <w:tc>
          <w:tcPr>
            <w:tcW w:w="654" w:type="dxa"/>
            <w:vMerge w:val="continue"/>
            <w:vAlign w:val="center"/>
          </w:tcPr>
          <w:p>
            <w:pPr>
              <w:pStyle w:val="64"/>
              <w:widowControl w:val="0"/>
              <w:rPr>
                <w:rFonts w:hAnsi="宋体" w:cs="hakuyoxingshu7000"/>
                <w:spacing w:val="1"/>
                <w:highlight w:val="none"/>
                <w:lang w:eastAsia="en-US"/>
              </w:rPr>
            </w:pPr>
          </w:p>
        </w:tc>
        <w:tc>
          <w:tcPr>
            <w:tcW w:w="914" w:type="dxa"/>
            <w:vAlign w:val="center"/>
          </w:tcPr>
          <w:p>
            <w:pPr>
              <w:pStyle w:val="64"/>
              <w:widowControl w:val="0"/>
              <w:rPr>
                <w:rFonts w:hAnsi="宋体" w:cs="hakuyoxingshu7000"/>
                <w:spacing w:val="1"/>
                <w:highlight w:val="none"/>
                <w:lang w:eastAsia="en-US"/>
              </w:rPr>
            </w:pPr>
            <w:r>
              <w:rPr>
                <w:rFonts w:hAnsi="宋体" w:cs="hakuyoxingshu7000"/>
                <w:spacing w:val="1"/>
                <w:highlight w:val="none"/>
                <w:lang w:eastAsia="en-US"/>
              </w:rPr>
              <w:t>粗砂</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3.7</w:t>
            </w:r>
          </w:p>
        </w:tc>
        <w:tc>
          <w:tcPr>
            <w:tcW w:w="1050"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1.54</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37</w:t>
            </w:r>
          </w:p>
        </w:tc>
        <w:tc>
          <w:tcPr>
            <w:tcW w:w="1314"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1.11</w:t>
            </w:r>
          </w:p>
        </w:tc>
        <w:tc>
          <w:tcPr>
            <w:tcW w:w="1573"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2.8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91" w:type="dxa"/>
            <w:vAlign w:val="center"/>
          </w:tcPr>
          <w:p>
            <w:pPr>
              <w:pStyle w:val="64"/>
              <w:widowControl w:val="0"/>
              <w:rPr>
                <w:rFonts w:hAnsi="宋体" w:cs="hakuyoxingshu7000"/>
                <w:highlight w:val="none"/>
                <w:lang w:eastAsia="en-US"/>
              </w:rPr>
            </w:pPr>
            <w:r>
              <w:rPr>
                <w:rFonts w:hAnsi="宋体" w:cs="hakuyoxingshu7000"/>
                <w:highlight w:val="none"/>
                <w:lang w:eastAsia="en-US"/>
              </w:rPr>
              <w:t>5</w:t>
            </w:r>
          </w:p>
        </w:tc>
        <w:tc>
          <w:tcPr>
            <w:tcW w:w="654" w:type="dxa"/>
            <w:vMerge w:val="continue"/>
            <w:vAlign w:val="center"/>
          </w:tcPr>
          <w:p>
            <w:pPr>
              <w:pStyle w:val="64"/>
              <w:widowControl w:val="0"/>
              <w:rPr>
                <w:rFonts w:hAnsi="宋体" w:cs="hakuyoxingshu7000"/>
                <w:spacing w:val="1"/>
                <w:highlight w:val="none"/>
                <w:lang w:eastAsia="en-US"/>
              </w:rPr>
            </w:pPr>
          </w:p>
        </w:tc>
        <w:tc>
          <w:tcPr>
            <w:tcW w:w="914"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尾</w:t>
            </w:r>
            <w:r>
              <w:rPr>
                <w:rFonts w:hAnsi="宋体" w:cs="hakuyoxingshu7000"/>
                <w:spacing w:val="1"/>
                <w:highlight w:val="none"/>
                <w:lang w:eastAsia="en-US"/>
              </w:rPr>
              <w:t>砂</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w:t>
            </w:r>
          </w:p>
        </w:tc>
        <w:tc>
          <w:tcPr>
            <w:tcW w:w="1050"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0.4167</w:t>
            </w:r>
          </w:p>
        </w:tc>
        <w:tc>
          <w:tcPr>
            <w:tcW w:w="1327"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10</w:t>
            </w:r>
          </w:p>
        </w:tc>
        <w:tc>
          <w:tcPr>
            <w:tcW w:w="1314"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0.3</w:t>
            </w:r>
          </w:p>
        </w:tc>
        <w:tc>
          <w:tcPr>
            <w:tcW w:w="1573" w:type="dxa"/>
            <w:vAlign w:val="center"/>
          </w:tcPr>
          <w:p>
            <w:pPr>
              <w:pStyle w:val="64"/>
              <w:widowControl w:val="0"/>
              <w:rPr>
                <w:rFonts w:hAnsi="宋体" w:cs="hakuyoxingshu7000"/>
                <w:spacing w:val="1"/>
                <w:highlight w:val="none"/>
                <w:lang w:eastAsia="en-US"/>
              </w:rPr>
            </w:pPr>
            <w:r>
              <w:rPr>
                <w:rFonts w:hint="eastAsia" w:hAnsi="宋体" w:cs="hakuyoxingshu7000"/>
                <w:spacing w:val="1"/>
                <w:highlight w:val="none"/>
                <w:lang w:eastAsia="en-US"/>
              </w:rPr>
              <w:t>2.7</w:t>
            </w:r>
          </w:p>
        </w:tc>
      </w:tr>
    </w:tbl>
    <w:p>
      <w:pPr>
        <w:spacing w:line="240" w:lineRule="auto"/>
        <w:ind w:firstLine="0" w:firstLineChars="0"/>
        <w:jc w:val="center"/>
        <w:rPr>
          <w:rFonts w:ascii="宋体" w:hAnsi="宋体"/>
          <w:kern w:val="0"/>
          <w:sz w:val="20"/>
          <w:szCs w:val="20"/>
          <w:highlight w:val="none"/>
          <w:lang w:eastAsia="en-US"/>
        </w:rPr>
      </w:pPr>
      <w:r>
        <w:rPr>
          <w:rFonts w:ascii="宋体" w:hAnsi="宋体"/>
          <w:kern w:val="0"/>
          <w:sz w:val="20"/>
          <w:szCs w:val="20"/>
          <w:highlight w:val="none"/>
        </w:rPr>
        <w:drawing>
          <wp:inline distT="0" distB="0" distL="0" distR="0">
            <wp:extent cx="5543550" cy="4908550"/>
            <wp:effectExtent l="0" t="0" r="0" b="6350"/>
            <wp:docPr id="899" name="图片 899" descr="d:\Users\Administrator\Desktop\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descr="d:\Users\Administrator\Desktop\1副本.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43550" cy="4908835"/>
                    </a:xfrm>
                    <a:prstGeom prst="rect">
                      <a:avLst/>
                    </a:prstGeom>
                    <a:noFill/>
                    <a:ln>
                      <a:noFill/>
                    </a:ln>
                  </pic:spPr>
                </pic:pic>
              </a:graphicData>
            </a:graphic>
          </wp:inline>
        </w:drawing>
      </w:r>
    </w:p>
    <w:p>
      <w:pPr>
        <w:pStyle w:val="65"/>
        <w:rPr>
          <w:rFonts w:hAnsi="宋体"/>
          <w:highlight w:val="none"/>
        </w:rPr>
      </w:pPr>
      <w:r>
        <w:rPr>
          <w:rFonts w:hAnsi="宋体"/>
          <w:highlight w:val="none"/>
        </w:rPr>
        <w:t>图3-</w:t>
      </w:r>
      <w:r>
        <w:rPr>
          <w:rFonts w:hint="eastAsia" w:hAnsi="宋体"/>
          <w:highlight w:val="none"/>
        </w:rPr>
        <w:t xml:space="preserve">2  </w:t>
      </w:r>
      <w:r>
        <w:rPr>
          <w:rFonts w:hAnsi="宋体"/>
          <w:highlight w:val="none"/>
        </w:rPr>
        <w:t>数量质量平衡图（单位：t/d；Q-物料，W-水）</w:t>
      </w:r>
    </w:p>
    <w:p>
      <w:pPr>
        <w:pStyle w:val="62"/>
        <w:ind w:firstLine="480"/>
        <w:rPr>
          <w:highlight w:val="none"/>
        </w:rPr>
      </w:pPr>
      <w:r>
        <w:rPr>
          <w:rFonts w:hint="eastAsia"/>
          <w:highlight w:val="none"/>
        </w:rPr>
        <w:t>根据数量质量平衡图，本项目精铁粉带走水量为55t/d，尾矿粗砂带走水量为7t/d，尾砂带走水量为2t/d，共计64t/d。</w:t>
      </w:r>
    </w:p>
    <w:p>
      <w:pPr>
        <w:pStyle w:val="65"/>
        <w:spacing w:line="240" w:lineRule="auto"/>
        <w:rPr>
          <w:rFonts w:hAnsi="宋体"/>
          <w:highlight w:val="none"/>
        </w:rPr>
      </w:pPr>
      <w:r>
        <w:rPr>
          <w:highlight w:val="none"/>
        </w:rPr>
        <w:drawing>
          <wp:inline distT="0" distB="0" distL="0" distR="0">
            <wp:extent cx="4387850" cy="2569210"/>
            <wp:effectExtent l="0" t="0" r="0" b="2540"/>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123"/>
                    <pic:cNvPicPr>
                      <a:picLocks noChangeAspect="1"/>
                    </pic:cNvPicPr>
                  </pic:nvPicPr>
                  <pic:blipFill>
                    <a:blip r:embed="rId36"/>
                    <a:stretch>
                      <a:fillRect/>
                    </a:stretch>
                  </pic:blipFill>
                  <pic:spPr>
                    <a:xfrm>
                      <a:off x="0" y="0"/>
                      <a:ext cx="4387850" cy="2569737"/>
                    </a:xfrm>
                    <a:prstGeom prst="rect">
                      <a:avLst/>
                    </a:prstGeom>
                  </pic:spPr>
                </pic:pic>
              </a:graphicData>
            </a:graphic>
          </wp:inline>
        </w:drawing>
      </w:r>
    </w:p>
    <w:p>
      <w:pPr>
        <w:pStyle w:val="65"/>
        <w:rPr>
          <w:rFonts w:hAnsi="宋体"/>
          <w:highlight w:val="none"/>
        </w:rPr>
      </w:pPr>
      <w:r>
        <w:rPr>
          <w:rFonts w:hAnsi="宋体"/>
          <w:highlight w:val="none"/>
        </w:rPr>
        <w:t>图</w:t>
      </w:r>
      <w:r>
        <w:rPr>
          <w:rFonts w:hAnsi="宋体" w:cs="hakuyoxingshu7000"/>
          <w:highlight w:val="none"/>
        </w:rPr>
        <w:t>3</w:t>
      </w:r>
      <w:r>
        <w:rPr>
          <w:rFonts w:hAnsi="宋体" w:cs="hakuyoxingshu7000"/>
          <w:spacing w:val="-2"/>
          <w:highlight w:val="none"/>
        </w:rPr>
        <w:t>-</w:t>
      </w:r>
      <w:r>
        <w:rPr>
          <w:rFonts w:hint="eastAsia" w:hAnsi="宋体" w:cs="hakuyoxingshu7000"/>
          <w:highlight w:val="none"/>
        </w:rPr>
        <w:t>3  铁金属平衡分析</w:t>
      </w:r>
      <w:r>
        <w:rPr>
          <w:rFonts w:hAnsi="宋体"/>
          <w:spacing w:val="4"/>
          <w:highlight w:val="none"/>
        </w:rPr>
        <w:t>图</w:t>
      </w:r>
    </w:p>
    <w:p>
      <w:pPr>
        <w:pStyle w:val="4"/>
        <w:ind w:firstLine="562"/>
        <w:rPr>
          <w:rFonts w:hAnsi="宋体"/>
          <w:highlight w:val="none"/>
        </w:rPr>
      </w:pPr>
      <w:r>
        <w:rPr>
          <w:rFonts w:hAnsi="宋体"/>
          <w:highlight w:val="none"/>
        </w:rPr>
        <w:t>3.</w:t>
      </w:r>
      <w:r>
        <w:rPr>
          <w:rFonts w:hint="eastAsia" w:hAnsi="宋体"/>
          <w:highlight w:val="none"/>
        </w:rPr>
        <w:t>1</w:t>
      </w:r>
      <w:r>
        <w:rPr>
          <w:rFonts w:hAnsi="宋体"/>
          <w:highlight w:val="none"/>
        </w:rPr>
        <w:t>.</w:t>
      </w:r>
      <w:r>
        <w:rPr>
          <w:rFonts w:hint="eastAsia" w:hAnsi="宋体"/>
          <w:highlight w:val="none"/>
        </w:rPr>
        <w:t>7</w:t>
      </w:r>
      <w:r>
        <w:rPr>
          <w:rFonts w:hAnsi="宋体"/>
          <w:highlight w:val="none"/>
        </w:rPr>
        <w:t>原辅材料消耗</w:t>
      </w:r>
    </w:p>
    <w:p>
      <w:pPr>
        <w:ind w:firstLine="480"/>
        <w:jc w:val="left"/>
        <w:rPr>
          <w:rFonts w:ascii="宋体" w:hAnsi="宋体"/>
          <w:szCs w:val="22"/>
          <w:highlight w:val="none"/>
        </w:rPr>
      </w:pPr>
      <w:r>
        <w:rPr>
          <w:rFonts w:ascii="宋体" w:hAnsi="宋体"/>
          <w:szCs w:val="22"/>
          <w:highlight w:val="none"/>
        </w:rPr>
        <w:t>本项目原料消耗</w:t>
      </w:r>
      <w:r>
        <w:rPr>
          <w:rStyle w:val="63"/>
          <w:rFonts w:hAnsi="宋体"/>
          <w:highlight w:val="none"/>
        </w:rPr>
        <w:t>见表3.</w:t>
      </w:r>
      <w:r>
        <w:rPr>
          <w:rStyle w:val="63"/>
          <w:rFonts w:hint="eastAsia" w:hAnsi="宋体"/>
          <w:highlight w:val="none"/>
        </w:rPr>
        <w:t>1</w:t>
      </w:r>
      <w:r>
        <w:rPr>
          <w:rStyle w:val="63"/>
          <w:rFonts w:hAnsi="宋体"/>
          <w:highlight w:val="none"/>
        </w:rPr>
        <w:t>-</w:t>
      </w:r>
      <w:r>
        <w:rPr>
          <w:rStyle w:val="63"/>
          <w:rFonts w:hint="eastAsia" w:hAnsi="宋体"/>
          <w:highlight w:val="none"/>
        </w:rPr>
        <w:t>6</w:t>
      </w:r>
      <w:r>
        <w:rPr>
          <w:rStyle w:val="63"/>
          <w:rFonts w:hAnsi="宋体"/>
          <w:highlight w:val="none"/>
        </w:rPr>
        <w:t>。</w:t>
      </w:r>
    </w:p>
    <w:p>
      <w:pPr>
        <w:pStyle w:val="65"/>
        <w:rPr>
          <w:rFonts w:hAnsi="宋体"/>
          <w:highlight w:val="none"/>
        </w:rPr>
      </w:pPr>
      <w:r>
        <w:rPr>
          <w:rFonts w:hAnsi="宋体"/>
          <w:highlight w:val="none"/>
        </w:rPr>
        <w:t>表</w:t>
      </w:r>
      <w:r>
        <w:rPr>
          <w:rStyle w:val="63"/>
          <w:rFonts w:hAnsi="宋体"/>
          <w:highlight w:val="none"/>
        </w:rPr>
        <w:t>3.</w:t>
      </w:r>
      <w:r>
        <w:rPr>
          <w:rStyle w:val="63"/>
          <w:rFonts w:hint="eastAsia" w:hAnsi="宋体"/>
          <w:highlight w:val="none"/>
        </w:rPr>
        <w:t>1</w:t>
      </w:r>
      <w:r>
        <w:rPr>
          <w:rStyle w:val="63"/>
          <w:rFonts w:hAnsi="宋体"/>
          <w:highlight w:val="none"/>
        </w:rPr>
        <w:t>-</w:t>
      </w:r>
      <w:r>
        <w:rPr>
          <w:rStyle w:val="63"/>
          <w:rFonts w:hint="eastAsia" w:hAnsi="宋体"/>
          <w:highlight w:val="none"/>
        </w:rPr>
        <w:t xml:space="preserve">6  </w:t>
      </w:r>
      <w:r>
        <w:rPr>
          <w:rFonts w:hAnsi="宋体"/>
          <w:highlight w:val="none"/>
        </w:rPr>
        <w:t>原辅材料消耗清单</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608"/>
        <w:gridCol w:w="1231"/>
        <w:gridCol w:w="991"/>
        <w:gridCol w:w="1274"/>
        <w:gridCol w:w="274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101" w:type="dxa"/>
            <w:shd w:val="clear" w:color="auto" w:fill="auto"/>
            <w:vAlign w:val="center"/>
          </w:tcPr>
          <w:p>
            <w:pPr>
              <w:pStyle w:val="64"/>
              <w:rPr>
                <w:rFonts w:hAnsi="宋体"/>
                <w:highlight w:val="none"/>
              </w:rPr>
            </w:pPr>
            <w:r>
              <w:rPr>
                <w:rFonts w:hAnsi="宋体"/>
                <w:highlight w:val="none"/>
              </w:rPr>
              <w:t>类型</w:t>
            </w:r>
          </w:p>
        </w:tc>
        <w:tc>
          <w:tcPr>
            <w:tcW w:w="1608" w:type="dxa"/>
            <w:shd w:val="clear" w:color="auto" w:fill="auto"/>
            <w:vAlign w:val="center"/>
          </w:tcPr>
          <w:p>
            <w:pPr>
              <w:pStyle w:val="64"/>
              <w:rPr>
                <w:rFonts w:hAnsi="宋体"/>
                <w:highlight w:val="none"/>
              </w:rPr>
            </w:pPr>
            <w:r>
              <w:rPr>
                <w:rFonts w:hAnsi="宋体"/>
                <w:highlight w:val="none"/>
              </w:rPr>
              <w:t>名称</w:t>
            </w:r>
          </w:p>
        </w:tc>
        <w:tc>
          <w:tcPr>
            <w:tcW w:w="1231" w:type="dxa"/>
            <w:shd w:val="clear" w:color="auto" w:fill="auto"/>
            <w:vAlign w:val="center"/>
          </w:tcPr>
          <w:p>
            <w:pPr>
              <w:pStyle w:val="64"/>
              <w:rPr>
                <w:rFonts w:hAnsi="宋体"/>
                <w:highlight w:val="none"/>
              </w:rPr>
            </w:pPr>
            <w:r>
              <w:rPr>
                <w:rFonts w:hAnsi="宋体"/>
                <w:highlight w:val="none"/>
              </w:rPr>
              <w:t>单位</w:t>
            </w:r>
          </w:p>
        </w:tc>
        <w:tc>
          <w:tcPr>
            <w:tcW w:w="991" w:type="dxa"/>
            <w:shd w:val="clear" w:color="auto" w:fill="auto"/>
            <w:vAlign w:val="center"/>
          </w:tcPr>
          <w:p>
            <w:pPr>
              <w:pStyle w:val="64"/>
              <w:rPr>
                <w:rFonts w:hAnsi="宋体"/>
                <w:highlight w:val="none"/>
              </w:rPr>
            </w:pPr>
            <w:r>
              <w:rPr>
                <w:rFonts w:hAnsi="宋体"/>
                <w:highlight w:val="none"/>
              </w:rPr>
              <w:t>年用量</w:t>
            </w:r>
          </w:p>
        </w:tc>
        <w:tc>
          <w:tcPr>
            <w:tcW w:w="1274" w:type="dxa"/>
            <w:shd w:val="clear" w:color="auto" w:fill="auto"/>
            <w:vAlign w:val="center"/>
          </w:tcPr>
          <w:p>
            <w:pPr>
              <w:pStyle w:val="64"/>
              <w:rPr>
                <w:rFonts w:hAnsi="宋体"/>
                <w:highlight w:val="none"/>
              </w:rPr>
            </w:pPr>
            <w:r>
              <w:rPr>
                <w:rFonts w:hAnsi="宋体"/>
                <w:highlight w:val="none"/>
              </w:rPr>
              <w:t>规格</w:t>
            </w:r>
          </w:p>
        </w:tc>
        <w:tc>
          <w:tcPr>
            <w:tcW w:w="2741" w:type="dxa"/>
            <w:shd w:val="clear" w:color="auto" w:fill="auto"/>
            <w:vAlign w:val="center"/>
          </w:tcPr>
          <w:p>
            <w:pPr>
              <w:pStyle w:val="64"/>
              <w:rPr>
                <w:rFonts w:hAnsi="宋体"/>
                <w:highlight w:val="none"/>
              </w:rPr>
            </w:pPr>
            <w:r>
              <w:rPr>
                <w:rFonts w:hAnsi="宋体"/>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101" w:type="dxa"/>
            <w:vMerge w:val="restart"/>
            <w:shd w:val="clear" w:color="auto" w:fill="auto"/>
            <w:vAlign w:val="center"/>
          </w:tcPr>
          <w:p>
            <w:pPr>
              <w:pStyle w:val="64"/>
              <w:rPr>
                <w:rFonts w:hAnsi="宋体"/>
                <w:highlight w:val="none"/>
              </w:rPr>
            </w:pPr>
            <w:r>
              <w:rPr>
                <w:rFonts w:hAnsi="宋体"/>
                <w:highlight w:val="none"/>
              </w:rPr>
              <w:t>原料</w:t>
            </w:r>
          </w:p>
        </w:tc>
        <w:tc>
          <w:tcPr>
            <w:tcW w:w="1608" w:type="dxa"/>
            <w:shd w:val="clear" w:color="auto" w:fill="auto"/>
            <w:vAlign w:val="center"/>
          </w:tcPr>
          <w:p>
            <w:pPr>
              <w:pStyle w:val="64"/>
              <w:rPr>
                <w:rFonts w:hAnsi="宋体"/>
                <w:highlight w:val="none"/>
              </w:rPr>
            </w:pPr>
            <w:r>
              <w:rPr>
                <w:rFonts w:hint="eastAsia" w:hAnsi="宋体"/>
                <w:highlight w:val="none"/>
              </w:rPr>
              <w:t>采矿废石</w:t>
            </w:r>
          </w:p>
        </w:tc>
        <w:tc>
          <w:tcPr>
            <w:tcW w:w="1231" w:type="dxa"/>
            <w:shd w:val="clear" w:color="auto" w:fill="auto"/>
            <w:vAlign w:val="center"/>
          </w:tcPr>
          <w:p>
            <w:pPr>
              <w:pStyle w:val="64"/>
              <w:rPr>
                <w:rFonts w:hAnsi="宋体"/>
                <w:highlight w:val="none"/>
              </w:rPr>
            </w:pPr>
            <w:r>
              <w:rPr>
                <w:rFonts w:hAnsi="宋体"/>
                <w:highlight w:val="none"/>
              </w:rPr>
              <w:t>万t/a</w:t>
            </w:r>
          </w:p>
        </w:tc>
        <w:tc>
          <w:tcPr>
            <w:tcW w:w="991" w:type="dxa"/>
            <w:shd w:val="clear" w:color="auto" w:fill="auto"/>
            <w:vAlign w:val="center"/>
          </w:tcPr>
          <w:p>
            <w:pPr>
              <w:pStyle w:val="64"/>
              <w:rPr>
                <w:rFonts w:hAnsi="宋体"/>
                <w:highlight w:val="none"/>
              </w:rPr>
            </w:pPr>
            <w:r>
              <w:rPr>
                <w:rFonts w:hint="eastAsia" w:hAnsi="宋体"/>
                <w:highlight w:val="none"/>
              </w:rPr>
              <w:t>3</w:t>
            </w:r>
            <w:r>
              <w:rPr>
                <w:rFonts w:hAnsi="宋体"/>
                <w:highlight w:val="none"/>
              </w:rPr>
              <w:t>0.0</w:t>
            </w:r>
          </w:p>
        </w:tc>
        <w:tc>
          <w:tcPr>
            <w:tcW w:w="1274" w:type="dxa"/>
            <w:shd w:val="clear" w:color="auto" w:fill="auto"/>
            <w:vAlign w:val="center"/>
          </w:tcPr>
          <w:p>
            <w:pPr>
              <w:pStyle w:val="64"/>
              <w:rPr>
                <w:rFonts w:hAnsi="宋体"/>
                <w:highlight w:val="none"/>
              </w:rPr>
            </w:pPr>
            <w:r>
              <w:rPr>
                <w:rFonts w:hAnsi="宋体"/>
                <w:highlight w:val="none"/>
              </w:rPr>
              <w:t>15-20cm</w:t>
            </w:r>
          </w:p>
        </w:tc>
        <w:tc>
          <w:tcPr>
            <w:tcW w:w="2741" w:type="dxa"/>
            <w:shd w:val="clear" w:color="auto" w:fill="auto"/>
            <w:vAlign w:val="center"/>
          </w:tcPr>
          <w:p>
            <w:pPr>
              <w:pStyle w:val="64"/>
              <w:rPr>
                <w:rFonts w:hAnsi="宋体"/>
                <w:highlight w:val="none"/>
              </w:rPr>
            </w:pPr>
            <w:r>
              <w:rPr>
                <w:rFonts w:hint="eastAsia" w:hAnsi="宋体"/>
                <w:highlight w:val="none"/>
              </w:rPr>
              <w:t>19.5</w:t>
            </w:r>
            <w:r>
              <w:rPr>
                <w:rFonts w:hAnsi="宋体"/>
                <w:spacing w:val="-2"/>
                <w:w w:val="105"/>
                <w:highlight w:val="none"/>
              </w:rPr>
              <w:t>（</w:t>
            </w:r>
            <w:r>
              <w:rPr>
                <w:rFonts w:hAnsi="宋体" w:cs="hakuyoxingshu7000"/>
                <w:spacing w:val="-1"/>
                <w:w w:val="105"/>
                <w:highlight w:val="none"/>
              </w:rPr>
              <w:t>F</w:t>
            </w:r>
            <w:r>
              <w:rPr>
                <w:rFonts w:hAnsi="宋体" w:cs="hakuyoxingshu7000"/>
                <w:spacing w:val="1"/>
                <w:w w:val="105"/>
                <w:highlight w:val="none"/>
              </w:rPr>
              <w:t>e</w:t>
            </w:r>
            <w:r>
              <w:rPr>
                <w:rFonts w:hAnsi="宋体" w:cs="hakuyoxingshu7000"/>
                <w:w w:val="105"/>
                <w:highlight w:val="none"/>
              </w:rPr>
              <w:t>%</w:t>
            </w:r>
            <w:r>
              <w:rPr>
                <w:rFonts w:hAnsi="宋体"/>
                <w:w w:val="105"/>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101" w:type="dxa"/>
            <w:vMerge w:val="continue"/>
            <w:shd w:val="clear" w:color="auto" w:fill="auto"/>
            <w:vAlign w:val="center"/>
          </w:tcPr>
          <w:p>
            <w:pPr>
              <w:pStyle w:val="64"/>
              <w:rPr>
                <w:rFonts w:hAnsi="宋体"/>
                <w:highlight w:val="none"/>
              </w:rPr>
            </w:pPr>
          </w:p>
        </w:tc>
        <w:tc>
          <w:tcPr>
            <w:tcW w:w="1608" w:type="dxa"/>
            <w:shd w:val="clear" w:color="auto" w:fill="auto"/>
            <w:vAlign w:val="center"/>
          </w:tcPr>
          <w:p>
            <w:pPr>
              <w:pStyle w:val="64"/>
              <w:rPr>
                <w:rFonts w:hAnsi="宋体"/>
                <w:highlight w:val="none"/>
              </w:rPr>
            </w:pPr>
            <w:r>
              <w:rPr>
                <w:rFonts w:hAnsi="宋体"/>
                <w:highlight w:val="none"/>
              </w:rPr>
              <w:t>钢球</w:t>
            </w:r>
          </w:p>
        </w:tc>
        <w:tc>
          <w:tcPr>
            <w:tcW w:w="1231" w:type="dxa"/>
            <w:shd w:val="clear" w:color="auto" w:fill="auto"/>
            <w:vAlign w:val="center"/>
          </w:tcPr>
          <w:p>
            <w:pPr>
              <w:pStyle w:val="64"/>
              <w:rPr>
                <w:rFonts w:hAnsi="宋体"/>
                <w:highlight w:val="none"/>
              </w:rPr>
            </w:pPr>
            <w:r>
              <w:rPr>
                <w:rFonts w:hAnsi="宋体"/>
                <w:highlight w:val="none"/>
              </w:rPr>
              <w:t>t/a</w:t>
            </w:r>
          </w:p>
        </w:tc>
        <w:tc>
          <w:tcPr>
            <w:tcW w:w="991" w:type="dxa"/>
            <w:shd w:val="clear" w:color="auto" w:fill="auto"/>
            <w:vAlign w:val="center"/>
          </w:tcPr>
          <w:p>
            <w:pPr>
              <w:pStyle w:val="64"/>
              <w:rPr>
                <w:rFonts w:hAnsi="宋体"/>
                <w:highlight w:val="none"/>
              </w:rPr>
            </w:pPr>
            <w:r>
              <w:rPr>
                <w:rFonts w:hint="eastAsia" w:hAnsi="宋体"/>
                <w:highlight w:val="none"/>
              </w:rPr>
              <w:t>120</w:t>
            </w:r>
          </w:p>
        </w:tc>
        <w:tc>
          <w:tcPr>
            <w:tcW w:w="1274" w:type="dxa"/>
            <w:shd w:val="clear" w:color="auto" w:fill="auto"/>
            <w:vAlign w:val="center"/>
          </w:tcPr>
          <w:p>
            <w:pPr>
              <w:pStyle w:val="64"/>
              <w:rPr>
                <w:rFonts w:hAnsi="宋体"/>
                <w:highlight w:val="none"/>
              </w:rPr>
            </w:pPr>
          </w:p>
        </w:tc>
        <w:tc>
          <w:tcPr>
            <w:tcW w:w="2741" w:type="dxa"/>
            <w:shd w:val="clear" w:color="auto" w:fill="auto"/>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101" w:type="dxa"/>
            <w:vMerge w:val="continue"/>
            <w:shd w:val="clear" w:color="auto" w:fill="auto"/>
            <w:vAlign w:val="center"/>
          </w:tcPr>
          <w:p>
            <w:pPr>
              <w:pStyle w:val="64"/>
              <w:rPr>
                <w:rFonts w:hAnsi="宋体"/>
                <w:highlight w:val="none"/>
              </w:rPr>
            </w:pPr>
          </w:p>
        </w:tc>
        <w:tc>
          <w:tcPr>
            <w:tcW w:w="1608" w:type="dxa"/>
            <w:shd w:val="clear" w:color="auto" w:fill="auto"/>
            <w:vAlign w:val="center"/>
          </w:tcPr>
          <w:p>
            <w:pPr>
              <w:pStyle w:val="64"/>
              <w:rPr>
                <w:rFonts w:hAnsi="宋体"/>
                <w:highlight w:val="none"/>
              </w:rPr>
            </w:pPr>
            <w:r>
              <w:rPr>
                <w:rFonts w:hAnsi="宋体"/>
                <w:highlight w:val="none"/>
              </w:rPr>
              <w:t>衬板</w:t>
            </w:r>
          </w:p>
        </w:tc>
        <w:tc>
          <w:tcPr>
            <w:tcW w:w="1231" w:type="dxa"/>
            <w:shd w:val="clear" w:color="auto" w:fill="auto"/>
            <w:vAlign w:val="center"/>
          </w:tcPr>
          <w:p>
            <w:pPr>
              <w:pStyle w:val="64"/>
              <w:rPr>
                <w:rFonts w:hAnsi="宋体"/>
                <w:highlight w:val="none"/>
              </w:rPr>
            </w:pPr>
            <w:r>
              <w:rPr>
                <w:rFonts w:hAnsi="宋体"/>
                <w:highlight w:val="none"/>
              </w:rPr>
              <w:t>t/a</w:t>
            </w:r>
          </w:p>
        </w:tc>
        <w:tc>
          <w:tcPr>
            <w:tcW w:w="991" w:type="dxa"/>
            <w:shd w:val="clear" w:color="auto" w:fill="auto"/>
            <w:vAlign w:val="center"/>
          </w:tcPr>
          <w:p>
            <w:pPr>
              <w:pStyle w:val="64"/>
              <w:rPr>
                <w:rFonts w:hAnsi="宋体"/>
                <w:highlight w:val="none"/>
              </w:rPr>
            </w:pPr>
            <w:r>
              <w:rPr>
                <w:rFonts w:hAnsi="宋体"/>
                <w:highlight w:val="none"/>
              </w:rPr>
              <w:t>2</w:t>
            </w:r>
            <w:r>
              <w:rPr>
                <w:rFonts w:hint="eastAsia" w:hAnsi="宋体"/>
                <w:highlight w:val="none"/>
              </w:rPr>
              <w:t>0</w:t>
            </w:r>
            <w:r>
              <w:rPr>
                <w:rFonts w:hAnsi="宋体"/>
                <w:highlight w:val="none"/>
              </w:rPr>
              <w:t>.6</w:t>
            </w:r>
          </w:p>
        </w:tc>
        <w:tc>
          <w:tcPr>
            <w:tcW w:w="1274" w:type="dxa"/>
            <w:shd w:val="clear" w:color="auto" w:fill="auto"/>
            <w:vAlign w:val="center"/>
          </w:tcPr>
          <w:p>
            <w:pPr>
              <w:pStyle w:val="64"/>
              <w:rPr>
                <w:rFonts w:hAnsi="宋体"/>
                <w:highlight w:val="none"/>
              </w:rPr>
            </w:pPr>
          </w:p>
        </w:tc>
        <w:tc>
          <w:tcPr>
            <w:tcW w:w="2741" w:type="dxa"/>
            <w:shd w:val="clear" w:color="auto" w:fill="auto"/>
            <w:vAlign w:val="center"/>
          </w:tcPr>
          <w:p>
            <w:pPr>
              <w:pStyle w:val="64"/>
              <w:rPr>
                <w:rFonts w:hAnsi="宋体"/>
                <w:highlight w:val="none"/>
              </w:rPr>
            </w:pPr>
          </w:p>
        </w:tc>
      </w:tr>
    </w:tbl>
    <w:p>
      <w:pPr>
        <w:ind w:firstLine="561" w:firstLineChars="0"/>
        <w:rPr>
          <w:rFonts w:ascii="宋体" w:hAnsi="宋体"/>
          <w:spacing w:val="2"/>
          <w:szCs w:val="22"/>
          <w:highlight w:val="none"/>
        </w:rPr>
      </w:pPr>
      <w:r>
        <w:rPr>
          <w:rFonts w:ascii="宋体" w:hAnsi="宋体"/>
          <w:spacing w:val="2"/>
          <w:szCs w:val="22"/>
          <w:highlight w:val="none"/>
        </w:rPr>
        <w:t>1</w:t>
      </w:r>
      <w:r>
        <w:rPr>
          <w:rFonts w:hint="eastAsia" w:ascii="宋体" w:hAnsi="宋体"/>
          <w:spacing w:val="2"/>
          <w:szCs w:val="22"/>
          <w:highlight w:val="none"/>
        </w:rPr>
        <w:t>、</w:t>
      </w:r>
      <w:r>
        <w:rPr>
          <w:rFonts w:ascii="宋体" w:hAnsi="宋体"/>
          <w:spacing w:val="2"/>
          <w:szCs w:val="22"/>
          <w:highlight w:val="none"/>
        </w:rPr>
        <w:t>原料来源及保障性</w:t>
      </w:r>
    </w:p>
    <w:p>
      <w:pPr>
        <w:ind w:firstLine="561" w:firstLineChars="0"/>
        <w:rPr>
          <w:rFonts w:ascii="宋体" w:hAnsi="宋体"/>
          <w:spacing w:val="2"/>
          <w:szCs w:val="22"/>
          <w:highlight w:val="none"/>
        </w:rPr>
      </w:pPr>
      <w:r>
        <w:rPr>
          <w:rFonts w:ascii="宋体" w:hAnsi="宋体"/>
          <w:spacing w:val="2"/>
          <w:szCs w:val="22"/>
          <w:highlight w:val="none"/>
        </w:rPr>
        <w:t>本项目原料矿石全部来自五台县三吉铁矿有限责任公司</w:t>
      </w:r>
      <w:r>
        <w:rPr>
          <w:rFonts w:hint="eastAsia" w:ascii="宋体" w:hAnsi="宋体"/>
          <w:spacing w:val="2"/>
          <w:szCs w:val="22"/>
          <w:highlight w:val="none"/>
        </w:rPr>
        <w:t>采</w:t>
      </w:r>
      <w:r>
        <w:rPr>
          <w:rFonts w:ascii="宋体" w:hAnsi="宋体"/>
          <w:spacing w:val="2"/>
          <w:szCs w:val="22"/>
          <w:highlight w:val="none"/>
        </w:rPr>
        <w:t>矿过程产生的废石，废石由五台县三吉铁矿有限责任公司通过汽车运至本项目原料库，运输距离约为</w:t>
      </w:r>
      <w:r>
        <w:rPr>
          <w:rFonts w:hint="eastAsia" w:ascii="宋体" w:hAnsi="宋体"/>
          <w:spacing w:val="2"/>
          <w:szCs w:val="22"/>
          <w:highlight w:val="none"/>
        </w:rPr>
        <w:t>5</w:t>
      </w:r>
      <w:r>
        <w:rPr>
          <w:rFonts w:ascii="宋体" w:hAnsi="宋体"/>
          <w:spacing w:val="2"/>
          <w:szCs w:val="22"/>
          <w:highlight w:val="none"/>
        </w:rPr>
        <w:t>1.2km。</w:t>
      </w:r>
      <w:r>
        <w:rPr>
          <w:rFonts w:hint="eastAsia" w:ascii="宋体" w:hAnsi="宋体"/>
          <w:szCs w:val="21"/>
          <w:highlight w:val="none"/>
        </w:rPr>
        <w:t>忻州</w:t>
      </w:r>
      <w:r>
        <w:rPr>
          <w:rFonts w:ascii="宋体" w:hAnsi="宋体"/>
          <w:szCs w:val="21"/>
          <w:highlight w:val="none"/>
        </w:rPr>
        <w:t>环境保护局于20</w:t>
      </w:r>
      <w:r>
        <w:rPr>
          <w:rFonts w:hint="eastAsia" w:ascii="宋体" w:hAnsi="宋体"/>
          <w:szCs w:val="21"/>
          <w:highlight w:val="none"/>
        </w:rPr>
        <w:t>04</w:t>
      </w:r>
      <w:r>
        <w:rPr>
          <w:rFonts w:ascii="宋体" w:hAnsi="宋体"/>
          <w:szCs w:val="21"/>
          <w:highlight w:val="none"/>
        </w:rPr>
        <w:t>年</w:t>
      </w:r>
      <w:r>
        <w:rPr>
          <w:rFonts w:hint="eastAsia" w:ascii="宋体" w:hAnsi="宋体"/>
          <w:szCs w:val="21"/>
          <w:highlight w:val="none"/>
        </w:rPr>
        <w:t>8</w:t>
      </w:r>
      <w:r>
        <w:rPr>
          <w:rFonts w:ascii="宋体" w:hAnsi="宋体"/>
          <w:szCs w:val="21"/>
          <w:highlight w:val="none"/>
        </w:rPr>
        <w:t>月</w:t>
      </w:r>
      <w:r>
        <w:rPr>
          <w:rFonts w:hint="eastAsia" w:ascii="宋体" w:hAnsi="宋体"/>
          <w:szCs w:val="21"/>
          <w:highlight w:val="none"/>
        </w:rPr>
        <w:t>12忻环开函字第94</w:t>
      </w:r>
      <w:r>
        <w:rPr>
          <w:rFonts w:ascii="宋体" w:hAnsi="宋体"/>
          <w:szCs w:val="21"/>
          <w:highlight w:val="none"/>
        </w:rPr>
        <w:t>号</w:t>
      </w:r>
      <w:r>
        <w:rPr>
          <w:rFonts w:hint="eastAsia" w:ascii="宋体" w:hAnsi="宋体"/>
          <w:szCs w:val="21"/>
          <w:highlight w:val="none"/>
        </w:rPr>
        <w:t>做</w:t>
      </w:r>
      <w:r>
        <w:rPr>
          <w:rFonts w:ascii="宋体" w:hAnsi="宋体"/>
          <w:szCs w:val="21"/>
          <w:highlight w:val="none"/>
        </w:rPr>
        <w:t>出了对《</w:t>
      </w:r>
      <w:r>
        <w:rPr>
          <w:rFonts w:ascii="宋体" w:hAnsi="宋体"/>
          <w:spacing w:val="2"/>
          <w:szCs w:val="22"/>
          <w:highlight w:val="none"/>
        </w:rPr>
        <w:t>五台县三吉铁矿有限责任公司新建项目</w:t>
      </w:r>
      <w:r>
        <w:rPr>
          <w:rFonts w:ascii="宋体" w:hAnsi="宋体"/>
          <w:szCs w:val="21"/>
          <w:highlight w:val="none"/>
        </w:rPr>
        <w:t>》环境影响报告书的批复。目前，</w:t>
      </w:r>
      <w:r>
        <w:rPr>
          <w:rFonts w:hint="eastAsia" w:ascii="宋体" w:hAnsi="宋体"/>
          <w:szCs w:val="21"/>
          <w:highlight w:val="none"/>
        </w:rPr>
        <w:t>五台县三吉铁矿有限责任公司</w:t>
      </w:r>
      <w:r>
        <w:rPr>
          <w:rFonts w:ascii="宋体" w:hAnsi="宋体"/>
          <w:spacing w:val="2"/>
          <w:szCs w:val="22"/>
          <w:highlight w:val="none"/>
        </w:rPr>
        <w:t>生产规模为年处理60万吨原矿，铁矿石废石产生量约为</w:t>
      </w:r>
      <w:r>
        <w:rPr>
          <w:rFonts w:hint="eastAsia" w:ascii="宋体" w:hAnsi="宋体"/>
          <w:spacing w:val="2"/>
          <w:szCs w:val="22"/>
          <w:highlight w:val="none"/>
        </w:rPr>
        <w:t>35</w:t>
      </w:r>
      <w:r>
        <w:rPr>
          <w:rFonts w:ascii="宋体" w:hAnsi="宋体"/>
          <w:spacing w:val="2"/>
          <w:szCs w:val="22"/>
          <w:highlight w:val="none"/>
        </w:rPr>
        <w:t>万吨/年，建设单位与该企业签订有原料供销协议，原料供有保障。</w:t>
      </w:r>
    </w:p>
    <w:p>
      <w:pPr>
        <w:pStyle w:val="62"/>
        <w:ind w:firstLine="480"/>
        <w:rPr>
          <w:rFonts w:hint="eastAsia" w:hAnsi="宋体"/>
          <w:highlight w:val="none"/>
          <w:lang w:val="en-US" w:eastAsia="zh-CN"/>
        </w:rPr>
      </w:pPr>
      <w:r>
        <w:rPr>
          <w:rFonts w:hAnsi="宋体"/>
          <w:highlight w:val="none"/>
        </w:rPr>
        <w:t>原料矿石全部来自</w:t>
      </w:r>
      <w:r>
        <w:rPr>
          <w:rFonts w:hint="eastAsia" w:hAnsi="宋体"/>
          <w:highlight w:val="none"/>
        </w:rPr>
        <w:t>五台县三吉铁矿有限责任公司</w:t>
      </w:r>
      <w:r>
        <w:rPr>
          <w:rFonts w:hAnsi="宋体"/>
          <w:highlight w:val="none"/>
        </w:rPr>
        <w:t>选矿废石，化学成分与原矿石成分类似，规格为15-20cm。根据《</w:t>
      </w:r>
      <w:r>
        <w:rPr>
          <w:rFonts w:hint="eastAsia" w:hAnsi="宋体"/>
          <w:highlight w:val="none"/>
        </w:rPr>
        <w:t>五台县三吉铁矿有限责任公司新建项目</w:t>
      </w:r>
      <w:r>
        <w:rPr>
          <w:rFonts w:hAnsi="宋体"/>
          <w:highlight w:val="none"/>
        </w:rPr>
        <w:t>环境影响评价报告书》，</w:t>
      </w:r>
      <w:r>
        <w:rPr>
          <w:rFonts w:hint="eastAsia" w:hAnsi="宋体"/>
          <w:highlight w:val="none"/>
        </w:rPr>
        <w:t>尾</w:t>
      </w:r>
      <w:r>
        <w:rPr>
          <w:rFonts w:hAnsi="宋体"/>
          <w:highlight w:val="none"/>
        </w:rPr>
        <w:t>矿石中如Pn、Zn、Cu、Ti、Mn、Be、Ni等含量过低，无回收利用价值。</w:t>
      </w:r>
      <w:r>
        <w:rPr>
          <w:rFonts w:hint="eastAsia" w:hAnsi="宋体"/>
          <w:highlight w:val="none"/>
          <w:lang w:val="en-US" w:eastAsia="zh-CN"/>
        </w:rPr>
        <w:t>本项目原料矿石化学成分表见表3.1-7。</w:t>
      </w:r>
    </w:p>
    <w:p>
      <w:pPr>
        <w:pStyle w:val="62"/>
        <w:ind w:firstLine="480"/>
        <w:jc w:val="center"/>
        <w:rPr>
          <w:rFonts w:hint="eastAsia" w:hAnsi="宋体"/>
          <w:highlight w:val="none"/>
          <w:lang w:val="en-US" w:eastAsia="zh-CN"/>
        </w:rPr>
      </w:pPr>
      <w:r>
        <w:rPr>
          <w:rFonts w:hint="eastAsia" w:hAnsi="宋体"/>
          <w:highlight w:val="none"/>
          <w:lang w:val="en-US" w:eastAsia="zh-CN"/>
        </w:rPr>
        <w:t>表3.1-7  原料矿石化学成分表</w:t>
      </w:r>
    </w:p>
    <w:tbl>
      <w:tblPr>
        <w:tblStyle w:val="4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855"/>
        <w:gridCol w:w="855"/>
        <w:gridCol w:w="855"/>
        <w:gridCol w:w="855"/>
        <w:gridCol w:w="855"/>
        <w:gridCol w:w="855"/>
        <w:gridCol w:w="855"/>
        <w:gridCol w:w="85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53" w:type="dxa"/>
            <w:tcBorders>
              <w:tl2br w:val="single" w:color="auto" w:sz="4" w:space="0"/>
            </w:tcBorders>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成分</w:t>
            </w:r>
          </w:p>
          <w:p>
            <w:pPr>
              <w:pStyle w:val="80"/>
              <w:keepNext w:val="0"/>
              <w:keepLines w:val="0"/>
              <w:pageBreakBefore w:val="0"/>
              <w:widowControl w:val="0"/>
              <w:kinsoku/>
              <w:wordWrap/>
              <w:overflowPunct/>
              <w:topLinePunct w:val="0"/>
              <w:autoSpaceDE/>
              <w:autoSpaceDN/>
              <w:bidi w:val="0"/>
              <w:adjustRightInd/>
              <w:snapToGrid/>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TFe</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FeO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SiO</w:t>
            </w:r>
            <w:r>
              <w:rPr>
                <w:rFonts w:hint="eastAsia" w:ascii="宋体" w:hAnsi="宋体" w:eastAsia="宋体" w:cs="宋体"/>
                <w:sz w:val="21"/>
                <w:szCs w:val="21"/>
                <w:highlight w:val="none"/>
                <w:vertAlign w:val="subscript"/>
              </w:rPr>
              <w:t>2</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MgO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CaO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MnO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Al</w:t>
            </w:r>
            <w:r>
              <w:rPr>
                <w:rFonts w:hint="eastAsia" w:ascii="宋体" w:hAnsi="宋体" w:eastAsia="宋体" w:cs="宋体"/>
                <w:sz w:val="21"/>
                <w:szCs w:val="21"/>
                <w:highlight w:val="none"/>
                <w:vertAlign w:val="subscript"/>
              </w:rPr>
              <w:t>2</w:t>
            </w:r>
            <w:r>
              <w:rPr>
                <w:rFonts w:hint="eastAsia" w:ascii="宋体" w:hAnsi="宋体" w:eastAsia="宋体" w:cs="宋体"/>
                <w:sz w:val="21"/>
                <w:szCs w:val="21"/>
                <w:highlight w:val="none"/>
              </w:rPr>
              <w:t>O</w:t>
            </w:r>
            <w:r>
              <w:rPr>
                <w:rFonts w:hint="eastAsia" w:ascii="宋体" w:hAnsi="宋体" w:eastAsia="宋体" w:cs="宋体"/>
                <w:sz w:val="21"/>
                <w:szCs w:val="21"/>
                <w:highlight w:val="none"/>
                <w:vertAlign w:val="subscript"/>
              </w:rPr>
              <w:t>3</w:t>
            </w:r>
          </w:p>
        </w:tc>
        <w:tc>
          <w:tcPr>
            <w:tcW w:w="857"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w:t>
            </w:r>
          </w:p>
        </w:tc>
        <w:tc>
          <w:tcPr>
            <w:tcW w:w="851"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pacing w:val="1"/>
                <w:sz w:val="21"/>
                <w:szCs w:val="21"/>
                <w:highlight w:val="none"/>
                <w:lang w:eastAsia="en-US"/>
              </w:rPr>
              <w:t>采矿废石</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19.5</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4.31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66.78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2.72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3.13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3.47 </w:t>
            </w:r>
          </w:p>
        </w:tc>
        <w:tc>
          <w:tcPr>
            <w:tcW w:w="857"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0.02 </w:t>
            </w:r>
          </w:p>
        </w:tc>
        <w:tc>
          <w:tcPr>
            <w:tcW w:w="851"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0.07 </w:t>
            </w:r>
          </w:p>
        </w:tc>
      </w:tr>
    </w:tbl>
    <w:p>
      <w:pPr>
        <w:ind w:firstLine="561" w:firstLineChars="0"/>
        <w:rPr>
          <w:rFonts w:ascii="宋体" w:hAnsi="宋体"/>
          <w:highlight w:val="none"/>
        </w:rPr>
      </w:pPr>
      <w:r>
        <w:rPr>
          <w:rFonts w:hint="eastAsia" w:ascii="宋体" w:hAnsi="宋体"/>
          <w:highlight w:val="none"/>
        </w:rPr>
        <w:t>2、本项目产生的尾矿</w:t>
      </w:r>
      <w:r>
        <w:rPr>
          <w:rFonts w:ascii="宋体" w:hAnsi="宋体"/>
          <w:highlight w:val="none"/>
        </w:rPr>
        <w:t>石和尾砂</w:t>
      </w:r>
      <w:r>
        <w:rPr>
          <w:rFonts w:hAnsi="宋体"/>
          <w:highlight w:val="none"/>
        </w:rPr>
        <w:t>性质</w:t>
      </w:r>
    </w:p>
    <w:p>
      <w:pPr>
        <w:pStyle w:val="62"/>
        <w:ind w:firstLine="480"/>
        <w:rPr>
          <w:rFonts w:hint="eastAsia" w:hAnsi="宋体"/>
          <w:highlight w:val="none"/>
          <w:lang w:val="en-US" w:eastAsia="zh-CN"/>
        </w:rPr>
      </w:pPr>
      <w:r>
        <w:rPr>
          <w:rFonts w:hint="eastAsia" w:hAnsi="宋体"/>
          <w:highlight w:val="none"/>
          <w:lang w:val="en-US" w:eastAsia="zh-CN"/>
        </w:rPr>
        <w:t>本项目</w:t>
      </w:r>
      <w:r>
        <w:rPr>
          <w:rFonts w:hint="eastAsia" w:ascii="宋体" w:hAnsi="宋体"/>
          <w:highlight w:val="none"/>
        </w:rPr>
        <w:t>产生的</w:t>
      </w:r>
      <w:r>
        <w:rPr>
          <w:rFonts w:ascii="宋体" w:hAnsi="宋体"/>
          <w:highlight w:val="none"/>
        </w:rPr>
        <w:t>尾砂</w:t>
      </w:r>
      <w:r>
        <w:rPr>
          <w:rFonts w:hint="eastAsia" w:hAnsi="宋体"/>
          <w:highlight w:val="none"/>
          <w:lang w:val="en-US" w:eastAsia="zh-CN"/>
        </w:rPr>
        <w:t>化学成分表见表3.1-8。</w:t>
      </w:r>
      <w:bookmarkStart w:id="403" w:name="_GoBack"/>
      <w:bookmarkEnd w:id="403"/>
    </w:p>
    <w:p>
      <w:pPr>
        <w:pStyle w:val="62"/>
        <w:ind w:firstLine="480"/>
        <w:jc w:val="center"/>
        <w:rPr>
          <w:rFonts w:hint="eastAsia" w:hAnsi="宋体"/>
          <w:highlight w:val="none"/>
          <w:lang w:val="en-US" w:eastAsia="zh-CN"/>
        </w:rPr>
      </w:pPr>
      <w:r>
        <w:rPr>
          <w:rFonts w:hint="eastAsia" w:hAnsi="宋体"/>
          <w:highlight w:val="none"/>
          <w:lang w:val="en-US" w:eastAsia="zh-CN"/>
        </w:rPr>
        <w:t>表3.1-8  尾砂化学成分表</w:t>
      </w:r>
    </w:p>
    <w:tbl>
      <w:tblPr>
        <w:tblStyle w:val="4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855"/>
        <w:gridCol w:w="855"/>
        <w:gridCol w:w="855"/>
        <w:gridCol w:w="855"/>
        <w:gridCol w:w="855"/>
        <w:gridCol w:w="855"/>
        <w:gridCol w:w="855"/>
        <w:gridCol w:w="85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53" w:type="dxa"/>
            <w:tcBorders>
              <w:tl2br w:val="single" w:color="auto" w:sz="4" w:space="0"/>
            </w:tcBorders>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成分</w:t>
            </w:r>
          </w:p>
          <w:p>
            <w:pPr>
              <w:pStyle w:val="80"/>
              <w:keepNext w:val="0"/>
              <w:keepLines w:val="0"/>
              <w:pageBreakBefore w:val="0"/>
              <w:widowControl w:val="0"/>
              <w:kinsoku/>
              <w:wordWrap/>
              <w:overflowPunct/>
              <w:topLinePunct w:val="0"/>
              <w:autoSpaceDE/>
              <w:autoSpaceDN/>
              <w:bidi w:val="0"/>
              <w:adjustRightInd/>
              <w:snapToGrid/>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TFe</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FeO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SiO</w:t>
            </w:r>
            <w:r>
              <w:rPr>
                <w:rFonts w:hint="eastAsia" w:ascii="宋体" w:hAnsi="宋体" w:eastAsia="宋体" w:cs="宋体"/>
                <w:sz w:val="21"/>
                <w:szCs w:val="21"/>
                <w:highlight w:val="none"/>
                <w:vertAlign w:val="subscript"/>
              </w:rPr>
              <w:t>2</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MgO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CaO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MnO</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Al</w:t>
            </w:r>
            <w:r>
              <w:rPr>
                <w:rFonts w:hint="eastAsia" w:ascii="宋体" w:hAnsi="宋体" w:eastAsia="宋体" w:cs="宋体"/>
                <w:sz w:val="21"/>
                <w:szCs w:val="21"/>
                <w:highlight w:val="none"/>
                <w:vertAlign w:val="subscript"/>
              </w:rPr>
              <w:t>2</w:t>
            </w:r>
            <w:r>
              <w:rPr>
                <w:rFonts w:hint="eastAsia" w:ascii="宋体" w:hAnsi="宋体" w:eastAsia="宋体" w:cs="宋体"/>
                <w:sz w:val="21"/>
                <w:szCs w:val="21"/>
                <w:highlight w:val="none"/>
              </w:rPr>
              <w:t>O</w:t>
            </w:r>
            <w:r>
              <w:rPr>
                <w:rFonts w:hint="eastAsia" w:ascii="宋体" w:hAnsi="宋体" w:eastAsia="宋体" w:cs="宋体"/>
                <w:sz w:val="21"/>
                <w:szCs w:val="21"/>
                <w:highlight w:val="none"/>
                <w:vertAlign w:val="subscript"/>
              </w:rPr>
              <w:t>3</w:t>
            </w:r>
          </w:p>
        </w:tc>
        <w:tc>
          <w:tcPr>
            <w:tcW w:w="857"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w:t>
            </w:r>
          </w:p>
        </w:tc>
        <w:tc>
          <w:tcPr>
            <w:tcW w:w="851" w:type="dxa"/>
            <w:vAlign w:val="center"/>
          </w:tcPr>
          <w:p>
            <w:pPr>
              <w:pStyle w:val="80"/>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dxa"/>
            <w:vAlign w:val="center"/>
          </w:tcPr>
          <w:p>
            <w:pPr>
              <w:pStyle w:val="8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尾矿砂</w:t>
            </w:r>
          </w:p>
        </w:tc>
        <w:tc>
          <w:tcPr>
            <w:tcW w:w="855" w:type="dxa"/>
            <w:vAlign w:val="center"/>
          </w:tcPr>
          <w:p>
            <w:pPr>
              <w:pStyle w:val="8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2.7</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1.92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83.60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3.40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3.91 </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855"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4.34 </w:t>
            </w:r>
          </w:p>
        </w:tc>
        <w:tc>
          <w:tcPr>
            <w:tcW w:w="857"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0.03 </w:t>
            </w:r>
          </w:p>
        </w:tc>
        <w:tc>
          <w:tcPr>
            <w:tcW w:w="851" w:type="dxa"/>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 xml:space="preserve">0.09 </w:t>
            </w:r>
          </w:p>
        </w:tc>
      </w:tr>
    </w:tbl>
    <w:p>
      <w:pPr>
        <w:pStyle w:val="62"/>
        <w:ind w:firstLine="480"/>
        <w:rPr>
          <w:rFonts w:hAnsi="宋体"/>
          <w:highlight w:val="none"/>
        </w:rPr>
      </w:pPr>
      <w:r>
        <w:rPr>
          <w:rFonts w:hAnsi="宋体"/>
          <w:highlight w:val="none"/>
        </w:rPr>
        <w:t>建设单位委托山西省地质矿产局二一三实验室对本项目选矿过程中产生的</w:t>
      </w:r>
      <w:r>
        <w:rPr>
          <w:rFonts w:hint="eastAsia" w:hAnsi="宋体"/>
          <w:highlight w:val="none"/>
        </w:rPr>
        <w:t>尾矿</w:t>
      </w:r>
      <w:r>
        <w:rPr>
          <w:rFonts w:hAnsi="宋体"/>
          <w:highlight w:val="none"/>
        </w:rPr>
        <w:t>石和尾砂</w:t>
      </w:r>
      <w:r>
        <w:rPr>
          <w:rFonts w:hint="eastAsia" w:hAnsi="宋体"/>
          <w:highlight w:val="none"/>
        </w:rPr>
        <w:t>进行</w:t>
      </w:r>
      <w:r>
        <w:rPr>
          <w:rFonts w:hAnsi="宋体"/>
          <w:highlight w:val="none"/>
        </w:rPr>
        <w:t>了淋溶实验，</w:t>
      </w:r>
      <w:r>
        <w:rPr>
          <w:rFonts w:hint="eastAsia" w:hAnsi="宋体"/>
          <w:highlight w:val="none"/>
        </w:rPr>
        <w:t>尾矿</w:t>
      </w:r>
      <w:r>
        <w:rPr>
          <w:rFonts w:hAnsi="宋体"/>
          <w:highlight w:val="none"/>
        </w:rPr>
        <w:t>石和尾砂浸溶试验结果见表3.</w:t>
      </w:r>
      <w:r>
        <w:rPr>
          <w:rFonts w:hint="eastAsia" w:hAnsi="宋体"/>
          <w:highlight w:val="none"/>
          <w:lang w:val="en-US" w:eastAsia="zh-CN"/>
        </w:rPr>
        <w:t>1</w:t>
      </w:r>
      <w:r>
        <w:rPr>
          <w:rFonts w:hAnsi="宋体"/>
          <w:highlight w:val="none"/>
        </w:rPr>
        <w:t>-</w:t>
      </w:r>
      <w:r>
        <w:rPr>
          <w:rFonts w:hint="eastAsia" w:hAnsi="宋体"/>
          <w:highlight w:val="none"/>
          <w:lang w:val="en-US" w:eastAsia="zh-CN"/>
        </w:rPr>
        <w:t>9</w:t>
      </w:r>
      <w:r>
        <w:rPr>
          <w:rFonts w:hAnsi="宋体"/>
          <w:highlight w:val="none"/>
        </w:rPr>
        <w:t>。</w:t>
      </w:r>
    </w:p>
    <w:p>
      <w:pPr>
        <w:ind w:firstLine="480"/>
        <w:jc w:val="center"/>
        <w:rPr>
          <w:rFonts w:ascii="宋体" w:hAnsi="宋体"/>
          <w:highlight w:val="none"/>
        </w:rPr>
      </w:pPr>
      <w:r>
        <w:rPr>
          <w:rFonts w:ascii="宋体" w:hAnsi="宋体"/>
          <w:highlight w:val="none"/>
        </w:rPr>
        <w:t>表3.</w:t>
      </w:r>
      <w:r>
        <w:rPr>
          <w:rFonts w:hint="eastAsia" w:ascii="宋体" w:hAnsi="宋体"/>
          <w:highlight w:val="none"/>
          <w:lang w:val="en-US" w:eastAsia="zh-CN"/>
        </w:rPr>
        <w:t>1</w:t>
      </w:r>
      <w:r>
        <w:rPr>
          <w:rFonts w:ascii="宋体" w:hAnsi="宋体"/>
          <w:highlight w:val="none"/>
        </w:rPr>
        <w:t>-</w:t>
      </w:r>
      <w:r>
        <w:rPr>
          <w:rFonts w:hint="eastAsia" w:ascii="宋体" w:hAnsi="宋体"/>
          <w:highlight w:val="none"/>
          <w:lang w:val="en-US" w:eastAsia="zh-CN"/>
        </w:rPr>
        <w:t>9</w:t>
      </w:r>
      <w:r>
        <w:rPr>
          <w:rFonts w:hint="eastAsia" w:ascii="宋体" w:hAnsi="宋体"/>
          <w:highlight w:val="none"/>
        </w:rPr>
        <w:t xml:space="preserve">  </w:t>
      </w:r>
      <w:r>
        <w:rPr>
          <w:rFonts w:ascii="宋体" w:hAnsi="宋体"/>
          <w:highlight w:val="none"/>
        </w:rPr>
        <w:t>尾矿浸出毒性浸出试验结果单位：mg/L（除pH外）</w:t>
      </w:r>
    </w:p>
    <w:tbl>
      <w:tblPr>
        <w:tblStyle w:val="44"/>
        <w:tblW w:w="87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1447"/>
        <w:gridCol w:w="1133"/>
        <w:gridCol w:w="1133"/>
        <w:gridCol w:w="993"/>
        <w:gridCol w:w="1559"/>
        <w:gridCol w:w="1423"/>
        <w:gridCol w:w="109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4" w:hRule="atLeast"/>
          <w:jc w:val="center"/>
        </w:trPr>
        <w:tc>
          <w:tcPr>
            <w:tcW w:w="1447" w:type="dxa"/>
            <w:vMerge w:val="restart"/>
            <w:vAlign w:val="center"/>
          </w:tcPr>
          <w:p>
            <w:pPr>
              <w:pStyle w:val="64"/>
              <w:rPr>
                <w:rFonts w:hAnsi="宋体"/>
                <w:highlight w:val="none"/>
              </w:rPr>
            </w:pPr>
            <w:r>
              <w:rPr>
                <w:rFonts w:hAnsi="宋体"/>
                <w:highlight w:val="none"/>
              </w:rPr>
              <w:t>项目</w:t>
            </w:r>
          </w:p>
        </w:tc>
        <w:tc>
          <w:tcPr>
            <w:tcW w:w="2266" w:type="dxa"/>
            <w:gridSpan w:val="2"/>
            <w:vAlign w:val="center"/>
          </w:tcPr>
          <w:p>
            <w:pPr>
              <w:pStyle w:val="64"/>
              <w:rPr>
                <w:rFonts w:hAnsi="宋体"/>
                <w:highlight w:val="none"/>
              </w:rPr>
            </w:pPr>
            <w:r>
              <w:rPr>
                <w:rFonts w:hAnsi="宋体"/>
                <w:highlight w:val="none"/>
              </w:rPr>
              <w:t>样品检测值</w:t>
            </w:r>
          </w:p>
        </w:tc>
        <w:tc>
          <w:tcPr>
            <w:tcW w:w="993" w:type="dxa"/>
            <w:vMerge w:val="restart"/>
            <w:vAlign w:val="center"/>
          </w:tcPr>
          <w:p>
            <w:pPr>
              <w:pStyle w:val="64"/>
              <w:rPr>
                <w:rFonts w:hAnsi="宋体"/>
                <w:highlight w:val="none"/>
              </w:rPr>
            </w:pPr>
            <w:r>
              <w:rPr>
                <w:rFonts w:hAnsi="宋体"/>
                <w:highlight w:val="none"/>
              </w:rPr>
              <w:t>单位</w:t>
            </w:r>
          </w:p>
        </w:tc>
        <w:tc>
          <w:tcPr>
            <w:tcW w:w="1559" w:type="dxa"/>
            <w:vMerge w:val="restart"/>
            <w:vAlign w:val="center"/>
          </w:tcPr>
          <w:p>
            <w:pPr>
              <w:pStyle w:val="64"/>
              <w:rPr>
                <w:rFonts w:hAnsi="宋体"/>
                <w:highlight w:val="none"/>
              </w:rPr>
            </w:pPr>
            <w:r>
              <w:rPr>
                <w:rFonts w:hAnsi="宋体"/>
                <w:highlight w:val="none"/>
              </w:rPr>
              <w:t>浸出液中危险成分浓度限值</w:t>
            </w:r>
          </w:p>
        </w:tc>
        <w:tc>
          <w:tcPr>
            <w:tcW w:w="1423" w:type="dxa"/>
            <w:vMerge w:val="restart"/>
            <w:vAlign w:val="center"/>
          </w:tcPr>
          <w:p>
            <w:pPr>
              <w:pStyle w:val="64"/>
              <w:rPr>
                <w:rFonts w:hAnsi="宋体"/>
                <w:highlight w:val="none"/>
              </w:rPr>
            </w:pPr>
            <w:r>
              <w:rPr>
                <w:rFonts w:hAnsi="宋体"/>
                <w:highlight w:val="none"/>
              </w:rPr>
              <w:t>GB8978-1996</w:t>
            </w:r>
          </w:p>
          <w:p>
            <w:pPr>
              <w:pStyle w:val="64"/>
              <w:rPr>
                <w:rFonts w:hAnsi="宋体"/>
                <w:bCs/>
                <w:highlight w:val="none"/>
              </w:rPr>
            </w:pPr>
            <w:r>
              <w:rPr>
                <w:rFonts w:hAnsi="宋体"/>
                <w:bCs/>
                <w:highlight w:val="none"/>
              </w:rPr>
              <w:t>一级标准</w:t>
            </w:r>
          </w:p>
        </w:tc>
        <w:tc>
          <w:tcPr>
            <w:tcW w:w="1098" w:type="dxa"/>
            <w:vMerge w:val="restart"/>
            <w:vAlign w:val="center"/>
          </w:tcPr>
          <w:p>
            <w:pPr>
              <w:pStyle w:val="64"/>
              <w:rPr>
                <w:rFonts w:hAnsi="宋体"/>
                <w:highlight w:val="none"/>
              </w:rPr>
            </w:pPr>
            <w:r>
              <w:rPr>
                <w:rFonts w:hAnsi="宋体"/>
                <w:highlight w:val="none"/>
              </w:rPr>
              <w:t>超标率（%）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4" w:hRule="atLeast"/>
          <w:jc w:val="center"/>
        </w:trPr>
        <w:tc>
          <w:tcPr>
            <w:tcW w:w="1447" w:type="dxa"/>
            <w:vMerge w:val="continue"/>
            <w:vAlign w:val="center"/>
          </w:tcPr>
          <w:p>
            <w:pPr>
              <w:pStyle w:val="64"/>
              <w:rPr>
                <w:rFonts w:hAnsi="宋体"/>
                <w:highlight w:val="none"/>
              </w:rPr>
            </w:pPr>
          </w:p>
        </w:tc>
        <w:tc>
          <w:tcPr>
            <w:tcW w:w="1133" w:type="dxa"/>
            <w:vAlign w:val="center"/>
          </w:tcPr>
          <w:p>
            <w:pPr>
              <w:pStyle w:val="64"/>
              <w:rPr>
                <w:rFonts w:hAnsi="宋体"/>
                <w:highlight w:val="none"/>
              </w:rPr>
            </w:pPr>
            <w:r>
              <w:rPr>
                <w:rFonts w:hint="eastAsia" w:hAnsi="宋体"/>
                <w:highlight w:val="none"/>
              </w:rPr>
              <w:t>尾矿</w:t>
            </w:r>
          </w:p>
        </w:tc>
        <w:tc>
          <w:tcPr>
            <w:tcW w:w="1133" w:type="dxa"/>
            <w:vAlign w:val="center"/>
          </w:tcPr>
          <w:p>
            <w:pPr>
              <w:pStyle w:val="64"/>
              <w:rPr>
                <w:rFonts w:hint="default" w:hAnsi="宋体" w:eastAsia="宋体"/>
                <w:highlight w:val="none"/>
                <w:lang w:val="en-US" w:eastAsia="zh-CN"/>
              </w:rPr>
            </w:pPr>
            <w:r>
              <w:rPr>
                <w:rFonts w:hint="eastAsia" w:hAnsi="宋体"/>
                <w:highlight w:val="none"/>
                <w:lang w:val="en-US" w:eastAsia="zh-CN"/>
              </w:rPr>
              <w:t>废石</w:t>
            </w:r>
          </w:p>
        </w:tc>
        <w:tc>
          <w:tcPr>
            <w:tcW w:w="993" w:type="dxa"/>
            <w:vMerge w:val="continue"/>
            <w:vAlign w:val="center"/>
          </w:tcPr>
          <w:p>
            <w:pPr>
              <w:pStyle w:val="64"/>
              <w:rPr>
                <w:rFonts w:hAnsi="宋体"/>
                <w:highlight w:val="none"/>
              </w:rPr>
            </w:pPr>
          </w:p>
        </w:tc>
        <w:tc>
          <w:tcPr>
            <w:tcW w:w="1559" w:type="dxa"/>
            <w:vMerge w:val="continue"/>
            <w:vAlign w:val="center"/>
          </w:tcPr>
          <w:p>
            <w:pPr>
              <w:pStyle w:val="64"/>
              <w:rPr>
                <w:rFonts w:hAnsi="宋体"/>
                <w:highlight w:val="none"/>
              </w:rPr>
            </w:pPr>
          </w:p>
        </w:tc>
        <w:tc>
          <w:tcPr>
            <w:tcW w:w="1423" w:type="dxa"/>
            <w:vMerge w:val="continue"/>
            <w:vAlign w:val="center"/>
          </w:tcPr>
          <w:p>
            <w:pPr>
              <w:pStyle w:val="64"/>
              <w:rPr>
                <w:rFonts w:hAnsi="宋体"/>
                <w:highlight w:val="none"/>
              </w:rPr>
            </w:pPr>
          </w:p>
        </w:tc>
        <w:tc>
          <w:tcPr>
            <w:tcW w:w="1098"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int="eastAsia" w:hAnsi="宋体"/>
                <w:highlight w:val="none"/>
              </w:rPr>
              <w:t>PH</w:t>
            </w:r>
          </w:p>
        </w:tc>
        <w:tc>
          <w:tcPr>
            <w:tcW w:w="1133" w:type="dxa"/>
            <w:vAlign w:val="center"/>
          </w:tcPr>
          <w:p>
            <w:pPr>
              <w:pStyle w:val="64"/>
              <w:rPr>
                <w:rFonts w:hint="default" w:hAnsi="宋体" w:eastAsia="宋体"/>
                <w:highlight w:val="none"/>
                <w:lang w:val="en-US" w:eastAsia="zh-CN"/>
              </w:rPr>
            </w:pPr>
            <w:r>
              <w:rPr>
                <w:rFonts w:hint="eastAsia" w:hAnsi="宋体"/>
                <w:highlight w:val="none"/>
                <w:lang w:val="en-US" w:eastAsia="zh-CN"/>
              </w:rPr>
              <w:t>8.63</w:t>
            </w:r>
          </w:p>
        </w:tc>
        <w:tc>
          <w:tcPr>
            <w:tcW w:w="1133" w:type="dxa"/>
          </w:tcPr>
          <w:p>
            <w:pPr>
              <w:pStyle w:val="64"/>
              <w:rPr>
                <w:rFonts w:hint="default" w:hAnsi="宋体" w:eastAsia="宋体"/>
                <w:highlight w:val="none"/>
                <w:lang w:val="en-US" w:eastAsia="zh-CN"/>
              </w:rPr>
            </w:pPr>
            <w:r>
              <w:rPr>
                <w:rFonts w:hint="eastAsia" w:hAnsi="宋体"/>
                <w:highlight w:val="none"/>
                <w:lang w:val="en-US" w:eastAsia="zh-CN"/>
              </w:rPr>
              <w:t>8.43</w:t>
            </w:r>
          </w:p>
        </w:tc>
        <w:tc>
          <w:tcPr>
            <w:tcW w:w="993" w:type="dxa"/>
          </w:tcPr>
          <w:p>
            <w:pPr>
              <w:pStyle w:val="64"/>
              <w:rPr>
                <w:rFonts w:hAnsi="宋体"/>
                <w:highlight w:val="none"/>
              </w:rPr>
            </w:pPr>
            <w:r>
              <w:rPr>
                <w:rFonts w:hint="eastAsia" w:hAnsi="宋体"/>
                <w:highlight w:val="none"/>
              </w:rPr>
              <w:t>/</w:t>
            </w:r>
          </w:p>
        </w:tc>
        <w:tc>
          <w:tcPr>
            <w:tcW w:w="1559" w:type="dxa"/>
            <w:vAlign w:val="center"/>
          </w:tcPr>
          <w:p>
            <w:pPr>
              <w:pStyle w:val="64"/>
              <w:rPr>
                <w:rFonts w:hAnsi="宋体"/>
                <w:highlight w:val="none"/>
              </w:rPr>
            </w:pPr>
            <w:r>
              <w:rPr>
                <w:rFonts w:hint="eastAsia" w:hAnsi="宋体"/>
                <w:highlight w:val="none"/>
              </w:rPr>
              <w:t>-</w:t>
            </w:r>
          </w:p>
        </w:tc>
        <w:tc>
          <w:tcPr>
            <w:tcW w:w="1423" w:type="dxa"/>
            <w:vAlign w:val="center"/>
          </w:tcPr>
          <w:p>
            <w:pPr>
              <w:pStyle w:val="64"/>
              <w:rPr>
                <w:rFonts w:hAnsi="宋体"/>
                <w:highlight w:val="none"/>
              </w:rPr>
            </w:pPr>
            <w:r>
              <w:rPr>
                <w:rFonts w:hint="eastAsia" w:hAnsi="宋体"/>
                <w:highlight w:val="none"/>
              </w:rPr>
              <w:t>6-9</w:t>
            </w:r>
          </w:p>
        </w:tc>
        <w:tc>
          <w:tcPr>
            <w:tcW w:w="1098" w:type="dxa"/>
            <w:vAlign w:val="center"/>
          </w:tcPr>
          <w:p>
            <w:pPr>
              <w:pStyle w:val="64"/>
              <w:rPr>
                <w:rFonts w:hAnsi="宋体"/>
                <w:highlight w:val="none"/>
              </w:rPr>
            </w:pPr>
            <w:r>
              <w:rPr>
                <w:rFonts w:hint="eastAsia"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铜</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100</w:t>
            </w:r>
          </w:p>
        </w:tc>
        <w:tc>
          <w:tcPr>
            <w:tcW w:w="1423" w:type="dxa"/>
            <w:vAlign w:val="center"/>
          </w:tcPr>
          <w:p>
            <w:pPr>
              <w:pStyle w:val="64"/>
              <w:rPr>
                <w:rFonts w:hAnsi="宋体"/>
                <w:highlight w:val="none"/>
              </w:rPr>
            </w:pPr>
            <w:r>
              <w:rPr>
                <w:rFonts w:hAnsi="宋体"/>
                <w:highlight w:val="none"/>
              </w:rPr>
              <w:t>0.5</w:t>
            </w:r>
          </w:p>
        </w:tc>
        <w:tc>
          <w:tcPr>
            <w:tcW w:w="1098" w:type="dxa"/>
            <w:vAlign w:val="center"/>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锌</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100</w:t>
            </w:r>
          </w:p>
        </w:tc>
        <w:tc>
          <w:tcPr>
            <w:tcW w:w="1423" w:type="dxa"/>
            <w:vAlign w:val="center"/>
          </w:tcPr>
          <w:p>
            <w:pPr>
              <w:pStyle w:val="64"/>
              <w:rPr>
                <w:rFonts w:hAnsi="宋体"/>
                <w:highlight w:val="none"/>
              </w:rPr>
            </w:pPr>
            <w:r>
              <w:rPr>
                <w:rFonts w:hAnsi="宋体"/>
                <w:highlight w:val="none"/>
              </w:rPr>
              <w:t>2.0</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镉</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w:t>
            </w:r>
          </w:p>
        </w:tc>
        <w:tc>
          <w:tcPr>
            <w:tcW w:w="1423" w:type="dxa"/>
            <w:vAlign w:val="center"/>
          </w:tcPr>
          <w:p>
            <w:pPr>
              <w:pStyle w:val="64"/>
              <w:rPr>
                <w:rFonts w:hAnsi="宋体"/>
                <w:highlight w:val="none"/>
              </w:rPr>
            </w:pPr>
            <w:r>
              <w:rPr>
                <w:rFonts w:hAnsi="宋体"/>
                <w:highlight w:val="none"/>
              </w:rPr>
              <w:t>0.1</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铅</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5</w:t>
            </w:r>
          </w:p>
        </w:tc>
        <w:tc>
          <w:tcPr>
            <w:tcW w:w="1423" w:type="dxa"/>
            <w:vAlign w:val="center"/>
          </w:tcPr>
          <w:p>
            <w:pPr>
              <w:pStyle w:val="64"/>
              <w:rPr>
                <w:rFonts w:hAnsi="宋体"/>
                <w:highlight w:val="none"/>
              </w:rPr>
            </w:pPr>
            <w:r>
              <w:rPr>
                <w:rFonts w:hAnsi="宋体"/>
                <w:highlight w:val="none"/>
              </w:rPr>
              <w:t>1.0</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总铬</w:t>
            </w:r>
          </w:p>
        </w:tc>
        <w:tc>
          <w:tcPr>
            <w:tcW w:w="1133" w:type="dxa"/>
            <w:vAlign w:val="center"/>
          </w:tcPr>
          <w:p>
            <w:pPr>
              <w:pStyle w:val="64"/>
              <w:rPr>
                <w:rFonts w:hAnsi="宋体"/>
                <w:highlight w:val="none"/>
              </w:rPr>
            </w:pPr>
            <w:r>
              <w:rPr>
                <w:rFonts w:hint="eastAsia" w:hAnsi="宋体"/>
                <w:highlight w:val="none"/>
              </w:rPr>
              <w:t>0.00043</w:t>
            </w:r>
          </w:p>
        </w:tc>
        <w:tc>
          <w:tcPr>
            <w:tcW w:w="1133" w:type="dxa"/>
          </w:tcPr>
          <w:p>
            <w:pPr>
              <w:pStyle w:val="64"/>
              <w:rPr>
                <w:rFonts w:hAnsi="宋体"/>
                <w:highlight w:val="none"/>
              </w:rPr>
            </w:pPr>
            <w:r>
              <w:rPr>
                <w:rFonts w:hint="eastAsia" w:hAnsi="宋体"/>
                <w:highlight w:val="none"/>
              </w:rPr>
              <w:t>0.00044</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12</w:t>
            </w:r>
          </w:p>
        </w:tc>
        <w:tc>
          <w:tcPr>
            <w:tcW w:w="1423" w:type="dxa"/>
            <w:vAlign w:val="center"/>
          </w:tcPr>
          <w:p>
            <w:pPr>
              <w:pStyle w:val="64"/>
              <w:rPr>
                <w:rFonts w:hAnsi="宋体"/>
                <w:highlight w:val="none"/>
              </w:rPr>
            </w:pPr>
            <w:r>
              <w:rPr>
                <w:rFonts w:hAnsi="宋体"/>
                <w:highlight w:val="none"/>
              </w:rPr>
              <w:t>1.5</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六价铬</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5</w:t>
            </w:r>
          </w:p>
        </w:tc>
        <w:tc>
          <w:tcPr>
            <w:tcW w:w="1423" w:type="dxa"/>
            <w:vAlign w:val="center"/>
          </w:tcPr>
          <w:p>
            <w:pPr>
              <w:pStyle w:val="64"/>
              <w:rPr>
                <w:rFonts w:hAnsi="宋体"/>
                <w:highlight w:val="none"/>
              </w:rPr>
            </w:pPr>
            <w:r>
              <w:rPr>
                <w:rFonts w:hAnsi="宋体"/>
                <w:highlight w:val="none"/>
              </w:rPr>
              <w:t>0.5</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汞</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ug/L</w:t>
            </w:r>
          </w:p>
        </w:tc>
        <w:tc>
          <w:tcPr>
            <w:tcW w:w="1559" w:type="dxa"/>
            <w:vAlign w:val="center"/>
          </w:tcPr>
          <w:p>
            <w:pPr>
              <w:pStyle w:val="64"/>
              <w:rPr>
                <w:rFonts w:hAnsi="宋体"/>
                <w:highlight w:val="none"/>
              </w:rPr>
            </w:pPr>
            <w:r>
              <w:rPr>
                <w:rFonts w:hAnsi="宋体"/>
                <w:highlight w:val="none"/>
              </w:rPr>
              <w:t>0.1</w:t>
            </w:r>
          </w:p>
        </w:tc>
        <w:tc>
          <w:tcPr>
            <w:tcW w:w="1423" w:type="dxa"/>
            <w:vAlign w:val="center"/>
          </w:tcPr>
          <w:p>
            <w:pPr>
              <w:pStyle w:val="64"/>
              <w:rPr>
                <w:rFonts w:hAnsi="宋体"/>
                <w:highlight w:val="none"/>
              </w:rPr>
            </w:pPr>
            <w:r>
              <w:rPr>
                <w:rFonts w:hAnsi="宋体"/>
                <w:highlight w:val="none"/>
              </w:rPr>
              <w:t>0.05</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铍</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0.02</w:t>
            </w:r>
          </w:p>
        </w:tc>
        <w:tc>
          <w:tcPr>
            <w:tcW w:w="1423" w:type="dxa"/>
            <w:vAlign w:val="center"/>
          </w:tcPr>
          <w:p>
            <w:pPr>
              <w:pStyle w:val="64"/>
              <w:rPr>
                <w:rFonts w:hAnsi="宋体"/>
                <w:highlight w:val="none"/>
              </w:rPr>
            </w:pPr>
            <w:r>
              <w:rPr>
                <w:rFonts w:hAnsi="宋体"/>
                <w:highlight w:val="none"/>
              </w:rPr>
              <w:t>0.005</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钡</w:t>
            </w:r>
          </w:p>
        </w:tc>
        <w:tc>
          <w:tcPr>
            <w:tcW w:w="1133" w:type="dxa"/>
            <w:vAlign w:val="center"/>
          </w:tcPr>
          <w:p>
            <w:pPr>
              <w:pStyle w:val="64"/>
              <w:rPr>
                <w:rFonts w:hAnsi="宋体"/>
                <w:highlight w:val="none"/>
              </w:rPr>
            </w:pPr>
            <w:r>
              <w:rPr>
                <w:rFonts w:hint="eastAsia" w:hAnsi="宋体"/>
                <w:highlight w:val="none"/>
              </w:rPr>
              <w:t>0.0693</w:t>
            </w:r>
          </w:p>
        </w:tc>
        <w:tc>
          <w:tcPr>
            <w:tcW w:w="1133" w:type="dxa"/>
          </w:tcPr>
          <w:p>
            <w:pPr>
              <w:pStyle w:val="64"/>
              <w:rPr>
                <w:rFonts w:hAnsi="宋体"/>
                <w:highlight w:val="none"/>
              </w:rPr>
            </w:pPr>
            <w:r>
              <w:rPr>
                <w:rFonts w:hint="eastAsia" w:hAnsi="宋体"/>
                <w:highlight w:val="none"/>
              </w:rPr>
              <w:t>0.0424</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100</w:t>
            </w:r>
          </w:p>
        </w:tc>
        <w:tc>
          <w:tcPr>
            <w:tcW w:w="1423" w:type="dxa"/>
            <w:vAlign w:val="center"/>
          </w:tcPr>
          <w:p>
            <w:pPr>
              <w:pStyle w:val="64"/>
              <w:rPr>
                <w:rFonts w:hAnsi="宋体"/>
                <w:highlight w:val="none"/>
              </w:rPr>
            </w:pPr>
            <w:r>
              <w:rPr>
                <w:rFonts w:hint="eastAsia" w:hAnsi="宋体"/>
                <w:highlight w:val="none"/>
              </w:rPr>
              <w:t>-</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镍</w:t>
            </w:r>
          </w:p>
        </w:tc>
        <w:tc>
          <w:tcPr>
            <w:tcW w:w="1133" w:type="dxa"/>
            <w:vAlign w:val="center"/>
          </w:tcPr>
          <w:p>
            <w:pPr>
              <w:pStyle w:val="64"/>
              <w:rPr>
                <w:rFonts w:hAnsi="宋体"/>
                <w:highlight w:val="none"/>
              </w:rPr>
            </w:pPr>
            <w:r>
              <w:rPr>
                <w:rFonts w:hAnsi="宋体"/>
                <w:highlight w:val="none"/>
              </w:rPr>
              <w:t>0.00</w:t>
            </w:r>
            <w:r>
              <w:rPr>
                <w:rFonts w:hint="eastAsia" w:hAnsi="宋体"/>
                <w:highlight w:val="none"/>
              </w:rPr>
              <w:t>03</w:t>
            </w:r>
          </w:p>
        </w:tc>
        <w:tc>
          <w:tcPr>
            <w:tcW w:w="1133" w:type="dxa"/>
          </w:tcPr>
          <w:p>
            <w:pPr>
              <w:pStyle w:val="64"/>
              <w:rPr>
                <w:rFonts w:hAnsi="宋体"/>
                <w:highlight w:val="none"/>
              </w:rPr>
            </w:pPr>
            <w:r>
              <w:rPr>
                <w:rFonts w:hint="eastAsia" w:hAnsi="宋体"/>
                <w:highlight w:val="none"/>
              </w:rPr>
              <w:t>0.00029</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5</w:t>
            </w:r>
          </w:p>
        </w:tc>
        <w:tc>
          <w:tcPr>
            <w:tcW w:w="1423" w:type="dxa"/>
            <w:vAlign w:val="center"/>
          </w:tcPr>
          <w:p>
            <w:pPr>
              <w:pStyle w:val="64"/>
              <w:rPr>
                <w:rFonts w:hAnsi="宋体"/>
                <w:highlight w:val="none"/>
              </w:rPr>
            </w:pPr>
            <w:r>
              <w:rPr>
                <w:rFonts w:hAnsi="宋体"/>
                <w:highlight w:val="none"/>
              </w:rPr>
              <w:t>1.0</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总银</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5</w:t>
            </w:r>
          </w:p>
        </w:tc>
        <w:tc>
          <w:tcPr>
            <w:tcW w:w="1423" w:type="dxa"/>
            <w:vAlign w:val="center"/>
          </w:tcPr>
          <w:p>
            <w:pPr>
              <w:pStyle w:val="64"/>
              <w:rPr>
                <w:rFonts w:hAnsi="宋体"/>
                <w:highlight w:val="none"/>
              </w:rPr>
            </w:pPr>
            <w:r>
              <w:rPr>
                <w:rFonts w:hAnsi="宋体"/>
                <w:highlight w:val="none"/>
              </w:rPr>
              <w:t>0.5</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砷</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ug/L</w:t>
            </w:r>
          </w:p>
        </w:tc>
        <w:tc>
          <w:tcPr>
            <w:tcW w:w="1559" w:type="dxa"/>
            <w:vAlign w:val="center"/>
          </w:tcPr>
          <w:p>
            <w:pPr>
              <w:pStyle w:val="64"/>
              <w:rPr>
                <w:rFonts w:hAnsi="宋体"/>
                <w:highlight w:val="none"/>
              </w:rPr>
            </w:pPr>
            <w:r>
              <w:rPr>
                <w:rFonts w:hAnsi="宋体"/>
                <w:highlight w:val="none"/>
              </w:rPr>
              <w:t>5</w:t>
            </w:r>
          </w:p>
        </w:tc>
        <w:tc>
          <w:tcPr>
            <w:tcW w:w="1423" w:type="dxa"/>
            <w:vAlign w:val="center"/>
          </w:tcPr>
          <w:p>
            <w:pPr>
              <w:pStyle w:val="64"/>
              <w:rPr>
                <w:rFonts w:hAnsi="宋体"/>
                <w:highlight w:val="none"/>
              </w:rPr>
            </w:pPr>
            <w:r>
              <w:rPr>
                <w:rFonts w:hAnsi="宋体"/>
                <w:highlight w:val="none"/>
              </w:rPr>
              <w:t>0.5</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硒</w:t>
            </w:r>
          </w:p>
        </w:tc>
        <w:tc>
          <w:tcPr>
            <w:tcW w:w="1133" w:type="dxa"/>
            <w:vAlign w:val="center"/>
          </w:tcPr>
          <w:p>
            <w:pPr>
              <w:pStyle w:val="64"/>
              <w:rPr>
                <w:rFonts w:hAnsi="宋体"/>
                <w:highlight w:val="none"/>
              </w:rPr>
            </w:pPr>
            <w:r>
              <w:rPr>
                <w:rFonts w:hint="eastAsia" w:hAnsi="宋体"/>
                <w:highlight w:val="none"/>
              </w:rPr>
              <w:t>0.0097</w:t>
            </w:r>
          </w:p>
        </w:tc>
        <w:tc>
          <w:tcPr>
            <w:tcW w:w="1133" w:type="dxa"/>
          </w:tcPr>
          <w:p>
            <w:pPr>
              <w:pStyle w:val="64"/>
              <w:rPr>
                <w:rFonts w:hAnsi="宋体"/>
                <w:highlight w:val="none"/>
              </w:rPr>
            </w:pPr>
            <w:r>
              <w:rPr>
                <w:rFonts w:hint="eastAsia" w:hAnsi="宋体"/>
                <w:highlight w:val="none"/>
              </w:rPr>
              <w:t>0.0103</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w:t>
            </w:r>
          </w:p>
        </w:tc>
        <w:tc>
          <w:tcPr>
            <w:tcW w:w="1423" w:type="dxa"/>
            <w:vAlign w:val="center"/>
          </w:tcPr>
          <w:p>
            <w:pPr>
              <w:pStyle w:val="64"/>
              <w:rPr>
                <w:rFonts w:hAnsi="宋体"/>
                <w:highlight w:val="none"/>
              </w:rPr>
            </w:pPr>
            <w:r>
              <w:rPr>
                <w:rFonts w:hAnsi="宋体"/>
                <w:highlight w:val="none"/>
              </w:rPr>
              <w:t>0.1</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无机氟化物</w:t>
            </w:r>
          </w:p>
        </w:tc>
        <w:tc>
          <w:tcPr>
            <w:tcW w:w="1133" w:type="dxa"/>
            <w:vAlign w:val="center"/>
          </w:tcPr>
          <w:p>
            <w:pPr>
              <w:pStyle w:val="64"/>
              <w:rPr>
                <w:rFonts w:hAnsi="宋体"/>
                <w:highlight w:val="none"/>
              </w:rPr>
            </w:pPr>
            <w:r>
              <w:rPr>
                <w:rFonts w:hAnsi="宋体"/>
                <w:highlight w:val="none"/>
              </w:rPr>
              <w:t>0.</w:t>
            </w:r>
            <w:r>
              <w:rPr>
                <w:rFonts w:hint="eastAsia" w:hAnsi="宋体"/>
                <w:highlight w:val="none"/>
              </w:rPr>
              <w:t>065</w:t>
            </w:r>
          </w:p>
        </w:tc>
        <w:tc>
          <w:tcPr>
            <w:tcW w:w="1133" w:type="dxa"/>
          </w:tcPr>
          <w:p>
            <w:pPr>
              <w:pStyle w:val="64"/>
              <w:rPr>
                <w:rFonts w:hAnsi="宋体"/>
                <w:highlight w:val="none"/>
              </w:rPr>
            </w:pPr>
            <w:r>
              <w:rPr>
                <w:rFonts w:hint="eastAsia" w:hAnsi="宋体"/>
                <w:highlight w:val="none"/>
              </w:rPr>
              <w:t>0.186</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100</w:t>
            </w:r>
          </w:p>
        </w:tc>
        <w:tc>
          <w:tcPr>
            <w:tcW w:w="1423" w:type="dxa"/>
            <w:vAlign w:val="center"/>
          </w:tcPr>
          <w:p>
            <w:pPr>
              <w:pStyle w:val="64"/>
              <w:rPr>
                <w:rFonts w:hAnsi="宋体"/>
                <w:highlight w:val="none"/>
              </w:rPr>
            </w:pPr>
            <w:r>
              <w:rPr>
                <w:rFonts w:hAnsi="宋体"/>
                <w:highlight w:val="none"/>
              </w:rPr>
              <w:t>10</w:t>
            </w:r>
          </w:p>
        </w:tc>
        <w:tc>
          <w:tcPr>
            <w:tcW w:w="1098" w:type="dxa"/>
          </w:tcPr>
          <w:p>
            <w:pPr>
              <w:pStyle w:val="64"/>
              <w:rPr>
                <w:rFonts w:hAnsi="宋体"/>
                <w:highlight w:val="none"/>
              </w:rPr>
            </w:pP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1447" w:type="dxa"/>
            <w:vAlign w:val="center"/>
          </w:tcPr>
          <w:p>
            <w:pPr>
              <w:pStyle w:val="64"/>
              <w:rPr>
                <w:rFonts w:hAnsi="宋体"/>
                <w:highlight w:val="none"/>
              </w:rPr>
            </w:pPr>
            <w:r>
              <w:rPr>
                <w:rFonts w:hAnsi="宋体"/>
                <w:highlight w:val="none"/>
              </w:rPr>
              <w:t>氰化物</w:t>
            </w:r>
          </w:p>
        </w:tc>
        <w:tc>
          <w:tcPr>
            <w:tcW w:w="1133" w:type="dxa"/>
            <w:vAlign w:val="center"/>
          </w:tcPr>
          <w:p>
            <w:pPr>
              <w:pStyle w:val="64"/>
              <w:rPr>
                <w:rFonts w:hAnsi="宋体"/>
                <w:highlight w:val="none"/>
              </w:rPr>
            </w:pPr>
            <w:r>
              <w:rPr>
                <w:rFonts w:hint="eastAsia" w:hAnsi="宋体"/>
                <w:highlight w:val="none"/>
              </w:rPr>
              <w:t>ND</w:t>
            </w:r>
          </w:p>
        </w:tc>
        <w:tc>
          <w:tcPr>
            <w:tcW w:w="1133" w:type="dxa"/>
          </w:tcPr>
          <w:p>
            <w:pPr>
              <w:pStyle w:val="64"/>
              <w:rPr>
                <w:rFonts w:hAnsi="宋体"/>
                <w:highlight w:val="none"/>
              </w:rPr>
            </w:pPr>
            <w:r>
              <w:rPr>
                <w:rFonts w:hint="eastAsia" w:hAnsi="宋体"/>
                <w:highlight w:val="none"/>
              </w:rPr>
              <w:t>ND</w:t>
            </w:r>
          </w:p>
        </w:tc>
        <w:tc>
          <w:tcPr>
            <w:tcW w:w="993" w:type="dxa"/>
          </w:tcPr>
          <w:p>
            <w:pPr>
              <w:pStyle w:val="64"/>
              <w:rPr>
                <w:rFonts w:hAnsi="宋体"/>
                <w:highlight w:val="none"/>
              </w:rPr>
            </w:pPr>
            <w:r>
              <w:rPr>
                <w:rFonts w:hAnsi="宋体"/>
                <w:highlight w:val="none"/>
              </w:rPr>
              <w:t>mg/L</w:t>
            </w:r>
          </w:p>
        </w:tc>
        <w:tc>
          <w:tcPr>
            <w:tcW w:w="1559" w:type="dxa"/>
            <w:vAlign w:val="center"/>
          </w:tcPr>
          <w:p>
            <w:pPr>
              <w:pStyle w:val="64"/>
              <w:rPr>
                <w:rFonts w:hAnsi="宋体"/>
                <w:highlight w:val="none"/>
              </w:rPr>
            </w:pPr>
            <w:r>
              <w:rPr>
                <w:rFonts w:hAnsi="宋体"/>
                <w:highlight w:val="none"/>
              </w:rPr>
              <w:t>5</w:t>
            </w:r>
          </w:p>
        </w:tc>
        <w:tc>
          <w:tcPr>
            <w:tcW w:w="1423" w:type="dxa"/>
            <w:vAlign w:val="center"/>
          </w:tcPr>
          <w:p>
            <w:pPr>
              <w:pStyle w:val="64"/>
              <w:rPr>
                <w:rFonts w:hAnsi="宋体"/>
                <w:highlight w:val="none"/>
              </w:rPr>
            </w:pPr>
            <w:r>
              <w:rPr>
                <w:rFonts w:hAnsi="宋体"/>
                <w:highlight w:val="none"/>
              </w:rPr>
              <w:t>0.5</w:t>
            </w:r>
          </w:p>
        </w:tc>
        <w:tc>
          <w:tcPr>
            <w:tcW w:w="1098" w:type="dxa"/>
          </w:tcPr>
          <w:p>
            <w:pPr>
              <w:pStyle w:val="64"/>
              <w:rPr>
                <w:rFonts w:hAnsi="宋体"/>
                <w:highlight w:val="none"/>
              </w:rPr>
            </w:pPr>
            <w:r>
              <w:rPr>
                <w:rFonts w:hAnsi="宋体"/>
                <w:highlight w:val="none"/>
              </w:rPr>
              <w:t>0</w:t>
            </w:r>
          </w:p>
        </w:tc>
      </w:tr>
    </w:tbl>
    <w:p>
      <w:pPr>
        <w:pStyle w:val="62"/>
        <w:ind w:firstLine="480"/>
        <w:rPr>
          <w:highlight w:val="none"/>
        </w:rPr>
      </w:pPr>
      <w:r>
        <w:rPr>
          <w:rFonts w:hint="eastAsia"/>
          <w:highlight w:val="none"/>
        </w:rPr>
        <w:t>尾矿</w:t>
      </w:r>
      <w:r>
        <w:rPr>
          <w:highlight w:val="none"/>
        </w:rPr>
        <w:t>石和尾砂中各测定项目浓度均远低于《危险废物鉴别标准·浸出毒性鉴别》（GB5085.3-2007）中浸出毒性鉴别标准值和《污水综合排放标准》（GB8978-1996）最高允许排放浓度，属于第</w:t>
      </w:r>
      <w:r>
        <w:rPr>
          <w:rFonts w:hint="eastAsia"/>
          <w:highlight w:val="none"/>
        </w:rPr>
        <w:t>Ⅰ</w:t>
      </w:r>
      <w:r>
        <w:rPr>
          <w:highlight w:val="none"/>
        </w:rPr>
        <w:t>类一般工业固体废物。</w:t>
      </w:r>
    </w:p>
    <w:p>
      <w:pPr>
        <w:pStyle w:val="4"/>
        <w:ind w:firstLine="562"/>
        <w:rPr>
          <w:rFonts w:hAnsi="宋体"/>
          <w:highlight w:val="none"/>
        </w:rPr>
      </w:pPr>
      <w:r>
        <w:rPr>
          <w:rFonts w:hAnsi="宋体"/>
          <w:highlight w:val="none"/>
        </w:rPr>
        <w:t>3.</w:t>
      </w:r>
      <w:r>
        <w:rPr>
          <w:rFonts w:hint="eastAsia" w:hAnsi="宋体"/>
          <w:highlight w:val="none"/>
        </w:rPr>
        <w:t>1</w:t>
      </w:r>
      <w:r>
        <w:rPr>
          <w:rFonts w:hAnsi="宋体"/>
          <w:highlight w:val="none"/>
        </w:rPr>
        <w:t>.</w:t>
      </w:r>
      <w:r>
        <w:rPr>
          <w:rFonts w:hint="eastAsia" w:hAnsi="宋体"/>
          <w:highlight w:val="none"/>
        </w:rPr>
        <w:t>8</w:t>
      </w:r>
      <w:r>
        <w:rPr>
          <w:rFonts w:hAnsi="宋体"/>
          <w:highlight w:val="none"/>
        </w:rPr>
        <w:t>生产制度和劳动定员</w:t>
      </w:r>
    </w:p>
    <w:p>
      <w:pPr>
        <w:ind w:firstLine="480"/>
        <w:rPr>
          <w:rFonts w:ascii="宋体" w:hAnsi="宋体"/>
          <w:highlight w:val="none"/>
        </w:rPr>
      </w:pPr>
      <w:r>
        <w:rPr>
          <w:rFonts w:ascii="宋体" w:hAnsi="宋体"/>
          <w:highlight w:val="none"/>
        </w:rPr>
        <w:t>生产制度：年工作日3</w:t>
      </w:r>
      <w:r>
        <w:rPr>
          <w:rFonts w:hint="eastAsia" w:ascii="宋体" w:hAnsi="宋体"/>
          <w:highlight w:val="none"/>
        </w:rPr>
        <w:t>0</w:t>
      </w:r>
      <w:r>
        <w:rPr>
          <w:rFonts w:ascii="宋体" w:hAnsi="宋体"/>
          <w:highlight w:val="none"/>
        </w:rPr>
        <w:t>0天，每天两班制，每班</w:t>
      </w:r>
      <w:r>
        <w:rPr>
          <w:rFonts w:hint="eastAsia" w:ascii="宋体" w:hAnsi="宋体"/>
          <w:highlight w:val="none"/>
        </w:rPr>
        <w:t>12</w:t>
      </w:r>
      <w:r>
        <w:rPr>
          <w:rFonts w:ascii="宋体" w:hAnsi="宋体"/>
          <w:highlight w:val="none"/>
        </w:rPr>
        <w:t>小时。</w:t>
      </w:r>
    </w:p>
    <w:p>
      <w:pPr>
        <w:ind w:firstLine="480"/>
        <w:rPr>
          <w:rFonts w:ascii="宋体" w:hAnsi="宋体"/>
          <w:highlight w:val="none"/>
        </w:rPr>
      </w:pPr>
      <w:r>
        <w:rPr>
          <w:rFonts w:ascii="宋体" w:hAnsi="宋体"/>
          <w:highlight w:val="none"/>
        </w:rPr>
        <w:t>劳动定员：项目总定员15人，其中管理人员3人，工人12人。</w:t>
      </w:r>
    </w:p>
    <w:p>
      <w:pPr>
        <w:pStyle w:val="3"/>
        <w:ind w:firstLine="643"/>
        <w:rPr>
          <w:rFonts w:hAnsi="宋体"/>
          <w:highlight w:val="none"/>
        </w:rPr>
      </w:pPr>
      <w:bookmarkStart w:id="125" w:name="_Toc70201019"/>
      <w:r>
        <w:rPr>
          <w:rFonts w:hAnsi="宋体"/>
          <w:highlight w:val="none"/>
        </w:rPr>
        <w:t>3.2公用工程</w:t>
      </w:r>
      <w:bookmarkEnd w:id="125"/>
    </w:p>
    <w:bookmarkEnd w:id="123"/>
    <w:bookmarkEnd w:id="124"/>
    <w:p>
      <w:pPr>
        <w:pStyle w:val="4"/>
        <w:ind w:firstLine="562"/>
        <w:rPr>
          <w:rFonts w:hAnsi="宋体"/>
          <w:highlight w:val="none"/>
        </w:rPr>
      </w:pPr>
      <w:r>
        <w:rPr>
          <w:rFonts w:hAnsi="宋体"/>
          <w:highlight w:val="none"/>
        </w:rPr>
        <w:t>3.2.1给排水</w:t>
      </w:r>
    </w:p>
    <w:p>
      <w:pPr>
        <w:pStyle w:val="62"/>
        <w:ind w:firstLine="480"/>
        <w:rPr>
          <w:rFonts w:hAnsi="宋体"/>
          <w:highlight w:val="none"/>
        </w:rPr>
      </w:pPr>
      <w:r>
        <w:rPr>
          <w:rFonts w:hAnsi="宋体"/>
          <w:highlight w:val="none"/>
        </w:rPr>
        <w:t>3.2.1.1给水水源</w:t>
      </w:r>
    </w:p>
    <w:p>
      <w:pPr>
        <w:ind w:firstLine="480"/>
        <w:rPr>
          <w:rFonts w:ascii="宋体" w:hAnsi="宋体"/>
          <w:bCs/>
          <w:snapToGrid w:val="0"/>
          <w:szCs w:val="22"/>
          <w:highlight w:val="none"/>
        </w:rPr>
      </w:pPr>
      <w:r>
        <w:rPr>
          <w:rFonts w:ascii="宋体" w:hAnsi="宋体"/>
          <w:bCs/>
          <w:szCs w:val="22"/>
          <w:highlight w:val="none"/>
        </w:rPr>
        <w:t>本项目生产及办公生活用水来自厂内自备深井，</w:t>
      </w:r>
      <w:r>
        <w:rPr>
          <w:rFonts w:ascii="宋体" w:hAnsi="宋体"/>
          <w:bCs/>
          <w:snapToGrid w:val="0"/>
          <w:szCs w:val="22"/>
          <w:highlight w:val="none"/>
        </w:rPr>
        <w:t>供水能力约30m</w:t>
      </w:r>
      <w:r>
        <w:rPr>
          <w:rFonts w:ascii="宋体" w:hAnsi="宋体"/>
          <w:bCs/>
          <w:snapToGrid w:val="0"/>
          <w:szCs w:val="22"/>
          <w:highlight w:val="none"/>
          <w:vertAlign w:val="superscript"/>
        </w:rPr>
        <w:t>3</w:t>
      </w:r>
      <w:r>
        <w:rPr>
          <w:rFonts w:ascii="宋体" w:hAnsi="宋体"/>
          <w:bCs/>
          <w:snapToGrid w:val="0"/>
          <w:szCs w:val="22"/>
          <w:highlight w:val="none"/>
        </w:rPr>
        <w:t>/h，厂区内设高位水池1座，井水由泵打入高位水池，为生产和生活供水。</w:t>
      </w:r>
    </w:p>
    <w:p>
      <w:pPr>
        <w:pStyle w:val="62"/>
        <w:ind w:firstLine="480"/>
        <w:rPr>
          <w:rFonts w:hAnsi="宋体"/>
          <w:highlight w:val="none"/>
        </w:rPr>
      </w:pPr>
      <w:r>
        <w:rPr>
          <w:rFonts w:hAnsi="宋体"/>
          <w:highlight w:val="none"/>
        </w:rPr>
        <w:t>3.2.1.2给水水量</w:t>
      </w:r>
    </w:p>
    <w:p>
      <w:pPr>
        <w:ind w:firstLine="470" w:firstLineChars="196"/>
        <w:rPr>
          <w:rFonts w:ascii="宋体" w:hAnsi="宋体"/>
          <w:szCs w:val="22"/>
          <w:highlight w:val="none"/>
        </w:rPr>
      </w:pPr>
      <w:r>
        <w:rPr>
          <w:rFonts w:hint="eastAsia" w:ascii="宋体" w:hAnsi="宋体"/>
          <w:szCs w:val="22"/>
          <w:highlight w:val="none"/>
        </w:rPr>
        <w:t>1、</w:t>
      </w:r>
      <w:r>
        <w:rPr>
          <w:rFonts w:ascii="宋体" w:hAnsi="宋体"/>
          <w:szCs w:val="22"/>
          <w:highlight w:val="none"/>
        </w:rPr>
        <w:t>生活用水</w:t>
      </w:r>
    </w:p>
    <w:p>
      <w:pPr>
        <w:ind w:firstLine="470" w:firstLineChars="196"/>
        <w:rPr>
          <w:rFonts w:ascii="宋体" w:hAnsi="宋体"/>
          <w:szCs w:val="22"/>
          <w:highlight w:val="none"/>
        </w:rPr>
      </w:pPr>
      <w:r>
        <w:rPr>
          <w:rFonts w:ascii="宋体" w:hAnsi="宋体"/>
          <w:szCs w:val="22"/>
          <w:highlight w:val="none"/>
        </w:rPr>
        <w:t>根据《山西省用水定额》，本项目劳动定员共15人，厂区设食堂，设置休息室，无洗浴装置，厕所使用旱厕。生活用水仅为洗漱用水，用水量以</w:t>
      </w:r>
      <w:r>
        <w:rPr>
          <w:rFonts w:hint="eastAsia" w:ascii="宋体" w:hAnsi="宋体"/>
          <w:szCs w:val="22"/>
          <w:highlight w:val="none"/>
        </w:rPr>
        <w:t>6</w:t>
      </w:r>
      <w:r>
        <w:rPr>
          <w:rFonts w:ascii="宋体" w:hAnsi="宋体"/>
          <w:szCs w:val="22"/>
          <w:highlight w:val="none"/>
        </w:rPr>
        <w:t>0L/p·d计，则生活用水量0.</w:t>
      </w:r>
      <w:r>
        <w:rPr>
          <w:rFonts w:hint="eastAsia" w:ascii="宋体" w:hAnsi="宋体"/>
          <w:szCs w:val="22"/>
          <w:highlight w:val="none"/>
        </w:rPr>
        <w:t>9</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r>
        <w:rPr>
          <w:rFonts w:hint="eastAsia" w:ascii="宋体" w:hAnsi="宋体"/>
          <w:szCs w:val="22"/>
          <w:highlight w:val="none"/>
        </w:rPr>
        <w:t>270</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/a。</w:t>
      </w:r>
    </w:p>
    <w:p>
      <w:pPr>
        <w:ind w:firstLine="470" w:firstLineChars="196"/>
        <w:rPr>
          <w:rFonts w:ascii="宋体" w:hAnsi="宋体"/>
          <w:szCs w:val="22"/>
          <w:highlight w:val="none"/>
        </w:rPr>
      </w:pPr>
      <w:r>
        <w:rPr>
          <w:rFonts w:hint="eastAsia" w:ascii="宋体" w:hAnsi="宋体"/>
          <w:szCs w:val="22"/>
          <w:highlight w:val="none"/>
        </w:rPr>
        <w:t>2、</w:t>
      </w:r>
      <w:r>
        <w:rPr>
          <w:rFonts w:ascii="宋体" w:hAnsi="宋体"/>
          <w:szCs w:val="22"/>
          <w:highlight w:val="none"/>
        </w:rPr>
        <w:t>生产用水</w:t>
      </w:r>
    </w:p>
    <w:p>
      <w:pPr>
        <w:ind w:firstLine="470" w:firstLineChars="196"/>
        <w:rPr>
          <w:rFonts w:ascii="宋体" w:hAnsi="宋体"/>
          <w:szCs w:val="22"/>
          <w:highlight w:val="none"/>
        </w:rPr>
      </w:pPr>
      <w:r>
        <w:rPr>
          <w:rFonts w:hint="eastAsia" w:ascii="宋体" w:hAnsi="宋体"/>
          <w:szCs w:val="22"/>
          <w:highlight w:val="none"/>
        </w:rPr>
        <w:t>A、喷雾用水</w:t>
      </w:r>
    </w:p>
    <w:p>
      <w:pPr>
        <w:ind w:firstLine="470" w:firstLineChars="196"/>
        <w:rPr>
          <w:rFonts w:ascii="宋体" w:hAnsi="宋体"/>
          <w:szCs w:val="22"/>
          <w:highlight w:val="none"/>
        </w:rPr>
      </w:pPr>
      <w:r>
        <w:rPr>
          <w:rFonts w:ascii="宋体" w:hAnsi="宋体"/>
          <w:szCs w:val="22"/>
          <w:highlight w:val="none"/>
        </w:rPr>
        <w:t>本项目生产用水环节主要为</w:t>
      </w:r>
      <w:r>
        <w:rPr>
          <w:rFonts w:hint="eastAsia" w:ascii="宋体" w:hAnsi="宋体"/>
          <w:szCs w:val="22"/>
          <w:highlight w:val="none"/>
        </w:rPr>
        <w:t>原料</w:t>
      </w:r>
      <w:r>
        <w:rPr>
          <w:rFonts w:ascii="宋体" w:hAnsi="宋体"/>
          <w:szCs w:val="22"/>
          <w:highlight w:val="none"/>
        </w:rPr>
        <w:t>库</w:t>
      </w:r>
      <w:r>
        <w:rPr>
          <w:rFonts w:hint="eastAsia" w:ascii="宋体" w:hAnsi="宋体"/>
          <w:szCs w:val="22"/>
          <w:highlight w:val="none"/>
        </w:rPr>
        <w:t>、废石库</w:t>
      </w:r>
      <w:r>
        <w:rPr>
          <w:rFonts w:ascii="宋体" w:hAnsi="宋体"/>
          <w:szCs w:val="22"/>
          <w:highlight w:val="none"/>
        </w:rPr>
        <w:t>的</w:t>
      </w:r>
      <w:r>
        <w:rPr>
          <w:rFonts w:hint="eastAsia" w:ascii="宋体" w:hAnsi="宋体"/>
          <w:szCs w:val="22"/>
          <w:highlight w:val="none"/>
        </w:rPr>
        <w:t>雾炮</w:t>
      </w:r>
      <w:r>
        <w:rPr>
          <w:rFonts w:ascii="宋体" w:hAnsi="宋体"/>
          <w:szCs w:val="22"/>
          <w:highlight w:val="none"/>
        </w:rPr>
        <w:t>用水。用水量以</w:t>
      </w:r>
      <w:r>
        <w:rPr>
          <w:rFonts w:hint="eastAsia" w:ascii="宋体" w:hAnsi="宋体"/>
          <w:szCs w:val="22"/>
          <w:highlight w:val="none"/>
        </w:rPr>
        <w:t>1</w:t>
      </w:r>
      <w:r>
        <w:rPr>
          <w:rFonts w:ascii="宋体" w:hAnsi="宋体"/>
          <w:szCs w:val="22"/>
          <w:highlight w:val="none"/>
        </w:rPr>
        <w:t>L/m</w:t>
      </w:r>
      <w:r>
        <w:rPr>
          <w:rFonts w:ascii="宋体" w:hAnsi="宋体"/>
          <w:szCs w:val="22"/>
          <w:highlight w:val="none"/>
          <w:vertAlign w:val="superscript"/>
        </w:rPr>
        <w:t>2</w:t>
      </w:r>
      <w:r>
        <w:rPr>
          <w:rFonts w:ascii="宋体" w:hAnsi="宋体"/>
          <w:szCs w:val="22"/>
          <w:highlight w:val="none"/>
        </w:rPr>
        <w:t>·d，则喷淋用水量为</w:t>
      </w:r>
      <w:r>
        <w:rPr>
          <w:rFonts w:hint="eastAsia" w:ascii="宋体" w:hAnsi="宋体"/>
          <w:szCs w:val="22"/>
          <w:highlight w:val="none"/>
        </w:rPr>
        <w:t>2.2</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p>
    <w:p>
      <w:pPr>
        <w:pStyle w:val="62"/>
        <w:ind w:firstLine="480"/>
        <w:rPr>
          <w:rFonts w:hAnsi="宋体"/>
          <w:highlight w:val="none"/>
        </w:rPr>
      </w:pPr>
      <w:r>
        <w:rPr>
          <w:rFonts w:hint="eastAsia" w:hAnsi="宋体"/>
          <w:highlight w:val="none"/>
        </w:rPr>
        <w:t>B、选矿用水</w:t>
      </w:r>
    </w:p>
    <w:p>
      <w:pPr>
        <w:pStyle w:val="62"/>
        <w:ind w:firstLine="480"/>
        <w:rPr>
          <w:rFonts w:hAnsi="宋体"/>
          <w:highlight w:val="none"/>
        </w:rPr>
      </w:pPr>
      <w:r>
        <w:rPr>
          <w:rFonts w:hint="eastAsia" w:hAnsi="宋体"/>
          <w:highlight w:val="none"/>
        </w:rPr>
        <w:t>根据本项目数质量图可知，</w:t>
      </w:r>
      <w:r>
        <w:rPr>
          <w:rFonts w:hAnsi="宋体"/>
          <w:highlight w:val="none"/>
        </w:rPr>
        <w:t>选矿补新水</w:t>
      </w:r>
      <w:r>
        <w:rPr>
          <w:rFonts w:hint="eastAsia" w:hAnsi="宋体"/>
          <w:highlight w:val="none"/>
        </w:rPr>
        <w:t>64</w:t>
      </w:r>
      <w:r>
        <w:rPr>
          <w:rFonts w:hAnsi="宋体"/>
          <w:highlight w:val="none"/>
        </w:rPr>
        <w:t>m</w:t>
      </w:r>
      <w:r>
        <w:rPr>
          <w:rFonts w:hAnsi="宋体"/>
          <w:highlight w:val="none"/>
          <w:vertAlign w:val="superscript"/>
        </w:rPr>
        <w:t>3</w:t>
      </w:r>
      <w:r>
        <w:rPr>
          <w:rFonts w:hAnsi="宋体"/>
          <w:highlight w:val="none"/>
        </w:rPr>
        <w:t>/d。</w:t>
      </w:r>
    </w:p>
    <w:p>
      <w:pPr>
        <w:ind w:firstLine="470" w:firstLineChars="196"/>
        <w:rPr>
          <w:rFonts w:ascii="宋体" w:hAnsi="宋体"/>
          <w:szCs w:val="22"/>
          <w:highlight w:val="none"/>
        </w:rPr>
      </w:pPr>
      <w:r>
        <w:rPr>
          <w:rFonts w:hint="eastAsia" w:ascii="宋体" w:hAnsi="宋体"/>
          <w:szCs w:val="22"/>
          <w:highlight w:val="none"/>
        </w:rPr>
        <w:t>C、</w:t>
      </w:r>
      <w:r>
        <w:rPr>
          <w:rFonts w:ascii="宋体" w:hAnsi="宋体"/>
          <w:szCs w:val="22"/>
          <w:highlight w:val="none"/>
        </w:rPr>
        <w:t>车辆冲洗用水</w:t>
      </w:r>
    </w:p>
    <w:p>
      <w:pPr>
        <w:ind w:firstLine="470" w:firstLineChars="196"/>
        <w:rPr>
          <w:rFonts w:ascii="宋体" w:hAnsi="宋体"/>
          <w:szCs w:val="22"/>
          <w:highlight w:val="none"/>
        </w:rPr>
      </w:pPr>
      <w:r>
        <w:rPr>
          <w:rFonts w:ascii="宋体" w:hAnsi="宋体"/>
          <w:szCs w:val="22"/>
          <w:highlight w:val="none"/>
        </w:rPr>
        <w:t>本次项目拟在厂区出入口设置1座车辆清洗平台，用于冲洗出厂运输车辆车身及轮胎，车辆载重以30t/辆计，则项目年生产规模为</w:t>
      </w:r>
      <w:r>
        <w:rPr>
          <w:rFonts w:hint="eastAsia" w:ascii="宋体" w:hAnsi="宋体"/>
          <w:szCs w:val="22"/>
          <w:highlight w:val="none"/>
        </w:rPr>
        <w:t>3</w:t>
      </w:r>
      <w:r>
        <w:rPr>
          <w:rFonts w:ascii="宋体" w:hAnsi="宋体"/>
          <w:szCs w:val="22"/>
          <w:highlight w:val="none"/>
        </w:rPr>
        <w:t>0万吨，原料和成品均采用汽车运输，则运输车辆为</w:t>
      </w:r>
      <w:r>
        <w:rPr>
          <w:rFonts w:hint="eastAsia" w:ascii="宋体" w:hAnsi="宋体"/>
          <w:szCs w:val="22"/>
          <w:highlight w:val="none"/>
        </w:rPr>
        <w:t>67台次</w:t>
      </w:r>
      <w:r>
        <w:rPr>
          <w:rFonts w:ascii="宋体" w:hAnsi="宋体"/>
          <w:szCs w:val="22"/>
          <w:highlight w:val="none"/>
        </w:rPr>
        <w:t>/d。冲洗压力大于4.5kg/cm</w:t>
      </w:r>
      <w:r>
        <w:rPr>
          <w:rFonts w:ascii="宋体" w:hAnsi="宋体"/>
          <w:szCs w:val="22"/>
          <w:highlight w:val="none"/>
          <w:vertAlign w:val="superscript"/>
        </w:rPr>
        <w:t>2</w:t>
      </w:r>
      <w:r>
        <w:rPr>
          <w:rFonts w:ascii="宋体" w:hAnsi="宋体"/>
          <w:szCs w:val="22"/>
          <w:highlight w:val="none"/>
        </w:rPr>
        <w:t>，车辆冲洗水</w:t>
      </w:r>
      <w:r>
        <w:rPr>
          <w:rFonts w:hint="eastAsia" w:ascii="宋体" w:hAnsi="宋体"/>
          <w:szCs w:val="22"/>
          <w:highlight w:val="none"/>
        </w:rPr>
        <w:t>消耗量</w:t>
      </w:r>
      <w:r>
        <w:rPr>
          <w:rFonts w:ascii="宋体" w:hAnsi="宋体"/>
          <w:szCs w:val="22"/>
          <w:highlight w:val="none"/>
        </w:rPr>
        <w:t>以0.</w:t>
      </w:r>
      <w:r>
        <w:rPr>
          <w:rFonts w:hint="eastAsia" w:ascii="宋体" w:hAnsi="宋体"/>
          <w:szCs w:val="22"/>
          <w:highlight w:val="none"/>
        </w:rPr>
        <w:t>02</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w:t>
      </w:r>
      <w:r>
        <w:rPr>
          <w:rFonts w:hint="eastAsia" w:ascii="宋体" w:hAnsi="宋体"/>
          <w:szCs w:val="22"/>
          <w:highlight w:val="none"/>
        </w:rPr>
        <w:t>台次</w:t>
      </w:r>
      <w:r>
        <w:rPr>
          <w:rFonts w:ascii="宋体" w:hAnsi="宋体"/>
          <w:szCs w:val="22"/>
          <w:highlight w:val="none"/>
        </w:rPr>
        <w:t>计，则洗车用水量为</w:t>
      </w:r>
      <w:r>
        <w:rPr>
          <w:rFonts w:hint="eastAsia" w:ascii="宋体" w:hAnsi="宋体"/>
          <w:szCs w:val="22"/>
          <w:highlight w:val="none"/>
        </w:rPr>
        <w:t>1.34</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r>
        <w:rPr>
          <w:rFonts w:hint="eastAsia" w:ascii="宋体" w:hAnsi="宋体"/>
          <w:szCs w:val="22"/>
          <w:highlight w:val="none"/>
        </w:rPr>
        <w:t>。</w:t>
      </w:r>
    </w:p>
    <w:p>
      <w:pPr>
        <w:ind w:firstLine="470" w:firstLineChars="196"/>
        <w:rPr>
          <w:rFonts w:ascii="宋体" w:hAnsi="宋体"/>
          <w:szCs w:val="22"/>
          <w:highlight w:val="none"/>
        </w:rPr>
      </w:pPr>
      <w:r>
        <w:rPr>
          <w:rFonts w:hint="eastAsia" w:ascii="宋体" w:hAnsi="宋体"/>
          <w:szCs w:val="22"/>
          <w:highlight w:val="none"/>
        </w:rPr>
        <w:t>3、</w:t>
      </w:r>
      <w:r>
        <w:rPr>
          <w:rFonts w:ascii="宋体" w:hAnsi="宋体"/>
          <w:szCs w:val="22"/>
          <w:highlight w:val="none"/>
        </w:rPr>
        <w:t>道路洒水</w:t>
      </w:r>
    </w:p>
    <w:p>
      <w:pPr>
        <w:ind w:firstLine="470" w:firstLineChars="196"/>
        <w:rPr>
          <w:rFonts w:ascii="宋体" w:hAnsi="宋体"/>
          <w:szCs w:val="22"/>
          <w:highlight w:val="none"/>
        </w:rPr>
      </w:pPr>
      <w:r>
        <w:rPr>
          <w:rFonts w:ascii="宋体" w:hAnsi="宋体"/>
          <w:szCs w:val="22"/>
          <w:highlight w:val="none"/>
        </w:rPr>
        <w:t>道路洒水为0.2-0.5L/m</w:t>
      </w:r>
      <w:r>
        <w:rPr>
          <w:rFonts w:ascii="宋体" w:hAnsi="宋体"/>
          <w:szCs w:val="22"/>
          <w:highlight w:val="none"/>
          <w:vertAlign w:val="superscript"/>
        </w:rPr>
        <w:t>2</w:t>
      </w:r>
      <w:r>
        <w:rPr>
          <w:rFonts w:ascii="宋体" w:hAnsi="宋体"/>
          <w:szCs w:val="22"/>
          <w:highlight w:val="none"/>
        </w:rPr>
        <w:t>·次，道路面积为</w:t>
      </w:r>
      <w:r>
        <w:rPr>
          <w:rFonts w:hint="eastAsia" w:ascii="宋体" w:hAnsi="宋体"/>
          <w:szCs w:val="22"/>
          <w:highlight w:val="none"/>
        </w:rPr>
        <w:t>1</w:t>
      </w:r>
      <w:r>
        <w:rPr>
          <w:rFonts w:ascii="宋体" w:hAnsi="宋体"/>
          <w:szCs w:val="22"/>
          <w:highlight w:val="none"/>
        </w:rPr>
        <w:t>500m</w:t>
      </w:r>
      <w:r>
        <w:rPr>
          <w:rFonts w:ascii="宋体" w:hAnsi="宋体"/>
          <w:szCs w:val="22"/>
          <w:highlight w:val="none"/>
          <w:vertAlign w:val="superscript"/>
        </w:rPr>
        <w:t>2</w:t>
      </w:r>
      <w:r>
        <w:rPr>
          <w:rFonts w:ascii="宋体" w:hAnsi="宋体"/>
          <w:szCs w:val="22"/>
          <w:highlight w:val="none"/>
        </w:rPr>
        <w:t>，本次以0.3L/m</w:t>
      </w:r>
      <w:r>
        <w:rPr>
          <w:rFonts w:ascii="宋体" w:hAnsi="宋体"/>
          <w:szCs w:val="22"/>
          <w:highlight w:val="none"/>
          <w:vertAlign w:val="superscript"/>
        </w:rPr>
        <w:t>2</w:t>
      </w:r>
      <w:r>
        <w:rPr>
          <w:rFonts w:ascii="宋体" w:hAnsi="宋体"/>
          <w:szCs w:val="22"/>
          <w:highlight w:val="none"/>
        </w:rPr>
        <w:t>·次计，每天洒水以</w:t>
      </w:r>
      <w:r>
        <w:rPr>
          <w:rFonts w:hint="eastAsia" w:ascii="宋体" w:hAnsi="宋体"/>
          <w:szCs w:val="22"/>
          <w:highlight w:val="none"/>
        </w:rPr>
        <w:t>1</w:t>
      </w:r>
      <w:r>
        <w:rPr>
          <w:rFonts w:ascii="宋体" w:hAnsi="宋体"/>
          <w:szCs w:val="22"/>
          <w:highlight w:val="none"/>
        </w:rPr>
        <w:t>次计，则本项目道路洒水量为0.</w:t>
      </w:r>
      <w:r>
        <w:rPr>
          <w:rFonts w:hint="eastAsia" w:ascii="宋体" w:hAnsi="宋体"/>
          <w:szCs w:val="22"/>
          <w:highlight w:val="none"/>
        </w:rPr>
        <w:t>45</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p>
    <w:p>
      <w:pPr>
        <w:ind w:firstLine="470" w:firstLineChars="196"/>
        <w:rPr>
          <w:rFonts w:ascii="宋体" w:hAnsi="宋体"/>
          <w:szCs w:val="22"/>
          <w:highlight w:val="none"/>
        </w:rPr>
      </w:pPr>
      <w:r>
        <w:rPr>
          <w:rFonts w:hint="eastAsia" w:ascii="宋体" w:hAnsi="宋体"/>
          <w:szCs w:val="22"/>
          <w:highlight w:val="none"/>
        </w:rPr>
        <w:t>4、</w:t>
      </w:r>
      <w:r>
        <w:rPr>
          <w:rFonts w:ascii="宋体" w:hAnsi="宋体"/>
          <w:szCs w:val="22"/>
          <w:highlight w:val="none"/>
        </w:rPr>
        <w:t>绿化用水</w:t>
      </w:r>
    </w:p>
    <w:p>
      <w:pPr>
        <w:ind w:firstLine="470" w:firstLineChars="196"/>
        <w:rPr>
          <w:rFonts w:ascii="宋体" w:hAnsi="宋体"/>
          <w:szCs w:val="22"/>
          <w:highlight w:val="none"/>
        </w:rPr>
      </w:pPr>
      <w:r>
        <w:rPr>
          <w:rFonts w:ascii="宋体" w:hAnsi="宋体"/>
          <w:szCs w:val="22"/>
          <w:highlight w:val="none"/>
        </w:rPr>
        <w:t>绿化用水：根据《山西省用水定额第3部分：城镇生活用水定额》（DB14/T1049.3-2015），冷季型绿化用水定额以0.28m</w:t>
      </w:r>
      <w:r>
        <w:rPr>
          <w:rFonts w:ascii="宋体" w:hAnsi="宋体"/>
          <w:szCs w:val="22"/>
          <w:highlight w:val="none"/>
          <w:vertAlign w:val="superscript"/>
        </w:rPr>
        <w:t>3</w:t>
      </w:r>
      <w:r>
        <w:rPr>
          <w:rFonts w:ascii="宋体" w:hAnsi="宋体"/>
          <w:szCs w:val="22"/>
          <w:highlight w:val="none"/>
        </w:rPr>
        <w:t>/m</w:t>
      </w:r>
      <w:r>
        <w:rPr>
          <w:rFonts w:ascii="宋体" w:hAnsi="宋体"/>
          <w:szCs w:val="22"/>
          <w:highlight w:val="none"/>
          <w:vertAlign w:val="superscript"/>
        </w:rPr>
        <w:t>2</w:t>
      </w:r>
      <w:r>
        <w:rPr>
          <w:rFonts w:ascii="宋体" w:hAnsi="宋体"/>
          <w:szCs w:val="22"/>
          <w:highlight w:val="none"/>
        </w:rPr>
        <w:t>·a计，本项目绿化面积为1000m</w:t>
      </w:r>
      <w:r>
        <w:rPr>
          <w:rFonts w:ascii="宋体" w:hAnsi="宋体"/>
          <w:szCs w:val="22"/>
          <w:highlight w:val="none"/>
          <w:vertAlign w:val="superscript"/>
        </w:rPr>
        <w:t>2</w:t>
      </w:r>
      <w:r>
        <w:rPr>
          <w:rFonts w:ascii="宋体" w:hAnsi="宋体"/>
          <w:szCs w:val="22"/>
          <w:highlight w:val="none"/>
        </w:rPr>
        <w:t>，则绿化用水量为280m</w:t>
      </w:r>
      <w:r>
        <w:rPr>
          <w:rFonts w:ascii="宋体" w:hAnsi="宋体"/>
          <w:szCs w:val="22"/>
          <w:highlight w:val="none"/>
          <w:vertAlign w:val="superscript"/>
        </w:rPr>
        <w:t>3</w:t>
      </w:r>
      <w:r>
        <w:rPr>
          <w:rFonts w:ascii="宋体" w:hAnsi="宋体"/>
          <w:szCs w:val="22"/>
          <w:highlight w:val="none"/>
        </w:rPr>
        <w:t>/a，1.4m</w:t>
      </w:r>
      <w:r>
        <w:rPr>
          <w:rFonts w:ascii="宋体" w:hAnsi="宋体"/>
          <w:szCs w:val="22"/>
          <w:highlight w:val="none"/>
          <w:vertAlign w:val="superscript"/>
        </w:rPr>
        <w:t>3</w:t>
      </w:r>
      <w:r>
        <w:rPr>
          <w:rFonts w:ascii="宋体" w:hAnsi="宋体"/>
          <w:szCs w:val="22"/>
          <w:highlight w:val="none"/>
        </w:rPr>
        <w:t>/d。</w:t>
      </w:r>
    </w:p>
    <w:p>
      <w:pPr>
        <w:pStyle w:val="62"/>
        <w:ind w:firstLine="480"/>
        <w:rPr>
          <w:rFonts w:hAnsi="宋体"/>
          <w:kern w:val="0"/>
          <w:highlight w:val="none"/>
        </w:rPr>
      </w:pPr>
      <w:r>
        <w:rPr>
          <w:rFonts w:hAnsi="宋体"/>
          <w:highlight w:val="none"/>
        </w:rPr>
        <w:t>3.2.1.</w:t>
      </w:r>
      <w:r>
        <w:rPr>
          <w:rFonts w:hint="eastAsia" w:hAnsi="宋体"/>
          <w:highlight w:val="none"/>
        </w:rPr>
        <w:t>3</w:t>
      </w:r>
      <w:r>
        <w:rPr>
          <w:rFonts w:hAnsi="宋体"/>
          <w:kern w:val="0"/>
          <w:highlight w:val="none"/>
        </w:rPr>
        <w:t>排水</w:t>
      </w:r>
    </w:p>
    <w:p>
      <w:pPr>
        <w:adjustRightInd w:val="0"/>
        <w:snapToGrid w:val="0"/>
        <w:ind w:firstLine="480"/>
        <w:rPr>
          <w:rFonts w:ascii="宋体" w:hAnsi="宋体"/>
          <w:kern w:val="0"/>
          <w:szCs w:val="20"/>
          <w:highlight w:val="none"/>
        </w:rPr>
      </w:pPr>
      <w:r>
        <w:rPr>
          <w:rFonts w:hint="eastAsia" w:ascii="宋体" w:hAnsi="宋体"/>
          <w:kern w:val="0"/>
          <w:szCs w:val="20"/>
          <w:highlight w:val="none"/>
        </w:rPr>
        <w:t>1、</w:t>
      </w:r>
      <w:r>
        <w:rPr>
          <w:rFonts w:ascii="宋体" w:hAnsi="宋体"/>
          <w:kern w:val="0"/>
          <w:szCs w:val="20"/>
          <w:highlight w:val="none"/>
        </w:rPr>
        <w:t>生活</w:t>
      </w:r>
      <w:r>
        <w:rPr>
          <w:rFonts w:hint="eastAsia" w:ascii="宋体" w:hAnsi="宋体"/>
          <w:kern w:val="0"/>
          <w:szCs w:val="20"/>
          <w:highlight w:val="none"/>
        </w:rPr>
        <w:t>废水</w:t>
      </w:r>
    </w:p>
    <w:p>
      <w:pPr>
        <w:adjustRightInd w:val="0"/>
        <w:snapToGrid w:val="0"/>
        <w:ind w:firstLine="480"/>
        <w:rPr>
          <w:rFonts w:ascii="宋体" w:hAnsi="宋体"/>
          <w:kern w:val="0"/>
          <w:szCs w:val="20"/>
          <w:highlight w:val="none"/>
        </w:rPr>
      </w:pPr>
      <w:r>
        <w:rPr>
          <w:rFonts w:hint="eastAsia" w:ascii="宋体" w:hAnsi="宋体"/>
          <w:kern w:val="0"/>
          <w:szCs w:val="20"/>
          <w:highlight w:val="none"/>
        </w:rPr>
        <w:t>本项目劳动定员共15人，生活用水量0.9m</w:t>
      </w:r>
      <w:r>
        <w:rPr>
          <w:rFonts w:hint="eastAsia" w:ascii="宋体" w:hAnsi="宋体"/>
          <w:kern w:val="0"/>
          <w:szCs w:val="20"/>
          <w:highlight w:val="none"/>
          <w:vertAlign w:val="superscript"/>
        </w:rPr>
        <w:t>3</w:t>
      </w:r>
      <w:r>
        <w:rPr>
          <w:rFonts w:hint="eastAsia" w:ascii="宋体" w:hAnsi="宋体"/>
          <w:kern w:val="0"/>
          <w:szCs w:val="20"/>
          <w:highlight w:val="none"/>
        </w:rPr>
        <w:t>/d，270m</w:t>
      </w:r>
      <w:r>
        <w:rPr>
          <w:rFonts w:hint="eastAsia" w:ascii="宋体" w:hAnsi="宋体"/>
          <w:kern w:val="0"/>
          <w:szCs w:val="20"/>
          <w:highlight w:val="none"/>
          <w:vertAlign w:val="superscript"/>
        </w:rPr>
        <w:t>3</w:t>
      </w:r>
      <w:r>
        <w:rPr>
          <w:rFonts w:hint="eastAsia" w:ascii="宋体" w:hAnsi="宋体"/>
          <w:kern w:val="0"/>
          <w:szCs w:val="20"/>
          <w:highlight w:val="none"/>
        </w:rPr>
        <w:t>/a。</w:t>
      </w:r>
      <w:r>
        <w:rPr>
          <w:rFonts w:ascii="宋体" w:hAnsi="宋体"/>
          <w:kern w:val="0"/>
          <w:szCs w:val="20"/>
          <w:highlight w:val="none"/>
        </w:rPr>
        <w:t>生活污水排放系数按80%计，则生活污水产生量为0.</w:t>
      </w:r>
      <w:r>
        <w:rPr>
          <w:rFonts w:hint="eastAsia" w:ascii="宋体" w:hAnsi="宋体"/>
          <w:kern w:val="0"/>
          <w:szCs w:val="20"/>
          <w:highlight w:val="none"/>
        </w:rPr>
        <w:t>72</w:t>
      </w:r>
      <w:r>
        <w:rPr>
          <w:rFonts w:ascii="宋体" w:hAnsi="宋体"/>
          <w:kern w:val="0"/>
          <w:szCs w:val="20"/>
          <w:highlight w:val="none"/>
        </w:rPr>
        <w:t>m³/d（</w:t>
      </w:r>
      <w:r>
        <w:rPr>
          <w:rFonts w:hint="eastAsia" w:ascii="宋体" w:hAnsi="宋体"/>
          <w:kern w:val="0"/>
          <w:szCs w:val="20"/>
          <w:highlight w:val="none"/>
        </w:rPr>
        <w:t>216</w:t>
      </w:r>
      <w:r>
        <w:rPr>
          <w:rFonts w:ascii="宋体" w:hAnsi="宋体"/>
          <w:kern w:val="0"/>
          <w:szCs w:val="20"/>
          <w:highlight w:val="none"/>
        </w:rPr>
        <w:t>m³/a）</w:t>
      </w:r>
      <w:r>
        <w:rPr>
          <w:rFonts w:hint="eastAsia" w:ascii="宋体" w:hAnsi="宋体"/>
          <w:kern w:val="0"/>
          <w:szCs w:val="20"/>
          <w:highlight w:val="none"/>
        </w:rPr>
        <w:t>。本项目生活污水排入1座2m</w:t>
      </w:r>
      <w:r>
        <w:rPr>
          <w:rFonts w:hint="eastAsia" w:ascii="宋体" w:hAnsi="宋体"/>
          <w:kern w:val="0"/>
          <w:szCs w:val="20"/>
          <w:highlight w:val="none"/>
          <w:vertAlign w:val="superscript"/>
        </w:rPr>
        <w:t>3</w:t>
      </w:r>
      <w:r>
        <w:rPr>
          <w:rFonts w:hint="eastAsia" w:ascii="宋体" w:hAnsi="宋体"/>
          <w:kern w:val="0"/>
          <w:szCs w:val="20"/>
          <w:highlight w:val="none"/>
        </w:rPr>
        <w:t>的沉淀池，用于场地洒水或绿化；食堂废水经隔油池后排入生活污水沉淀池，用于场地洒水或绿化。本项目使用旱厕，定期由附近农户清掏用作农肥。</w:t>
      </w:r>
    </w:p>
    <w:p>
      <w:pPr>
        <w:ind w:firstLine="470" w:firstLineChars="196"/>
        <w:rPr>
          <w:rFonts w:ascii="宋体" w:hAnsi="宋体"/>
          <w:szCs w:val="22"/>
          <w:highlight w:val="none"/>
        </w:rPr>
      </w:pPr>
      <w:r>
        <w:rPr>
          <w:rFonts w:hint="eastAsia" w:ascii="宋体" w:hAnsi="宋体"/>
          <w:szCs w:val="22"/>
          <w:highlight w:val="none"/>
        </w:rPr>
        <w:t>2、</w:t>
      </w:r>
      <w:r>
        <w:rPr>
          <w:rFonts w:ascii="宋体" w:hAnsi="宋体"/>
          <w:szCs w:val="22"/>
          <w:highlight w:val="none"/>
        </w:rPr>
        <w:t>生产</w:t>
      </w:r>
      <w:r>
        <w:rPr>
          <w:rFonts w:hint="eastAsia" w:ascii="宋体" w:hAnsi="宋体"/>
          <w:szCs w:val="22"/>
          <w:highlight w:val="none"/>
        </w:rPr>
        <w:t>废水</w:t>
      </w:r>
    </w:p>
    <w:p>
      <w:pPr>
        <w:ind w:firstLine="470" w:firstLineChars="196"/>
        <w:rPr>
          <w:rFonts w:ascii="宋体" w:hAnsi="宋体"/>
          <w:highlight w:val="none"/>
        </w:rPr>
      </w:pPr>
      <w:r>
        <w:rPr>
          <w:rFonts w:hint="eastAsia" w:ascii="宋体" w:hAnsi="宋体"/>
          <w:szCs w:val="22"/>
          <w:highlight w:val="none"/>
        </w:rPr>
        <w:t>A、</w:t>
      </w:r>
      <w:r>
        <w:rPr>
          <w:rFonts w:hint="eastAsia" w:ascii="宋体" w:hAnsi="宋体"/>
          <w:highlight w:val="none"/>
        </w:rPr>
        <w:t>尾矿浆</w:t>
      </w:r>
    </w:p>
    <w:p>
      <w:pPr>
        <w:ind w:firstLine="470" w:firstLineChars="196"/>
        <w:rPr>
          <w:rFonts w:ascii="宋体" w:hAnsi="宋体"/>
          <w:highlight w:val="none"/>
        </w:rPr>
      </w:pPr>
      <w:r>
        <w:rPr>
          <w:rFonts w:hint="eastAsia" w:ascii="宋体" w:hAnsi="宋体"/>
          <w:highlight w:val="none"/>
        </w:rPr>
        <w:t>本项目尾矿浆产生量为888m</w:t>
      </w:r>
      <w:r>
        <w:rPr>
          <w:rFonts w:hint="eastAsia" w:ascii="宋体" w:hAnsi="宋体"/>
          <w:highlight w:val="none"/>
          <w:vertAlign w:val="superscript"/>
        </w:rPr>
        <w:t>3</w:t>
      </w:r>
      <w:r>
        <w:rPr>
          <w:rFonts w:hint="eastAsia" w:ascii="宋体" w:hAnsi="宋体"/>
          <w:highlight w:val="none"/>
        </w:rPr>
        <w:t>/d，尾矿浆经浓缩池浓缩处理后，上清液回用于生产，不外排。</w:t>
      </w:r>
    </w:p>
    <w:p>
      <w:pPr>
        <w:ind w:firstLine="470" w:firstLineChars="196"/>
        <w:rPr>
          <w:rFonts w:ascii="宋体" w:hAnsi="宋体"/>
          <w:highlight w:val="none"/>
        </w:rPr>
      </w:pPr>
      <w:r>
        <w:rPr>
          <w:rFonts w:hint="eastAsia" w:ascii="宋体" w:hAnsi="宋体"/>
          <w:highlight w:val="none"/>
        </w:rPr>
        <w:t>本项目是日处理采矿废石1000t/d，尾矿浆产生量为888m</w:t>
      </w:r>
      <w:r>
        <w:rPr>
          <w:rFonts w:hint="eastAsia" w:ascii="宋体" w:hAnsi="宋体"/>
          <w:highlight w:val="none"/>
          <w:vertAlign w:val="superscript"/>
        </w:rPr>
        <w:t>3</w:t>
      </w:r>
      <w:r>
        <w:rPr>
          <w:rFonts w:hint="eastAsia" w:ascii="宋体" w:hAnsi="宋体"/>
          <w:highlight w:val="none"/>
        </w:rPr>
        <w:t>/d，单位产品基准排水量为0.888m</w:t>
      </w:r>
      <w:r>
        <w:rPr>
          <w:rFonts w:hint="eastAsia" w:ascii="宋体" w:hAnsi="宋体"/>
          <w:highlight w:val="none"/>
          <w:vertAlign w:val="superscript"/>
        </w:rPr>
        <w:t>3</w:t>
      </w:r>
      <w:r>
        <w:rPr>
          <w:rFonts w:hint="eastAsia" w:ascii="宋体" w:hAnsi="宋体"/>
          <w:highlight w:val="none"/>
        </w:rPr>
        <w:t>/t，满足</w:t>
      </w:r>
      <w:r>
        <w:rPr>
          <w:rFonts w:ascii="宋体" w:hAnsi="宋体"/>
          <w:highlight w:val="none"/>
        </w:rPr>
        <w:t>铁矿采选工业污染物排放标准（GB28661-2012）</w:t>
      </w:r>
      <w:r>
        <w:rPr>
          <w:rFonts w:hint="eastAsia" w:ascii="宋体" w:hAnsi="宋体"/>
          <w:szCs w:val="21"/>
          <w:highlight w:val="none"/>
        </w:rPr>
        <w:t>单位产品基准排水量(m</w:t>
      </w:r>
      <w:r>
        <w:rPr>
          <w:rFonts w:hint="eastAsia" w:ascii="宋体" w:hAnsi="宋体"/>
          <w:szCs w:val="21"/>
          <w:highlight w:val="none"/>
          <w:vertAlign w:val="superscript"/>
        </w:rPr>
        <w:t>3</w:t>
      </w:r>
      <w:r>
        <w:rPr>
          <w:rFonts w:hint="eastAsia" w:ascii="宋体" w:hAnsi="宋体"/>
          <w:szCs w:val="21"/>
          <w:highlight w:val="none"/>
        </w:rPr>
        <w:t>/t矿石)选矿2.0t/m</w:t>
      </w:r>
      <w:r>
        <w:rPr>
          <w:rFonts w:hint="eastAsia" w:ascii="宋体" w:hAnsi="宋体"/>
          <w:szCs w:val="21"/>
          <w:highlight w:val="none"/>
          <w:vertAlign w:val="superscript"/>
        </w:rPr>
        <w:t>3</w:t>
      </w:r>
      <w:r>
        <w:rPr>
          <w:rFonts w:hint="eastAsia" w:ascii="宋体" w:hAnsi="宋体"/>
          <w:szCs w:val="21"/>
          <w:highlight w:val="none"/>
        </w:rPr>
        <w:t>的要求。</w:t>
      </w:r>
    </w:p>
    <w:p>
      <w:pPr>
        <w:ind w:firstLine="470" w:firstLineChars="196"/>
        <w:rPr>
          <w:rFonts w:ascii="宋体" w:hAnsi="宋体"/>
          <w:szCs w:val="22"/>
          <w:highlight w:val="none"/>
        </w:rPr>
      </w:pPr>
      <w:r>
        <w:rPr>
          <w:rFonts w:hint="eastAsia" w:ascii="宋体" w:hAnsi="宋体"/>
          <w:szCs w:val="22"/>
          <w:highlight w:val="none"/>
        </w:rPr>
        <w:t>B、</w:t>
      </w:r>
      <w:r>
        <w:rPr>
          <w:rFonts w:ascii="宋体" w:hAnsi="宋体"/>
          <w:szCs w:val="22"/>
          <w:highlight w:val="none"/>
        </w:rPr>
        <w:t>车辆冲洗用水</w:t>
      </w:r>
    </w:p>
    <w:p>
      <w:pPr>
        <w:ind w:firstLine="470" w:firstLineChars="196"/>
        <w:rPr>
          <w:rFonts w:ascii="宋体" w:hAnsi="宋体"/>
          <w:kern w:val="0"/>
          <w:szCs w:val="20"/>
          <w:highlight w:val="none"/>
        </w:rPr>
      </w:pPr>
      <w:r>
        <w:rPr>
          <w:rFonts w:ascii="宋体" w:hAnsi="宋体"/>
          <w:szCs w:val="22"/>
          <w:highlight w:val="none"/>
        </w:rPr>
        <w:t>本次项目拟在厂区出入口设置1座车辆清洗平台，洗车用水量为</w:t>
      </w:r>
      <w:r>
        <w:rPr>
          <w:rFonts w:hint="eastAsia" w:ascii="宋体" w:hAnsi="宋体"/>
          <w:szCs w:val="22"/>
          <w:highlight w:val="none"/>
        </w:rPr>
        <w:t>1.34</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r>
        <w:rPr>
          <w:rFonts w:hint="eastAsia" w:ascii="宋体" w:hAnsi="宋体"/>
          <w:szCs w:val="22"/>
          <w:highlight w:val="none"/>
        </w:rPr>
        <w:t>，</w:t>
      </w:r>
      <w:r>
        <w:rPr>
          <w:rFonts w:hint="eastAsia" w:ascii="宋体" w:hAnsi="宋体"/>
          <w:kern w:val="0"/>
          <w:szCs w:val="20"/>
          <w:highlight w:val="none"/>
        </w:rPr>
        <w:t>洗车循环水量为20m</w:t>
      </w:r>
      <w:r>
        <w:rPr>
          <w:rFonts w:hint="eastAsia" w:ascii="宋体" w:hAnsi="宋体"/>
          <w:kern w:val="0"/>
          <w:szCs w:val="20"/>
          <w:highlight w:val="none"/>
          <w:vertAlign w:val="superscript"/>
        </w:rPr>
        <w:t>3</w:t>
      </w:r>
      <w:r>
        <w:rPr>
          <w:rFonts w:hint="eastAsia" w:ascii="宋体" w:hAnsi="宋体"/>
          <w:kern w:val="0"/>
          <w:szCs w:val="20"/>
          <w:highlight w:val="none"/>
        </w:rPr>
        <w:t>/d，洗车废水经沉淀池沉淀后循环使用，不外排。</w:t>
      </w:r>
    </w:p>
    <w:p>
      <w:pPr>
        <w:adjustRightInd w:val="0"/>
        <w:snapToGrid w:val="0"/>
        <w:ind w:firstLine="480"/>
        <w:rPr>
          <w:rFonts w:ascii="宋体" w:hAnsi="宋体"/>
          <w:szCs w:val="22"/>
          <w:highlight w:val="none"/>
        </w:rPr>
      </w:pPr>
      <w:r>
        <w:rPr>
          <w:rFonts w:hint="eastAsia" w:ascii="宋体" w:hAnsi="宋体"/>
          <w:kern w:val="0"/>
          <w:szCs w:val="20"/>
          <w:highlight w:val="none"/>
        </w:rPr>
        <w:t>本项目设置1座20m</w:t>
      </w:r>
      <w:r>
        <w:rPr>
          <w:rFonts w:hint="eastAsia" w:ascii="宋体" w:hAnsi="宋体"/>
          <w:kern w:val="0"/>
          <w:szCs w:val="20"/>
          <w:highlight w:val="none"/>
          <w:vertAlign w:val="superscript"/>
        </w:rPr>
        <w:t>3</w:t>
      </w:r>
      <w:r>
        <w:rPr>
          <w:rFonts w:hint="eastAsia" w:ascii="宋体" w:hAnsi="宋体"/>
          <w:kern w:val="0"/>
          <w:szCs w:val="20"/>
          <w:highlight w:val="none"/>
        </w:rPr>
        <w:t>多级沉淀池，外形尺寸：长×宽×深=5m×2m×2m，沉淀池分为三格，第一格为一级沉淀池外形尺寸为长×宽×深=2m×2m×2m；第二格为二级沉淀池外形尺寸为长×宽×深=2m×2m×2m；第三格为清水池外形尺寸为长×宽×深=1m×2m×2m。</w:t>
      </w:r>
      <w:r>
        <w:rPr>
          <w:rFonts w:ascii="宋体" w:hAnsi="宋体"/>
          <w:kern w:val="0"/>
          <w:szCs w:val="20"/>
          <w:highlight w:val="none"/>
        </w:rPr>
        <w:t>洗车平台</w:t>
      </w:r>
      <w:r>
        <w:rPr>
          <w:rFonts w:hint="eastAsia" w:ascii="宋体" w:hAnsi="宋体"/>
          <w:kern w:val="0"/>
          <w:szCs w:val="20"/>
          <w:highlight w:val="none"/>
        </w:rPr>
        <w:t>采购成套设备。设备尺寸：2300mm(长)×3700mm（宽）×1000mm（高）。</w:t>
      </w:r>
    </w:p>
    <w:p>
      <w:pPr>
        <w:ind w:firstLine="470" w:firstLineChars="196"/>
        <w:rPr>
          <w:rFonts w:ascii="宋体" w:hAnsi="宋体"/>
          <w:szCs w:val="22"/>
          <w:highlight w:val="none"/>
        </w:rPr>
      </w:pPr>
      <w:r>
        <w:rPr>
          <w:rFonts w:ascii="宋体" w:hAnsi="宋体"/>
          <w:szCs w:val="22"/>
          <w:highlight w:val="none"/>
        </w:rPr>
        <w:t>项目改建完成后工程用水量及排水量见表3.2-1，水平衡图见图3-</w:t>
      </w:r>
      <w:r>
        <w:rPr>
          <w:rFonts w:hint="eastAsia" w:ascii="宋体" w:hAnsi="宋体"/>
          <w:szCs w:val="22"/>
          <w:highlight w:val="none"/>
        </w:rPr>
        <w:t>3</w:t>
      </w:r>
      <w:r>
        <w:rPr>
          <w:rFonts w:ascii="宋体" w:hAnsi="宋体"/>
          <w:szCs w:val="22"/>
          <w:highlight w:val="none"/>
        </w:rPr>
        <w:t>。</w:t>
      </w:r>
    </w:p>
    <w:p>
      <w:pPr>
        <w:pStyle w:val="65"/>
        <w:rPr>
          <w:rFonts w:hAnsi="宋体"/>
          <w:highlight w:val="none"/>
        </w:rPr>
      </w:pPr>
      <w:r>
        <w:rPr>
          <w:rFonts w:hAnsi="宋体"/>
          <w:highlight w:val="none"/>
        </w:rPr>
        <w:t>表3.2-1</w:t>
      </w:r>
      <w:r>
        <w:rPr>
          <w:rFonts w:hint="eastAsia" w:hAnsi="宋体"/>
          <w:highlight w:val="none"/>
        </w:rPr>
        <w:t xml:space="preserve">  </w:t>
      </w:r>
      <w:r>
        <w:rPr>
          <w:rFonts w:hAnsi="宋体"/>
          <w:highlight w:val="none"/>
        </w:rPr>
        <w:t>工程用水量及排水量一览表</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82"/>
        <w:gridCol w:w="1732"/>
        <w:gridCol w:w="1112"/>
        <w:gridCol w:w="1430"/>
        <w:gridCol w:w="1125"/>
        <w:gridCol w:w="1125"/>
        <w:gridCol w:w="174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82" w:type="dxa"/>
            <w:vAlign w:val="center"/>
          </w:tcPr>
          <w:p>
            <w:pPr>
              <w:pStyle w:val="64"/>
              <w:rPr>
                <w:rFonts w:hAnsi="宋体"/>
                <w:highlight w:val="none"/>
              </w:rPr>
            </w:pPr>
            <w:r>
              <w:rPr>
                <w:rFonts w:hAnsi="宋体"/>
                <w:highlight w:val="none"/>
              </w:rPr>
              <w:t>序号</w:t>
            </w:r>
          </w:p>
        </w:tc>
        <w:tc>
          <w:tcPr>
            <w:tcW w:w="1732" w:type="dxa"/>
            <w:vAlign w:val="center"/>
          </w:tcPr>
          <w:p>
            <w:pPr>
              <w:pStyle w:val="64"/>
              <w:rPr>
                <w:rFonts w:hAnsi="宋体"/>
                <w:highlight w:val="none"/>
              </w:rPr>
            </w:pPr>
            <w:r>
              <w:rPr>
                <w:rFonts w:hAnsi="宋体"/>
                <w:highlight w:val="none"/>
              </w:rPr>
              <w:t>用水项目</w:t>
            </w:r>
          </w:p>
        </w:tc>
        <w:tc>
          <w:tcPr>
            <w:tcW w:w="1112" w:type="dxa"/>
            <w:vAlign w:val="center"/>
          </w:tcPr>
          <w:p>
            <w:pPr>
              <w:pStyle w:val="64"/>
              <w:rPr>
                <w:rFonts w:hAnsi="宋体"/>
                <w:highlight w:val="none"/>
              </w:rPr>
            </w:pPr>
            <w:r>
              <w:rPr>
                <w:rFonts w:hAnsi="宋体"/>
                <w:highlight w:val="none"/>
              </w:rPr>
              <w:t>用水指标</w:t>
            </w:r>
          </w:p>
        </w:tc>
        <w:tc>
          <w:tcPr>
            <w:tcW w:w="1430" w:type="dxa"/>
            <w:vAlign w:val="center"/>
          </w:tcPr>
          <w:p>
            <w:pPr>
              <w:pStyle w:val="64"/>
              <w:rPr>
                <w:rFonts w:hAnsi="宋体"/>
                <w:highlight w:val="none"/>
              </w:rPr>
            </w:pPr>
            <w:r>
              <w:rPr>
                <w:rFonts w:hAnsi="宋体"/>
                <w:highlight w:val="none"/>
              </w:rPr>
              <w:t>用水标准</w:t>
            </w:r>
          </w:p>
        </w:tc>
        <w:tc>
          <w:tcPr>
            <w:tcW w:w="1125" w:type="dxa"/>
            <w:vAlign w:val="center"/>
          </w:tcPr>
          <w:p>
            <w:pPr>
              <w:pStyle w:val="64"/>
              <w:rPr>
                <w:rFonts w:hAnsi="宋体"/>
                <w:highlight w:val="none"/>
              </w:rPr>
            </w:pPr>
            <w:r>
              <w:rPr>
                <w:rFonts w:hAnsi="宋体"/>
                <w:highlight w:val="none"/>
              </w:rPr>
              <w:t>用水量</w:t>
            </w:r>
          </w:p>
          <w:p>
            <w:pPr>
              <w:pStyle w:val="64"/>
              <w:rPr>
                <w:rFonts w:hAnsi="宋体"/>
                <w:highlight w:val="none"/>
              </w:rPr>
            </w:pPr>
            <w:r>
              <w:rPr>
                <w:rFonts w:hAnsi="宋体"/>
                <w:highlight w:val="none"/>
              </w:rPr>
              <w:t>（m</w:t>
            </w:r>
            <w:r>
              <w:rPr>
                <w:rFonts w:hAnsi="宋体"/>
                <w:highlight w:val="none"/>
                <w:vertAlign w:val="superscript"/>
              </w:rPr>
              <w:t>3</w:t>
            </w:r>
            <w:r>
              <w:rPr>
                <w:rFonts w:hAnsi="宋体"/>
                <w:highlight w:val="none"/>
              </w:rPr>
              <w:t>/d）</w:t>
            </w:r>
          </w:p>
        </w:tc>
        <w:tc>
          <w:tcPr>
            <w:tcW w:w="1125" w:type="dxa"/>
            <w:vAlign w:val="center"/>
          </w:tcPr>
          <w:p>
            <w:pPr>
              <w:pStyle w:val="64"/>
              <w:rPr>
                <w:rFonts w:hAnsi="宋体"/>
                <w:highlight w:val="none"/>
              </w:rPr>
            </w:pPr>
            <w:r>
              <w:rPr>
                <w:rFonts w:hAnsi="宋体"/>
                <w:highlight w:val="none"/>
              </w:rPr>
              <w:t>排水量</w:t>
            </w:r>
          </w:p>
          <w:p>
            <w:pPr>
              <w:pStyle w:val="64"/>
              <w:rPr>
                <w:rFonts w:hAnsi="宋体"/>
                <w:highlight w:val="none"/>
              </w:rPr>
            </w:pPr>
            <w:r>
              <w:rPr>
                <w:rFonts w:hAnsi="宋体"/>
                <w:highlight w:val="none"/>
              </w:rPr>
              <w:t>（m</w:t>
            </w:r>
            <w:r>
              <w:rPr>
                <w:rFonts w:hAnsi="宋体"/>
                <w:highlight w:val="none"/>
                <w:vertAlign w:val="superscript"/>
              </w:rPr>
              <w:t>3</w:t>
            </w:r>
            <w:r>
              <w:rPr>
                <w:rFonts w:hAnsi="宋体"/>
                <w:highlight w:val="none"/>
              </w:rPr>
              <w:t>/d）</w:t>
            </w:r>
          </w:p>
        </w:tc>
        <w:tc>
          <w:tcPr>
            <w:tcW w:w="1740" w:type="dxa"/>
            <w:vAlign w:val="center"/>
          </w:tcPr>
          <w:p>
            <w:pPr>
              <w:pStyle w:val="64"/>
              <w:rPr>
                <w:rFonts w:hAnsi="宋体"/>
                <w:highlight w:val="none"/>
              </w:rPr>
            </w:pPr>
            <w:r>
              <w:rPr>
                <w:rFonts w:hAnsi="宋体"/>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82" w:type="dxa"/>
            <w:vAlign w:val="center"/>
          </w:tcPr>
          <w:p>
            <w:pPr>
              <w:pStyle w:val="64"/>
              <w:rPr>
                <w:rFonts w:hAnsi="宋体"/>
                <w:highlight w:val="none"/>
              </w:rPr>
            </w:pPr>
            <w:r>
              <w:rPr>
                <w:rFonts w:hAnsi="宋体"/>
                <w:highlight w:val="none"/>
              </w:rPr>
              <w:t>1</w:t>
            </w:r>
          </w:p>
        </w:tc>
        <w:tc>
          <w:tcPr>
            <w:tcW w:w="1732" w:type="dxa"/>
            <w:vAlign w:val="center"/>
          </w:tcPr>
          <w:p>
            <w:pPr>
              <w:pStyle w:val="64"/>
              <w:rPr>
                <w:rFonts w:hAnsi="宋体"/>
                <w:highlight w:val="none"/>
              </w:rPr>
            </w:pPr>
            <w:r>
              <w:rPr>
                <w:rFonts w:hAnsi="宋体"/>
                <w:highlight w:val="none"/>
              </w:rPr>
              <w:t>生活用水</w:t>
            </w:r>
          </w:p>
        </w:tc>
        <w:tc>
          <w:tcPr>
            <w:tcW w:w="1112" w:type="dxa"/>
            <w:vAlign w:val="center"/>
          </w:tcPr>
          <w:p>
            <w:pPr>
              <w:pStyle w:val="64"/>
              <w:rPr>
                <w:rFonts w:hAnsi="宋体"/>
                <w:highlight w:val="none"/>
              </w:rPr>
            </w:pPr>
            <w:r>
              <w:rPr>
                <w:rFonts w:hAnsi="宋体"/>
                <w:highlight w:val="none"/>
              </w:rPr>
              <w:t>15人</w:t>
            </w:r>
          </w:p>
        </w:tc>
        <w:tc>
          <w:tcPr>
            <w:tcW w:w="1430" w:type="dxa"/>
            <w:vAlign w:val="center"/>
          </w:tcPr>
          <w:p>
            <w:pPr>
              <w:pStyle w:val="64"/>
              <w:rPr>
                <w:rFonts w:hAnsi="宋体"/>
                <w:highlight w:val="none"/>
              </w:rPr>
            </w:pPr>
            <w:r>
              <w:rPr>
                <w:rFonts w:hint="eastAsia" w:hAnsi="宋体"/>
                <w:highlight w:val="none"/>
              </w:rPr>
              <w:t>6</w:t>
            </w:r>
            <w:r>
              <w:rPr>
                <w:rFonts w:hAnsi="宋体"/>
                <w:highlight w:val="none"/>
              </w:rPr>
              <w:t>0L/p•d</w:t>
            </w:r>
          </w:p>
        </w:tc>
        <w:tc>
          <w:tcPr>
            <w:tcW w:w="1125" w:type="dxa"/>
            <w:vAlign w:val="center"/>
          </w:tcPr>
          <w:p>
            <w:pPr>
              <w:pStyle w:val="64"/>
              <w:rPr>
                <w:rFonts w:hAnsi="宋体"/>
                <w:highlight w:val="none"/>
              </w:rPr>
            </w:pPr>
            <w:r>
              <w:rPr>
                <w:rFonts w:hAnsi="宋体"/>
                <w:highlight w:val="none"/>
              </w:rPr>
              <w:t>0.</w:t>
            </w:r>
            <w:r>
              <w:rPr>
                <w:rFonts w:hint="eastAsia" w:hAnsi="宋体"/>
                <w:highlight w:val="none"/>
              </w:rPr>
              <w:t>9</w:t>
            </w:r>
          </w:p>
        </w:tc>
        <w:tc>
          <w:tcPr>
            <w:tcW w:w="1125" w:type="dxa"/>
            <w:vAlign w:val="center"/>
          </w:tcPr>
          <w:p>
            <w:pPr>
              <w:pStyle w:val="64"/>
              <w:rPr>
                <w:rFonts w:hAnsi="宋体"/>
                <w:highlight w:val="none"/>
              </w:rPr>
            </w:pPr>
            <w:r>
              <w:rPr>
                <w:rFonts w:hAnsi="宋体"/>
                <w:highlight w:val="none"/>
              </w:rPr>
              <w:t>0.</w:t>
            </w:r>
            <w:r>
              <w:rPr>
                <w:rFonts w:hint="eastAsia" w:hAnsi="宋体"/>
                <w:highlight w:val="none"/>
              </w:rPr>
              <w:t>72</w:t>
            </w:r>
          </w:p>
        </w:tc>
        <w:tc>
          <w:tcPr>
            <w:tcW w:w="1740" w:type="dxa"/>
            <w:vAlign w:val="center"/>
          </w:tcPr>
          <w:p>
            <w:pPr>
              <w:pStyle w:val="64"/>
              <w:rPr>
                <w:rFonts w:hAnsi="宋体"/>
                <w:highlight w:val="none"/>
              </w:rPr>
            </w:pPr>
            <w:r>
              <w:rPr>
                <w:rFonts w:hAnsi="宋体"/>
                <w:highlight w:val="none"/>
              </w:rPr>
              <w:t>排水率以80%计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82" w:type="dxa"/>
            <w:vAlign w:val="center"/>
          </w:tcPr>
          <w:p>
            <w:pPr>
              <w:pStyle w:val="64"/>
              <w:rPr>
                <w:rFonts w:hAnsi="宋体"/>
                <w:highlight w:val="none"/>
              </w:rPr>
            </w:pPr>
            <w:r>
              <w:rPr>
                <w:rFonts w:hAnsi="宋体"/>
                <w:highlight w:val="none"/>
              </w:rPr>
              <w:t>2</w:t>
            </w:r>
          </w:p>
        </w:tc>
        <w:tc>
          <w:tcPr>
            <w:tcW w:w="1732" w:type="dxa"/>
            <w:vAlign w:val="center"/>
          </w:tcPr>
          <w:p>
            <w:pPr>
              <w:pStyle w:val="64"/>
              <w:rPr>
                <w:rFonts w:hAnsi="宋体"/>
                <w:highlight w:val="none"/>
              </w:rPr>
            </w:pPr>
            <w:r>
              <w:rPr>
                <w:rFonts w:hAnsi="宋体"/>
                <w:highlight w:val="none"/>
              </w:rPr>
              <w:t>喷淋用水</w:t>
            </w:r>
          </w:p>
        </w:tc>
        <w:tc>
          <w:tcPr>
            <w:tcW w:w="1112" w:type="dxa"/>
            <w:vAlign w:val="center"/>
          </w:tcPr>
          <w:p>
            <w:pPr>
              <w:pStyle w:val="64"/>
              <w:rPr>
                <w:rFonts w:hAnsi="宋体"/>
                <w:highlight w:val="none"/>
              </w:rPr>
            </w:pPr>
            <w:r>
              <w:rPr>
                <w:rFonts w:hint="eastAsia" w:hAnsi="宋体"/>
                <w:highlight w:val="none"/>
              </w:rPr>
              <w:t>22</w:t>
            </w:r>
            <w:r>
              <w:rPr>
                <w:rFonts w:hAnsi="宋体"/>
                <w:highlight w:val="none"/>
              </w:rPr>
              <w:t>00m</w:t>
            </w:r>
            <w:r>
              <w:rPr>
                <w:rFonts w:hAnsi="宋体"/>
                <w:highlight w:val="none"/>
                <w:vertAlign w:val="superscript"/>
              </w:rPr>
              <w:t>2</w:t>
            </w:r>
          </w:p>
        </w:tc>
        <w:tc>
          <w:tcPr>
            <w:tcW w:w="1430" w:type="dxa"/>
            <w:vAlign w:val="center"/>
          </w:tcPr>
          <w:p>
            <w:pPr>
              <w:pStyle w:val="64"/>
              <w:rPr>
                <w:rFonts w:hAnsi="宋体"/>
                <w:highlight w:val="none"/>
              </w:rPr>
            </w:pPr>
            <w:r>
              <w:rPr>
                <w:rFonts w:hAnsi="宋体"/>
                <w:highlight w:val="none"/>
              </w:rPr>
              <w:t>1L/m</w:t>
            </w:r>
            <w:r>
              <w:rPr>
                <w:rFonts w:hAnsi="宋体"/>
                <w:highlight w:val="none"/>
                <w:vertAlign w:val="superscript"/>
              </w:rPr>
              <w:t>2</w:t>
            </w:r>
            <w:r>
              <w:rPr>
                <w:rFonts w:hAnsi="宋体"/>
                <w:highlight w:val="none"/>
              </w:rPr>
              <w:t>•d</w:t>
            </w:r>
          </w:p>
        </w:tc>
        <w:tc>
          <w:tcPr>
            <w:tcW w:w="1125" w:type="dxa"/>
            <w:vAlign w:val="center"/>
          </w:tcPr>
          <w:p>
            <w:pPr>
              <w:pStyle w:val="64"/>
              <w:rPr>
                <w:rFonts w:hAnsi="宋体"/>
                <w:highlight w:val="none"/>
              </w:rPr>
            </w:pPr>
            <w:r>
              <w:rPr>
                <w:rFonts w:hint="eastAsia" w:hAnsi="宋体"/>
                <w:highlight w:val="none"/>
              </w:rPr>
              <w:t>2.2</w:t>
            </w:r>
          </w:p>
        </w:tc>
        <w:tc>
          <w:tcPr>
            <w:tcW w:w="1125" w:type="dxa"/>
            <w:vAlign w:val="center"/>
          </w:tcPr>
          <w:p>
            <w:pPr>
              <w:pStyle w:val="64"/>
              <w:rPr>
                <w:rFonts w:hAnsi="宋体"/>
                <w:highlight w:val="none"/>
              </w:rPr>
            </w:pPr>
            <w:r>
              <w:rPr>
                <w:rFonts w:hAnsi="宋体"/>
                <w:highlight w:val="none"/>
              </w:rPr>
              <w:t>0</w:t>
            </w:r>
          </w:p>
        </w:tc>
        <w:tc>
          <w:tcPr>
            <w:tcW w:w="1740" w:type="dxa"/>
            <w:vAlign w:val="center"/>
          </w:tcPr>
          <w:p>
            <w:pPr>
              <w:pStyle w:val="64"/>
              <w:rPr>
                <w:rFonts w:hAnsi="宋体"/>
                <w:highlight w:val="none"/>
              </w:rPr>
            </w:pPr>
            <w:r>
              <w:rPr>
                <w:rFonts w:hint="eastAsia" w:hAnsi="宋体"/>
                <w:highlight w:val="none"/>
              </w:rPr>
              <w:t>蒸发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682" w:type="dxa"/>
            <w:vAlign w:val="center"/>
          </w:tcPr>
          <w:p>
            <w:pPr>
              <w:pStyle w:val="64"/>
              <w:rPr>
                <w:rFonts w:hAnsi="宋体"/>
                <w:highlight w:val="none"/>
              </w:rPr>
            </w:pPr>
            <w:r>
              <w:rPr>
                <w:rFonts w:hAnsi="宋体"/>
                <w:highlight w:val="none"/>
              </w:rPr>
              <w:t>3</w:t>
            </w:r>
          </w:p>
        </w:tc>
        <w:tc>
          <w:tcPr>
            <w:tcW w:w="1732" w:type="dxa"/>
            <w:vAlign w:val="center"/>
          </w:tcPr>
          <w:p>
            <w:pPr>
              <w:pStyle w:val="64"/>
              <w:rPr>
                <w:rFonts w:hAnsi="宋体"/>
                <w:highlight w:val="none"/>
              </w:rPr>
            </w:pPr>
            <w:r>
              <w:rPr>
                <w:rFonts w:hAnsi="宋体"/>
                <w:highlight w:val="none"/>
              </w:rPr>
              <w:t>洗车废水</w:t>
            </w:r>
          </w:p>
        </w:tc>
        <w:tc>
          <w:tcPr>
            <w:tcW w:w="1112" w:type="dxa"/>
            <w:vAlign w:val="center"/>
          </w:tcPr>
          <w:p>
            <w:pPr>
              <w:pStyle w:val="64"/>
              <w:rPr>
                <w:rFonts w:hAnsi="宋体"/>
                <w:highlight w:val="none"/>
              </w:rPr>
            </w:pPr>
            <w:r>
              <w:rPr>
                <w:rFonts w:hint="eastAsia" w:hAnsi="宋体"/>
                <w:highlight w:val="none"/>
              </w:rPr>
              <w:t>67</w:t>
            </w:r>
            <w:r>
              <w:rPr>
                <w:rFonts w:hAnsi="宋体"/>
                <w:highlight w:val="none"/>
              </w:rPr>
              <w:t>辆/天</w:t>
            </w:r>
          </w:p>
        </w:tc>
        <w:tc>
          <w:tcPr>
            <w:tcW w:w="1430" w:type="dxa"/>
            <w:vAlign w:val="center"/>
          </w:tcPr>
          <w:p>
            <w:pPr>
              <w:pStyle w:val="64"/>
              <w:rPr>
                <w:rFonts w:hAnsi="宋体"/>
                <w:highlight w:val="none"/>
              </w:rPr>
            </w:pPr>
            <w:r>
              <w:rPr>
                <w:rFonts w:hAnsi="宋体"/>
                <w:highlight w:val="none"/>
              </w:rPr>
              <w:t>0.</w:t>
            </w:r>
            <w:r>
              <w:rPr>
                <w:rFonts w:hint="eastAsia" w:hAnsi="宋体"/>
                <w:highlight w:val="none"/>
              </w:rPr>
              <w:t>02</w:t>
            </w:r>
            <w:r>
              <w:rPr>
                <w:rFonts w:hAnsi="宋体"/>
                <w:highlight w:val="none"/>
              </w:rPr>
              <w:t>m</w:t>
            </w:r>
            <w:r>
              <w:rPr>
                <w:rFonts w:hAnsi="宋体"/>
                <w:highlight w:val="none"/>
                <w:vertAlign w:val="superscript"/>
              </w:rPr>
              <w:t>3</w:t>
            </w:r>
            <w:r>
              <w:rPr>
                <w:rFonts w:hAnsi="宋体"/>
                <w:highlight w:val="none"/>
              </w:rPr>
              <w:t>/辆</w:t>
            </w:r>
          </w:p>
        </w:tc>
        <w:tc>
          <w:tcPr>
            <w:tcW w:w="1125" w:type="dxa"/>
            <w:vAlign w:val="center"/>
          </w:tcPr>
          <w:p>
            <w:pPr>
              <w:pStyle w:val="64"/>
              <w:rPr>
                <w:rFonts w:hAnsi="宋体"/>
                <w:highlight w:val="none"/>
              </w:rPr>
            </w:pPr>
            <w:r>
              <w:rPr>
                <w:rFonts w:hint="eastAsia" w:hAnsi="宋体"/>
                <w:highlight w:val="none"/>
              </w:rPr>
              <w:t>1.34</w:t>
            </w:r>
          </w:p>
        </w:tc>
        <w:tc>
          <w:tcPr>
            <w:tcW w:w="1125" w:type="dxa"/>
            <w:vAlign w:val="center"/>
          </w:tcPr>
          <w:p>
            <w:pPr>
              <w:pStyle w:val="64"/>
              <w:rPr>
                <w:rFonts w:hAnsi="宋体"/>
                <w:highlight w:val="none"/>
              </w:rPr>
            </w:pPr>
            <w:r>
              <w:rPr>
                <w:rFonts w:hint="eastAsia" w:hAnsi="宋体"/>
                <w:highlight w:val="none"/>
              </w:rPr>
              <w:t>0</w:t>
            </w:r>
          </w:p>
        </w:tc>
        <w:tc>
          <w:tcPr>
            <w:tcW w:w="1740" w:type="dxa"/>
            <w:vAlign w:val="center"/>
          </w:tcPr>
          <w:p>
            <w:pPr>
              <w:pStyle w:val="64"/>
              <w:rPr>
                <w:rFonts w:hAnsi="宋体"/>
                <w:highlight w:val="none"/>
              </w:rPr>
            </w:pPr>
            <w:r>
              <w:rPr>
                <w:rFonts w:hAnsi="宋体"/>
                <w:highlight w:val="none"/>
              </w:rPr>
              <w:t>循环使用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82" w:type="dxa"/>
            <w:vAlign w:val="center"/>
          </w:tcPr>
          <w:p>
            <w:pPr>
              <w:pStyle w:val="64"/>
              <w:rPr>
                <w:rFonts w:hAnsi="宋体"/>
                <w:highlight w:val="none"/>
              </w:rPr>
            </w:pPr>
            <w:r>
              <w:rPr>
                <w:rFonts w:hAnsi="宋体"/>
                <w:highlight w:val="none"/>
              </w:rPr>
              <w:t>4</w:t>
            </w:r>
          </w:p>
        </w:tc>
        <w:tc>
          <w:tcPr>
            <w:tcW w:w="1732" w:type="dxa"/>
            <w:vAlign w:val="center"/>
          </w:tcPr>
          <w:p>
            <w:pPr>
              <w:pStyle w:val="64"/>
              <w:rPr>
                <w:rFonts w:hAnsi="宋体"/>
                <w:highlight w:val="none"/>
              </w:rPr>
            </w:pPr>
            <w:r>
              <w:rPr>
                <w:rFonts w:hint="eastAsia" w:hAnsi="宋体"/>
                <w:highlight w:val="none"/>
              </w:rPr>
              <w:t>选矿用水</w:t>
            </w:r>
          </w:p>
        </w:tc>
        <w:tc>
          <w:tcPr>
            <w:tcW w:w="1112" w:type="dxa"/>
            <w:vAlign w:val="center"/>
          </w:tcPr>
          <w:p>
            <w:pPr>
              <w:pStyle w:val="64"/>
              <w:rPr>
                <w:rFonts w:hAnsi="宋体"/>
                <w:highlight w:val="none"/>
              </w:rPr>
            </w:pPr>
            <w:r>
              <w:rPr>
                <w:rFonts w:hint="eastAsia" w:hAnsi="宋体"/>
                <w:highlight w:val="none"/>
              </w:rPr>
              <w:t>/</w:t>
            </w:r>
          </w:p>
        </w:tc>
        <w:tc>
          <w:tcPr>
            <w:tcW w:w="1430" w:type="dxa"/>
            <w:vAlign w:val="center"/>
          </w:tcPr>
          <w:p>
            <w:pPr>
              <w:pStyle w:val="64"/>
              <w:rPr>
                <w:rFonts w:hAnsi="宋体"/>
                <w:highlight w:val="none"/>
              </w:rPr>
            </w:pPr>
            <w:r>
              <w:rPr>
                <w:rFonts w:hint="eastAsia" w:hAnsi="宋体"/>
                <w:highlight w:val="none"/>
              </w:rPr>
              <w:t>/</w:t>
            </w:r>
          </w:p>
        </w:tc>
        <w:tc>
          <w:tcPr>
            <w:tcW w:w="1125" w:type="dxa"/>
            <w:vAlign w:val="center"/>
          </w:tcPr>
          <w:p>
            <w:pPr>
              <w:pStyle w:val="64"/>
              <w:rPr>
                <w:rFonts w:hAnsi="宋体"/>
                <w:highlight w:val="none"/>
              </w:rPr>
            </w:pPr>
            <w:r>
              <w:rPr>
                <w:rFonts w:hint="eastAsia" w:hAnsi="宋体"/>
                <w:highlight w:val="none"/>
              </w:rPr>
              <w:t>64</w:t>
            </w:r>
          </w:p>
        </w:tc>
        <w:tc>
          <w:tcPr>
            <w:tcW w:w="1125" w:type="dxa"/>
            <w:vAlign w:val="center"/>
          </w:tcPr>
          <w:p>
            <w:pPr>
              <w:pStyle w:val="64"/>
              <w:rPr>
                <w:rFonts w:hAnsi="宋体"/>
                <w:highlight w:val="none"/>
              </w:rPr>
            </w:pPr>
            <w:r>
              <w:rPr>
                <w:rFonts w:hint="eastAsia" w:hAnsi="宋体"/>
                <w:highlight w:val="none"/>
              </w:rPr>
              <w:t>0</w:t>
            </w:r>
          </w:p>
        </w:tc>
        <w:tc>
          <w:tcPr>
            <w:tcW w:w="1740" w:type="dxa"/>
            <w:vAlign w:val="center"/>
          </w:tcPr>
          <w:p>
            <w:pPr>
              <w:pStyle w:val="64"/>
              <w:rPr>
                <w:rFonts w:hAnsi="宋体"/>
                <w:highlight w:val="none"/>
              </w:rPr>
            </w:pPr>
            <w:r>
              <w:rPr>
                <w:rFonts w:hint="eastAsia" w:hAnsi="宋体"/>
                <w:highlight w:val="none"/>
              </w:rPr>
              <w:t>产品带走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82" w:type="dxa"/>
            <w:vAlign w:val="center"/>
          </w:tcPr>
          <w:p>
            <w:pPr>
              <w:pStyle w:val="64"/>
              <w:rPr>
                <w:rFonts w:hAnsi="宋体"/>
                <w:highlight w:val="none"/>
              </w:rPr>
            </w:pPr>
            <w:r>
              <w:rPr>
                <w:rFonts w:hAnsi="宋体"/>
                <w:highlight w:val="none"/>
              </w:rPr>
              <w:t>5</w:t>
            </w:r>
          </w:p>
        </w:tc>
        <w:tc>
          <w:tcPr>
            <w:tcW w:w="1732" w:type="dxa"/>
            <w:vAlign w:val="center"/>
          </w:tcPr>
          <w:p>
            <w:pPr>
              <w:pStyle w:val="64"/>
              <w:rPr>
                <w:rFonts w:hAnsi="宋体"/>
                <w:highlight w:val="none"/>
              </w:rPr>
            </w:pPr>
            <w:r>
              <w:rPr>
                <w:rFonts w:hAnsi="宋体"/>
                <w:highlight w:val="none"/>
              </w:rPr>
              <w:t>道路洒水</w:t>
            </w:r>
          </w:p>
        </w:tc>
        <w:tc>
          <w:tcPr>
            <w:tcW w:w="1112" w:type="dxa"/>
            <w:vAlign w:val="center"/>
          </w:tcPr>
          <w:p>
            <w:pPr>
              <w:pStyle w:val="64"/>
              <w:rPr>
                <w:rFonts w:hAnsi="宋体"/>
                <w:highlight w:val="none"/>
              </w:rPr>
            </w:pPr>
            <w:r>
              <w:rPr>
                <w:rFonts w:hint="eastAsia" w:hAnsi="宋体"/>
                <w:highlight w:val="none"/>
              </w:rPr>
              <w:t>1</w:t>
            </w:r>
            <w:r>
              <w:rPr>
                <w:rFonts w:hAnsi="宋体"/>
                <w:highlight w:val="none"/>
              </w:rPr>
              <w:t>500</w:t>
            </w:r>
            <w:r>
              <w:rPr>
                <w:rFonts w:hAnsi="宋体"/>
                <w:spacing w:val="4"/>
                <w:highlight w:val="none"/>
              </w:rPr>
              <w:t>m</w:t>
            </w:r>
            <w:r>
              <w:rPr>
                <w:rFonts w:hAnsi="宋体"/>
                <w:spacing w:val="4"/>
                <w:highlight w:val="none"/>
                <w:vertAlign w:val="superscript"/>
              </w:rPr>
              <w:t>2</w:t>
            </w:r>
          </w:p>
        </w:tc>
        <w:tc>
          <w:tcPr>
            <w:tcW w:w="1430" w:type="dxa"/>
            <w:vAlign w:val="center"/>
          </w:tcPr>
          <w:p>
            <w:pPr>
              <w:pStyle w:val="64"/>
              <w:rPr>
                <w:rFonts w:hAnsi="宋体"/>
                <w:highlight w:val="none"/>
              </w:rPr>
            </w:pPr>
            <w:r>
              <w:rPr>
                <w:rFonts w:hAnsi="宋体"/>
                <w:highlight w:val="none"/>
              </w:rPr>
              <w:t>0.3L/m</w:t>
            </w:r>
            <w:r>
              <w:rPr>
                <w:rFonts w:hAnsi="宋体"/>
                <w:highlight w:val="none"/>
                <w:vertAlign w:val="superscript"/>
              </w:rPr>
              <w:t>2</w:t>
            </w:r>
            <w:r>
              <w:rPr>
                <w:rFonts w:hAnsi="宋体"/>
                <w:highlight w:val="none"/>
              </w:rPr>
              <w:t>•次</w:t>
            </w:r>
          </w:p>
        </w:tc>
        <w:tc>
          <w:tcPr>
            <w:tcW w:w="1125" w:type="dxa"/>
            <w:vAlign w:val="center"/>
          </w:tcPr>
          <w:p>
            <w:pPr>
              <w:pStyle w:val="64"/>
              <w:rPr>
                <w:rFonts w:hAnsi="宋体"/>
                <w:highlight w:val="none"/>
              </w:rPr>
            </w:pPr>
            <w:r>
              <w:rPr>
                <w:rFonts w:hAnsi="宋体"/>
                <w:highlight w:val="none"/>
              </w:rPr>
              <w:t>0.</w:t>
            </w:r>
            <w:r>
              <w:rPr>
                <w:rFonts w:hint="eastAsia" w:hAnsi="宋体"/>
                <w:highlight w:val="none"/>
              </w:rPr>
              <w:t>45</w:t>
            </w:r>
          </w:p>
        </w:tc>
        <w:tc>
          <w:tcPr>
            <w:tcW w:w="1125" w:type="dxa"/>
            <w:vAlign w:val="center"/>
          </w:tcPr>
          <w:p>
            <w:pPr>
              <w:pStyle w:val="64"/>
              <w:rPr>
                <w:rFonts w:hAnsi="宋体"/>
                <w:highlight w:val="none"/>
              </w:rPr>
            </w:pPr>
            <w:r>
              <w:rPr>
                <w:rFonts w:hAnsi="宋体"/>
                <w:highlight w:val="none"/>
              </w:rPr>
              <w:t>0</w:t>
            </w:r>
          </w:p>
        </w:tc>
        <w:tc>
          <w:tcPr>
            <w:tcW w:w="1740" w:type="dxa"/>
            <w:vAlign w:val="center"/>
          </w:tcPr>
          <w:p>
            <w:pPr>
              <w:pStyle w:val="64"/>
              <w:rPr>
                <w:rFonts w:hAnsi="宋体"/>
                <w:highlight w:val="none"/>
              </w:rPr>
            </w:pPr>
            <w:r>
              <w:rPr>
                <w:rFonts w:hAnsi="宋体"/>
                <w:highlight w:val="none"/>
              </w:rPr>
              <w:t>非采暖期，</w:t>
            </w:r>
            <w:r>
              <w:rPr>
                <w:rFonts w:hint="eastAsia" w:hAnsi="宋体"/>
                <w:highlight w:val="none"/>
              </w:rPr>
              <w:t>1</w:t>
            </w:r>
            <w:r>
              <w:rPr>
                <w:rFonts w:hAnsi="宋体"/>
                <w:highlight w:val="none"/>
              </w:rPr>
              <w:t>次/d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82" w:type="dxa"/>
            <w:vAlign w:val="center"/>
          </w:tcPr>
          <w:p>
            <w:pPr>
              <w:pStyle w:val="64"/>
              <w:rPr>
                <w:rFonts w:hAnsi="宋体"/>
                <w:highlight w:val="none"/>
              </w:rPr>
            </w:pPr>
            <w:r>
              <w:rPr>
                <w:rFonts w:hint="eastAsia" w:hAnsi="宋体"/>
                <w:highlight w:val="none"/>
              </w:rPr>
              <w:t>6</w:t>
            </w:r>
          </w:p>
        </w:tc>
        <w:tc>
          <w:tcPr>
            <w:tcW w:w="1732" w:type="dxa"/>
            <w:vAlign w:val="center"/>
          </w:tcPr>
          <w:p>
            <w:pPr>
              <w:pStyle w:val="64"/>
              <w:rPr>
                <w:rFonts w:hAnsi="宋体"/>
                <w:highlight w:val="none"/>
              </w:rPr>
            </w:pPr>
            <w:r>
              <w:rPr>
                <w:rFonts w:hAnsi="宋体"/>
                <w:highlight w:val="none"/>
              </w:rPr>
              <w:t>绿化用水</w:t>
            </w:r>
          </w:p>
        </w:tc>
        <w:tc>
          <w:tcPr>
            <w:tcW w:w="1112" w:type="dxa"/>
            <w:vAlign w:val="center"/>
          </w:tcPr>
          <w:p>
            <w:pPr>
              <w:pStyle w:val="64"/>
              <w:rPr>
                <w:rFonts w:hAnsi="宋体"/>
                <w:highlight w:val="none"/>
              </w:rPr>
            </w:pPr>
            <w:r>
              <w:rPr>
                <w:rFonts w:hAnsi="宋体"/>
                <w:highlight w:val="none"/>
              </w:rPr>
              <w:t>1000</w:t>
            </w:r>
            <w:r>
              <w:rPr>
                <w:rFonts w:hAnsi="宋体"/>
                <w:spacing w:val="4"/>
                <w:highlight w:val="none"/>
              </w:rPr>
              <w:t>m</w:t>
            </w:r>
            <w:r>
              <w:rPr>
                <w:rFonts w:hAnsi="宋体"/>
                <w:spacing w:val="4"/>
                <w:highlight w:val="none"/>
                <w:vertAlign w:val="superscript"/>
              </w:rPr>
              <w:t>2</w:t>
            </w:r>
          </w:p>
        </w:tc>
        <w:tc>
          <w:tcPr>
            <w:tcW w:w="1430" w:type="dxa"/>
            <w:vAlign w:val="center"/>
          </w:tcPr>
          <w:p>
            <w:pPr>
              <w:pStyle w:val="64"/>
              <w:rPr>
                <w:rFonts w:hAnsi="宋体"/>
                <w:highlight w:val="none"/>
              </w:rPr>
            </w:pPr>
            <w:r>
              <w:rPr>
                <w:rFonts w:hAnsi="宋体"/>
                <w:highlight w:val="none"/>
              </w:rPr>
              <w:t>0.28m</w:t>
            </w:r>
            <w:r>
              <w:rPr>
                <w:rFonts w:hAnsi="宋体"/>
                <w:highlight w:val="none"/>
                <w:vertAlign w:val="superscript"/>
              </w:rPr>
              <w:t>3</w:t>
            </w:r>
            <w:r>
              <w:rPr>
                <w:rFonts w:hAnsi="宋体"/>
                <w:highlight w:val="none"/>
              </w:rPr>
              <w:t>/m</w:t>
            </w:r>
            <w:r>
              <w:rPr>
                <w:rFonts w:hAnsi="宋体"/>
                <w:highlight w:val="none"/>
                <w:vertAlign w:val="superscript"/>
              </w:rPr>
              <w:t>2</w:t>
            </w:r>
            <w:r>
              <w:rPr>
                <w:rFonts w:hAnsi="宋体"/>
                <w:highlight w:val="none"/>
              </w:rPr>
              <w:t>·a</w:t>
            </w:r>
          </w:p>
        </w:tc>
        <w:tc>
          <w:tcPr>
            <w:tcW w:w="1125" w:type="dxa"/>
            <w:vAlign w:val="center"/>
          </w:tcPr>
          <w:p>
            <w:pPr>
              <w:pStyle w:val="64"/>
              <w:rPr>
                <w:rFonts w:hAnsi="宋体"/>
                <w:highlight w:val="none"/>
              </w:rPr>
            </w:pPr>
            <w:r>
              <w:rPr>
                <w:rFonts w:hAnsi="宋体"/>
                <w:highlight w:val="none"/>
              </w:rPr>
              <w:t>1.40</w:t>
            </w:r>
          </w:p>
        </w:tc>
        <w:tc>
          <w:tcPr>
            <w:tcW w:w="1125" w:type="dxa"/>
            <w:vAlign w:val="center"/>
          </w:tcPr>
          <w:p>
            <w:pPr>
              <w:pStyle w:val="64"/>
              <w:rPr>
                <w:rFonts w:hAnsi="宋体"/>
                <w:highlight w:val="none"/>
              </w:rPr>
            </w:pPr>
            <w:r>
              <w:rPr>
                <w:rFonts w:hAnsi="宋体"/>
                <w:highlight w:val="none"/>
              </w:rPr>
              <w:t>0</w:t>
            </w:r>
          </w:p>
        </w:tc>
        <w:tc>
          <w:tcPr>
            <w:tcW w:w="1740" w:type="dxa"/>
            <w:vAlign w:val="center"/>
          </w:tcPr>
          <w:p>
            <w:pPr>
              <w:pStyle w:val="64"/>
              <w:rPr>
                <w:rFonts w:hAnsi="宋体"/>
                <w:highlight w:val="none"/>
              </w:rPr>
            </w:pPr>
            <w:r>
              <w:rPr>
                <w:rFonts w:hAnsi="宋体"/>
                <w:highlight w:val="none"/>
              </w:rPr>
              <w:t>非采暖期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2414" w:type="dxa"/>
            <w:gridSpan w:val="2"/>
            <w:vMerge w:val="restart"/>
            <w:vAlign w:val="center"/>
          </w:tcPr>
          <w:p>
            <w:pPr>
              <w:pStyle w:val="64"/>
              <w:rPr>
                <w:rFonts w:hAnsi="宋体"/>
                <w:highlight w:val="none"/>
              </w:rPr>
            </w:pPr>
            <w:r>
              <w:rPr>
                <w:rFonts w:hAnsi="宋体"/>
                <w:highlight w:val="none"/>
              </w:rPr>
              <w:t>合计</w:t>
            </w:r>
          </w:p>
        </w:tc>
        <w:tc>
          <w:tcPr>
            <w:tcW w:w="1112" w:type="dxa"/>
            <w:vAlign w:val="center"/>
          </w:tcPr>
          <w:p>
            <w:pPr>
              <w:pStyle w:val="64"/>
              <w:rPr>
                <w:rFonts w:hAnsi="宋体"/>
                <w:highlight w:val="none"/>
              </w:rPr>
            </w:pPr>
            <w:r>
              <w:rPr>
                <w:rFonts w:hAnsi="宋体"/>
                <w:highlight w:val="none"/>
              </w:rPr>
              <w:t>--</w:t>
            </w:r>
          </w:p>
        </w:tc>
        <w:tc>
          <w:tcPr>
            <w:tcW w:w="1430" w:type="dxa"/>
            <w:vAlign w:val="center"/>
          </w:tcPr>
          <w:p>
            <w:pPr>
              <w:pStyle w:val="64"/>
              <w:rPr>
                <w:rFonts w:hAnsi="宋体"/>
                <w:highlight w:val="none"/>
              </w:rPr>
            </w:pPr>
            <w:r>
              <w:rPr>
                <w:rFonts w:hAnsi="宋体"/>
                <w:highlight w:val="none"/>
              </w:rPr>
              <w:t>--</w:t>
            </w:r>
          </w:p>
        </w:tc>
        <w:tc>
          <w:tcPr>
            <w:tcW w:w="1125" w:type="dxa"/>
            <w:vAlign w:val="center"/>
          </w:tcPr>
          <w:p>
            <w:pPr>
              <w:pStyle w:val="64"/>
              <w:rPr>
                <w:rFonts w:hAnsi="宋体"/>
                <w:highlight w:val="none"/>
              </w:rPr>
            </w:pPr>
            <w:r>
              <w:rPr>
                <w:rFonts w:hAnsi="宋体"/>
                <w:highlight w:val="none"/>
              </w:rPr>
              <w:t>70.29</w:t>
            </w:r>
          </w:p>
        </w:tc>
        <w:tc>
          <w:tcPr>
            <w:tcW w:w="1125" w:type="dxa"/>
            <w:vAlign w:val="center"/>
          </w:tcPr>
          <w:p>
            <w:pPr>
              <w:pStyle w:val="64"/>
              <w:rPr>
                <w:rFonts w:hAnsi="宋体"/>
                <w:highlight w:val="none"/>
              </w:rPr>
            </w:pPr>
            <w:r>
              <w:rPr>
                <w:rFonts w:hint="eastAsia" w:hAnsi="宋体"/>
                <w:highlight w:val="none"/>
              </w:rPr>
              <w:t>0</w:t>
            </w:r>
            <w:r>
              <w:rPr>
                <w:rFonts w:hAnsi="宋体"/>
                <w:highlight w:val="none"/>
              </w:rPr>
              <w:t>.72</w:t>
            </w:r>
          </w:p>
        </w:tc>
        <w:tc>
          <w:tcPr>
            <w:tcW w:w="1740" w:type="dxa"/>
            <w:vAlign w:val="center"/>
          </w:tcPr>
          <w:p>
            <w:pPr>
              <w:pStyle w:val="64"/>
              <w:rPr>
                <w:rFonts w:hAnsi="宋体"/>
                <w:highlight w:val="none"/>
              </w:rPr>
            </w:pPr>
            <w:r>
              <w:rPr>
                <w:rFonts w:hAnsi="宋体"/>
                <w:highlight w:val="none"/>
              </w:rPr>
              <w:t>非采暖期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414" w:type="dxa"/>
            <w:gridSpan w:val="2"/>
            <w:vMerge w:val="continue"/>
            <w:vAlign w:val="center"/>
          </w:tcPr>
          <w:p>
            <w:pPr>
              <w:pStyle w:val="64"/>
              <w:rPr>
                <w:rFonts w:hAnsi="宋体"/>
                <w:highlight w:val="none"/>
              </w:rPr>
            </w:pPr>
          </w:p>
        </w:tc>
        <w:tc>
          <w:tcPr>
            <w:tcW w:w="1112" w:type="dxa"/>
            <w:vAlign w:val="center"/>
          </w:tcPr>
          <w:p>
            <w:pPr>
              <w:pStyle w:val="64"/>
              <w:rPr>
                <w:rFonts w:hAnsi="宋体"/>
                <w:highlight w:val="none"/>
              </w:rPr>
            </w:pPr>
            <w:r>
              <w:rPr>
                <w:rFonts w:hAnsi="宋体"/>
                <w:highlight w:val="none"/>
              </w:rPr>
              <w:t>--</w:t>
            </w:r>
          </w:p>
        </w:tc>
        <w:tc>
          <w:tcPr>
            <w:tcW w:w="1430" w:type="dxa"/>
            <w:vAlign w:val="center"/>
          </w:tcPr>
          <w:p>
            <w:pPr>
              <w:pStyle w:val="64"/>
              <w:rPr>
                <w:rFonts w:hAnsi="宋体"/>
                <w:highlight w:val="none"/>
              </w:rPr>
            </w:pPr>
            <w:r>
              <w:rPr>
                <w:rFonts w:hAnsi="宋体"/>
                <w:highlight w:val="none"/>
              </w:rPr>
              <w:t>--</w:t>
            </w:r>
          </w:p>
        </w:tc>
        <w:tc>
          <w:tcPr>
            <w:tcW w:w="1125" w:type="dxa"/>
            <w:vAlign w:val="center"/>
          </w:tcPr>
          <w:p>
            <w:pPr>
              <w:pStyle w:val="64"/>
              <w:rPr>
                <w:rFonts w:hAnsi="宋体"/>
                <w:highlight w:val="none"/>
              </w:rPr>
            </w:pPr>
            <w:r>
              <w:rPr>
                <w:rFonts w:hAnsi="宋体"/>
                <w:highlight w:val="none"/>
              </w:rPr>
              <w:t>68.44</w:t>
            </w:r>
          </w:p>
        </w:tc>
        <w:tc>
          <w:tcPr>
            <w:tcW w:w="1125" w:type="dxa"/>
            <w:vAlign w:val="center"/>
          </w:tcPr>
          <w:p>
            <w:pPr>
              <w:pStyle w:val="64"/>
              <w:rPr>
                <w:rFonts w:hAnsi="宋体"/>
                <w:highlight w:val="none"/>
              </w:rPr>
            </w:pPr>
            <w:r>
              <w:rPr>
                <w:rFonts w:hint="eastAsia" w:hAnsi="宋体"/>
                <w:highlight w:val="none"/>
              </w:rPr>
              <w:t>0</w:t>
            </w:r>
            <w:r>
              <w:rPr>
                <w:rFonts w:hAnsi="宋体"/>
                <w:highlight w:val="none"/>
              </w:rPr>
              <w:t>.72</w:t>
            </w:r>
          </w:p>
        </w:tc>
        <w:tc>
          <w:tcPr>
            <w:tcW w:w="1740" w:type="dxa"/>
            <w:vAlign w:val="center"/>
          </w:tcPr>
          <w:p>
            <w:pPr>
              <w:pStyle w:val="64"/>
              <w:rPr>
                <w:rFonts w:hAnsi="宋体"/>
                <w:highlight w:val="none"/>
              </w:rPr>
            </w:pPr>
            <w:r>
              <w:rPr>
                <w:rFonts w:hAnsi="宋体"/>
                <w:highlight w:val="none"/>
              </w:rPr>
              <w:t>采暖期</w:t>
            </w:r>
          </w:p>
        </w:tc>
      </w:tr>
    </w:tbl>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0"/>
        <w:rPr>
          <w:rFonts w:ascii="宋体" w:hAnsi="宋体"/>
          <w:highlight w:val="none"/>
        </w:rPr>
      </w:pPr>
    </w:p>
    <w:p>
      <w:pPr>
        <w:ind w:firstLine="480"/>
        <w:rPr>
          <w:rFonts w:ascii="宋体" w:hAnsi="宋体"/>
          <w:highlight w:val="none"/>
        </w:rPr>
      </w:pPr>
    </w:p>
    <w:p>
      <w:pPr>
        <w:ind w:firstLine="480"/>
        <w:jc w:val="center"/>
        <w:rPr>
          <w:rFonts w:ascii="宋体" w:hAnsi="宋体"/>
          <w:szCs w:val="22"/>
          <w:highlight w:val="none"/>
        </w:rPr>
      </w:pPr>
    </w:p>
    <w:p>
      <w:pPr>
        <w:ind w:firstLine="480"/>
        <w:jc w:val="center"/>
        <w:rPr>
          <w:rFonts w:ascii="宋体" w:hAnsi="宋体"/>
          <w:szCs w:val="22"/>
          <w:highlight w:val="none"/>
        </w:rPr>
      </w:pPr>
    </w:p>
    <w:p>
      <w:pPr>
        <w:ind w:firstLine="480"/>
        <w:jc w:val="center"/>
        <w:rPr>
          <w:rFonts w:ascii="宋体" w:hAnsi="宋体"/>
          <w:szCs w:val="22"/>
          <w:highlight w:val="none"/>
        </w:rPr>
      </w:pPr>
      <w:r>
        <w:rPr>
          <w:rFonts w:ascii="宋体" w:hAnsi="宋体"/>
          <w:szCs w:val="22"/>
          <w:highlight w:val="none"/>
        </w:rPr>
        <mc:AlternateContent>
          <mc:Choice Requires="wpc">
            <w:drawing>
              <wp:inline distT="0" distB="0" distL="0" distR="0">
                <wp:extent cx="4583430" cy="3922395"/>
                <wp:effectExtent l="0" t="0" r="0" b="0"/>
                <wp:docPr id="1151" name="画布 997"/>
                <wp:cNvGraphicFramePr/>
                <a:graphic xmlns:a="http://schemas.openxmlformats.org/drawingml/2006/main">
                  <a:graphicData uri="http://schemas.microsoft.com/office/word/2010/wordprocessingCanvas">
                    <wpc:wpc>
                      <wpc:bg>
                        <a:noFill/>
                      </wpc:bg>
                      <wpc:whole/>
                      <wps:wsp>
                        <wps:cNvPr id="84" name="文本框 943"/>
                        <wps:cNvSpPr txBox="1">
                          <a:spLocks noChangeArrowheads="1"/>
                        </wps:cNvSpPr>
                        <wps:spPr bwMode="auto">
                          <a:xfrm>
                            <a:off x="192100" y="1195664"/>
                            <a:ext cx="6763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新鲜水</w:t>
                              </w:r>
                            </w:p>
                          </w:txbxContent>
                        </wps:txbx>
                        <wps:bodyPr rot="0" vert="horz" wrap="square" lIns="91440" tIns="45720" rIns="91440" bIns="45720" anchor="t" anchorCtr="0" upright="1">
                          <a:noAutofit/>
                        </wps:bodyPr>
                      </wps:wsp>
                      <wps:wsp>
                        <wps:cNvPr id="85" name="文本框 944"/>
                        <wps:cNvSpPr txBox="1">
                          <a:spLocks noChangeArrowheads="1"/>
                        </wps:cNvSpPr>
                        <wps:spPr bwMode="auto">
                          <a:xfrm>
                            <a:off x="1673200" y="392643"/>
                            <a:ext cx="885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生活用水</w:t>
                              </w:r>
                            </w:p>
                          </w:txbxContent>
                        </wps:txbx>
                        <wps:bodyPr rot="0" vert="horz" wrap="square" lIns="91440" tIns="45720" rIns="91440" bIns="45720" anchor="t" anchorCtr="0" upright="1">
                          <a:noAutofit/>
                        </wps:bodyPr>
                      </wps:wsp>
                      <wps:wsp>
                        <wps:cNvPr id="86" name="文本框 945"/>
                        <wps:cNvSpPr txBox="1">
                          <a:spLocks noChangeArrowheads="1"/>
                        </wps:cNvSpPr>
                        <wps:spPr bwMode="auto">
                          <a:xfrm>
                            <a:off x="1672100" y="1084361"/>
                            <a:ext cx="885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道路用水</w:t>
                              </w:r>
                            </w:p>
                          </w:txbxContent>
                        </wps:txbx>
                        <wps:bodyPr rot="0" vert="horz" wrap="square" lIns="91440" tIns="45720" rIns="91440" bIns="45720" anchor="t" anchorCtr="0" upright="1">
                          <a:noAutofit/>
                        </wps:bodyPr>
                      </wps:wsp>
                      <wps:wsp>
                        <wps:cNvPr id="90" name="文本框 949"/>
                        <wps:cNvSpPr txBox="1">
                          <a:spLocks noChangeArrowheads="1"/>
                        </wps:cNvSpPr>
                        <wps:spPr bwMode="auto">
                          <a:xfrm>
                            <a:off x="1190600" y="302140"/>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0.9</w:t>
                              </w:r>
                            </w:p>
                          </w:txbxContent>
                        </wps:txbx>
                        <wps:bodyPr rot="0" vert="horz" wrap="square" lIns="91440" tIns="45720" rIns="91440" bIns="45720" anchor="t" anchorCtr="0" upright="1">
                          <a:noAutofit/>
                        </wps:bodyPr>
                      </wps:wsp>
                      <wps:wsp>
                        <wps:cNvPr id="91" name="文本框 950"/>
                        <wps:cNvSpPr txBox="1">
                          <a:spLocks noChangeArrowheads="1"/>
                        </wps:cNvSpPr>
                        <wps:spPr bwMode="auto">
                          <a:xfrm>
                            <a:off x="1226000" y="957358"/>
                            <a:ext cx="4857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0.0</w:t>
                              </w:r>
                            </w:p>
                          </w:txbxContent>
                        </wps:txbx>
                        <wps:bodyPr rot="0" vert="horz" wrap="square" lIns="91440" tIns="45720" rIns="91440" bIns="45720" anchor="t" anchorCtr="0" upright="1">
                          <a:noAutofit/>
                        </wps:bodyPr>
                      </wps:wsp>
                      <wps:wsp>
                        <wps:cNvPr id="93" name="直接箭头连接符 951"/>
                        <wps:cNvCnPr>
                          <a:cxnSpLocks noChangeShapeType="1"/>
                        </wps:cNvCnPr>
                        <wps:spPr bwMode="auto">
                          <a:xfrm flipV="1">
                            <a:off x="2116100" y="183037"/>
                            <a:ext cx="185800" cy="209606"/>
                          </a:xfrm>
                          <a:prstGeom prst="straightConnector1">
                            <a:avLst/>
                          </a:prstGeom>
                          <a:noFill/>
                          <a:ln w="6350">
                            <a:solidFill>
                              <a:schemeClr val="tx1"/>
                            </a:solidFill>
                            <a:prstDash val="dash"/>
                            <a:miter lim="800000"/>
                            <a:tailEnd type="arrow" w="med" len="med"/>
                          </a:ln>
                        </wps:spPr>
                        <wps:bodyPr/>
                      </wps:wsp>
                      <wps:wsp>
                        <wps:cNvPr id="94" name="文本框 952"/>
                        <wps:cNvSpPr txBox="1">
                          <a:spLocks noChangeArrowheads="1"/>
                        </wps:cNvSpPr>
                        <wps:spPr bwMode="auto">
                          <a:xfrm>
                            <a:off x="2156300" y="32"/>
                            <a:ext cx="647700" cy="295308"/>
                          </a:xfrm>
                          <a:prstGeom prst="rect">
                            <a:avLst/>
                          </a:prstGeom>
                          <a:noFill/>
                          <a:ln>
                            <a:noFill/>
                          </a:ln>
                        </wps:spPr>
                        <wps:txbx>
                          <w:txbxContent>
                            <w:p>
                              <w:pPr>
                                <w:spacing w:line="240" w:lineRule="auto"/>
                                <w:ind w:firstLine="0" w:firstLineChars="0"/>
                                <w:jc w:val="center"/>
                                <w:rPr>
                                  <w:sz w:val="21"/>
                                  <w:szCs w:val="21"/>
                                </w:rPr>
                              </w:pPr>
                              <w:r>
                                <w:rPr>
                                  <w:sz w:val="21"/>
                                  <w:szCs w:val="21"/>
                                </w:rPr>
                                <w:t>0.</w:t>
                              </w:r>
                              <w:r>
                                <w:rPr>
                                  <w:rFonts w:hint="eastAsia"/>
                                  <w:sz w:val="21"/>
                                  <w:szCs w:val="21"/>
                                </w:rPr>
                                <w:t>18</w:t>
                              </w:r>
                            </w:p>
                          </w:txbxContent>
                        </wps:txbx>
                        <wps:bodyPr rot="0" vert="horz" wrap="square" lIns="91440" tIns="45720" rIns="91440" bIns="45720" anchor="t" anchorCtr="0" upright="1">
                          <a:noAutofit/>
                        </wps:bodyPr>
                      </wps:wsp>
                      <wps:wsp>
                        <wps:cNvPr id="95" name="文本框 953"/>
                        <wps:cNvSpPr txBox="1">
                          <a:spLocks noChangeArrowheads="1"/>
                        </wps:cNvSpPr>
                        <wps:spPr bwMode="auto">
                          <a:xfrm>
                            <a:off x="3048000" y="392643"/>
                            <a:ext cx="885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沉淀池</w:t>
                              </w:r>
                            </w:p>
                          </w:txbxContent>
                        </wps:txbx>
                        <wps:bodyPr rot="0" vert="horz" wrap="square" lIns="91440" tIns="45720" rIns="91440" bIns="45720" anchor="t" anchorCtr="0" upright="1">
                          <a:noAutofit/>
                        </wps:bodyPr>
                      </wps:wsp>
                      <wps:wsp>
                        <wps:cNvPr id="1184" name="直接箭头连接符 954"/>
                        <wps:cNvCnPr>
                          <a:cxnSpLocks noChangeShapeType="1"/>
                        </wps:cNvCnPr>
                        <wps:spPr bwMode="auto">
                          <a:xfrm>
                            <a:off x="2559000" y="540247"/>
                            <a:ext cx="504900" cy="0"/>
                          </a:xfrm>
                          <a:prstGeom prst="straightConnector1">
                            <a:avLst/>
                          </a:prstGeom>
                          <a:noFill/>
                          <a:ln w="9525">
                            <a:solidFill>
                              <a:schemeClr val="tx1"/>
                            </a:solidFill>
                            <a:miter lim="800000"/>
                            <a:tailEnd type="arrow" w="med" len="med"/>
                          </a:ln>
                        </wps:spPr>
                        <wps:bodyPr/>
                      </wps:wsp>
                      <wps:wsp>
                        <wps:cNvPr id="1185" name="文本框 955"/>
                        <wps:cNvSpPr txBox="1">
                          <a:spLocks noChangeArrowheads="1"/>
                        </wps:cNvSpPr>
                        <wps:spPr bwMode="auto">
                          <a:xfrm>
                            <a:off x="2507608" y="292768"/>
                            <a:ext cx="611500" cy="295208"/>
                          </a:xfrm>
                          <a:prstGeom prst="rect">
                            <a:avLst/>
                          </a:prstGeom>
                          <a:noFill/>
                          <a:ln>
                            <a:noFill/>
                          </a:ln>
                        </wps:spPr>
                        <wps:txbx>
                          <w:txbxContent>
                            <w:p>
                              <w:pPr>
                                <w:spacing w:line="240" w:lineRule="auto"/>
                                <w:ind w:firstLine="0" w:firstLineChars="0"/>
                                <w:jc w:val="center"/>
                                <w:rPr>
                                  <w:sz w:val="21"/>
                                  <w:szCs w:val="21"/>
                                </w:rPr>
                              </w:pPr>
                              <w:r>
                                <w:rPr>
                                  <w:sz w:val="21"/>
                                  <w:szCs w:val="21"/>
                                </w:rPr>
                                <w:t>0.</w:t>
                              </w:r>
                              <w:r>
                                <w:rPr>
                                  <w:rFonts w:hint="eastAsia"/>
                                  <w:sz w:val="21"/>
                                  <w:szCs w:val="21"/>
                                </w:rPr>
                                <w:t>72</w:t>
                              </w:r>
                            </w:p>
                          </w:txbxContent>
                        </wps:txbx>
                        <wps:bodyPr rot="0" vert="horz" wrap="square" lIns="91440" tIns="45720" rIns="91440" bIns="45720" anchor="t" anchorCtr="0" upright="1">
                          <a:noAutofit/>
                        </wps:bodyPr>
                      </wps:wsp>
                      <wps:wsp>
                        <wps:cNvPr id="1187" name="直接箭头连接符 956"/>
                        <wps:cNvCnPr>
                          <a:cxnSpLocks noChangeShapeType="1"/>
                        </wps:cNvCnPr>
                        <wps:spPr bwMode="auto">
                          <a:xfrm flipV="1">
                            <a:off x="2136500" y="854355"/>
                            <a:ext cx="185700" cy="209606"/>
                          </a:xfrm>
                          <a:prstGeom prst="straightConnector1">
                            <a:avLst/>
                          </a:prstGeom>
                          <a:noFill/>
                          <a:ln w="6350">
                            <a:solidFill>
                              <a:srgbClr val="4472C4"/>
                            </a:solidFill>
                            <a:prstDash val="dash"/>
                            <a:miter lim="800000"/>
                            <a:tailEnd type="arrow" w="med" len="med"/>
                          </a:ln>
                        </wps:spPr>
                        <wps:bodyPr/>
                      </wps:wsp>
                      <wps:wsp>
                        <wps:cNvPr id="1188" name="文本框 957"/>
                        <wps:cNvSpPr txBox="1">
                          <a:spLocks noChangeArrowheads="1"/>
                        </wps:cNvSpPr>
                        <wps:spPr bwMode="auto">
                          <a:xfrm>
                            <a:off x="2211700" y="720351"/>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0.45</w:t>
                              </w:r>
                            </w:p>
                          </w:txbxContent>
                        </wps:txbx>
                        <wps:bodyPr rot="0" vert="horz" wrap="square" lIns="91440" tIns="45720" rIns="91440" bIns="45720" anchor="t" anchorCtr="0" upright="1">
                          <a:noAutofit/>
                        </wps:bodyPr>
                      </wps:wsp>
                      <wps:wsp>
                        <wps:cNvPr id="1189" name="文本框 958"/>
                        <wps:cNvSpPr txBox="1">
                          <a:spLocks noChangeArrowheads="1"/>
                        </wps:cNvSpPr>
                        <wps:spPr bwMode="auto">
                          <a:xfrm>
                            <a:off x="729000" y="1071805"/>
                            <a:ext cx="666800" cy="295308"/>
                          </a:xfrm>
                          <a:prstGeom prst="rect">
                            <a:avLst/>
                          </a:prstGeom>
                          <a:noFill/>
                          <a:ln>
                            <a:noFill/>
                          </a:ln>
                        </wps:spPr>
                        <wps:txbx>
                          <w:txbxContent>
                            <w:p>
                              <w:pPr>
                                <w:spacing w:line="240" w:lineRule="auto"/>
                                <w:ind w:firstLine="0" w:firstLineChars="0"/>
                                <w:jc w:val="center"/>
                                <w:rPr>
                                  <w:sz w:val="21"/>
                                  <w:szCs w:val="21"/>
                                </w:rPr>
                              </w:pPr>
                              <w:r>
                                <w:rPr>
                                  <w:sz w:val="21"/>
                                  <w:szCs w:val="21"/>
                                </w:rPr>
                                <w:t>70.29</w:t>
                              </w:r>
                            </w:p>
                          </w:txbxContent>
                        </wps:txbx>
                        <wps:bodyPr rot="0" vert="horz" wrap="square" lIns="91440" tIns="45720" rIns="91440" bIns="45720" anchor="t" anchorCtr="0" upright="1">
                          <a:noAutofit/>
                        </wps:bodyPr>
                      </wps:wsp>
                      <wps:wsp>
                        <wps:cNvPr id="1190" name="文本框 959"/>
                        <wps:cNvSpPr txBox="1">
                          <a:spLocks noChangeArrowheads="1"/>
                        </wps:cNvSpPr>
                        <wps:spPr bwMode="auto">
                          <a:xfrm>
                            <a:off x="1226000" y="1571762"/>
                            <a:ext cx="4857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1.13</w:t>
                              </w:r>
                            </w:p>
                          </w:txbxContent>
                        </wps:txbx>
                        <wps:bodyPr rot="0" vert="horz" wrap="square" lIns="91440" tIns="45720" rIns="91440" bIns="45720" anchor="t" anchorCtr="0" upright="1">
                          <a:noAutofit/>
                        </wps:bodyPr>
                      </wps:wsp>
                      <wps:wsp>
                        <wps:cNvPr id="1191" name="直接箭头连接符 960"/>
                        <wps:cNvCnPr>
                          <a:cxnSpLocks noChangeShapeType="1"/>
                        </wps:cNvCnPr>
                        <wps:spPr bwMode="auto">
                          <a:xfrm flipV="1">
                            <a:off x="2137723" y="1446014"/>
                            <a:ext cx="185800" cy="209506"/>
                          </a:xfrm>
                          <a:prstGeom prst="straightConnector1">
                            <a:avLst/>
                          </a:prstGeom>
                          <a:noFill/>
                          <a:ln w="6350">
                            <a:solidFill>
                              <a:srgbClr val="4472C4"/>
                            </a:solidFill>
                            <a:prstDash val="dash"/>
                            <a:miter lim="800000"/>
                            <a:tailEnd type="arrow" w="med" len="med"/>
                          </a:ln>
                        </wps:spPr>
                        <wps:bodyPr/>
                      </wps:wsp>
                      <wps:wsp>
                        <wps:cNvPr id="1192" name="文本框 961"/>
                        <wps:cNvSpPr txBox="1">
                          <a:spLocks noChangeArrowheads="1"/>
                        </wps:cNvSpPr>
                        <wps:spPr bwMode="auto">
                          <a:xfrm>
                            <a:off x="2272600" y="1348191"/>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1.4</w:t>
                              </w:r>
                            </w:p>
                          </w:txbxContent>
                        </wps:txbx>
                        <wps:bodyPr rot="0" vert="horz" wrap="square" lIns="91440" tIns="45720" rIns="91440" bIns="45720" anchor="t" anchorCtr="0" upright="1">
                          <a:noAutofit/>
                        </wps:bodyPr>
                      </wps:wsp>
                      <wps:wsp>
                        <wps:cNvPr id="1193" name="文本框 962"/>
                        <wps:cNvSpPr txBox="1">
                          <a:spLocks noChangeArrowheads="1"/>
                        </wps:cNvSpPr>
                        <wps:spPr bwMode="auto">
                          <a:xfrm>
                            <a:off x="1670300" y="2223892"/>
                            <a:ext cx="872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喷淋用水</w:t>
                              </w:r>
                            </w:p>
                          </w:txbxContent>
                        </wps:txbx>
                        <wps:bodyPr rot="0" vert="horz" wrap="square" lIns="91440" tIns="45720" rIns="91440" bIns="45720" anchor="t" anchorCtr="0" upright="1">
                          <a:noAutofit/>
                        </wps:bodyPr>
                      </wps:wsp>
                      <wps:wsp>
                        <wps:cNvPr id="1194" name="文本框 963"/>
                        <wps:cNvSpPr txBox="1">
                          <a:spLocks noChangeArrowheads="1"/>
                        </wps:cNvSpPr>
                        <wps:spPr bwMode="auto">
                          <a:xfrm>
                            <a:off x="1245800" y="2090189"/>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2.2</w:t>
                              </w:r>
                            </w:p>
                          </w:txbxContent>
                        </wps:txbx>
                        <wps:bodyPr rot="0" vert="horz" wrap="square" lIns="91440" tIns="45720" rIns="91440" bIns="45720" anchor="t" anchorCtr="0" upright="1">
                          <a:noAutofit/>
                        </wps:bodyPr>
                      </wps:wsp>
                      <wps:wsp>
                        <wps:cNvPr id="1195" name="直接箭头连接符 964"/>
                        <wps:cNvCnPr>
                          <a:cxnSpLocks noChangeShapeType="1"/>
                        </wps:cNvCnPr>
                        <wps:spPr bwMode="auto">
                          <a:xfrm flipV="1">
                            <a:off x="2368800" y="2007687"/>
                            <a:ext cx="185700" cy="209506"/>
                          </a:xfrm>
                          <a:prstGeom prst="straightConnector1">
                            <a:avLst/>
                          </a:prstGeom>
                          <a:noFill/>
                          <a:ln w="6350">
                            <a:solidFill>
                              <a:srgbClr val="4472C4"/>
                            </a:solidFill>
                            <a:prstDash val="dash"/>
                            <a:miter lim="800000"/>
                            <a:tailEnd type="arrow" w="med" len="med"/>
                          </a:ln>
                        </wps:spPr>
                        <wps:bodyPr/>
                      </wps:wsp>
                      <wps:wsp>
                        <wps:cNvPr id="1196" name="文本框 965"/>
                        <wps:cNvSpPr txBox="1">
                          <a:spLocks noChangeArrowheads="1"/>
                        </wps:cNvSpPr>
                        <wps:spPr bwMode="auto">
                          <a:xfrm>
                            <a:off x="2394600" y="1904881"/>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2.2</w:t>
                              </w:r>
                            </w:p>
                          </w:txbxContent>
                        </wps:txbx>
                        <wps:bodyPr rot="0" vert="horz" wrap="square" lIns="91440" tIns="45720" rIns="91440" bIns="45720" anchor="t" anchorCtr="0" upright="1">
                          <a:noAutofit/>
                        </wps:bodyPr>
                      </wps:wsp>
                      <wps:wsp>
                        <wps:cNvPr id="1198" name="文本框 969"/>
                        <wps:cNvSpPr txBox="1">
                          <a:spLocks noChangeArrowheads="1"/>
                        </wps:cNvSpPr>
                        <wps:spPr bwMode="auto">
                          <a:xfrm>
                            <a:off x="1668139" y="1666514"/>
                            <a:ext cx="885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绿化用水</w:t>
                              </w:r>
                            </w:p>
                          </w:txbxContent>
                        </wps:txbx>
                        <wps:bodyPr rot="0" vert="horz" wrap="square" lIns="91440" tIns="45720" rIns="91440" bIns="45720" anchor="t" anchorCtr="0" upright="1">
                          <a:noAutofit/>
                        </wps:bodyPr>
                      </wps:wsp>
                      <wps:wsp>
                        <wps:cNvPr id="1199" name="文本框 970"/>
                        <wps:cNvSpPr txBox="1">
                          <a:spLocks noChangeArrowheads="1"/>
                        </wps:cNvSpPr>
                        <wps:spPr bwMode="auto">
                          <a:xfrm>
                            <a:off x="1670300" y="2860010"/>
                            <a:ext cx="872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洗车用水</w:t>
                              </w:r>
                            </w:p>
                          </w:txbxContent>
                        </wps:txbx>
                        <wps:bodyPr rot="0" vert="horz" wrap="square" lIns="91440" tIns="45720" rIns="91440" bIns="45720" anchor="t" anchorCtr="0" upright="1">
                          <a:noAutofit/>
                        </wps:bodyPr>
                      </wps:wsp>
                      <wps:wsp>
                        <wps:cNvPr id="1201" name="文本框 972"/>
                        <wps:cNvSpPr txBox="1">
                          <a:spLocks noChangeArrowheads="1"/>
                        </wps:cNvSpPr>
                        <wps:spPr bwMode="auto">
                          <a:xfrm>
                            <a:off x="1245800" y="2707306"/>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1.34</w:t>
                              </w:r>
                            </w:p>
                          </w:txbxContent>
                        </wps:txbx>
                        <wps:bodyPr rot="0" vert="horz" wrap="square" lIns="91440" tIns="45720" rIns="91440" bIns="45720" anchor="t" anchorCtr="0" upright="1">
                          <a:noAutofit/>
                        </wps:bodyPr>
                      </wps:wsp>
                      <wps:wsp>
                        <wps:cNvPr id="1202" name="肘形连接符 973"/>
                        <wps:cNvCnPr>
                          <a:cxnSpLocks noChangeShapeType="1"/>
                        </wps:cNvCnPr>
                        <wps:spPr bwMode="auto">
                          <a:xfrm flipH="1" flipV="1">
                            <a:off x="2106700" y="2860010"/>
                            <a:ext cx="436400" cy="147704"/>
                          </a:xfrm>
                          <a:prstGeom prst="bentConnector4">
                            <a:avLst>
                              <a:gd name="adj1" fmla="val -52384"/>
                              <a:gd name="adj2" fmla="val 254838"/>
                            </a:avLst>
                          </a:prstGeom>
                          <a:noFill/>
                          <a:ln w="9525">
                            <a:solidFill>
                              <a:schemeClr val="tx1"/>
                            </a:solidFill>
                            <a:miter lim="800000"/>
                            <a:tailEnd type="arrow" w="med" len="med"/>
                          </a:ln>
                        </wps:spPr>
                        <wps:bodyPr/>
                      </wps:wsp>
                      <wps:wsp>
                        <wps:cNvPr id="1203" name="文本框 974"/>
                        <wps:cNvSpPr txBox="1">
                          <a:spLocks noChangeArrowheads="1"/>
                        </wps:cNvSpPr>
                        <wps:spPr bwMode="auto">
                          <a:xfrm>
                            <a:off x="2735700" y="2686405"/>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20</w:t>
                              </w:r>
                            </w:p>
                          </w:txbxContent>
                        </wps:txbx>
                        <wps:bodyPr rot="0" vert="horz" wrap="square" lIns="91440" tIns="45720" rIns="91440" bIns="45720" anchor="t" anchorCtr="0" upright="1">
                          <a:noAutofit/>
                        </wps:bodyPr>
                      </wps:wsp>
                      <wps:wsp>
                        <wps:cNvPr id="1206" name="文本框 957"/>
                        <wps:cNvSpPr txBox="1">
                          <a:spLocks noChangeArrowheads="1"/>
                        </wps:cNvSpPr>
                        <wps:spPr bwMode="auto">
                          <a:xfrm>
                            <a:off x="2939400" y="1014389"/>
                            <a:ext cx="482600" cy="2921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0.45</w:t>
                              </w:r>
                            </w:p>
                          </w:txbxContent>
                        </wps:txbx>
                        <wps:bodyPr rot="0" vert="horz" wrap="square" lIns="91440" tIns="45720" rIns="91440" bIns="45720" anchor="t" anchorCtr="0" upright="1">
                          <a:noAutofit/>
                        </wps:bodyPr>
                      </wps:wsp>
                      <wps:wsp>
                        <wps:cNvPr id="1207" name="文本框 957"/>
                        <wps:cNvSpPr txBox="1">
                          <a:spLocks noChangeArrowheads="1"/>
                        </wps:cNvSpPr>
                        <wps:spPr bwMode="auto">
                          <a:xfrm>
                            <a:off x="2939400" y="1574976"/>
                            <a:ext cx="482600" cy="2921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0.27</w:t>
                              </w:r>
                            </w:p>
                          </w:txbxContent>
                        </wps:txbx>
                        <wps:bodyPr rot="0" vert="horz" wrap="square" lIns="91440" tIns="45720" rIns="91440" bIns="45720" anchor="t" anchorCtr="0" upright="1">
                          <a:noAutofit/>
                        </wps:bodyPr>
                      </wps:wsp>
                      <wps:wsp>
                        <wps:cNvPr id="118" name="文本框 970"/>
                        <wps:cNvSpPr txBox="1">
                          <a:spLocks noChangeArrowheads="1"/>
                        </wps:cNvSpPr>
                        <wps:spPr bwMode="auto">
                          <a:xfrm>
                            <a:off x="1676400" y="3493056"/>
                            <a:ext cx="872800" cy="295308"/>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选矿用水</w:t>
                              </w:r>
                            </w:p>
                          </w:txbxContent>
                        </wps:txbx>
                        <wps:bodyPr rot="0" vert="horz" wrap="square" lIns="91440" tIns="45720" rIns="91440" bIns="45720" anchor="t" anchorCtr="0" upright="1">
                          <a:noAutofit/>
                        </wps:bodyPr>
                      </wps:wsp>
                      <wps:wsp>
                        <wps:cNvPr id="120" name="文本框 972"/>
                        <wps:cNvSpPr txBox="1">
                          <a:spLocks noChangeArrowheads="1"/>
                        </wps:cNvSpPr>
                        <wps:spPr bwMode="auto">
                          <a:xfrm>
                            <a:off x="1210300" y="3375522"/>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64</w:t>
                              </w:r>
                            </w:p>
                          </w:txbxContent>
                        </wps:txbx>
                        <wps:bodyPr rot="0" vert="horz" wrap="square" lIns="91440" tIns="45720" rIns="91440" bIns="45720" anchor="t" anchorCtr="0" upright="1">
                          <a:noAutofit/>
                        </wps:bodyPr>
                      </wps:wsp>
                      <wps:wsp>
                        <wps:cNvPr id="121" name="直接箭头连接符 964"/>
                        <wps:cNvCnPr>
                          <a:cxnSpLocks noChangeShapeType="1"/>
                        </wps:cNvCnPr>
                        <wps:spPr bwMode="auto">
                          <a:xfrm flipV="1">
                            <a:off x="1814223" y="3283325"/>
                            <a:ext cx="185700" cy="209506"/>
                          </a:xfrm>
                          <a:prstGeom prst="straightConnector1">
                            <a:avLst/>
                          </a:prstGeom>
                          <a:noFill/>
                          <a:ln w="6350">
                            <a:solidFill>
                              <a:srgbClr val="4472C4"/>
                            </a:solidFill>
                            <a:prstDash val="dash"/>
                            <a:miter lim="800000"/>
                            <a:tailEnd type="arrow" w="med" len="med"/>
                          </a:ln>
                        </wps:spPr>
                        <wps:bodyPr/>
                      </wps:wsp>
                      <wps:wsp>
                        <wps:cNvPr id="122" name="文本框 965"/>
                        <wps:cNvSpPr txBox="1">
                          <a:spLocks noChangeArrowheads="1"/>
                        </wps:cNvSpPr>
                        <wps:spPr bwMode="auto">
                          <a:xfrm>
                            <a:off x="1843474" y="3155317"/>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64</w:t>
                              </w:r>
                            </w:p>
                          </w:txbxContent>
                        </wps:txbx>
                        <wps:bodyPr rot="0" vert="horz" wrap="square" lIns="91440" tIns="45720" rIns="91440" bIns="45720" anchor="t" anchorCtr="0" upright="1">
                          <a:noAutofit/>
                        </wps:bodyPr>
                      </wps:wsp>
                      <wps:wsp>
                        <wps:cNvPr id="19" name="直接连接符 19"/>
                        <wps:cNvCnPr/>
                        <wps:spPr>
                          <a:xfrm>
                            <a:off x="1271600" y="587862"/>
                            <a:ext cx="0" cy="307199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wps:spPr>
                          <a:xfrm>
                            <a:off x="1271600" y="1252251"/>
                            <a:ext cx="4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直接箭头连接符 129"/>
                        <wps:cNvCnPr/>
                        <wps:spPr>
                          <a:xfrm>
                            <a:off x="1291300" y="1814959"/>
                            <a:ext cx="4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0" name="直接箭头连接符 130"/>
                        <wps:cNvCnPr/>
                        <wps:spPr>
                          <a:xfrm>
                            <a:off x="1271600" y="2354220"/>
                            <a:ext cx="4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a:off x="1271600" y="3002522"/>
                            <a:ext cx="4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直接箭头连接符 132"/>
                        <wps:cNvCnPr/>
                        <wps:spPr>
                          <a:xfrm>
                            <a:off x="1271600" y="3654108"/>
                            <a:ext cx="4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直接连接符 22"/>
                        <wps:cNvCnPr/>
                        <wps:spPr>
                          <a:xfrm>
                            <a:off x="868400" y="1347748"/>
                            <a:ext cx="422900" cy="22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接箭头连接符 134"/>
                        <wps:cNvCnPr/>
                        <wps:spPr>
                          <a:xfrm>
                            <a:off x="1271600" y="587956"/>
                            <a:ext cx="4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直接箭头连接符 23"/>
                        <wps:cNvCnPr/>
                        <wps:spPr>
                          <a:xfrm>
                            <a:off x="3459123" y="687439"/>
                            <a:ext cx="0" cy="112723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直接箭头连接符 24"/>
                        <wps:cNvCnPr/>
                        <wps:spPr>
                          <a:xfrm flipH="1" flipV="1">
                            <a:off x="2543177" y="1244588"/>
                            <a:ext cx="878823" cy="2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直接箭头连接符 25"/>
                        <wps:cNvCnPr/>
                        <wps:spPr>
                          <a:xfrm flipH="1" flipV="1">
                            <a:off x="2568900" y="1814383"/>
                            <a:ext cx="890223" cy="28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3" name="文本框 965"/>
                        <wps:cNvSpPr txBox="1">
                          <a:spLocks noChangeArrowheads="1"/>
                        </wps:cNvSpPr>
                        <wps:spPr bwMode="auto">
                          <a:xfrm>
                            <a:off x="1752610" y="2519191"/>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1.34</w:t>
                              </w:r>
                            </w:p>
                          </w:txbxContent>
                        </wps:txbx>
                        <wps:bodyPr rot="0" vert="horz" wrap="square" lIns="91440" tIns="45720" rIns="91440" bIns="45720" anchor="t" anchorCtr="0" upright="1">
                          <a:noAutofit/>
                        </wps:bodyPr>
                      </wps:wsp>
                      <wps:wsp>
                        <wps:cNvPr id="145" name="直接箭头连接符 964"/>
                        <wps:cNvCnPr>
                          <a:cxnSpLocks noChangeShapeType="1"/>
                        </wps:cNvCnPr>
                        <wps:spPr bwMode="auto">
                          <a:xfrm flipV="1">
                            <a:off x="1752610" y="2650593"/>
                            <a:ext cx="185700" cy="209506"/>
                          </a:xfrm>
                          <a:prstGeom prst="straightConnector1">
                            <a:avLst/>
                          </a:prstGeom>
                          <a:noFill/>
                          <a:ln w="6350">
                            <a:solidFill>
                              <a:srgbClr val="4472C4"/>
                            </a:solidFill>
                            <a:prstDash val="dash"/>
                            <a:miter lim="800000"/>
                            <a:tailEnd type="arrow" w="med" len="med"/>
                          </a:ln>
                        </wps:spPr>
                        <wps:bodyPr/>
                      </wps:wsp>
                      <wps:wsp>
                        <wps:cNvPr id="162" name="肘形连接符 973"/>
                        <wps:cNvCnPr>
                          <a:cxnSpLocks noChangeShapeType="1"/>
                        </wps:cNvCnPr>
                        <wps:spPr bwMode="auto">
                          <a:xfrm flipH="1" flipV="1">
                            <a:off x="2127810" y="3492831"/>
                            <a:ext cx="436400" cy="147704"/>
                          </a:xfrm>
                          <a:prstGeom prst="bentConnector4">
                            <a:avLst>
                              <a:gd name="adj1" fmla="val -65129"/>
                              <a:gd name="adj2" fmla="val 254838"/>
                            </a:avLst>
                          </a:prstGeom>
                          <a:noFill/>
                          <a:ln w="9525">
                            <a:solidFill>
                              <a:schemeClr val="tx1"/>
                            </a:solidFill>
                            <a:miter lim="800000"/>
                            <a:tailEnd type="arrow" w="med" len="med"/>
                          </a:ln>
                        </wps:spPr>
                        <wps:bodyPr/>
                      </wps:wsp>
                      <wps:wsp>
                        <wps:cNvPr id="163" name="文本框 974"/>
                        <wps:cNvSpPr txBox="1">
                          <a:spLocks noChangeArrowheads="1"/>
                        </wps:cNvSpPr>
                        <wps:spPr bwMode="auto">
                          <a:xfrm>
                            <a:off x="2697503" y="3291612"/>
                            <a:ext cx="485800" cy="295308"/>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888</w:t>
                              </w:r>
                            </w:p>
                          </w:txbxContent>
                        </wps:txbx>
                        <wps:bodyPr rot="0" vert="horz" wrap="square" lIns="91440" tIns="45720" rIns="91440" bIns="45720" anchor="t" anchorCtr="0" upright="1">
                          <a:noAutofit/>
                        </wps:bodyPr>
                      </wps:wsp>
                    </wpc:wpc>
                  </a:graphicData>
                </a:graphic>
              </wp:inline>
            </w:drawing>
          </mc:Choice>
          <mc:Fallback>
            <w:pict>
              <v:group id="画布 997" o:spid="_x0000_s1026" o:spt="203" style="height:308.85pt;width:360.9pt;" coordsize="4583430,3922395" editas="canvas" o:gfxdata="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LBDXGHWAAAABQEAAA8AAAAAAAAAAQAgAAAAIgAAAGRycy9k&#10;b3ducmV2LnhtbFBLAQIUABQAAAAIAIdO4kDaqBVFQQoAADNtAAAOAAAAAAAAAAEAIAAAACUBAABk&#10;cnMvZTJvRG9jLnhtbFBLBQYAAAAABgAGAFkBAADYDQAAAAA=&#10;">
                <o:lock v:ext="edit" aspectratio="f"/>
                <v:shape id="画布 997" o:spid="_x0000_s1026" style="position:absolute;left:0;top:0;height:3922395;width:4583430;" filled="f" stroked="f" coordsize="21600,21600" o:gfxdata="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LBDXGHWAAAABQEAAA8A&#10;AAAAAAAAAQAgAAAAIgAAAGRycy9kb3ducmV2LnhtbFBLAQIUABQAAAAIAIdO4kBzR84N5AkAAIhs&#10;AAAOAAAAAAAAAAEAIAAAACUBAABkcnMvZTJvRG9jLnhtbFBLBQYAAAAABgAGAFkBAAB7DQAAAAA=&#10;">
                  <v:fill on="f" focussize="0,0"/>
                  <v:stroke on="f"/>
                  <v:imagedata o:title=""/>
                  <o:lock v:ext="edit" aspectratio="f"/>
                </v:shape>
                <v:shape id="文本框 943" o:spid="_x0000_s1026" o:spt="202" type="#_x0000_t202" style="position:absolute;left:192100;top:1195664;height:295308;width:6763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3D50wAAAAUBAAAPAAAAAAAAAAEAIAAA&#10;ACIAAABkcnMvZG93bnJldi54bWxQSwECFAAUAAAACACHTuJAELNAIkoCAACUBAAADgAAAAAAAAAB&#10;ACAAAAAiAQAAZHJzL2Uyb0RvYy54bWxQSwUGAAAAAAYABgBZAQAA3gU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新鲜水</w:t>
                        </w:r>
                      </w:p>
                    </w:txbxContent>
                  </v:textbox>
                </v:shape>
                <v:shape id="文本框 944" o:spid="_x0000_s1026" o:spt="202" type="#_x0000_t202" style="position:absolute;left:1673200;top:392643;height:295308;width:885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T7cPnTAAAABQEAAA8AAAAAAAAAAQAg&#10;AAAAIgAAAGRycy9kb3ducmV2LnhtbFBLAQIUABQAAAAIAIdO4kAU/L1aTAIAAJQEAAAOAAAAAAAA&#10;AAEAIAAAACIBAABkcnMvZTJvRG9jLnhtbFBLBQYAAAAABgAGAFkBAADgBQ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生活用水</w:t>
                        </w:r>
                      </w:p>
                    </w:txbxContent>
                  </v:textbox>
                </v:shape>
                <v:shape id="文本框 945" o:spid="_x0000_s1026" o:spt="202" type="#_x0000_t202" style="position:absolute;left:1672100;top:1084361;height:295308;width:885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3D50wAAAAUBAAAPAAAAAAAAAAEA&#10;IAAAACIAAABkcnMvZG93bnJldi54bWxQSwECFAAUAAAACACHTuJAK9AOR00CAACVBAAADgAAAAAA&#10;AAABACAAAAAiAQAAZHJzL2Uyb0RvYy54bWxQSwUGAAAAAAYABgBZAQAA4QU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道路用水</w:t>
                        </w:r>
                      </w:p>
                    </w:txbxContent>
                  </v:textbox>
                </v:shape>
                <v:shape id="文本框 949" o:spid="_x0000_s1026" o:spt="202" type="#_x0000_t202" style="position:absolute;left:1190600;top:302140;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CWj1AAA&#10;AAUBAAAPAAAAAAAAAAEAIAAAACIAAABkcnMvZG93bnJldi54bWxQSwECFAAUAAAACACHTuJAUVGx&#10;pSICAAAiBAAADgAAAAAAAAABACAAAAAj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0.9</w:t>
                        </w:r>
                      </w:p>
                    </w:txbxContent>
                  </v:textbox>
                </v:shape>
                <v:shape id="文本框 950" o:spid="_x0000_s1026" o:spt="202" type="#_x0000_t202" style="position:absolute;left:1226000;top:957358;height:295308;width:4857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Jwlo9QA&#10;AAAFAQAADwAAAAAAAAABACAAAAAiAAAAZHJzL2Rvd25yZXYueG1sUEsBAhQAFAAAAAgAh07iQJze&#10;IK0jAgAAIgQAAA4AAAAAAAAAAQAgAAAAIw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0.0</w:t>
                        </w:r>
                      </w:p>
                    </w:txbxContent>
                  </v:textbox>
                </v:shape>
                <v:shape id="直接箭头连接符 951" o:spid="_x0000_s1026" o:spt="32" type="#_x0000_t32" style="position:absolute;left:2116100;top:183037;flip:y;height:209606;width:185800;" filled="f" stroked="t" coordsize="21600,21600" o:gfxdata="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V4R61AAAAAUBAAAPAAAAAAAAAAEAIAAAACIAAABkcnMvZG93bnJldi54bWxQ&#10;SwECFAAUAAAACACHTuJAHzoR1jQCAAAqBAAADgAAAAAAAAABACAAAAAjAQAAZHJzL2Uyb0RvYy54&#10;bWxQSwUGAAAAAAYABgBZAQAAyQUAAAAA&#10;">
                  <v:fill on="f" focussize="0,0"/>
                  <v:stroke weight="0.5pt" color="#000000 [3213]" miterlimit="8" joinstyle="miter" dashstyle="dash" endarrow="open"/>
                  <v:imagedata o:title=""/>
                  <o:lock v:ext="edit" aspectratio="f"/>
                </v:shape>
                <v:shape id="文本框 952" o:spid="_x0000_s1026" o:spt="202" type="#_x0000_t202" style="position:absolute;left:2156300;top:32;height:295308;width:6477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wlo9QAAAAF&#10;AQAADwAAAAAAAAABACAAAAAiAAAAZHJzL2Rvd25yZXYueG1sUEsBAhQAFAAAAAgAh07iQD7IeaMg&#10;AgAAHgQAAA4AAAAAAAAAAQAgAAAAIwEAAGRycy9lMm9Eb2MueG1sUEsFBgAAAAAGAAYAWQEAALUF&#10;AAAAAA==&#10;">
                  <v:fill on="f" focussize="0,0"/>
                  <v:stroke on="f"/>
                  <v:imagedata o:title=""/>
                  <o:lock v:ext="edit" aspectratio="f"/>
                  <v:textbox>
                    <w:txbxContent>
                      <w:p>
                        <w:pPr>
                          <w:spacing w:line="240" w:lineRule="auto"/>
                          <w:ind w:firstLine="0" w:firstLineChars="0"/>
                          <w:jc w:val="center"/>
                          <w:rPr>
                            <w:sz w:val="21"/>
                            <w:szCs w:val="21"/>
                          </w:rPr>
                        </w:pPr>
                        <w:r>
                          <w:rPr>
                            <w:sz w:val="21"/>
                            <w:szCs w:val="21"/>
                          </w:rPr>
                          <w:t>0.</w:t>
                        </w:r>
                        <w:r>
                          <w:rPr>
                            <w:rFonts w:hint="eastAsia"/>
                            <w:sz w:val="21"/>
                            <w:szCs w:val="21"/>
                          </w:rPr>
                          <w:t>18</w:t>
                        </w:r>
                      </w:p>
                    </w:txbxContent>
                  </v:textbox>
                </v:shape>
                <v:shape id="文本框 953" o:spid="_x0000_s1026" o:spt="202" type="#_x0000_t202" style="position:absolute;left:3048000;top:392643;height:295308;width:885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T7cPnTAAAABQEAAA8AAAAAAAAA&#10;AQAgAAAAIgAAAGRycy9kb3ducmV2LnhtbFBLAQIUABQAAAAIAIdO4kDCIX2gTwIAAJQEAAAOAAAA&#10;AAAAAAEAIAAAACIBAABkcnMvZTJvRG9jLnhtbFBLBQYAAAAABgAGAFkBAADjBQ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沉淀池</w:t>
                        </w:r>
                      </w:p>
                    </w:txbxContent>
                  </v:textbox>
                </v:shape>
                <v:shape id="直接箭头连接符 954" o:spid="_x0000_s1026" o:spt="32" type="#_x0000_t32" style="position:absolute;left:2559000;top:540247;height:0;width:5049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MMc&#10;d9cAAAAFAQAADwAAAAAAAAABACAAAAAiAAAAZHJzL2Rvd25yZXYueG1sUEsBAhQAFAAAAAgAh07i&#10;QOO1IA0jAgAABQQAAA4AAAAAAAAAAQAgAAAAJgEAAGRycy9lMm9Eb2MueG1sUEsFBgAAAAAGAAYA&#10;WQEAALsFAAAAAA==&#10;">
                  <v:fill on="f" focussize="0,0"/>
                  <v:stroke color="#000000 [3213]" miterlimit="8" joinstyle="miter" endarrow="open"/>
                  <v:imagedata o:title=""/>
                  <o:lock v:ext="edit" aspectratio="f"/>
                </v:shape>
                <v:shape id="文本框 955" o:spid="_x0000_s1026" o:spt="202" type="#_x0000_t202" style="position:absolute;left:2507608;top:292768;height:295208;width:6115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CWj1AAA&#10;AAUBAAAPAAAAAAAAAAEAIAAAACIAAABkcnMvZG93bnJldi54bWxQSwECFAAUAAAACACHTuJAmqHG&#10;4CICAAAkBAAADgAAAAAAAAABACAAAAAj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sz w:val="21"/>
                            <w:szCs w:val="21"/>
                          </w:rPr>
                          <w:t>0.</w:t>
                        </w:r>
                        <w:r>
                          <w:rPr>
                            <w:rFonts w:hint="eastAsia"/>
                            <w:sz w:val="21"/>
                            <w:szCs w:val="21"/>
                          </w:rPr>
                          <w:t>72</w:t>
                        </w:r>
                      </w:p>
                    </w:txbxContent>
                  </v:textbox>
                </v:shape>
                <v:shape id="直接箭头连接符 956" o:spid="_x0000_s1026" o:spt="32" type="#_x0000_t32" style="position:absolute;left:2136500;top:854355;flip:y;height:209606;width:185700;" filled="f" stroked="t" coordsize="21600,21600" o:gfxdata="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5F70zUAAAABQEAAA8AAAAAAAAAAQAgAAAAIgAAAGRycy9kb3du&#10;cmV2LnhtbFBLAQIUABQAAAAIAIdO4kC0K+yTPAIAACwEAAAOAAAAAAAAAAEAIAAAACMBAABkcnMv&#10;ZTJvRG9jLnhtbFBLBQYAAAAABgAGAFkBAADRBQAAAAA=&#10;">
                  <v:fill on="f" focussize="0,0"/>
                  <v:stroke weight="0.5pt" color="#4472C4" miterlimit="8" joinstyle="miter" dashstyle="dash" endarrow="open"/>
                  <v:imagedata o:title=""/>
                  <o:lock v:ext="edit" aspectratio="f"/>
                </v:shape>
                <v:shape id="文本框 957" o:spid="_x0000_s1026" o:spt="202" type="#_x0000_t202" style="position:absolute;left:2211700;top:720351;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nCWj&#10;1AAAAAUBAAAPAAAAAAAAAAEAIAAAACIAAABkcnMvZG93bnJldi54bWxQSwECFAAUAAAACACHTuJA&#10;9tLihyUCAAAkBAAADgAAAAAAAAABACAAAAAjAQAAZHJzL2Uyb0RvYy54bWxQSwUGAAAAAAYABgBZ&#10;AQAAug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0.45</w:t>
                        </w:r>
                      </w:p>
                    </w:txbxContent>
                  </v:textbox>
                </v:shape>
                <v:shape id="文本框 958" o:spid="_x0000_s1026" o:spt="202" type="#_x0000_t202" style="position:absolute;left:729000;top:1071805;height:295308;width:666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ycJaPU&#10;AAAABQEAAA8AAAAAAAAAAQAgAAAAIgAAAGRycy9kb3ducmV2LnhtbFBLAQIUABQAAAAIAIdO4kDP&#10;VG6SJAIAACQEAAAOAAAAAAAAAAEAIAAAACMBAABkcnMvZTJvRG9jLnhtbFBLBQYAAAAABgAGAFkB&#10;AAC5BQAAAAA=&#10;">
                  <v:fill on="f" focussize="0,0"/>
                  <v:stroke on="f"/>
                  <v:imagedata o:title=""/>
                  <o:lock v:ext="edit" aspectratio="f"/>
                  <v:textbox>
                    <w:txbxContent>
                      <w:p>
                        <w:pPr>
                          <w:spacing w:line="240" w:lineRule="auto"/>
                          <w:ind w:firstLine="0" w:firstLineChars="0"/>
                          <w:jc w:val="center"/>
                          <w:rPr>
                            <w:sz w:val="21"/>
                            <w:szCs w:val="21"/>
                          </w:rPr>
                        </w:pPr>
                        <w:r>
                          <w:rPr>
                            <w:sz w:val="21"/>
                            <w:szCs w:val="21"/>
                          </w:rPr>
                          <w:t>70.29</w:t>
                        </w:r>
                      </w:p>
                    </w:txbxContent>
                  </v:textbox>
                </v:shape>
                <v:shape id="文本框 959" o:spid="_x0000_s1026" o:spt="202" type="#_x0000_t202" style="position:absolute;left:1226000;top:1571762;height:295308;width:4857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Jwlo9QA&#10;AAAFAQAADwAAAAAAAAABACAAAAAiAAAAZHJzL2Rvd25yZXYueG1sUEsBAhQAFAAAAAgAh07iQNEY&#10;cZ8jAgAAJQQAAA4AAAAAAAAAAQAgAAAAIw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1.13</w:t>
                        </w:r>
                      </w:p>
                    </w:txbxContent>
                  </v:textbox>
                </v:shape>
                <v:shape id="直接箭头连接符 960" o:spid="_x0000_s1026" o:spt="32" type="#_x0000_t32" style="position:absolute;left:2137723;top:1446014;flip:y;height:209506;width:185800;" filled="f" stroked="t" coordsize="21600,21600" o:gfxdata="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5F70zUAAAABQEAAA8AAAAAAAAAAQAgAAAAIgAAAGRycy9k&#10;b3ducmV2LnhtbFBLAQIUABQAAAAIAIdO4kADAZkVPwIAAC0EAAAOAAAAAAAAAAEAIAAAACMBAABk&#10;cnMvZTJvRG9jLnhtbFBLBQYAAAAABgAGAFkBAADUBQAAAAA=&#10;">
                  <v:fill on="f" focussize="0,0"/>
                  <v:stroke weight="0.5pt" color="#4472C4" miterlimit="8" joinstyle="miter" dashstyle="dash" endarrow="open"/>
                  <v:imagedata o:title=""/>
                  <o:lock v:ext="edit" aspectratio="f"/>
                </v:shape>
                <v:shape id="文本框 961" o:spid="_x0000_s1026" o:spt="202" type="#_x0000_t202" style="position:absolute;left:2272600;top:1348191;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ycJaPU&#10;AAAABQEAAA8AAAAAAAAAAQAgAAAAIgAAAGRycy9kb3ducmV2LnhtbFBLAQIUABQAAAAIAIdO4kAI&#10;aALiJAIAACUEAAAOAAAAAAAAAAEAIAAAACMBAABkcnMvZTJvRG9jLnhtbFBLBQYAAAAABgAGAFkB&#10;AAC5BQ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1.4</w:t>
                        </w:r>
                      </w:p>
                    </w:txbxContent>
                  </v:textbox>
                </v:shape>
                <v:shape id="文本框 962" o:spid="_x0000_s1026" o:spt="202" type="#_x0000_t202" style="position:absolute;left:1670300;top:2223892;height:295308;width:872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tw+dMAAAAFAQAADwAAAAAAAAAB&#10;ACAAAAAiAAAAZHJzL2Rvd25yZXYueG1sUEsBAhQAFAAAAAgAh07iQDWa7qBOAgAAlwQAAA4AAAAA&#10;AAAAAQAgAAAAIgEAAGRycy9lMm9Eb2MueG1sUEsFBgAAAAAGAAYAWQEAAOIFA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喷淋用水</w:t>
                        </w:r>
                      </w:p>
                    </w:txbxContent>
                  </v:textbox>
                </v:shape>
                <v:shape id="文本框 963" o:spid="_x0000_s1026" o:spt="202" type="#_x0000_t202" style="position:absolute;left:1245800;top:2090189;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Jwlo9QA&#10;AAAFAQAADwAAAAAAAAABACAAAAAiAAAAZHJzL2Rvd25yZXYueG1sUEsBAhQAFAAAAAgAh07iQJ3V&#10;DoIjAgAAJQQAAA4AAAAAAAAAAQAgAAAAIw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2.2</w:t>
                        </w:r>
                      </w:p>
                    </w:txbxContent>
                  </v:textbox>
                </v:shape>
                <v:shape id="直接箭头连接符 964" o:spid="_x0000_s1026" o:spt="32" type="#_x0000_t32" style="position:absolute;left:2368800;top:2007687;flip:y;height:209506;width:185700;" filled="f" stroked="t" coordsize="21600,21600" o:gfxdata="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Re9M1AAAAAUBAAAPAAAAAAAAAAEAIAAAACIAAABkcnMvZG93bnJl&#10;di54bWxQSwECFAAUAAAACACHTuJATN909DoCAAAtBAAADgAAAAAAAAABACAAAAAjAQAAZHJzL2Uy&#10;b0RvYy54bWxQSwUGAAAAAAYABgBZAQAAzwUAAAAA&#10;">
                  <v:fill on="f" focussize="0,0"/>
                  <v:stroke weight="0.5pt" color="#4472C4" miterlimit="8" joinstyle="miter" dashstyle="dash" endarrow="open"/>
                  <v:imagedata o:title=""/>
                  <o:lock v:ext="edit" aspectratio="f"/>
                </v:shape>
                <v:shape id="文本框 965" o:spid="_x0000_s1026" o:spt="202" type="#_x0000_t202" style="position:absolute;left:2394600;top:1904881;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Jwl&#10;o9QAAAAFAQAADwAAAAAAAAABACAAAAAiAAAAZHJzL2Rvd25yZXYueG1sUEsBAhQAFAAAAAgAh07i&#10;QE9h1I0mAgAAJQQAAA4AAAAAAAAAAQAgAAAAIwEAAGRycy9lMm9Eb2MueG1sUEsFBgAAAAAGAAYA&#10;WQEAALs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2.2</w:t>
                        </w:r>
                      </w:p>
                    </w:txbxContent>
                  </v:textbox>
                </v:shape>
                <v:shape id="文本框 969" o:spid="_x0000_s1026" o:spt="202" type="#_x0000_t202" style="position:absolute;left:1668139;top:1666514;height:295308;width:885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3D50wAAAAUBAAAPAAAAAAAAAAEA&#10;IAAAACIAAABkcnMvZG93bnJldi54bWxQSwECFAAUAAAACACHTuJAy1BWw00CAACXBAAADgAAAAAA&#10;AAABACAAAAAiAQAAZHJzL2Uyb0RvYy54bWxQSwUGAAAAAAYABgBZAQAA4QU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绿化用水</w:t>
                        </w:r>
                      </w:p>
                    </w:txbxContent>
                  </v:textbox>
                </v:shape>
                <v:shape id="文本框 970" o:spid="_x0000_s1026" o:spt="202" type="#_x0000_t202" style="position:absolute;left:1670300;top:2860010;height:295308;width:872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tw+dMAAAAFAQAADwAAAAAAAAAB&#10;ACAAAAAiAAAAZHJzL2Rvd25yZXYueG1sUEsBAhQAFAAAAAgAh07iQN/sq+ZOAgAAlwQAAA4AAAAA&#10;AAAAAQAgAAAAIgEAAGRycy9lMm9Eb2MueG1sUEsFBgAAAAAGAAYAWQEAAOIFA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洗车用水</w:t>
                        </w:r>
                      </w:p>
                    </w:txbxContent>
                  </v:textbox>
                </v:shape>
                <v:shape id="文本框 972" o:spid="_x0000_s1026" o:spt="202" type="#_x0000_t202" style="position:absolute;left:1245800;top:2707306;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CWj1AAA&#10;AAUBAAAPAAAAAAAAAAEAIAAAACIAAABkcnMvZG93bnJldi54bWxQSwECFAAUAAAACACHTuJAPK+Q&#10;ySICAAAlBAAADgAAAAAAAAABACAAAAAj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1.34</w:t>
                        </w:r>
                      </w:p>
                    </w:txbxContent>
                  </v:textbox>
                </v:shape>
                <v:shape id="肘形连接符 973" o:spid="_x0000_s1026" o:spt="35" type="#_x0000_t35" style="position:absolute;left:2106700;top:2860010;flip:x y;height:147704;width:436400;" filled="f" stroked="t" coordsize="21600,21600" o:gfxdata="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wH3vvVAAAABQEAAA8A&#10;AAAAAAAAAQAgAAAAIgAAAGRycy9kb3ducmV2LnhtbFBLAQIUABQAAAAIAIdO4kCWuXuXUwIAAGgE&#10;AAAOAAAAAAAAAAEAIAAAACQBAABkcnMvZTJvRG9jLnhtbFBLBQYAAAAABgAGAFkBAADpBQAAAAA=&#10;" adj="-11315,55045">
                  <v:fill on="f" focussize="0,0"/>
                  <v:stroke color="#000000 [3213]" miterlimit="8" joinstyle="miter" endarrow="open"/>
                  <v:imagedata o:title=""/>
                  <o:lock v:ext="edit" aspectratio="f"/>
                </v:shape>
                <v:shape id="文本框 974" o:spid="_x0000_s1026" o:spt="202" type="#_x0000_t202" style="position:absolute;left:2735700;top:2686405;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ycJaPU&#10;AAAABQEAAA8AAAAAAAAAAQAgAAAAIgAAAGRycy9kb3ducmV2LnhtbFBLAQIUABQAAAAIAIdO4kCW&#10;Rd3aJAIAACUEAAAOAAAAAAAAAAEAIAAAACMBAABkcnMvZTJvRG9jLnhtbFBLBQYAAAAABgAGAFkB&#10;AAC5BQ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20</w:t>
                        </w:r>
                      </w:p>
                    </w:txbxContent>
                  </v:textbox>
                </v:shape>
                <v:shape id="文本框 957" o:spid="_x0000_s1026" o:spt="202" type="#_x0000_t202" style="position:absolute;left:2939400;top:1014389;height:292108;width:4826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nCWj&#10;1AAAAAUBAAAPAAAAAAAAAAEAIAAAACIAAABkcnMvZG93bnJldi54bWxQSwECFAAUAAAACACHTuJA&#10;+4TBoyUCAAAlBAAADgAAAAAAAAABACAAAAAjAQAAZHJzL2Uyb0RvYy54bWxQSwUGAAAAAAYABgBZ&#10;AQAAug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0.45</w:t>
                        </w:r>
                      </w:p>
                    </w:txbxContent>
                  </v:textbox>
                </v:shape>
                <v:shape id="文本框 957" o:spid="_x0000_s1026" o:spt="202" type="#_x0000_t202" style="position:absolute;left:2939400;top:1574976;height:292108;width:4826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nCWj&#10;1AAAAAUBAAAPAAAAAAAAAAEAIAAAACIAAABkcnMvZG93bnJldi54bWxQSwECFAAUAAAACACHTuJA&#10;Ty31tSUCAAAlBAAADgAAAAAAAAABACAAAAAjAQAAZHJzL2Uyb0RvYy54bWxQSwUGAAAAAAYABgBZ&#10;AQAAug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0.27</w:t>
                        </w:r>
                      </w:p>
                    </w:txbxContent>
                  </v:textbox>
                </v:shape>
                <v:shape id="文本框 970" o:spid="_x0000_s1026" o:spt="202" type="#_x0000_t202" style="position:absolute;left:1676400;top:3493056;height:295308;width:872800;" fillcolor="#FFFFFF" filled="t" stroked="t" coordsize="21600,21600" o:gfxdata="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3D50wAAAAUBAAAPAAAAAAAAAAEA&#10;IAAAACIAAABkcnMvZG93bnJldi54bWxQSwECFAAUAAAACACHTuJA8Fkjg00CAACWBAAADgAAAAAA&#10;AAABACAAAAAiAQAAZHJzL2Uyb0RvYy54bWxQSwUGAAAAAAYABgBZAQAA4QU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选矿用水</w:t>
                        </w:r>
                      </w:p>
                    </w:txbxContent>
                  </v:textbox>
                </v:shape>
                <v:shape id="文本框 972" o:spid="_x0000_s1026" o:spt="202" type="#_x0000_t202" style="position:absolute;left:1210300;top:3375522;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ycJaPU&#10;AAAABQEAAA8AAAAAAAAAAQAgAAAAIgAAAGRycy9kb3ducmV2LnhtbFBLAQIUABQAAAAIAIdO4kCp&#10;NQA5JAIAACQEAAAOAAAAAAAAAAEAIAAAACMBAABkcnMvZTJvRG9jLnhtbFBLBQYAAAAABgAGAFkB&#10;AAC5BQ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64</w:t>
                        </w:r>
                      </w:p>
                    </w:txbxContent>
                  </v:textbox>
                </v:shape>
                <v:shape id="直接箭头连接符 964" o:spid="_x0000_s1026" o:spt="32" type="#_x0000_t32" style="position:absolute;left:1814223;top:3283325;flip:y;height:209506;width:185700;" filled="f" stroked="t" coordsize="21600,21600" o:gfxdata="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kXvTNQAAAAFAQAADwAAAAAAAAABACAAAAAiAAAAZHJzL2Rvd25y&#10;ZXYueG1sUEsBAhQAFAAAAAgAh07iQORmqt47AgAALAQAAA4AAAAAAAAAAQAgAAAAIwEAAGRycy9l&#10;Mm9Eb2MueG1sUEsFBgAAAAAGAAYAWQEAANAFAAAAAA==&#10;">
                  <v:fill on="f" focussize="0,0"/>
                  <v:stroke weight="0.5pt" color="#4472C4" miterlimit="8" joinstyle="miter" dashstyle="dash" endarrow="open"/>
                  <v:imagedata o:title=""/>
                  <o:lock v:ext="edit" aspectratio="f"/>
                </v:shape>
                <v:shape id="文本框 965" o:spid="_x0000_s1026" o:spt="202" type="#_x0000_t202" style="position:absolute;left:1843474;top:3155317;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Jwl&#10;o9QAAAAFAQAADwAAAAAAAAABACAAAAAiAAAAZHJzL2Rvd25yZXYueG1sUEsBAhQAFAAAAAgAh07i&#10;QIv7rkEmAgAAJAQAAA4AAAAAAAAAAQAgAAAAIwEAAGRycy9lMm9Eb2MueG1sUEsFBgAAAAAGAAYA&#10;WQEAALs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64</w:t>
                        </w:r>
                      </w:p>
                    </w:txbxContent>
                  </v:textbox>
                </v:shape>
                <v:line id="_x0000_s1026" o:spid="_x0000_s1026" o:spt="20" style="position:absolute;left:1271600;top:587862;height:3071997;width:0;" filled="f" stroked="t" coordsize="21600,21600" o:gfxdata="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htbHHWAAAABQEAAA8AAAAAAAAAAQAgAAAAIgAAAGRycy9kb3ducmV2LnhtbFBLAQIUABQAAAAI&#10;AIdO4kCIevGy7wEAAL4DAAAOAAAAAAAAAAEAIAAAACUBAABkcnMvZTJvRG9jLnhtbFBLBQYAAAAA&#10;BgAGAFkBAACGBQAAAAA=&#10;">
                  <v:fill on="f" focussize="0,0"/>
                  <v:stroke color="#000000 [3213]" miterlimit="8" joinstyle="miter"/>
                  <v:imagedata o:title=""/>
                  <o:lock v:ext="edit" aspectratio="f"/>
                </v:line>
                <v:shape id="_x0000_s1026" o:spid="_x0000_s1026" o:spt="32" type="#_x0000_t32" style="position:absolute;left:1271600;top:1252251;height:0;width:4048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MMcd9cAAAAFAQAADwAAAAAAAAAB&#10;ACAAAAAiAAAAZHJzL2Rvd25yZXYueG1sUEsBAhQAFAAAAAgAh07iQJeVur0RAgAA6wMAAA4AAAAA&#10;AAAAAQAgAAAAJgEAAGRycy9lMm9Eb2MueG1sUEsFBgAAAAAGAAYAWQEAAKkFAAAAAA==&#10;">
                  <v:fill on="f" focussize="0,0"/>
                  <v:stroke color="#000000 [3213]" miterlimit="8" joinstyle="miter" endarrow="open"/>
                  <v:imagedata o:title=""/>
                  <o:lock v:ext="edit" aspectratio="f"/>
                </v:shape>
                <v:shape id="_x0000_s1026" o:spid="_x0000_s1026" o:spt="32" type="#_x0000_t32" style="position:absolute;left:1291300;top:1814959;height:0;width:4048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wxx31wAAAAUBAAAPAAAAAAAAAAEA&#10;IAAAACIAAABkcnMvZG93bnJldi54bWxQSwECFAAUAAAACACHTuJAj99fYxACAADtAwAADgAAAAAA&#10;AAABACAAAAAmAQAAZHJzL2Uyb0RvYy54bWxQSwUGAAAAAAYABgBZAQAAqAUAAAAA&#10;">
                  <v:fill on="f" focussize="0,0"/>
                  <v:stroke color="#000000 [3213]" miterlimit="8" joinstyle="miter" endarrow="open"/>
                  <v:imagedata o:title=""/>
                  <o:lock v:ext="edit" aspectratio="f"/>
                </v:shape>
                <v:shape id="_x0000_s1026" o:spid="_x0000_s1026" o:spt="32" type="#_x0000_t32" style="position:absolute;left:1271600;top:2354220;height:0;width:4048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MMcd9cAAAAFAQAADwAAAAAAAAAB&#10;ACAAAAAiAAAAZHJzL2Rvd25yZXYueG1sUEsBAhQAFAAAAAgAh07iQCpVEnIRAgAA7QMAAA4AAAAA&#10;AAAAAQAgAAAAJgEAAGRycy9lMm9Eb2MueG1sUEsFBgAAAAAGAAYAWQEAAKkFAAAAAA==&#10;">
                  <v:fill on="f" focussize="0,0"/>
                  <v:stroke color="#000000 [3213]" miterlimit="8" joinstyle="miter" endarrow="open"/>
                  <v:imagedata o:title=""/>
                  <o:lock v:ext="edit" aspectratio="f"/>
                </v:shape>
                <v:shape id="_x0000_s1026" o:spid="_x0000_s1026" o:spt="32" type="#_x0000_t32" style="position:absolute;left:1271600;top:3002522;height:0;width:4048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DDHHfXAAAABQEAAA8AAAAAAAAA&#10;AQAgAAAAIgAAAGRycy9kb3ducmV2LnhtbFBLAQIUABQAAAAIAIdO4kDGbnbhEgIAAO0DAAAOAAAA&#10;AAAAAAEAIAAAACYBAABkcnMvZTJvRG9jLnhtbFBLBQYAAAAABgAGAFkBAACqBQAAAAA=&#10;">
                  <v:fill on="f" focussize="0,0"/>
                  <v:stroke color="#000000 [3213]" miterlimit="8" joinstyle="miter" endarrow="open"/>
                  <v:imagedata o:title=""/>
                  <o:lock v:ext="edit" aspectratio="f"/>
                </v:shape>
                <v:shape id="_x0000_s1026" o:spid="_x0000_s1026" o:spt="32" type="#_x0000_t32" style="position:absolute;left:1271600;top:3654108;height:0;width:4048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wxx31wAAAAUBAAAPAAAAAAAA&#10;AAEAIAAAACIAAABkcnMvZG93bnJldi54bWxQSwECFAAUAAAACACHTuJA90dvdxMCAADtAwAADgAA&#10;AAAAAAABACAAAAAmAQAAZHJzL2Uyb0RvYy54bWxQSwUGAAAAAAYABgBZAQAAqwUAAAAA&#10;">
                  <v:fill on="f" focussize="0,0"/>
                  <v:stroke color="#000000 [3213]" miterlimit="8" joinstyle="miter" endarrow="open"/>
                  <v:imagedata o:title=""/>
                  <o:lock v:ext="edit" aspectratio="f"/>
                </v:shape>
                <v:line id="_x0000_s1026" o:spid="_x0000_s1026" o:spt="20" style="position:absolute;left:868400;top:1347748;height:222;width:422900;" filled="f" stroked="t" coordsize="21600,21600" o:gfxdata="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G1scdYAAAAFAQAADwAAAAAAAAABACAAAAAiAAAAZHJzL2Rvd25yZXYueG1sUEsBAhQAFAAA&#10;AAgAh07iQP4nxxrxAQAAvwMAAA4AAAAAAAAAAQAgAAAAJQEAAGRycy9lMm9Eb2MueG1sUEsFBgAA&#10;AAAGAAYAWQEAAIgFAAAAAA==&#10;">
                  <v:fill on="f" focussize="0,0"/>
                  <v:stroke color="#000000 [3213]" miterlimit="8" joinstyle="miter"/>
                  <v:imagedata o:title=""/>
                  <o:lock v:ext="edit" aspectratio="f"/>
                </v:line>
                <v:shape id="_x0000_s1026" o:spid="_x0000_s1026" o:spt="32" type="#_x0000_t32" style="position:absolute;left:1271600;top:587956;height:0;width:40480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DDHHfXAAAABQEAAA8AAAAAAAAA&#10;AQAgAAAAIgAAAGRycy9kb3ducmV2LnhtbFBLAQIUABQAAAAIAIdO4kBR9cHFEgIAAOwDAAAOAAAA&#10;AAAAAAEAIAAAACYBAABkcnMvZTJvRG9jLnhtbFBLBQYAAAAABgAGAFkBAACqBQAAAAA=&#10;">
                  <v:fill on="f" focussize="0,0"/>
                  <v:stroke color="#000000 [3213]" miterlimit="8" joinstyle="miter" endarrow="open"/>
                  <v:imagedata o:title=""/>
                  <o:lock v:ext="edit" aspectratio="f"/>
                </v:shape>
                <v:shape id="_x0000_s1026" o:spid="_x0000_s1026" o:spt="32" type="#_x0000_t32" style="position:absolute;left:3459123;top:687439;height:1127232;width:0;" filled="f" stroked="t" coordsize="21600,21600" o:gfxdata="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MMcd9cAAAAFAQAADwAAAAAAAAAB&#10;ACAAAAAiAAAAZHJzL2Rvd25yZXYueG1sUEsBAhQAFAAAAAgAh07iQL0Zm8MRAgAA6wMAAA4AAAAA&#10;AAAAAQAgAAAAJgEAAGRycy9lMm9Eb2MueG1sUEsFBgAAAAAGAAYAWQEAAKkFAAAAAA==&#10;">
                  <v:fill on="f" focussize="0,0"/>
                  <v:stroke color="#000000 [3213]" miterlimit="8" joinstyle="miter" endarrow="open"/>
                  <v:imagedata o:title=""/>
                  <o:lock v:ext="edit" aspectratio="f"/>
                </v:shape>
                <v:shape id="_x0000_s1026" o:spid="_x0000_s1026" o:spt="32" type="#_x0000_t32" style="position:absolute;left:2543177;top:1244588;flip:x y;height:200;width:878823;" filled="f" stroked="t" coordsize="21600,21600" o:gfxdata="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1+C1QAAAAUB&#10;AAAPAAAAAAAAAAEAIAAAACIAAABkcnMvZG93bnJldi54bWxQSwECFAAUAAAACACHTuJAL27zAx4C&#10;AAABBAAADgAAAAAAAAABACAAAAAkAQAAZHJzL2Uyb0RvYy54bWxQSwUGAAAAAAYABgBZAQAAtAUA&#10;AAAA&#10;">
                  <v:fill on="f" focussize="0,0"/>
                  <v:stroke color="#000000 [3213]" miterlimit="8" joinstyle="miter" endarrow="open"/>
                  <v:imagedata o:title=""/>
                  <o:lock v:ext="edit" aspectratio="f"/>
                </v:shape>
                <v:shape id="_x0000_s1026" o:spid="_x0000_s1026" o:spt="32" type="#_x0000_t32" style="position:absolute;left:2568900;top:1814383;flip:x y;height:288;width:890223;" filled="f" stroked="t" coordsize="21600,21600" o:gfxdata="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1+C1QAAAAUBAAAP&#10;AAAAAAAAAAEAIAAAACIAAABkcnMvZG93bnJldi54bWxQSwECFAAUAAAACACHTuJAX5goLxsCAAAB&#10;BAAADgAAAAAAAAABACAAAAAkAQAAZHJzL2Uyb0RvYy54bWxQSwUGAAAAAAYABgBZAQAAsQUAAAAA&#10;">
                  <v:fill on="f" focussize="0,0"/>
                  <v:stroke color="#000000 [3213]" miterlimit="8" joinstyle="miter" endarrow="open"/>
                  <v:imagedata o:title=""/>
                  <o:lock v:ext="edit" aspectratio="f"/>
                </v:shape>
                <v:shape id="文本框 965" o:spid="_x0000_s1026" o:spt="202" type="#_x0000_t202" style="position:absolute;left:1752610;top:2519191;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nCWj&#10;1AAAAAUBAAAPAAAAAAAAAAEAIAAAACIAAABkcnMvZG93bnJldi54bWxQSwECFAAUAAAACACHTuJA&#10;s5lLsCUCAAAkBAAADgAAAAAAAAABACAAAAAjAQAAZHJzL2Uyb0RvYy54bWxQSwUGAAAAAAYABgBZ&#10;AQAAug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1.34</w:t>
                        </w:r>
                      </w:p>
                    </w:txbxContent>
                  </v:textbox>
                </v:shape>
                <v:shape id="直接箭头连接符 964" o:spid="_x0000_s1026" o:spt="32" type="#_x0000_t32" style="position:absolute;left:1752610;top:2650593;flip:y;height:209506;width:185700;" filled="f" stroked="t" coordsize="21600,21600" o:gfxdata="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kXvTNQAAAAFAQAADwAAAAAAAAABACAAAAAiAAAAZHJzL2Rvd25y&#10;ZXYueG1sUEsBAhQAFAAAAAgAh07iQNQ0RAc7AgAALAQAAA4AAAAAAAAAAQAgAAAAIwEAAGRycy9l&#10;Mm9Eb2MueG1sUEsFBgAAAAAGAAYAWQEAANAFAAAAAA==&#10;">
                  <v:fill on="f" focussize="0,0"/>
                  <v:stroke weight="0.5pt" color="#4472C4" miterlimit="8" joinstyle="miter" dashstyle="dash" endarrow="open"/>
                  <v:imagedata o:title=""/>
                  <o:lock v:ext="edit" aspectratio="f"/>
                </v:shape>
                <v:shape id="肘形连接符 973" o:spid="_x0000_s1026" o:spt="35" type="#_x0000_t35" style="position:absolute;left:2127810;top:3492831;flip:x y;height:147704;width:436400;" filled="f" stroked="t" coordsize="21600,21600" o:gfxdata="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tqS+jSAAAABQEAAA8AAAAA&#10;AAAAAQAgAAAAIgAAAGRycy9kb3ducmV2LnhtbFBLAQIUABQAAAAIAIdO4kB0VjPIUwIAAGcEAAAO&#10;AAAAAAAAAAEAIAAAACEBAABkcnMvZTJvRG9jLnhtbFBLBQYAAAAABgAGAFkBAADmBQAAAAA=&#10;" adj="-14068,55045">
                  <v:fill on="f" focussize="0,0"/>
                  <v:stroke color="#000000 [3213]" miterlimit="8" joinstyle="miter" endarrow="open"/>
                  <v:imagedata o:title=""/>
                  <o:lock v:ext="edit" aspectratio="f"/>
                </v:shape>
                <v:shape id="文本框 974" o:spid="_x0000_s1026" o:spt="202" type="#_x0000_t202" style="position:absolute;left:2697503;top:3291612;height:295308;width:485800;" filled="f" stroked="f" coordsize="21600,21600" o:gfxdata="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Jwl&#10;o9QAAAAFAQAADwAAAAAAAAABACAAAAAiAAAAZHJzL2Rvd25yZXYueG1sUEsBAhQAFAAAAAgAh07i&#10;QHKuoJAmAgAAJAQAAA4AAAAAAAAAAQAgAAAAIwEAAGRycy9lMm9Eb2MueG1sUEsFBgAAAAAGAAYA&#10;WQEAALs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888</w:t>
                        </w:r>
                      </w:p>
                    </w:txbxContent>
                  </v:textbox>
                </v:shape>
                <w10:wrap type="none"/>
                <w10:anchorlock/>
              </v:group>
            </w:pict>
          </mc:Fallback>
        </mc:AlternateContent>
      </w:r>
    </w:p>
    <w:p>
      <w:pPr>
        <w:ind w:firstLine="480"/>
        <w:jc w:val="center"/>
        <w:rPr>
          <w:rFonts w:ascii="宋体" w:hAnsi="宋体"/>
          <w:szCs w:val="22"/>
          <w:highlight w:val="none"/>
        </w:rPr>
      </w:pPr>
      <w:r>
        <w:rPr>
          <w:rFonts w:ascii="宋体" w:hAnsi="宋体"/>
          <w:szCs w:val="22"/>
          <w:highlight w:val="none"/>
        </w:rPr>
        <w:t>图3-</w:t>
      </w:r>
      <w:r>
        <w:rPr>
          <w:rFonts w:hint="eastAsia" w:ascii="宋体" w:hAnsi="宋体"/>
          <w:szCs w:val="22"/>
          <w:highlight w:val="none"/>
        </w:rPr>
        <w:t>3</w:t>
      </w:r>
      <w:r>
        <w:rPr>
          <w:rFonts w:ascii="宋体" w:hAnsi="宋体"/>
          <w:szCs w:val="22"/>
          <w:highlight w:val="none"/>
        </w:rPr>
        <w:t>（a）</w:t>
      </w:r>
      <w:r>
        <w:rPr>
          <w:rFonts w:hint="eastAsia" w:ascii="宋体" w:hAnsi="宋体"/>
          <w:szCs w:val="22"/>
          <w:highlight w:val="none"/>
        </w:rPr>
        <w:t xml:space="preserve">  </w:t>
      </w:r>
      <w:r>
        <w:rPr>
          <w:rFonts w:ascii="宋体" w:hAnsi="宋体"/>
          <w:szCs w:val="22"/>
          <w:highlight w:val="none"/>
        </w:rPr>
        <w:t>本项目非采暖期水平衡图</w:t>
      </w:r>
      <w:r>
        <w:rPr>
          <w:rFonts w:hint="eastAsia" w:ascii="宋体" w:hAnsi="宋体"/>
          <w:szCs w:val="22"/>
          <w:highlight w:val="none"/>
        </w:rPr>
        <w:t xml:space="preserve">  </w:t>
      </w:r>
      <w:r>
        <w:rPr>
          <w:rFonts w:ascii="宋体" w:hAnsi="宋体"/>
          <w:szCs w:val="22"/>
          <w:highlight w:val="none"/>
        </w:rPr>
        <w:t>单位：m</w:t>
      </w:r>
      <w:r>
        <w:rPr>
          <w:rFonts w:ascii="宋体" w:hAnsi="宋体"/>
          <w:szCs w:val="22"/>
          <w:highlight w:val="none"/>
          <w:vertAlign w:val="superscript"/>
        </w:rPr>
        <w:t>3</w:t>
      </w:r>
      <w:r>
        <w:rPr>
          <w:rFonts w:ascii="宋体" w:hAnsi="宋体"/>
          <w:szCs w:val="22"/>
          <w:highlight w:val="none"/>
        </w:rPr>
        <w:t>/d</w:t>
      </w: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2"/>
        <w:jc w:val="left"/>
        <w:rPr>
          <w:rFonts w:ascii="宋体" w:hAnsi="宋体"/>
          <w:b/>
          <w:szCs w:val="22"/>
          <w:highlight w:val="none"/>
        </w:rPr>
      </w:pPr>
    </w:p>
    <w:p>
      <w:pPr>
        <w:ind w:firstLine="480"/>
        <w:jc w:val="left"/>
        <w:rPr>
          <w:rFonts w:ascii="宋体" w:hAnsi="宋体"/>
          <w:b/>
          <w:szCs w:val="22"/>
          <w:highlight w:val="none"/>
        </w:rPr>
      </w:pPr>
      <w:r>
        <w:rPr>
          <w:rFonts w:ascii="宋体" w:hAnsi="宋体"/>
          <w:szCs w:val="22"/>
          <w:highlight w:val="none"/>
        </w:rPr>
        <mc:AlternateContent>
          <mc:Choice Requires="wpc">
            <w:drawing>
              <wp:inline distT="0" distB="0" distL="0" distR="0">
                <wp:extent cx="5193030" cy="3077210"/>
                <wp:effectExtent l="0" t="0" r="26670" b="0"/>
                <wp:docPr id="1186" name="画布 998"/>
                <wp:cNvGraphicFramePr/>
                <a:graphic xmlns:a="http://schemas.openxmlformats.org/drawingml/2006/main">
                  <a:graphicData uri="http://schemas.microsoft.com/office/word/2010/wordprocessingCanvas">
                    <wpc:wpc>
                      <wpc:bg>
                        <a:noFill/>
                      </wpc:bg>
                      <wpc:whole/>
                      <wps:wsp>
                        <wps:cNvPr id="907" name="文本框 975"/>
                        <wps:cNvSpPr txBox="1">
                          <a:spLocks noChangeArrowheads="1"/>
                        </wps:cNvSpPr>
                        <wps:spPr bwMode="auto">
                          <a:xfrm>
                            <a:off x="36004" y="951924"/>
                            <a:ext cx="676300" cy="295307"/>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新鲜水</w:t>
                              </w:r>
                            </w:p>
                          </w:txbxContent>
                        </wps:txbx>
                        <wps:bodyPr rot="0" vert="horz" wrap="square" lIns="91440" tIns="45720" rIns="91440" bIns="45720" anchor="t" anchorCtr="0" upright="1">
                          <a:noAutofit/>
                        </wps:bodyPr>
                      </wps:wsp>
                      <wps:wsp>
                        <wps:cNvPr id="908" name="文本框 976"/>
                        <wps:cNvSpPr txBox="1">
                          <a:spLocks noChangeArrowheads="1"/>
                        </wps:cNvSpPr>
                        <wps:spPr bwMode="auto">
                          <a:xfrm>
                            <a:off x="1517104" y="417310"/>
                            <a:ext cx="885800" cy="295307"/>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生活用水</w:t>
                              </w:r>
                            </w:p>
                          </w:txbxContent>
                        </wps:txbx>
                        <wps:bodyPr rot="0" vert="horz" wrap="square" lIns="91440" tIns="45720" rIns="91440" bIns="45720" anchor="t" anchorCtr="0" upright="1">
                          <a:noAutofit/>
                        </wps:bodyPr>
                      </wps:wsp>
                      <wps:wsp>
                        <wps:cNvPr id="910" name="文本框 978"/>
                        <wps:cNvSpPr txBox="1">
                          <a:spLocks noChangeArrowheads="1"/>
                        </wps:cNvSpPr>
                        <wps:spPr bwMode="auto">
                          <a:xfrm>
                            <a:off x="1034504" y="320008"/>
                            <a:ext cx="485800" cy="2952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0.9</w:t>
                              </w:r>
                            </w:p>
                          </w:txbxContent>
                        </wps:txbx>
                        <wps:bodyPr rot="0" vert="horz" wrap="square" lIns="91440" tIns="45720" rIns="91440" bIns="45720" anchor="t" anchorCtr="0" upright="1">
                          <a:noAutofit/>
                        </wps:bodyPr>
                      </wps:wsp>
                      <wps:wsp>
                        <wps:cNvPr id="911" name="直接箭头连接符 979"/>
                        <wps:cNvCnPr>
                          <a:cxnSpLocks noChangeShapeType="1"/>
                        </wps:cNvCnPr>
                        <wps:spPr bwMode="auto">
                          <a:xfrm flipV="1">
                            <a:off x="1960004" y="207805"/>
                            <a:ext cx="185800" cy="209505"/>
                          </a:xfrm>
                          <a:prstGeom prst="straightConnector1">
                            <a:avLst/>
                          </a:prstGeom>
                          <a:noFill/>
                          <a:ln w="6350">
                            <a:solidFill>
                              <a:srgbClr val="4472C4"/>
                            </a:solidFill>
                            <a:prstDash val="dash"/>
                            <a:miter lim="800000"/>
                            <a:tailEnd type="arrow" w="med" len="med"/>
                          </a:ln>
                        </wps:spPr>
                        <wps:bodyPr/>
                      </wps:wsp>
                      <wps:wsp>
                        <wps:cNvPr id="912" name="文本框 980"/>
                        <wps:cNvSpPr txBox="1">
                          <a:spLocks noChangeArrowheads="1"/>
                        </wps:cNvSpPr>
                        <wps:spPr bwMode="auto">
                          <a:xfrm>
                            <a:off x="2000204" y="24801"/>
                            <a:ext cx="647700" cy="295207"/>
                          </a:xfrm>
                          <a:prstGeom prst="rect">
                            <a:avLst/>
                          </a:prstGeom>
                          <a:noFill/>
                          <a:ln>
                            <a:noFill/>
                          </a:ln>
                        </wps:spPr>
                        <wps:txbx>
                          <w:txbxContent>
                            <w:p>
                              <w:pPr>
                                <w:spacing w:line="240" w:lineRule="auto"/>
                                <w:ind w:firstLine="0" w:firstLineChars="0"/>
                                <w:jc w:val="center"/>
                                <w:rPr>
                                  <w:sz w:val="21"/>
                                  <w:szCs w:val="21"/>
                                </w:rPr>
                              </w:pPr>
                              <w:r>
                                <w:rPr>
                                  <w:sz w:val="21"/>
                                  <w:szCs w:val="21"/>
                                </w:rPr>
                                <w:t>0.</w:t>
                              </w:r>
                              <w:r>
                                <w:rPr>
                                  <w:rFonts w:hint="eastAsia"/>
                                  <w:sz w:val="21"/>
                                  <w:szCs w:val="21"/>
                                </w:rPr>
                                <w:t>18</w:t>
                              </w:r>
                            </w:p>
                          </w:txbxContent>
                        </wps:txbx>
                        <wps:bodyPr rot="0" vert="horz" wrap="square" lIns="91440" tIns="45720" rIns="91440" bIns="45720" anchor="t" anchorCtr="0" upright="1">
                          <a:noAutofit/>
                        </wps:bodyPr>
                      </wps:wsp>
                      <wps:wsp>
                        <wps:cNvPr id="913" name="文本框 981"/>
                        <wps:cNvSpPr txBox="1">
                          <a:spLocks noChangeArrowheads="1"/>
                        </wps:cNvSpPr>
                        <wps:spPr bwMode="auto">
                          <a:xfrm>
                            <a:off x="2891904" y="417310"/>
                            <a:ext cx="885800" cy="295307"/>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沉淀池</w:t>
                              </w:r>
                            </w:p>
                          </w:txbxContent>
                        </wps:txbx>
                        <wps:bodyPr rot="0" vert="horz" wrap="square" lIns="91440" tIns="45720" rIns="91440" bIns="45720" anchor="t" anchorCtr="0" upright="1">
                          <a:noAutofit/>
                        </wps:bodyPr>
                      </wps:wsp>
                      <wps:wsp>
                        <wps:cNvPr id="914" name="直接箭头连接符 982"/>
                        <wps:cNvCnPr>
                          <a:cxnSpLocks noChangeShapeType="1"/>
                        </wps:cNvCnPr>
                        <wps:spPr bwMode="auto">
                          <a:xfrm>
                            <a:off x="2402904" y="565014"/>
                            <a:ext cx="504900" cy="0"/>
                          </a:xfrm>
                          <a:prstGeom prst="straightConnector1">
                            <a:avLst/>
                          </a:prstGeom>
                          <a:noFill/>
                          <a:ln w="9525">
                            <a:solidFill>
                              <a:schemeClr val="tx1"/>
                            </a:solidFill>
                            <a:miter lim="800000"/>
                            <a:tailEnd type="arrow" w="med" len="med"/>
                          </a:ln>
                        </wps:spPr>
                        <wps:bodyPr/>
                      </wps:wsp>
                      <wps:wsp>
                        <wps:cNvPr id="915" name="文本框 983"/>
                        <wps:cNvSpPr txBox="1">
                          <a:spLocks noChangeArrowheads="1"/>
                        </wps:cNvSpPr>
                        <wps:spPr bwMode="auto">
                          <a:xfrm>
                            <a:off x="2351512" y="316443"/>
                            <a:ext cx="611500" cy="295307"/>
                          </a:xfrm>
                          <a:prstGeom prst="rect">
                            <a:avLst/>
                          </a:prstGeom>
                          <a:noFill/>
                          <a:ln>
                            <a:noFill/>
                          </a:ln>
                        </wps:spPr>
                        <wps:txbx>
                          <w:txbxContent>
                            <w:p>
                              <w:pPr>
                                <w:spacing w:line="240" w:lineRule="auto"/>
                                <w:ind w:firstLine="0" w:firstLineChars="0"/>
                                <w:jc w:val="center"/>
                                <w:rPr>
                                  <w:sz w:val="21"/>
                                  <w:szCs w:val="21"/>
                                </w:rPr>
                              </w:pPr>
                              <w:r>
                                <w:rPr>
                                  <w:sz w:val="21"/>
                                  <w:szCs w:val="21"/>
                                </w:rPr>
                                <w:t>0.</w:t>
                              </w:r>
                              <w:r>
                                <w:rPr>
                                  <w:rFonts w:hint="eastAsia"/>
                                  <w:sz w:val="21"/>
                                  <w:szCs w:val="21"/>
                                </w:rPr>
                                <w:t>72</w:t>
                              </w:r>
                            </w:p>
                          </w:txbxContent>
                        </wps:txbx>
                        <wps:bodyPr rot="0" vert="horz" wrap="square" lIns="91440" tIns="45720" rIns="91440" bIns="45720" anchor="t" anchorCtr="0" upright="1">
                          <a:noAutofit/>
                        </wps:bodyPr>
                      </wps:wsp>
                      <wps:wsp>
                        <wps:cNvPr id="916" name="文本框 984"/>
                        <wps:cNvSpPr txBox="1">
                          <a:spLocks noChangeArrowheads="1"/>
                        </wps:cNvSpPr>
                        <wps:spPr bwMode="auto">
                          <a:xfrm>
                            <a:off x="572904" y="856912"/>
                            <a:ext cx="666800" cy="295307"/>
                          </a:xfrm>
                          <a:prstGeom prst="rect">
                            <a:avLst/>
                          </a:prstGeom>
                          <a:noFill/>
                          <a:ln>
                            <a:noFill/>
                          </a:ln>
                        </wps:spPr>
                        <wps:txbx>
                          <w:txbxContent>
                            <w:p>
                              <w:pPr>
                                <w:spacing w:line="240" w:lineRule="auto"/>
                                <w:ind w:firstLine="0" w:firstLineChars="0"/>
                                <w:jc w:val="center"/>
                                <w:rPr>
                                  <w:sz w:val="21"/>
                                  <w:szCs w:val="21"/>
                                </w:rPr>
                              </w:pPr>
                              <w:r>
                                <w:rPr>
                                  <w:sz w:val="21"/>
                                  <w:szCs w:val="21"/>
                                </w:rPr>
                                <w:t>68.44</w:t>
                              </w:r>
                            </w:p>
                          </w:txbxContent>
                        </wps:txbx>
                        <wps:bodyPr rot="0" vert="horz" wrap="square" lIns="91440" tIns="45720" rIns="91440" bIns="45720" anchor="t" anchorCtr="0" upright="1">
                          <a:noAutofit/>
                        </wps:bodyPr>
                      </wps:wsp>
                      <wps:wsp>
                        <wps:cNvPr id="917" name="文本框 985"/>
                        <wps:cNvSpPr txBox="1">
                          <a:spLocks noChangeArrowheads="1"/>
                        </wps:cNvSpPr>
                        <wps:spPr bwMode="auto">
                          <a:xfrm>
                            <a:off x="1551404" y="1123894"/>
                            <a:ext cx="872800" cy="295307"/>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喷淋用水</w:t>
                              </w:r>
                            </w:p>
                          </w:txbxContent>
                        </wps:txbx>
                        <wps:bodyPr rot="0" vert="horz" wrap="square" lIns="91440" tIns="45720" rIns="91440" bIns="45720" anchor="t" anchorCtr="0" upright="1">
                          <a:noAutofit/>
                        </wps:bodyPr>
                      </wps:wsp>
                      <wps:wsp>
                        <wps:cNvPr id="919" name="文本框 986"/>
                        <wps:cNvSpPr txBox="1">
                          <a:spLocks noChangeArrowheads="1"/>
                        </wps:cNvSpPr>
                        <wps:spPr bwMode="auto">
                          <a:xfrm>
                            <a:off x="1135203" y="1106358"/>
                            <a:ext cx="485800" cy="2952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2.2</w:t>
                              </w:r>
                            </w:p>
                          </w:txbxContent>
                        </wps:txbx>
                        <wps:bodyPr rot="0" vert="horz" wrap="square" lIns="91440" tIns="45720" rIns="91440" bIns="45720" anchor="t" anchorCtr="0" upright="1">
                          <a:noAutofit/>
                        </wps:bodyPr>
                      </wps:wsp>
                      <wps:wsp>
                        <wps:cNvPr id="922" name="直接箭头连接符 987"/>
                        <wps:cNvCnPr>
                          <a:cxnSpLocks noChangeShapeType="1"/>
                        </wps:cNvCnPr>
                        <wps:spPr bwMode="auto">
                          <a:xfrm flipV="1">
                            <a:off x="2245403" y="912144"/>
                            <a:ext cx="185700" cy="209605"/>
                          </a:xfrm>
                          <a:prstGeom prst="straightConnector1">
                            <a:avLst/>
                          </a:prstGeom>
                          <a:noFill/>
                          <a:ln w="6350">
                            <a:solidFill>
                              <a:srgbClr val="4472C4"/>
                            </a:solidFill>
                            <a:prstDash val="dash"/>
                            <a:miter lim="800000"/>
                            <a:tailEnd type="arrow" w="med" len="med"/>
                          </a:ln>
                        </wps:spPr>
                        <wps:bodyPr/>
                      </wps:wsp>
                      <wps:wsp>
                        <wps:cNvPr id="923" name="文本框 988"/>
                        <wps:cNvSpPr txBox="1">
                          <a:spLocks noChangeArrowheads="1"/>
                        </wps:cNvSpPr>
                        <wps:spPr bwMode="auto">
                          <a:xfrm>
                            <a:off x="2256328" y="738796"/>
                            <a:ext cx="485800" cy="2952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2.2</w:t>
                              </w:r>
                            </w:p>
                          </w:txbxContent>
                        </wps:txbx>
                        <wps:bodyPr rot="0" vert="horz" wrap="square" lIns="91440" tIns="45720" rIns="91440" bIns="45720" anchor="t" anchorCtr="0" upright="1">
                          <a:noAutofit/>
                        </wps:bodyPr>
                      </wps:wsp>
                      <wps:wsp>
                        <wps:cNvPr id="925" name="文本框 198"/>
                        <wps:cNvSpPr txBox="1">
                          <a:spLocks noChangeArrowheads="1"/>
                        </wps:cNvSpPr>
                        <wps:spPr bwMode="auto">
                          <a:xfrm>
                            <a:off x="4309204" y="323308"/>
                            <a:ext cx="885900" cy="474312"/>
                          </a:xfrm>
                          <a:prstGeom prst="rect">
                            <a:avLst/>
                          </a:prstGeom>
                          <a:noFill/>
                          <a:ln>
                            <a:noFill/>
                          </a:ln>
                        </wps:spPr>
                        <wps:txbx>
                          <w:txbxContent>
                            <w:p>
                              <w:pPr>
                                <w:spacing w:line="240" w:lineRule="auto"/>
                                <w:ind w:firstLine="0" w:firstLineChars="0"/>
                                <w:jc w:val="center"/>
                                <w:rPr>
                                  <w:kern w:val="0"/>
                                  <w:sz w:val="21"/>
                                  <w:szCs w:val="21"/>
                                </w:rPr>
                              </w:pPr>
                              <w:r>
                                <w:rPr>
                                  <w:rFonts w:hint="eastAsia"/>
                                  <w:sz w:val="21"/>
                                  <w:szCs w:val="21"/>
                                </w:rPr>
                                <w:t>道路及厂区洒水</w:t>
                              </w:r>
                            </w:p>
                          </w:txbxContent>
                        </wps:txbx>
                        <wps:bodyPr rot="0" vert="horz" wrap="square" lIns="91440" tIns="45720" rIns="91440" bIns="45720" anchor="t" anchorCtr="0" upright="1">
                          <a:noAutofit/>
                        </wps:bodyPr>
                      </wps:wsp>
                      <wps:wsp>
                        <wps:cNvPr id="926" name="直接箭头连接符 991"/>
                        <wps:cNvCnPr>
                          <a:cxnSpLocks noChangeShapeType="1"/>
                        </wps:cNvCnPr>
                        <wps:spPr bwMode="auto">
                          <a:xfrm flipV="1">
                            <a:off x="3777704" y="560414"/>
                            <a:ext cx="531500" cy="4600"/>
                          </a:xfrm>
                          <a:prstGeom prst="straightConnector1">
                            <a:avLst/>
                          </a:prstGeom>
                          <a:noFill/>
                          <a:ln w="9525">
                            <a:solidFill>
                              <a:schemeClr val="tx1"/>
                            </a:solidFill>
                            <a:miter lim="800000"/>
                            <a:tailEnd type="triangle" w="med" len="med"/>
                          </a:ln>
                        </wps:spPr>
                        <wps:bodyPr/>
                      </wps:wsp>
                      <wps:wsp>
                        <wps:cNvPr id="927" name="文本框 992"/>
                        <wps:cNvSpPr txBox="1">
                          <a:spLocks noChangeArrowheads="1"/>
                        </wps:cNvSpPr>
                        <wps:spPr bwMode="auto">
                          <a:xfrm>
                            <a:off x="1558302" y="1917429"/>
                            <a:ext cx="872800" cy="295207"/>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洗车用水</w:t>
                              </w:r>
                            </w:p>
                          </w:txbxContent>
                        </wps:txbx>
                        <wps:bodyPr rot="0" vert="horz" wrap="square" lIns="91440" tIns="45720" rIns="91440" bIns="45720" anchor="t" anchorCtr="0" upright="1">
                          <a:noAutofit/>
                        </wps:bodyPr>
                      </wps:wsp>
                      <wps:wsp>
                        <wps:cNvPr id="75" name="文本框 994"/>
                        <wps:cNvSpPr txBox="1">
                          <a:spLocks noChangeArrowheads="1"/>
                        </wps:cNvSpPr>
                        <wps:spPr bwMode="auto">
                          <a:xfrm>
                            <a:off x="1122402" y="1769625"/>
                            <a:ext cx="485800" cy="2953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1.34</w:t>
                              </w:r>
                            </w:p>
                          </w:txbxContent>
                        </wps:txbx>
                        <wps:bodyPr rot="0" vert="horz" wrap="square" lIns="91440" tIns="45720" rIns="91440" bIns="45720" anchor="t" anchorCtr="0" upright="1">
                          <a:noAutofit/>
                        </wps:bodyPr>
                      </wps:wsp>
                      <wps:wsp>
                        <wps:cNvPr id="78" name="文本框 995"/>
                        <wps:cNvSpPr txBox="1">
                          <a:spLocks noChangeArrowheads="1"/>
                        </wps:cNvSpPr>
                        <wps:spPr bwMode="auto">
                          <a:xfrm>
                            <a:off x="2609202" y="1758625"/>
                            <a:ext cx="581000" cy="2953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20</w:t>
                              </w:r>
                            </w:p>
                          </w:txbxContent>
                        </wps:txbx>
                        <wps:bodyPr rot="0" vert="horz" wrap="square" lIns="91440" tIns="45720" rIns="91440" bIns="45720" anchor="t" anchorCtr="0" upright="1">
                          <a:noAutofit/>
                        </wps:bodyPr>
                      </wps:wsp>
                      <wps:wsp>
                        <wps:cNvPr id="79" name="肘形连接符 996"/>
                        <wps:cNvCnPr>
                          <a:cxnSpLocks noChangeShapeType="1"/>
                        </wps:cNvCnPr>
                        <wps:spPr bwMode="auto">
                          <a:xfrm flipH="1" flipV="1">
                            <a:off x="1994702" y="1917429"/>
                            <a:ext cx="436400" cy="147604"/>
                          </a:xfrm>
                          <a:prstGeom prst="bentConnector4">
                            <a:avLst>
                              <a:gd name="adj1" fmla="val -52384"/>
                              <a:gd name="adj2" fmla="val 254838"/>
                            </a:avLst>
                          </a:prstGeom>
                          <a:noFill/>
                          <a:ln w="9525">
                            <a:solidFill>
                              <a:schemeClr val="tx1"/>
                            </a:solidFill>
                            <a:miter lim="800000"/>
                            <a:tailEnd type="arrow" w="med" len="med"/>
                          </a:ln>
                        </wps:spPr>
                        <wps:bodyPr/>
                      </wps:wsp>
                      <wps:wsp>
                        <wps:cNvPr id="26" name="直接连接符 26"/>
                        <wps:cNvCnPr/>
                        <wps:spPr>
                          <a:xfrm>
                            <a:off x="1135092" y="564869"/>
                            <a:ext cx="13045" cy="22799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a:off x="1135204" y="565014"/>
                            <a:ext cx="379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直接箭头连接符 140"/>
                        <wps:cNvCnPr/>
                        <wps:spPr>
                          <a:xfrm>
                            <a:off x="1172404" y="1285760"/>
                            <a:ext cx="379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wps:spPr>
                          <a:xfrm>
                            <a:off x="1148202" y="2044292"/>
                            <a:ext cx="379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2" name="直接箭头连接符 142"/>
                        <wps:cNvCnPr/>
                        <wps:spPr>
                          <a:xfrm>
                            <a:off x="712304" y="1106895"/>
                            <a:ext cx="379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6" name="直接箭头连接符 987"/>
                        <wps:cNvCnPr>
                          <a:cxnSpLocks noChangeShapeType="1"/>
                        </wps:cNvCnPr>
                        <wps:spPr bwMode="auto">
                          <a:xfrm flipV="1">
                            <a:off x="1675131" y="1669167"/>
                            <a:ext cx="185700" cy="209605"/>
                          </a:xfrm>
                          <a:prstGeom prst="straightConnector1">
                            <a:avLst/>
                          </a:prstGeom>
                          <a:noFill/>
                          <a:ln w="6350">
                            <a:solidFill>
                              <a:srgbClr val="4472C4"/>
                            </a:solidFill>
                            <a:prstDash val="dash"/>
                            <a:miter lim="800000"/>
                            <a:tailEnd type="arrow" w="med" len="med"/>
                          </a:ln>
                        </wps:spPr>
                        <wps:bodyPr/>
                      </wps:wsp>
                      <wps:wsp>
                        <wps:cNvPr id="147" name="文本框 988"/>
                        <wps:cNvSpPr txBox="1">
                          <a:spLocks noChangeArrowheads="1"/>
                        </wps:cNvSpPr>
                        <wps:spPr bwMode="auto">
                          <a:xfrm>
                            <a:off x="1759609" y="1481781"/>
                            <a:ext cx="485800" cy="2952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1.34</w:t>
                              </w:r>
                            </w:p>
                          </w:txbxContent>
                        </wps:txbx>
                        <wps:bodyPr rot="0" vert="horz" wrap="square" lIns="91440" tIns="45720" rIns="91440" bIns="45720" anchor="t" anchorCtr="0" upright="1">
                          <a:noAutofit/>
                        </wps:bodyPr>
                      </wps:wsp>
                      <wps:wsp>
                        <wps:cNvPr id="148" name="文本框 985"/>
                        <wps:cNvSpPr txBox="1">
                          <a:spLocks noChangeArrowheads="1"/>
                        </wps:cNvSpPr>
                        <wps:spPr bwMode="auto">
                          <a:xfrm>
                            <a:off x="1527204" y="2683064"/>
                            <a:ext cx="872800" cy="295307"/>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选矿用水</w:t>
                              </w:r>
                            </w:p>
                          </w:txbxContent>
                        </wps:txbx>
                        <wps:bodyPr rot="0" vert="horz" wrap="square" lIns="91440" tIns="45720" rIns="91440" bIns="45720" anchor="t" anchorCtr="0" upright="1">
                          <a:noAutofit/>
                        </wps:bodyPr>
                      </wps:wsp>
                      <wps:wsp>
                        <wps:cNvPr id="149" name="直接箭头连接符 987"/>
                        <wps:cNvCnPr>
                          <a:cxnSpLocks noChangeShapeType="1"/>
                        </wps:cNvCnPr>
                        <wps:spPr bwMode="auto">
                          <a:xfrm flipV="1">
                            <a:off x="1608237" y="2471314"/>
                            <a:ext cx="185700" cy="209605"/>
                          </a:xfrm>
                          <a:prstGeom prst="straightConnector1">
                            <a:avLst/>
                          </a:prstGeom>
                          <a:noFill/>
                          <a:ln w="6350">
                            <a:solidFill>
                              <a:srgbClr val="4472C4"/>
                            </a:solidFill>
                            <a:prstDash val="dash"/>
                            <a:miter lim="800000"/>
                            <a:tailEnd type="arrow" w="med" len="med"/>
                          </a:ln>
                        </wps:spPr>
                        <wps:bodyPr/>
                      </wps:wsp>
                      <wps:wsp>
                        <wps:cNvPr id="150" name="文本框 988"/>
                        <wps:cNvSpPr txBox="1">
                          <a:spLocks noChangeArrowheads="1"/>
                        </wps:cNvSpPr>
                        <wps:spPr bwMode="auto">
                          <a:xfrm>
                            <a:off x="1579358" y="2299811"/>
                            <a:ext cx="485800" cy="2952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64</w:t>
                              </w:r>
                            </w:p>
                          </w:txbxContent>
                        </wps:txbx>
                        <wps:bodyPr rot="0" vert="horz" wrap="square" lIns="91440" tIns="45720" rIns="91440" bIns="45720" anchor="t" anchorCtr="0" upright="1">
                          <a:noAutofit/>
                        </wps:bodyPr>
                      </wps:wsp>
                      <wps:wsp>
                        <wps:cNvPr id="151" name="直接箭头连接符 151"/>
                        <wps:cNvCnPr/>
                        <wps:spPr>
                          <a:xfrm>
                            <a:off x="1148204" y="2844930"/>
                            <a:ext cx="379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文本框 986"/>
                        <wps:cNvSpPr txBox="1">
                          <a:spLocks noChangeArrowheads="1"/>
                        </wps:cNvSpPr>
                        <wps:spPr bwMode="auto">
                          <a:xfrm>
                            <a:off x="1119661" y="2593172"/>
                            <a:ext cx="485800" cy="2952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64</w:t>
                              </w:r>
                            </w:p>
                          </w:txbxContent>
                        </wps:txbx>
                        <wps:bodyPr rot="0" vert="horz" wrap="square" lIns="91440" tIns="45720" rIns="91440" bIns="45720" anchor="t" anchorCtr="0" upright="1">
                          <a:noAutofit/>
                        </wps:bodyPr>
                      </wps:wsp>
                      <wps:wsp>
                        <wps:cNvPr id="164" name="文本框 981"/>
                        <wps:cNvSpPr txBox="1">
                          <a:spLocks noChangeArrowheads="1"/>
                        </wps:cNvSpPr>
                        <wps:spPr bwMode="auto">
                          <a:xfrm>
                            <a:off x="4308955" y="323600"/>
                            <a:ext cx="885800" cy="440579"/>
                          </a:xfrm>
                          <a:prstGeom prst="rect">
                            <a:avLst/>
                          </a:prstGeom>
                          <a:solidFill>
                            <a:srgbClr val="FFFFFF"/>
                          </a:solidFill>
                          <a:ln w="6350">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道路及厂区洒水抑尘</w:t>
                              </w:r>
                            </w:p>
                          </w:txbxContent>
                        </wps:txbx>
                        <wps:bodyPr rot="0" vert="horz" wrap="square" lIns="91440" tIns="45720" rIns="91440" bIns="45720" anchor="t" anchorCtr="0" upright="1">
                          <a:noAutofit/>
                        </wps:bodyPr>
                      </wps:wsp>
                      <wps:wsp>
                        <wps:cNvPr id="165" name="肘形连接符 996"/>
                        <wps:cNvCnPr>
                          <a:cxnSpLocks noChangeShapeType="1"/>
                        </wps:cNvCnPr>
                        <wps:spPr bwMode="auto">
                          <a:xfrm flipH="1" flipV="1">
                            <a:off x="2004801" y="2680894"/>
                            <a:ext cx="436400" cy="147604"/>
                          </a:xfrm>
                          <a:prstGeom prst="bentConnector4">
                            <a:avLst>
                              <a:gd name="adj1" fmla="val -52384"/>
                              <a:gd name="adj2" fmla="val 254838"/>
                            </a:avLst>
                          </a:prstGeom>
                          <a:noFill/>
                          <a:ln w="9525">
                            <a:solidFill>
                              <a:schemeClr val="tx1"/>
                            </a:solidFill>
                            <a:miter lim="800000"/>
                            <a:tailEnd type="arrow" w="med" len="med"/>
                          </a:ln>
                        </wps:spPr>
                        <wps:bodyPr/>
                      </wps:wsp>
                      <wps:wsp>
                        <wps:cNvPr id="166" name="文本框 995"/>
                        <wps:cNvSpPr txBox="1">
                          <a:spLocks noChangeArrowheads="1"/>
                        </wps:cNvSpPr>
                        <wps:spPr bwMode="auto">
                          <a:xfrm>
                            <a:off x="2570009" y="2533166"/>
                            <a:ext cx="581000" cy="295307"/>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888</w:t>
                              </w:r>
                            </w:p>
                          </w:txbxContent>
                        </wps:txbx>
                        <wps:bodyPr rot="0" vert="horz" wrap="square" lIns="91440" tIns="45720" rIns="91440" bIns="45720" anchor="t" anchorCtr="0" upright="1">
                          <a:noAutofit/>
                        </wps:bodyPr>
                      </wps:wsp>
                    </wpc:wpc>
                  </a:graphicData>
                </a:graphic>
              </wp:inline>
            </w:drawing>
          </mc:Choice>
          <mc:Fallback>
            <w:pict>
              <v:group id="画布 998" o:spid="_x0000_s1026" o:spt="203" style="height:242.3pt;width:408.9pt;" coordsize="5193030,3077210" editas="canvas" o:gfxdata="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B05CcH1wAAAAUBAAAPAAAAAAAAAAEAIAAAACIAAABkcnMvZG93bnJldi54&#10;bWxQSwECFAAUAAAACACHTuJAII3hteIIAABoUgAADgAAAAAAAAABACAAAAAmAQAAZHJzL2Uyb0Rv&#10;Yy54bWxQSwUGAAAAAAYABgBZAQAAegwAAAAA&#10;">
                <o:lock v:ext="edit" aspectratio="f"/>
                <v:shape id="画布 998" o:spid="_x0000_s1026" style="position:absolute;left:0;top:0;height:3077210;width:5193030;" filled="f" stroked="f" coordsize="21600,21600" o:gfxdata="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">
                  <v:fill on="f" focussize="0,0"/>
                  <v:stroke on="f"/>
                  <v:imagedata o:title=""/>
                  <o:lock v:ext="edit" aspectratio="f"/>
                </v:shape>
                <v:shape id="文本框 975" o:spid="_x0000_s1026" o:spt="202" type="#_x0000_t202" style="position:absolute;left:36004;top:951924;height:295307;width:6763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AXAuf0wAAAAUBAAAPAAAAAAAAAAEAIAAA&#10;ACIAAABkcnMvZG93bnJldi54bWxQSwECFAAUAAAACACHTuJAhJ/C6koCAACTBAAADgAAAAAAAAAB&#10;ACAAAAAiAQAAZHJzL2Uyb0RvYy54bWxQSwUGAAAAAAYABgBZAQAA3gU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新鲜水</w:t>
                        </w:r>
                      </w:p>
                    </w:txbxContent>
                  </v:textbox>
                </v:shape>
                <v:shape id="文本框 976" o:spid="_x0000_s1026" o:spt="202" type="#_x0000_t202" style="position:absolute;left:1517104;top:417310;height:295307;width:8858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wLn9MAAAAFAQAADwAAAAAAAAAB&#10;ACAAAAAiAAAAZHJzL2Rvd25yZXYueG1sUEsBAhQAFAAAAAgAh07iQJJ1A/ZOAgAAlQQAAA4AAAAA&#10;AAAAAQAgAAAAIgEAAGRycy9lMm9Eb2MueG1sUEsFBgAAAAAGAAYAWQEAAOIFA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生活用水</w:t>
                        </w:r>
                      </w:p>
                    </w:txbxContent>
                  </v:textbox>
                </v:shape>
                <v:shape id="文本框 978" o:spid="_x0000_s1026" o:spt="202" type="#_x0000_t202" style="position:absolute;left:1034504;top:320008;height:2952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DtexdMA&#10;AAAFAQAADwAAAAAAAAABACAAAAAiAAAAZHJzL2Rvd25yZXYueG1sUEsBAhQAFAAAAAgAh07iQBh5&#10;LVskAgAAIwQAAA4AAAAAAAAAAQAgAAAAIg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0.9</w:t>
                        </w:r>
                      </w:p>
                    </w:txbxContent>
                  </v:textbox>
                </v:shape>
                <v:shape id="直接箭头连接符 979" o:spid="_x0000_s1026" o:spt="32" type="#_x0000_t32" style="position:absolute;left:1960004;top:207805;flip:y;height:209505;width:185800;" filled="f" stroked="t" coordsize="21600,21600" o:gfxdata="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4pQq0wAAAAUBAAAPAAAAAAAAAAEAIAAAACIAAABkcnMvZG93bnJldi54&#10;bWxQSwECFAAUAAAACACHTuJAmRbJ8jgCAAArBAAADgAAAAAAAAABACAAAAAiAQAAZHJzL2Uyb0Rv&#10;Yy54bWxQSwUGAAAAAAYABgBZAQAAzAUAAAAA&#10;">
                  <v:fill on="f" focussize="0,0"/>
                  <v:stroke weight="0.5pt" color="#4472C4" miterlimit="8" joinstyle="miter" dashstyle="dash" endarrow="open"/>
                  <v:imagedata o:title=""/>
                  <o:lock v:ext="edit" aspectratio="f"/>
                </v:shape>
                <v:shape id="文本框 980" o:spid="_x0000_s1026" o:spt="202" type="#_x0000_t202" style="position:absolute;left:2000204;top:24801;height:295207;width:6477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O17F0wAA&#10;AAUBAAAPAAAAAAAAAAEAIAAAACIAAABkcnMvZG93bnJldi54bWxQSwECFAAUAAAACACHTuJABREk&#10;WiMCAAAiBAAADgAAAAAAAAABACAAAAAi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sz w:val="21"/>
                            <w:szCs w:val="21"/>
                          </w:rPr>
                          <w:t>0.</w:t>
                        </w:r>
                        <w:r>
                          <w:rPr>
                            <w:rFonts w:hint="eastAsia"/>
                            <w:sz w:val="21"/>
                            <w:szCs w:val="21"/>
                          </w:rPr>
                          <w:t>18</w:t>
                        </w:r>
                      </w:p>
                    </w:txbxContent>
                  </v:textbox>
                </v:shape>
                <v:shape id="文本框 981" o:spid="_x0000_s1026" o:spt="202" type="#_x0000_t202" style="position:absolute;left:2891904;top:417310;height:295307;width:8858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wLn9MAAAAFAQAADwAAAAAAAAAB&#10;ACAAAAAiAAAAZHJzL2Rvd25yZXYueG1sUEsBAhQAFAAAAAgAh07iQM6xenlOAgAAlQQAAA4AAAAA&#10;AAAAAQAgAAAAIgEAAGRycy9lMm9Eb2MueG1sUEsFBgAAAAAGAAYAWQEAAOIFA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沉淀池</w:t>
                        </w:r>
                      </w:p>
                    </w:txbxContent>
                  </v:textbox>
                </v:shape>
                <v:shape id="直接箭头连接符 982" o:spid="_x0000_s1026" o:spt="32" type="#_x0000_t32" style="position:absolute;left:2402904;top:565014;height:0;width:504900;" filled="f" stroked="t" coordsize="21600,21600" o:gfxdata="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Rk&#10;ZxHXAAAABQEAAA8AAAAAAAAAAQAgAAAAIgAAAGRycy9kb3ducmV2LnhtbFBLAQIUABQAAAAIAIdO&#10;4kDye5hWJAIAAAQEAAAOAAAAAAAAAAEAIAAAACYBAABkcnMvZTJvRG9jLnhtbFBLBQYAAAAABgAG&#10;AFkBAAC8BQAAAAA=&#10;">
                  <v:fill on="f" focussize="0,0"/>
                  <v:stroke color="#000000 [3213]" miterlimit="8" joinstyle="miter" endarrow="open"/>
                  <v:imagedata o:title=""/>
                  <o:lock v:ext="edit" aspectratio="f"/>
                </v:shape>
                <v:shape id="文本框 983" o:spid="_x0000_s1026" o:spt="202" type="#_x0000_t202" style="position:absolute;left:2351512;top:316443;height:295307;width:6115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O17F&#10;0wAAAAUBAAAPAAAAAAAAAAEAIAAAACIAAABkcnMvZG93bnJldi54bWxQSwECFAAUAAAACACHTuJA&#10;d2w1RyYCAAAjBAAADgAAAAAAAAABACAAAAAiAQAAZHJzL2Uyb0RvYy54bWxQSwUGAAAAAAYABgBZ&#10;AQAAugUAAAAA&#10;">
                  <v:fill on="f" focussize="0,0"/>
                  <v:stroke on="f"/>
                  <v:imagedata o:title=""/>
                  <o:lock v:ext="edit" aspectratio="f"/>
                  <v:textbox>
                    <w:txbxContent>
                      <w:p>
                        <w:pPr>
                          <w:spacing w:line="240" w:lineRule="auto"/>
                          <w:ind w:firstLine="0" w:firstLineChars="0"/>
                          <w:jc w:val="center"/>
                          <w:rPr>
                            <w:sz w:val="21"/>
                            <w:szCs w:val="21"/>
                          </w:rPr>
                        </w:pPr>
                        <w:r>
                          <w:rPr>
                            <w:sz w:val="21"/>
                            <w:szCs w:val="21"/>
                          </w:rPr>
                          <w:t>0.</w:t>
                        </w:r>
                        <w:r>
                          <w:rPr>
                            <w:rFonts w:hint="eastAsia"/>
                            <w:sz w:val="21"/>
                            <w:szCs w:val="21"/>
                          </w:rPr>
                          <w:t>72</w:t>
                        </w:r>
                      </w:p>
                    </w:txbxContent>
                  </v:textbox>
                </v:shape>
                <v:shape id="文本框 984" o:spid="_x0000_s1026" o:spt="202" type="#_x0000_t202" style="position:absolute;left:572904;top:856912;height:295307;width:666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g7XsXT&#10;AAAABQEAAA8AAAAAAAAAAQAgAAAAIgAAAGRycy9kb3ducmV2LnhtbFBLAQIUABQAAAAIAIdO4kDq&#10;dkRiJQIAACIEAAAOAAAAAAAAAAEAIAAAACIBAABkcnMvZTJvRG9jLnhtbFBLBQYAAAAABgAGAFkB&#10;AAC5BQAAAAA=&#10;">
                  <v:fill on="f" focussize="0,0"/>
                  <v:stroke on="f"/>
                  <v:imagedata o:title=""/>
                  <o:lock v:ext="edit" aspectratio="f"/>
                  <v:textbox>
                    <w:txbxContent>
                      <w:p>
                        <w:pPr>
                          <w:spacing w:line="240" w:lineRule="auto"/>
                          <w:ind w:firstLine="0" w:firstLineChars="0"/>
                          <w:jc w:val="center"/>
                          <w:rPr>
                            <w:sz w:val="21"/>
                            <w:szCs w:val="21"/>
                          </w:rPr>
                        </w:pPr>
                        <w:r>
                          <w:rPr>
                            <w:sz w:val="21"/>
                            <w:szCs w:val="21"/>
                          </w:rPr>
                          <w:t>68.44</w:t>
                        </w:r>
                      </w:p>
                    </w:txbxContent>
                  </v:textbox>
                </v:shape>
                <v:shape id="文本框 985" o:spid="_x0000_s1026" o:spt="202" type="#_x0000_t202" style="position:absolute;left:1551404;top:1123894;height:295307;width:8728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BcC5/TAAAABQEAAA8AAAAAAAAA&#10;AQAgAAAAIgAAAGRycy9kb3ducmV2LnhtbFBLAQIUABQAAAAIAIdO4kB0Ha4CTwIAAJYEAAAOAAAA&#10;AAAAAAEAIAAAACIBAABkcnMvZTJvRG9jLnhtbFBLBQYAAAAABgAGAFkBAADjBQ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喷淋用水</w:t>
                        </w:r>
                      </w:p>
                    </w:txbxContent>
                  </v:textbox>
                </v:shape>
                <v:shape id="文本框 986" o:spid="_x0000_s1026" o:spt="202" type="#_x0000_t202" style="position:absolute;left:1135203;top:1106358;height:2952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DtexdMA&#10;AAAFAQAADwAAAAAAAAABACAAAAAiAAAAZHJzL2Rvd25yZXYueG1sUEsBAhQAFAAAAAgAh07iQHZM&#10;yc8kAgAAJAQAAA4AAAAAAAAAAQAgAAAAIg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2.2</w:t>
                        </w:r>
                      </w:p>
                    </w:txbxContent>
                  </v:textbox>
                </v:shape>
                <v:shape id="直接箭头连接符 987" o:spid="_x0000_s1026" o:spt="32" type="#_x0000_t32" style="position:absolute;left:2245403;top:912144;flip:y;height:209605;width:185700;" filled="f" stroked="t" coordsize="21600,21600" o:gfxdata="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4pQq0wAAAAUBAAAPAAAAAAAAAAEAIAAAACIAAABkcnMvZG93bnJl&#10;di54bWxQSwECFAAUAAAACACHTuJA1EG3OTsCAAArBAAADgAAAAAAAAABACAAAAAiAQAAZHJzL2Uy&#10;b0RvYy54bWxQSwUGAAAAAAYABgBZAQAAzwUAAAAA&#10;">
                  <v:fill on="f" focussize="0,0"/>
                  <v:stroke weight="0.5pt" color="#4472C4" miterlimit="8" joinstyle="miter" dashstyle="dash" endarrow="open"/>
                  <v:imagedata o:title=""/>
                  <o:lock v:ext="edit" aspectratio="f"/>
                </v:shape>
                <v:shape id="文本框 988" o:spid="_x0000_s1026" o:spt="202" type="#_x0000_t202" style="position:absolute;left:2256328;top:738796;height:2952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O17F&#10;0wAAAAUBAAAPAAAAAAAAAAEAIAAAACIAAABkcnMvZG93bnJldi54bWxQSwECFAAUAAAACACHTuJA&#10;tq1VjyYCAAAjBAAADgAAAAAAAAABACAAAAAiAQAAZHJzL2Uyb0RvYy54bWxQSwUGAAAAAAYABgBZ&#10;AQAAug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2.2</w:t>
                        </w:r>
                      </w:p>
                    </w:txbxContent>
                  </v:textbox>
                </v:shape>
                <v:shape id="文本框 198" o:spid="_x0000_s1026" o:spt="202" type="#_x0000_t202" style="position:absolute;left:4309204;top:323308;height:474312;width:8859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O17F&#10;0wAAAAUBAAAPAAAAAAAAAAEAIAAAACIAAABkcnMvZG93bnJldi54bWxQSwECFAAUAAAACACHTuJA&#10;D6DTkCYCAAAjBAAADgAAAAAAAAABACAAAAAiAQAAZHJzL2Uyb0RvYy54bWxQSwUGAAAAAAYABgBZ&#10;AQAAugUAAAAA&#10;">
                  <v:fill on="f" focussize="0,0"/>
                  <v:stroke on="f"/>
                  <v:imagedata o:title=""/>
                  <o:lock v:ext="edit" aspectratio="f"/>
                  <v:textbox>
                    <w:txbxContent>
                      <w:p>
                        <w:pPr>
                          <w:spacing w:line="240" w:lineRule="auto"/>
                          <w:ind w:firstLine="0" w:firstLineChars="0"/>
                          <w:jc w:val="center"/>
                          <w:rPr>
                            <w:kern w:val="0"/>
                            <w:sz w:val="21"/>
                            <w:szCs w:val="21"/>
                          </w:rPr>
                        </w:pPr>
                        <w:r>
                          <w:rPr>
                            <w:rFonts w:hint="eastAsia"/>
                            <w:sz w:val="21"/>
                            <w:szCs w:val="21"/>
                          </w:rPr>
                          <w:t>道路及厂区洒水</w:t>
                        </w:r>
                      </w:p>
                    </w:txbxContent>
                  </v:textbox>
                </v:shape>
                <v:shape id="直接箭头连接符 991" o:spid="_x0000_s1026" o:spt="32" type="#_x0000_t32" style="position:absolute;left:3777704;top:560414;flip:y;height:4600;width:531500;" filled="f" stroked="t" coordsize="21600,21600" o:gfxdata="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ZQoi1AAAAAUBAAAPAAAAAAAAAAEAIAAAACIAAABkcnMvZG93bnJldi54bWxQSwECFAAUAAAA&#10;CACHTuJAvVE67isCAAAUBAAADgAAAAAAAAABACAAAAAjAQAAZHJzL2Uyb0RvYy54bWxQSwUGAAAA&#10;AAYABgBZAQAAwAUAAAAA&#10;">
                  <v:fill on="f" focussize="0,0"/>
                  <v:stroke color="#000000 [3213]" miterlimit="8" joinstyle="miter" endarrow="block"/>
                  <v:imagedata o:title=""/>
                  <o:lock v:ext="edit" aspectratio="f"/>
                </v:shape>
                <v:shape id="文本框 992" o:spid="_x0000_s1026" o:spt="202" type="#_x0000_t202" style="position:absolute;left:1558302;top:1917429;height:295207;width:8728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BcC5/TAAAABQEAAA8AAAAAAAAA&#10;AQAgAAAAIgAAAGRycy9kb3ducmV2LnhtbFBLAQIUABQAAAAIAIdO4kCRlLc1TwIAAJYEAAAOAAAA&#10;AAAAAAEAIAAAACIBAABkcnMvZTJvRG9jLnhtbFBLBQYAAAAABgAGAFkBAADjBQ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洗车用水</w:t>
                        </w:r>
                      </w:p>
                    </w:txbxContent>
                  </v:textbox>
                </v:shape>
                <v:shape id="文本框 994" o:spid="_x0000_s1026" o:spt="202" type="#_x0000_t202" style="position:absolute;left:1122402;top:1769625;height:2953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DtexdMA&#10;AAAFAQAADwAAAAAAAAABACAAAAAiAAAAZHJzL2Rvd25yZXYueG1sUEsBAhQAFAAAAAgAh07iQBDc&#10;fvkkAgAAIwQAAA4AAAAAAAAAAQAgAAAAIg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1.34</w:t>
                        </w:r>
                      </w:p>
                    </w:txbxContent>
                  </v:textbox>
                </v:shape>
                <v:shape id="文本框 995" o:spid="_x0000_s1026" o:spt="202" type="#_x0000_t202" style="position:absolute;left:2609202;top:1758625;height:295307;width:5810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g7XsXT&#10;AAAABQEAAA8AAAAAAAAAAQAgAAAAIgAAAGRycy9kb3ducmV2LnhtbFBLAQIUABQAAAAIAIdO4kCj&#10;3co4JQIAACMEAAAOAAAAAAAAAAEAIAAAACIBAABkcnMvZTJvRG9jLnhtbFBLBQYAAAAABgAGAFkB&#10;AAC5BQ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20</w:t>
                        </w:r>
                      </w:p>
                    </w:txbxContent>
                  </v:textbox>
                </v:shape>
                <v:shape id="肘形连接符 996" o:spid="_x0000_s1026" o:spt="35" type="#_x0000_t35" style="position:absolute;left:1994702;top:1917429;flip:x y;height:147604;width:436400;" filled="f" stroked="t" coordsize="21600,21600" o:gfxdata="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4oKWd1gAAAAUBAAAPAAAA&#10;AAAAAAEAIAAAACIAAABkcnMvZG93bnJldi54bWxQSwECFAAUAAAACACHTuJAZ7IZG1ACAABmBAAA&#10;DgAAAAAAAAABACAAAAAlAQAAZHJzL2Uyb0RvYy54bWxQSwUGAAAAAAYABgBZAQAA5wUAAAAA&#10;" adj="-11315,55045">
                  <v:fill on="f" focussize="0,0"/>
                  <v:stroke color="#000000 [3213]" miterlimit="8" joinstyle="miter" endarrow="open"/>
                  <v:imagedata o:title=""/>
                  <o:lock v:ext="edit" aspectratio="f"/>
                </v:shape>
                <v:line id="_x0000_s1026" o:spid="_x0000_s1026" o:spt="20" style="position:absolute;left:1135092;top:564869;height:2279970;width:13045;" filled="f" stroked="t" coordsize="21600,21600" o:gfxdata="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yhcX1gAAAAUBAAAPAAAAAAAAAAEAIAAAACIAAABkcnMvZG93bnJldi54bWxQSwEC&#10;FAAUAAAACACHTuJADrTqrPYBAADCAwAADgAAAAAAAAABACAAAAAlAQAAZHJzL2Uyb0RvYy54bWxQ&#10;SwUGAAAAAAYABgBZAQAAjQUAAAAA&#10;">
                  <v:fill on="f" focussize="0,0"/>
                  <v:stroke color="#000000 [3213]" miterlimit="8" joinstyle="miter"/>
                  <v:imagedata o:title=""/>
                  <o:lock v:ext="edit" aspectratio="f"/>
                </v:line>
                <v:shape id="_x0000_s1026" o:spid="_x0000_s1026" o:spt="32" type="#_x0000_t32" style="position:absolute;left:1135204;top:565014;height:0;width:379000;" filled="f" stroked="t" coordsize="21600,21600" o:gfxdata="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RkZxHXAAAABQEAAA8AAAAAAAAA&#10;AQAgAAAAIgAAAGRycy9kb3ducmV2LnhtbFBLAQIUABQAAAAIAIdO4kDpzDXmEgIAAOoDAAAOAAAA&#10;AAAAAAEAIAAAACYBAABkcnMvZTJvRG9jLnhtbFBLBQYAAAAABgAGAFkBAACqBQAAAAA=&#10;">
                  <v:fill on="f" focussize="0,0"/>
                  <v:stroke color="#000000 [3213]" miterlimit="8" joinstyle="miter" endarrow="open"/>
                  <v:imagedata o:title=""/>
                  <o:lock v:ext="edit" aspectratio="f"/>
                </v:shape>
                <v:shape id="_x0000_s1026" o:spid="_x0000_s1026" o:spt="32" type="#_x0000_t32" style="position:absolute;left:1172404;top:1285760;height:0;width:379000;" filled="f" stroked="t" coordsize="21600,21600" o:gfxdata="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RkZxHXAAAABQEAAA8AAAAAAAAA&#10;AQAgAAAAIgAAAGRycy9kb3ducmV2LnhtbFBLAQIUABQAAAAIAIdO4kBHxgECEgIAAO0DAAAOAAAA&#10;AAAAAAEAIAAAACYBAABkcnMvZTJvRG9jLnhtbFBLBQYAAAAABgAGAFkBAACqBQAAAAA=&#10;">
                  <v:fill on="f" focussize="0,0"/>
                  <v:stroke color="#000000 [3213]" miterlimit="8" joinstyle="miter" endarrow="open"/>
                  <v:imagedata o:title=""/>
                  <o:lock v:ext="edit" aspectratio="f"/>
                </v:shape>
                <v:shape id="_x0000_s1026" o:spid="_x0000_s1026" o:spt="32" type="#_x0000_t32" style="position:absolute;left:1148202;top:2044292;height:0;width:379000;" filled="f" stroked="t" coordsize="21600,21600" o:gfxdata="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ZGcR1wAAAAUBAAAPAAAAAAAA&#10;AAEAIAAAACIAAABkcnMvZG93bnJldi54bWxQSwECFAAUAAAACACHTuJAzpiDcxMCAADtAwAADgAA&#10;AAAAAAABACAAAAAmAQAAZHJzL2Uyb0RvYy54bWxQSwUGAAAAAAYABgBZAQAAqwUAAAAA&#10;">
                  <v:fill on="f" focussize="0,0"/>
                  <v:stroke color="#000000 [3213]" miterlimit="8" joinstyle="miter" endarrow="open"/>
                  <v:imagedata o:title=""/>
                  <o:lock v:ext="edit" aspectratio="f"/>
                </v:shape>
                <v:shape id="_x0000_s1026" o:spid="_x0000_s1026" o:spt="32" type="#_x0000_t32" style="position:absolute;left:712304;top:1106895;height:0;width:379000;" filled="f" stroked="t" coordsize="21600,21600" o:gfxdata="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ZGcR1wAAAAUBAAAPAAAAAAAA&#10;AAEAIAAAACIAAABkcnMvZG93bnJldi54bWxQSwECFAAUAAAACACHTuJA6HndNhMCAADsAwAADgAA&#10;AAAAAAABACAAAAAmAQAAZHJzL2Uyb0RvYy54bWxQSwUGAAAAAAYABgBZAQAAqwUAAAAA&#10;">
                  <v:fill on="f" focussize="0,0"/>
                  <v:stroke color="#000000 [3213]" miterlimit="8" joinstyle="miter" endarrow="open"/>
                  <v:imagedata o:title=""/>
                  <o:lock v:ext="edit" aspectratio="f"/>
                </v:shape>
                <v:shape id="直接箭头连接符 987" o:spid="_x0000_s1026" o:spt="32" type="#_x0000_t32" style="position:absolute;left:1675131;top:1669167;flip:y;height:209605;width:185700;" filled="f" stroked="t" coordsize="21600,21600" o:gfxdata="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uKUKtMAAAAFAQAADwAAAAAAAAABACAAAAAiAAAAZHJzL2Rvd25yZXYu&#10;eG1sUEsBAhQAFAAAAAgAh07iQOdCGDs5AgAALAQAAA4AAAAAAAAAAQAgAAAAIgEAAGRycy9lMm9E&#10;b2MueG1sUEsFBgAAAAAGAAYAWQEAAM0FAAAAAA==&#10;">
                  <v:fill on="f" focussize="0,0"/>
                  <v:stroke weight="0.5pt" color="#4472C4" miterlimit="8" joinstyle="miter" dashstyle="dash" endarrow="open"/>
                  <v:imagedata o:title=""/>
                  <o:lock v:ext="edit" aspectratio="f"/>
                </v:shape>
                <v:shape id="文本框 988" o:spid="_x0000_s1026" o:spt="202" type="#_x0000_t202" style="position:absolute;left:1759609;top:1481781;height:2952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DtexdMA&#10;AAAFAQAADwAAAAAAAAABACAAAAAiAAAAZHJzL2Rvd25yZXYueG1sUEsBAhQAFAAAAAgAh07iQGhR&#10;y8YkAgAAJAQAAA4AAAAAAAAAAQAgAAAAIg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1.34</w:t>
                        </w:r>
                      </w:p>
                    </w:txbxContent>
                  </v:textbox>
                </v:shape>
                <v:shape id="文本框 985" o:spid="_x0000_s1026" o:spt="202" type="#_x0000_t202" style="position:absolute;left:1527204;top:2683064;height:295307;width:8728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wLn9MAAAAFAQAADwAAAAAAAAAB&#10;ACAAAAAiAAAAZHJzL2Rvd25yZXYueG1sUEsBAhQAFAAAAAgAh07iQC159xBOAgAAlgQAAA4AAAAA&#10;AAAAAQAgAAAAIgEAAGRycy9lMm9Eb2MueG1sUEsFBgAAAAAGAAYAWQEAAOIFA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选矿用水</w:t>
                        </w:r>
                      </w:p>
                    </w:txbxContent>
                  </v:textbox>
                </v:shape>
                <v:shape id="直接箭头连接符 987" o:spid="_x0000_s1026" o:spt="32" type="#_x0000_t32" style="position:absolute;left:1608237;top:2471314;flip:y;height:209605;width:185700;" filled="f" stroked="t" coordsize="21600,21600" o:gfxdata="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4pQq0wAAAAUBAAAPAAAAAAAAAAEAIAAAACIAAABkcnMvZG93bnJl&#10;di54bWxQSwECFAAUAAAACACHTuJAnerxIjsCAAAsBAAADgAAAAAAAAABACAAAAAiAQAAZHJzL2Uy&#10;b0RvYy54bWxQSwUGAAAAAAYABgBZAQAAzwUAAAAA&#10;">
                  <v:fill on="f" focussize="0,0"/>
                  <v:stroke weight="0.5pt" color="#4472C4" miterlimit="8" joinstyle="miter" dashstyle="dash" endarrow="open"/>
                  <v:imagedata o:title=""/>
                  <o:lock v:ext="edit" aspectratio="f"/>
                </v:shape>
                <v:shape id="文本框 988" o:spid="_x0000_s1026" o:spt="202" type="#_x0000_t202" style="position:absolute;left:1579358;top:2299811;height:2952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O17F0wAA&#10;AAUBAAAPAAAAAAAAAAEAIAAAACIAAABkcnMvZG93bnJldi54bWxQSwECFAAUAAAACACHTuJAYGeo&#10;giMCAAAkBAAADgAAAAAAAAABACAAAAAi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64</w:t>
                        </w:r>
                      </w:p>
                    </w:txbxContent>
                  </v:textbox>
                </v:shape>
                <v:shape id="_x0000_s1026" o:spid="_x0000_s1026" o:spt="32" type="#_x0000_t32" style="position:absolute;left:1148204;top:2844930;height:0;width:379000;" filled="f" stroked="t" coordsize="21600,21600" o:gfxdata="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GRnEdcAAAAFAQAADwAAAAAA&#10;AAABACAAAAAiAAAAZHJzL2Rvd25yZXYueG1sUEsBAhQAFAAAAAgAh07iQN4uIxYUAgAA7QMAAA4A&#10;AAAAAAAAAQAgAAAAJgEAAGRycy9lMm9Eb2MueG1sUEsFBgAAAAAGAAYAWQEAAKwFAAAAAA==&#10;">
                  <v:fill on="f" focussize="0,0"/>
                  <v:stroke color="#000000 [3213]" miterlimit="8" joinstyle="miter" endarrow="open"/>
                  <v:imagedata o:title=""/>
                  <o:lock v:ext="edit" aspectratio="f"/>
                </v:shape>
                <v:shape id="文本框 986" o:spid="_x0000_s1026" o:spt="202" type="#_x0000_t202" style="position:absolute;left:1119661;top:2593172;height:295207;width:4858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DtexdMA&#10;AAAFAQAADwAAAAAAAAABACAAAAAiAAAAZHJzL2Rvd25yZXYueG1sUEsBAhQAFAAAAAgAh07iQLoh&#10;NqQkAgAAJAQAAA4AAAAAAAAAAQAgAAAAIgEAAGRycy9lMm9Eb2MueG1sUEsFBgAAAAAGAAYAWQEA&#10;ALgF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64</w:t>
                        </w:r>
                      </w:p>
                    </w:txbxContent>
                  </v:textbox>
                </v:shape>
                <v:shape id="文本框 981" o:spid="_x0000_s1026" o:spt="202" type="#_x0000_t202" style="position:absolute;left:4308955;top:323600;height:440579;width:885800;" fillcolor="#FFFFFF" filled="t" stroked="t" coordsize="21600,21600" o:gfxdata="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BcC5/TAAAABQEAAA8AAAAAAAAAAQAg&#10;AAAAIgAAAGRycy9kb3ducmV2LnhtbFBLAQIUABQAAAAIAIdO4kAfZ7yJTAIAAJUEAAAOAAAAAAAA&#10;AAEAIAAAACIBAABkcnMvZTJvRG9jLnhtbFBLBQYAAAAABgAGAFkBAADgBQAAAAA=&#10;">
                  <v:fill on="t" focussize="0,0"/>
                  <v:stroke weight="0.5pt"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道路及厂区洒水抑尘</w:t>
                        </w:r>
                      </w:p>
                    </w:txbxContent>
                  </v:textbox>
                </v:shape>
                <v:shape id="肘形连接符 996" o:spid="_x0000_s1026" o:spt="35" type="#_x0000_t35" style="position:absolute;left:2004801;top:2680894;flip:x y;height:147604;width:436400;" filled="f" stroked="t" coordsize="21600,21600" o:gfxdata="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4oKWd1gAAAAUBAAAP&#10;AAAAAAAAAAEAIAAAACIAAABkcnMvZG93bnJldi54bWxQSwECFAAUAAAACACHTuJADnkftFMCAABn&#10;BAAADgAAAAAAAAABACAAAAAlAQAAZHJzL2Uyb0RvYy54bWxQSwUGAAAAAAYABgBZAQAA6gUAAAAA&#10;" adj="-11315,55045">
                  <v:fill on="f" focussize="0,0"/>
                  <v:stroke color="#000000 [3213]" miterlimit="8" joinstyle="miter" endarrow="open"/>
                  <v:imagedata o:title=""/>
                  <o:lock v:ext="edit" aspectratio="f"/>
                </v:shape>
                <v:shape id="文本框 995" o:spid="_x0000_s1026" o:spt="202" type="#_x0000_t202" style="position:absolute;left:2570009;top:2533166;height:295307;width:581000;" filled="f" stroked="f" coordsize="21600,21600" o:gfxdata="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texdMAAAAF&#10;AQAADwAAAAAAAAABACAAAAAiAAAAZHJzL2Rvd25yZXYueG1sUEsBAhQAFAAAAAgAh07iQLi/z/ch&#10;AgAAJAQAAA4AAAAAAAAAAQAgAAAAIgEAAGRycy9lMm9Eb2MueG1sUEsFBgAAAAAGAAYAWQEAALUF&#10;A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888</w:t>
                        </w:r>
                      </w:p>
                    </w:txbxContent>
                  </v:textbox>
                </v:shape>
                <w10:wrap type="none"/>
                <w10:anchorlock/>
              </v:group>
            </w:pict>
          </mc:Fallback>
        </mc:AlternateContent>
      </w:r>
    </w:p>
    <w:p>
      <w:pPr>
        <w:ind w:firstLine="480"/>
        <w:jc w:val="center"/>
        <w:rPr>
          <w:rFonts w:ascii="宋体" w:hAnsi="宋体"/>
          <w:szCs w:val="22"/>
          <w:highlight w:val="none"/>
        </w:rPr>
      </w:pPr>
      <w:r>
        <w:rPr>
          <w:rFonts w:ascii="宋体" w:hAnsi="宋体"/>
          <w:szCs w:val="22"/>
          <w:highlight w:val="none"/>
        </w:rPr>
        <w:t>图3-</w:t>
      </w:r>
      <w:r>
        <w:rPr>
          <w:rFonts w:hint="eastAsia" w:ascii="宋体" w:hAnsi="宋体"/>
          <w:szCs w:val="22"/>
          <w:highlight w:val="none"/>
        </w:rPr>
        <w:t>3</w:t>
      </w:r>
      <w:r>
        <w:rPr>
          <w:rFonts w:ascii="宋体" w:hAnsi="宋体"/>
          <w:szCs w:val="22"/>
          <w:highlight w:val="none"/>
        </w:rPr>
        <w:t>（b）</w:t>
      </w:r>
      <w:r>
        <w:rPr>
          <w:rFonts w:hint="eastAsia" w:ascii="宋体" w:hAnsi="宋体"/>
          <w:szCs w:val="22"/>
          <w:highlight w:val="none"/>
        </w:rPr>
        <w:t xml:space="preserve">  </w:t>
      </w:r>
      <w:r>
        <w:rPr>
          <w:rFonts w:ascii="宋体" w:hAnsi="宋体"/>
          <w:szCs w:val="22"/>
          <w:highlight w:val="none"/>
        </w:rPr>
        <w:t>本项目采暖期水平衡图</w:t>
      </w:r>
      <w:r>
        <w:rPr>
          <w:rFonts w:hint="eastAsia" w:ascii="宋体" w:hAnsi="宋体"/>
          <w:szCs w:val="22"/>
          <w:highlight w:val="none"/>
        </w:rPr>
        <w:t xml:space="preserve">  </w:t>
      </w:r>
      <w:r>
        <w:rPr>
          <w:rFonts w:ascii="宋体" w:hAnsi="宋体"/>
          <w:szCs w:val="22"/>
          <w:highlight w:val="none"/>
        </w:rPr>
        <w:t>单位：m</w:t>
      </w:r>
      <w:r>
        <w:rPr>
          <w:rFonts w:ascii="宋体" w:hAnsi="宋体"/>
          <w:szCs w:val="22"/>
          <w:highlight w:val="none"/>
          <w:vertAlign w:val="superscript"/>
        </w:rPr>
        <w:t>3</w:t>
      </w:r>
      <w:r>
        <w:rPr>
          <w:rFonts w:ascii="宋体" w:hAnsi="宋体"/>
          <w:szCs w:val="22"/>
          <w:highlight w:val="none"/>
        </w:rPr>
        <w:t>/d</w:t>
      </w:r>
    </w:p>
    <w:p>
      <w:pPr>
        <w:pStyle w:val="4"/>
        <w:ind w:firstLine="562"/>
        <w:rPr>
          <w:rFonts w:hAnsi="宋体"/>
          <w:highlight w:val="none"/>
        </w:rPr>
      </w:pPr>
      <w:r>
        <w:rPr>
          <w:rFonts w:hAnsi="宋体"/>
          <w:highlight w:val="none"/>
        </w:rPr>
        <w:t>3.2.2供电</w:t>
      </w:r>
    </w:p>
    <w:p>
      <w:pPr>
        <w:pStyle w:val="62"/>
        <w:ind w:firstLine="480"/>
        <w:rPr>
          <w:rFonts w:hAnsi="宋体"/>
          <w:b/>
          <w:bCs/>
          <w:highlight w:val="none"/>
        </w:rPr>
      </w:pPr>
      <w:r>
        <w:rPr>
          <w:rFonts w:hint="eastAsia" w:hAnsi="宋体"/>
          <w:highlight w:val="none"/>
        </w:rPr>
        <w:t>电源由忻州市繁峙县光裕堡乡变电站供电，厂区设置800KVA和315KVA变压器各一台，可满足生产使用</w:t>
      </w:r>
      <w:r>
        <w:rPr>
          <w:rFonts w:hint="eastAsia" w:hAnsi="宋体"/>
          <w:b/>
          <w:bCs/>
          <w:highlight w:val="none"/>
        </w:rPr>
        <w:t>。</w:t>
      </w:r>
    </w:p>
    <w:p>
      <w:pPr>
        <w:pStyle w:val="4"/>
        <w:ind w:firstLine="562"/>
        <w:rPr>
          <w:rFonts w:hAnsi="宋体"/>
          <w:highlight w:val="none"/>
        </w:rPr>
      </w:pPr>
      <w:r>
        <w:rPr>
          <w:rFonts w:hAnsi="宋体"/>
          <w:highlight w:val="none"/>
        </w:rPr>
        <w:t>3.2.3供热</w:t>
      </w:r>
    </w:p>
    <w:p>
      <w:pPr>
        <w:ind w:firstLine="480"/>
        <w:rPr>
          <w:rFonts w:ascii="宋体" w:hAnsi="宋体"/>
          <w:szCs w:val="22"/>
          <w:highlight w:val="none"/>
        </w:rPr>
      </w:pPr>
      <w:r>
        <w:rPr>
          <w:rFonts w:hint="eastAsia" w:ascii="宋体" w:hAnsi="宋体"/>
          <w:szCs w:val="22"/>
          <w:highlight w:val="none"/>
        </w:rPr>
        <w:t>本项目生产无需用热，办公区冬季采暖采用空调供暖</w:t>
      </w:r>
      <w:r>
        <w:rPr>
          <w:rFonts w:ascii="宋体" w:hAnsi="宋体"/>
          <w:szCs w:val="22"/>
          <w:highlight w:val="none"/>
        </w:rPr>
        <w:t>。</w:t>
      </w:r>
    </w:p>
    <w:p>
      <w:pPr>
        <w:pStyle w:val="3"/>
        <w:ind w:firstLine="643"/>
        <w:rPr>
          <w:rFonts w:hAnsi="宋体"/>
          <w:highlight w:val="none"/>
        </w:rPr>
      </w:pPr>
      <w:bookmarkStart w:id="126" w:name="_Toc70201020"/>
      <w:bookmarkStart w:id="127" w:name="_Toc4678434"/>
      <w:r>
        <w:rPr>
          <w:rFonts w:hAnsi="宋体"/>
          <w:highlight w:val="none"/>
        </w:rPr>
        <w:t>3.</w:t>
      </w:r>
      <w:r>
        <w:rPr>
          <w:rFonts w:hint="eastAsia" w:hAnsi="宋体"/>
          <w:highlight w:val="none"/>
        </w:rPr>
        <w:t>3</w:t>
      </w:r>
      <w:r>
        <w:rPr>
          <w:rFonts w:hAnsi="宋体"/>
          <w:highlight w:val="none"/>
        </w:rPr>
        <w:t>主要技术经济指标</w:t>
      </w:r>
      <w:bookmarkEnd w:id="126"/>
    </w:p>
    <w:p>
      <w:pPr>
        <w:ind w:firstLine="480"/>
        <w:jc w:val="left"/>
        <w:rPr>
          <w:rFonts w:ascii="宋体" w:hAnsi="宋体"/>
          <w:szCs w:val="22"/>
          <w:highlight w:val="none"/>
        </w:rPr>
      </w:pPr>
      <w:r>
        <w:rPr>
          <w:rFonts w:ascii="宋体" w:hAnsi="宋体"/>
          <w:szCs w:val="22"/>
          <w:highlight w:val="none"/>
        </w:rPr>
        <w:t>主要经济技术指标见表3.</w:t>
      </w:r>
      <w:r>
        <w:rPr>
          <w:rFonts w:hint="eastAsia" w:ascii="宋体" w:hAnsi="宋体"/>
          <w:szCs w:val="22"/>
          <w:highlight w:val="none"/>
        </w:rPr>
        <w:t>3</w:t>
      </w:r>
      <w:r>
        <w:rPr>
          <w:rFonts w:ascii="宋体" w:hAnsi="宋体"/>
          <w:szCs w:val="22"/>
          <w:highlight w:val="none"/>
        </w:rPr>
        <w:t>-</w:t>
      </w:r>
      <w:r>
        <w:rPr>
          <w:rFonts w:hint="eastAsia" w:ascii="宋体" w:hAnsi="宋体"/>
          <w:szCs w:val="22"/>
          <w:highlight w:val="none"/>
        </w:rPr>
        <w:t>1</w:t>
      </w:r>
      <w:r>
        <w:rPr>
          <w:rFonts w:ascii="宋体" w:hAnsi="宋体"/>
          <w:szCs w:val="22"/>
          <w:highlight w:val="none"/>
        </w:rPr>
        <w:t>。</w:t>
      </w:r>
    </w:p>
    <w:p>
      <w:pPr>
        <w:pStyle w:val="65"/>
        <w:rPr>
          <w:rFonts w:hAnsi="宋体"/>
          <w:highlight w:val="none"/>
        </w:rPr>
      </w:pPr>
      <w:r>
        <w:rPr>
          <w:rFonts w:hAnsi="宋体"/>
          <w:highlight w:val="none"/>
        </w:rPr>
        <w:t>表3.</w:t>
      </w:r>
      <w:r>
        <w:rPr>
          <w:rFonts w:hint="eastAsia" w:hAnsi="宋体"/>
          <w:highlight w:val="none"/>
        </w:rPr>
        <w:t>3</w:t>
      </w:r>
      <w:r>
        <w:rPr>
          <w:rFonts w:hAnsi="宋体"/>
          <w:highlight w:val="none"/>
        </w:rPr>
        <w:t>-</w:t>
      </w:r>
      <w:r>
        <w:rPr>
          <w:rFonts w:hint="eastAsia" w:hAnsi="宋体"/>
          <w:highlight w:val="none"/>
        </w:rPr>
        <w:t xml:space="preserve">1  </w:t>
      </w:r>
      <w:r>
        <w:rPr>
          <w:rFonts w:hAnsi="宋体"/>
          <w:highlight w:val="none"/>
        </w:rPr>
        <w:t>主要经济技术指标表</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3289"/>
        <w:gridCol w:w="1653"/>
        <w:gridCol w:w="29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Align w:val="center"/>
          </w:tcPr>
          <w:p>
            <w:pPr>
              <w:pStyle w:val="64"/>
              <w:rPr>
                <w:rFonts w:hAnsi="宋体"/>
                <w:highlight w:val="none"/>
              </w:rPr>
            </w:pPr>
            <w:r>
              <w:rPr>
                <w:rFonts w:hAnsi="宋体"/>
                <w:highlight w:val="none"/>
              </w:rPr>
              <w:t>序号</w:t>
            </w:r>
          </w:p>
        </w:tc>
        <w:tc>
          <w:tcPr>
            <w:tcW w:w="3289" w:type="dxa"/>
            <w:vAlign w:val="center"/>
          </w:tcPr>
          <w:p>
            <w:pPr>
              <w:pStyle w:val="64"/>
              <w:rPr>
                <w:rFonts w:hAnsi="宋体"/>
                <w:highlight w:val="none"/>
              </w:rPr>
            </w:pPr>
            <w:r>
              <w:rPr>
                <w:rFonts w:hAnsi="宋体"/>
                <w:highlight w:val="none"/>
              </w:rPr>
              <w:t>项目</w:t>
            </w:r>
          </w:p>
        </w:tc>
        <w:tc>
          <w:tcPr>
            <w:tcW w:w="1653" w:type="dxa"/>
            <w:vAlign w:val="center"/>
          </w:tcPr>
          <w:p>
            <w:pPr>
              <w:pStyle w:val="64"/>
              <w:rPr>
                <w:rFonts w:hAnsi="宋体"/>
                <w:highlight w:val="none"/>
              </w:rPr>
            </w:pPr>
            <w:r>
              <w:rPr>
                <w:rFonts w:hAnsi="宋体"/>
                <w:highlight w:val="none"/>
              </w:rPr>
              <w:t>单位</w:t>
            </w:r>
          </w:p>
        </w:tc>
        <w:tc>
          <w:tcPr>
            <w:tcW w:w="2918" w:type="dxa"/>
            <w:vAlign w:val="center"/>
          </w:tcPr>
          <w:p>
            <w:pPr>
              <w:pStyle w:val="64"/>
              <w:rPr>
                <w:rFonts w:hAnsi="宋体"/>
                <w:highlight w:val="none"/>
              </w:rPr>
            </w:pPr>
            <w:r>
              <w:rPr>
                <w:rFonts w:hAnsi="宋体"/>
                <w:highlight w:val="none"/>
              </w:rPr>
              <w:t>指标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restart"/>
            <w:vAlign w:val="center"/>
          </w:tcPr>
          <w:p>
            <w:pPr>
              <w:pStyle w:val="64"/>
              <w:rPr>
                <w:rFonts w:hAnsi="宋体"/>
                <w:highlight w:val="none"/>
              </w:rPr>
            </w:pPr>
            <w:r>
              <w:rPr>
                <w:rFonts w:hint="eastAsia" w:hAnsi="宋体"/>
                <w:highlight w:val="none"/>
              </w:rPr>
              <w:t>1</w:t>
            </w:r>
          </w:p>
        </w:tc>
        <w:tc>
          <w:tcPr>
            <w:tcW w:w="3289" w:type="dxa"/>
            <w:vAlign w:val="center"/>
          </w:tcPr>
          <w:p>
            <w:pPr>
              <w:pStyle w:val="64"/>
              <w:rPr>
                <w:rFonts w:hAnsi="宋体"/>
                <w:highlight w:val="none"/>
              </w:rPr>
            </w:pPr>
            <w:r>
              <w:rPr>
                <w:rFonts w:hAnsi="宋体"/>
                <w:highlight w:val="none"/>
              </w:rPr>
              <w:t>设计能力</w:t>
            </w:r>
          </w:p>
        </w:tc>
        <w:tc>
          <w:tcPr>
            <w:tcW w:w="1653" w:type="dxa"/>
            <w:vAlign w:val="center"/>
          </w:tcPr>
          <w:p>
            <w:pPr>
              <w:pStyle w:val="64"/>
              <w:rPr>
                <w:rFonts w:hAnsi="宋体"/>
                <w:highlight w:val="none"/>
              </w:rPr>
            </w:pPr>
            <w:r>
              <w:rPr>
                <w:rFonts w:hAnsi="宋体"/>
                <w:highlight w:val="none"/>
              </w:rPr>
              <w:t>万吨</w:t>
            </w:r>
          </w:p>
        </w:tc>
        <w:tc>
          <w:tcPr>
            <w:tcW w:w="2918" w:type="dxa"/>
            <w:vAlign w:val="center"/>
          </w:tcPr>
          <w:p>
            <w:pPr>
              <w:pStyle w:val="64"/>
              <w:rPr>
                <w:rFonts w:hAnsi="宋体"/>
                <w:highlight w:val="none"/>
              </w:rPr>
            </w:pPr>
            <w:r>
              <w:rPr>
                <w:rFonts w:hAnsi="宋体"/>
                <w:highlight w:val="none"/>
              </w:rPr>
              <w:t>年加工</w:t>
            </w:r>
            <w:r>
              <w:rPr>
                <w:rFonts w:hint="eastAsia" w:hAnsi="宋体"/>
                <w:highlight w:val="none"/>
              </w:rPr>
              <w:t>3</w:t>
            </w:r>
            <w:r>
              <w:rPr>
                <w:rFonts w:hAnsi="宋体"/>
                <w:highlight w:val="none"/>
              </w:rPr>
              <w:t>0万吨废石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int="eastAsia" w:hAnsi="宋体"/>
                <w:highlight w:val="none"/>
              </w:rPr>
              <w:t>废石+尾矿粗砂</w:t>
            </w:r>
          </w:p>
        </w:tc>
        <w:tc>
          <w:tcPr>
            <w:tcW w:w="1653" w:type="dxa"/>
            <w:vAlign w:val="center"/>
          </w:tcPr>
          <w:p>
            <w:pPr>
              <w:pStyle w:val="64"/>
              <w:rPr>
                <w:rFonts w:hAnsi="宋体"/>
                <w:highlight w:val="none"/>
              </w:rPr>
            </w:pPr>
            <w:r>
              <w:rPr>
                <w:rFonts w:hint="eastAsia" w:hAnsi="宋体"/>
                <w:highlight w:val="none"/>
              </w:rPr>
              <w:t>万</w:t>
            </w:r>
            <w:r>
              <w:rPr>
                <w:rFonts w:hAnsi="宋体"/>
                <w:highlight w:val="none"/>
              </w:rPr>
              <w:t>t/a</w:t>
            </w:r>
          </w:p>
        </w:tc>
        <w:tc>
          <w:tcPr>
            <w:tcW w:w="2918" w:type="dxa"/>
            <w:vAlign w:val="center"/>
          </w:tcPr>
          <w:p>
            <w:pPr>
              <w:pStyle w:val="64"/>
              <w:rPr>
                <w:rFonts w:hAnsi="宋体"/>
                <w:highlight w:val="none"/>
              </w:rPr>
            </w:pPr>
            <w:r>
              <w:rPr>
                <w:rFonts w:hint="eastAsia" w:hAnsi="宋体"/>
                <w:highlight w:val="none"/>
              </w:rPr>
              <w:t>20.91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精铁矿粉</w:t>
            </w:r>
          </w:p>
        </w:tc>
        <w:tc>
          <w:tcPr>
            <w:tcW w:w="1653" w:type="dxa"/>
            <w:vAlign w:val="center"/>
          </w:tcPr>
          <w:p>
            <w:pPr>
              <w:pStyle w:val="64"/>
              <w:rPr>
                <w:rFonts w:hAnsi="宋体"/>
                <w:highlight w:val="none"/>
              </w:rPr>
            </w:pPr>
            <w:r>
              <w:rPr>
                <w:rFonts w:hint="eastAsia" w:hAnsi="宋体"/>
                <w:highlight w:val="none"/>
              </w:rPr>
              <w:t>万</w:t>
            </w:r>
            <w:r>
              <w:rPr>
                <w:rFonts w:hAnsi="宋体"/>
                <w:highlight w:val="none"/>
              </w:rPr>
              <w:t>t/a</w:t>
            </w:r>
          </w:p>
        </w:tc>
        <w:tc>
          <w:tcPr>
            <w:tcW w:w="2918" w:type="dxa"/>
            <w:vAlign w:val="center"/>
          </w:tcPr>
          <w:p>
            <w:pPr>
              <w:pStyle w:val="64"/>
              <w:rPr>
                <w:rFonts w:hAnsi="宋体"/>
                <w:highlight w:val="none"/>
              </w:rPr>
            </w:pPr>
            <w:r>
              <w:rPr>
                <w:rFonts w:hint="eastAsia" w:hAnsi="宋体"/>
                <w:highlight w:val="none"/>
              </w:rPr>
              <w:t>8.79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restart"/>
            <w:vAlign w:val="center"/>
          </w:tcPr>
          <w:p>
            <w:pPr>
              <w:pStyle w:val="64"/>
              <w:rPr>
                <w:rFonts w:hAnsi="宋体"/>
                <w:highlight w:val="none"/>
              </w:rPr>
            </w:pPr>
            <w:r>
              <w:rPr>
                <w:rFonts w:hint="eastAsia" w:hAnsi="宋体"/>
                <w:highlight w:val="none"/>
              </w:rPr>
              <w:t>2</w:t>
            </w:r>
          </w:p>
        </w:tc>
        <w:tc>
          <w:tcPr>
            <w:tcW w:w="3289" w:type="dxa"/>
            <w:vAlign w:val="center"/>
          </w:tcPr>
          <w:p>
            <w:pPr>
              <w:pStyle w:val="64"/>
              <w:rPr>
                <w:rFonts w:hAnsi="宋体"/>
                <w:highlight w:val="none"/>
              </w:rPr>
            </w:pPr>
            <w:r>
              <w:rPr>
                <w:rFonts w:hAnsi="宋体"/>
                <w:highlight w:val="none"/>
              </w:rPr>
              <w:t>工作制度</w:t>
            </w:r>
          </w:p>
        </w:tc>
        <w:tc>
          <w:tcPr>
            <w:tcW w:w="1653" w:type="dxa"/>
            <w:vAlign w:val="center"/>
          </w:tcPr>
          <w:p>
            <w:pPr>
              <w:pStyle w:val="64"/>
              <w:rPr>
                <w:rFonts w:hAnsi="宋体"/>
                <w:highlight w:val="none"/>
              </w:rPr>
            </w:pPr>
          </w:p>
        </w:tc>
        <w:tc>
          <w:tcPr>
            <w:tcW w:w="2918"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年工作天</w:t>
            </w:r>
          </w:p>
        </w:tc>
        <w:tc>
          <w:tcPr>
            <w:tcW w:w="1653" w:type="dxa"/>
            <w:vAlign w:val="center"/>
          </w:tcPr>
          <w:p>
            <w:pPr>
              <w:pStyle w:val="64"/>
              <w:rPr>
                <w:rFonts w:hAnsi="宋体"/>
                <w:highlight w:val="none"/>
              </w:rPr>
            </w:pPr>
            <w:r>
              <w:rPr>
                <w:rFonts w:hAnsi="宋体"/>
                <w:highlight w:val="none"/>
              </w:rPr>
              <w:t>d/a</w:t>
            </w:r>
          </w:p>
        </w:tc>
        <w:tc>
          <w:tcPr>
            <w:tcW w:w="2918" w:type="dxa"/>
            <w:vAlign w:val="center"/>
          </w:tcPr>
          <w:p>
            <w:pPr>
              <w:pStyle w:val="64"/>
              <w:rPr>
                <w:rFonts w:hAnsi="宋体"/>
                <w:highlight w:val="none"/>
              </w:rPr>
            </w:pPr>
            <w:r>
              <w:rPr>
                <w:rFonts w:hAnsi="宋体"/>
                <w:highlight w:val="none"/>
              </w:rPr>
              <w:t>3</w:t>
            </w:r>
            <w:r>
              <w:rPr>
                <w:rFonts w:hint="eastAsia" w:hAnsi="宋体"/>
                <w:highlight w:val="none"/>
              </w:rPr>
              <w:t>0</w:t>
            </w: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年工作时</w:t>
            </w:r>
          </w:p>
        </w:tc>
        <w:tc>
          <w:tcPr>
            <w:tcW w:w="1653" w:type="dxa"/>
            <w:vAlign w:val="center"/>
          </w:tcPr>
          <w:p>
            <w:pPr>
              <w:pStyle w:val="64"/>
              <w:rPr>
                <w:rFonts w:hAnsi="宋体"/>
                <w:highlight w:val="none"/>
              </w:rPr>
            </w:pPr>
            <w:r>
              <w:rPr>
                <w:rFonts w:hAnsi="宋体"/>
                <w:highlight w:val="none"/>
              </w:rPr>
              <w:t>h/a</w:t>
            </w:r>
          </w:p>
        </w:tc>
        <w:tc>
          <w:tcPr>
            <w:tcW w:w="2918" w:type="dxa"/>
            <w:vAlign w:val="center"/>
          </w:tcPr>
          <w:p>
            <w:pPr>
              <w:pStyle w:val="64"/>
              <w:rPr>
                <w:rFonts w:hAnsi="宋体"/>
                <w:highlight w:val="none"/>
              </w:rPr>
            </w:pPr>
            <w:r>
              <w:rPr>
                <w:rFonts w:hint="eastAsia" w:hAnsi="宋体"/>
                <w:highlight w:val="none"/>
              </w:rPr>
              <w:t>7200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086" w:type="dxa"/>
            <w:vMerge w:val="restart"/>
            <w:vAlign w:val="center"/>
          </w:tcPr>
          <w:p>
            <w:pPr>
              <w:pStyle w:val="64"/>
              <w:rPr>
                <w:rFonts w:hAnsi="宋体"/>
                <w:highlight w:val="none"/>
              </w:rPr>
            </w:pPr>
            <w:r>
              <w:rPr>
                <w:rFonts w:hint="eastAsia" w:hAnsi="宋体"/>
                <w:highlight w:val="none"/>
              </w:rPr>
              <w:t>3</w:t>
            </w:r>
          </w:p>
        </w:tc>
        <w:tc>
          <w:tcPr>
            <w:tcW w:w="3289" w:type="dxa"/>
            <w:vAlign w:val="center"/>
          </w:tcPr>
          <w:p>
            <w:pPr>
              <w:pStyle w:val="64"/>
              <w:rPr>
                <w:rFonts w:hAnsi="宋体"/>
                <w:highlight w:val="none"/>
              </w:rPr>
            </w:pPr>
            <w:r>
              <w:rPr>
                <w:rFonts w:hAnsi="宋体"/>
                <w:highlight w:val="none"/>
              </w:rPr>
              <w:t>物料消耗</w:t>
            </w:r>
          </w:p>
        </w:tc>
        <w:tc>
          <w:tcPr>
            <w:tcW w:w="1653" w:type="dxa"/>
            <w:vAlign w:val="center"/>
          </w:tcPr>
          <w:p>
            <w:pPr>
              <w:pStyle w:val="64"/>
              <w:rPr>
                <w:rFonts w:hAnsi="宋体"/>
                <w:highlight w:val="none"/>
              </w:rPr>
            </w:pPr>
          </w:p>
        </w:tc>
        <w:tc>
          <w:tcPr>
            <w:tcW w:w="2918"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铁矿废石</w:t>
            </w:r>
          </w:p>
        </w:tc>
        <w:tc>
          <w:tcPr>
            <w:tcW w:w="1653" w:type="dxa"/>
            <w:vAlign w:val="center"/>
          </w:tcPr>
          <w:p>
            <w:pPr>
              <w:pStyle w:val="64"/>
              <w:rPr>
                <w:rFonts w:hAnsi="宋体"/>
                <w:highlight w:val="none"/>
              </w:rPr>
            </w:pPr>
            <w:r>
              <w:rPr>
                <w:rFonts w:hAnsi="宋体"/>
                <w:highlight w:val="none"/>
              </w:rPr>
              <w:t>万t</w:t>
            </w:r>
          </w:p>
        </w:tc>
        <w:tc>
          <w:tcPr>
            <w:tcW w:w="2918" w:type="dxa"/>
            <w:vAlign w:val="center"/>
          </w:tcPr>
          <w:p>
            <w:pPr>
              <w:pStyle w:val="64"/>
              <w:rPr>
                <w:rFonts w:hAnsi="宋体"/>
                <w:highlight w:val="none"/>
              </w:rPr>
            </w:pPr>
            <w:r>
              <w:rPr>
                <w:rFonts w:hint="eastAsia" w:hAnsi="宋体"/>
                <w:highlight w:val="none"/>
              </w:rPr>
              <w:t>3</w:t>
            </w: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钢球</w:t>
            </w:r>
          </w:p>
        </w:tc>
        <w:tc>
          <w:tcPr>
            <w:tcW w:w="1653" w:type="dxa"/>
            <w:vAlign w:val="center"/>
          </w:tcPr>
          <w:p>
            <w:pPr>
              <w:pStyle w:val="64"/>
              <w:rPr>
                <w:rFonts w:hAnsi="宋体"/>
                <w:highlight w:val="none"/>
              </w:rPr>
            </w:pPr>
            <w:r>
              <w:rPr>
                <w:rFonts w:hAnsi="宋体"/>
                <w:highlight w:val="none"/>
              </w:rPr>
              <w:t>t</w:t>
            </w:r>
          </w:p>
        </w:tc>
        <w:tc>
          <w:tcPr>
            <w:tcW w:w="2918" w:type="dxa"/>
            <w:vAlign w:val="center"/>
          </w:tcPr>
          <w:p>
            <w:pPr>
              <w:pStyle w:val="64"/>
              <w:rPr>
                <w:rFonts w:hAnsi="宋体"/>
                <w:highlight w:val="none"/>
              </w:rPr>
            </w:pPr>
            <w:r>
              <w:rPr>
                <w:rFonts w:hAnsi="宋体"/>
                <w:highlight w:val="none"/>
              </w:rPr>
              <w:t>1</w:t>
            </w:r>
            <w:r>
              <w:rPr>
                <w:rFonts w:hint="eastAsia" w:hAnsi="宋体"/>
                <w:highlight w:val="none"/>
              </w:rPr>
              <w:t>2</w:t>
            </w:r>
            <w:r>
              <w:rPr>
                <w:rFonts w:hAnsi="宋体"/>
                <w:highlight w:val="none"/>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衬板</w:t>
            </w:r>
          </w:p>
        </w:tc>
        <w:tc>
          <w:tcPr>
            <w:tcW w:w="1653" w:type="dxa"/>
            <w:vAlign w:val="center"/>
          </w:tcPr>
          <w:p>
            <w:pPr>
              <w:pStyle w:val="64"/>
              <w:rPr>
                <w:rFonts w:hAnsi="宋体"/>
                <w:highlight w:val="none"/>
              </w:rPr>
            </w:pPr>
            <w:r>
              <w:rPr>
                <w:rFonts w:hAnsi="宋体"/>
                <w:highlight w:val="none"/>
              </w:rPr>
              <w:t>t</w:t>
            </w:r>
          </w:p>
        </w:tc>
        <w:tc>
          <w:tcPr>
            <w:tcW w:w="2918" w:type="dxa"/>
            <w:vAlign w:val="center"/>
          </w:tcPr>
          <w:p>
            <w:pPr>
              <w:pStyle w:val="64"/>
              <w:rPr>
                <w:rFonts w:hAnsi="宋体"/>
                <w:highlight w:val="none"/>
              </w:rPr>
            </w:pPr>
            <w:r>
              <w:rPr>
                <w:rFonts w:hAnsi="宋体"/>
                <w:highlight w:val="none"/>
              </w:rPr>
              <w:t>2</w:t>
            </w:r>
            <w:r>
              <w:rPr>
                <w:rFonts w:hint="eastAsia" w:hAnsi="宋体"/>
                <w:highlight w:val="none"/>
              </w:rPr>
              <w:t>0</w:t>
            </w:r>
            <w:r>
              <w:rPr>
                <w:rFonts w:hAnsi="宋体"/>
                <w:highlight w:val="none"/>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其他耗材</w:t>
            </w:r>
          </w:p>
        </w:tc>
        <w:tc>
          <w:tcPr>
            <w:tcW w:w="1653" w:type="dxa"/>
            <w:vAlign w:val="center"/>
          </w:tcPr>
          <w:p>
            <w:pPr>
              <w:pStyle w:val="64"/>
              <w:rPr>
                <w:rFonts w:hAnsi="宋体"/>
                <w:highlight w:val="none"/>
              </w:rPr>
            </w:pPr>
            <w:r>
              <w:rPr>
                <w:rFonts w:hAnsi="宋体"/>
                <w:highlight w:val="none"/>
              </w:rPr>
              <w:t>t</w:t>
            </w:r>
          </w:p>
        </w:tc>
        <w:tc>
          <w:tcPr>
            <w:tcW w:w="2918" w:type="dxa"/>
            <w:vAlign w:val="center"/>
          </w:tcPr>
          <w:p>
            <w:pPr>
              <w:pStyle w:val="64"/>
              <w:rPr>
                <w:rFonts w:hAnsi="宋体"/>
                <w:highlight w:val="none"/>
              </w:rPr>
            </w:pPr>
            <w:r>
              <w:rPr>
                <w:rFonts w:hint="eastAsia" w:hAnsi="宋体"/>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restart"/>
            <w:vAlign w:val="center"/>
          </w:tcPr>
          <w:p>
            <w:pPr>
              <w:pStyle w:val="64"/>
              <w:rPr>
                <w:rFonts w:hAnsi="宋体"/>
                <w:highlight w:val="none"/>
              </w:rPr>
            </w:pPr>
            <w:r>
              <w:rPr>
                <w:rFonts w:hint="eastAsia" w:hAnsi="宋体"/>
                <w:highlight w:val="none"/>
              </w:rPr>
              <w:t>4</w:t>
            </w:r>
          </w:p>
        </w:tc>
        <w:tc>
          <w:tcPr>
            <w:tcW w:w="3289" w:type="dxa"/>
            <w:vAlign w:val="center"/>
          </w:tcPr>
          <w:p>
            <w:pPr>
              <w:pStyle w:val="64"/>
              <w:rPr>
                <w:rFonts w:hAnsi="宋体"/>
                <w:highlight w:val="none"/>
              </w:rPr>
            </w:pPr>
            <w:r>
              <w:rPr>
                <w:rFonts w:hAnsi="宋体"/>
                <w:highlight w:val="none"/>
              </w:rPr>
              <w:t>能源消耗</w:t>
            </w:r>
          </w:p>
        </w:tc>
        <w:tc>
          <w:tcPr>
            <w:tcW w:w="1653" w:type="dxa"/>
            <w:vAlign w:val="center"/>
          </w:tcPr>
          <w:p>
            <w:pPr>
              <w:pStyle w:val="64"/>
              <w:rPr>
                <w:rFonts w:hAnsi="宋体"/>
                <w:highlight w:val="none"/>
              </w:rPr>
            </w:pPr>
          </w:p>
        </w:tc>
        <w:tc>
          <w:tcPr>
            <w:tcW w:w="2918"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耗电</w:t>
            </w:r>
          </w:p>
        </w:tc>
        <w:tc>
          <w:tcPr>
            <w:tcW w:w="1653" w:type="dxa"/>
            <w:vAlign w:val="center"/>
          </w:tcPr>
          <w:p>
            <w:pPr>
              <w:pStyle w:val="64"/>
              <w:rPr>
                <w:rFonts w:hAnsi="宋体"/>
                <w:highlight w:val="none"/>
              </w:rPr>
            </w:pPr>
            <w:r>
              <w:rPr>
                <w:rFonts w:hAnsi="宋体"/>
                <w:highlight w:val="none"/>
              </w:rPr>
              <w:t>万kWh</w:t>
            </w:r>
          </w:p>
        </w:tc>
        <w:tc>
          <w:tcPr>
            <w:tcW w:w="2918" w:type="dxa"/>
            <w:vAlign w:val="center"/>
          </w:tcPr>
          <w:p>
            <w:pPr>
              <w:pStyle w:val="64"/>
              <w:rPr>
                <w:rFonts w:hAnsi="宋体"/>
                <w:highlight w:val="none"/>
              </w:rPr>
            </w:pPr>
            <w:r>
              <w:rPr>
                <w:rFonts w:hint="eastAsia" w:hAnsi="宋体"/>
                <w:highlight w:val="none"/>
              </w:rPr>
              <w:t>2</w:t>
            </w:r>
            <w:r>
              <w:rPr>
                <w:rFonts w:hAnsi="宋体"/>
                <w:highlight w:val="none"/>
              </w:rPr>
              <w:t>19.5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086" w:type="dxa"/>
            <w:vMerge w:val="continue"/>
            <w:vAlign w:val="center"/>
          </w:tcPr>
          <w:p>
            <w:pPr>
              <w:pStyle w:val="64"/>
              <w:rPr>
                <w:rFonts w:hAnsi="宋体"/>
                <w:highlight w:val="none"/>
              </w:rPr>
            </w:pPr>
          </w:p>
        </w:tc>
        <w:tc>
          <w:tcPr>
            <w:tcW w:w="3289" w:type="dxa"/>
            <w:vAlign w:val="center"/>
          </w:tcPr>
          <w:p>
            <w:pPr>
              <w:pStyle w:val="64"/>
              <w:rPr>
                <w:rFonts w:hAnsi="宋体"/>
                <w:highlight w:val="none"/>
              </w:rPr>
            </w:pPr>
            <w:r>
              <w:rPr>
                <w:rFonts w:hAnsi="宋体"/>
                <w:highlight w:val="none"/>
              </w:rPr>
              <w:t>耗水</w:t>
            </w:r>
          </w:p>
        </w:tc>
        <w:tc>
          <w:tcPr>
            <w:tcW w:w="1653" w:type="dxa"/>
            <w:vAlign w:val="center"/>
          </w:tcPr>
          <w:p>
            <w:pPr>
              <w:pStyle w:val="64"/>
              <w:rPr>
                <w:rFonts w:hAnsi="宋体"/>
                <w:highlight w:val="none"/>
              </w:rPr>
            </w:pPr>
            <w:r>
              <w:rPr>
                <w:rFonts w:hAnsi="宋体"/>
                <w:highlight w:val="none"/>
              </w:rPr>
              <w:t>万</w:t>
            </w:r>
            <w:r>
              <w:rPr>
                <w:rFonts w:hint="eastAsia" w:hAnsi="宋体"/>
                <w:highlight w:val="none"/>
              </w:rPr>
              <w:t>m</w:t>
            </w:r>
            <w:r>
              <w:rPr>
                <w:rFonts w:hint="eastAsia" w:hAnsi="宋体"/>
                <w:highlight w:val="none"/>
                <w:vertAlign w:val="superscript"/>
              </w:rPr>
              <w:t>3</w:t>
            </w:r>
          </w:p>
        </w:tc>
        <w:tc>
          <w:tcPr>
            <w:tcW w:w="2918" w:type="dxa"/>
            <w:vAlign w:val="center"/>
          </w:tcPr>
          <w:p>
            <w:pPr>
              <w:pStyle w:val="64"/>
              <w:rPr>
                <w:rFonts w:hAnsi="宋体"/>
                <w:highlight w:val="none"/>
              </w:rPr>
            </w:pPr>
            <w:r>
              <w:rPr>
                <w:rFonts w:hint="eastAsia" w:hAnsi="宋体"/>
                <w:highlight w:val="none"/>
              </w:rPr>
              <w:t>2.1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086" w:type="dxa"/>
            <w:vAlign w:val="center"/>
          </w:tcPr>
          <w:p>
            <w:pPr>
              <w:pStyle w:val="64"/>
              <w:rPr>
                <w:rFonts w:hAnsi="宋体"/>
                <w:highlight w:val="none"/>
              </w:rPr>
            </w:pPr>
            <w:r>
              <w:rPr>
                <w:rFonts w:hint="eastAsia" w:hAnsi="宋体"/>
                <w:highlight w:val="none"/>
              </w:rPr>
              <w:t>5</w:t>
            </w:r>
          </w:p>
        </w:tc>
        <w:tc>
          <w:tcPr>
            <w:tcW w:w="3289" w:type="dxa"/>
            <w:vAlign w:val="center"/>
          </w:tcPr>
          <w:p>
            <w:pPr>
              <w:pStyle w:val="64"/>
              <w:rPr>
                <w:rFonts w:hAnsi="宋体"/>
                <w:highlight w:val="none"/>
              </w:rPr>
            </w:pPr>
            <w:r>
              <w:rPr>
                <w:rFonts w:hAnsi="宋体"/>
                <w:highlight w:val="none"/>
              </w:rPr>
              <w:t>项目总投资</w:t>
            </w:r>
          </w:p>
        </w:tc>
        <w:tc>
          <w:tcPr>
            <w:tcW w:w="1653" w:type="dxa"/>
            <w:vAlign w:val="center"/>
          </w:tcPr>
          <w:p>
            <w:pPr>
              <w:pStyle w:val="64"/>
              <w:rPr>
                <w:rFonts w:hAnsi="宋体"/>
                <w:highlight w:val="none"/>
              </w:rPr>
            </w:pPr>
            <w:r>
              <w:rPr>
                <w:rFonts w:hAnsi="宋体"/>
                <w:highlight w:val="none"/>
              </w:rPr>
              <w:t>万元</w:t>
            </w:r>
          </w:p>
        </w:tc>
        <w:tc>
          <w:tcPr>
            <w:tcW w:w="2918" w:type="dxa"/>
            <w:vAlign w:val="center"/>
          </w:tcPr>
          <w:p>
            <w:pPr>
              <w:pStyle w:val="64"/>
              <w:rPr>
                <w:rFonts w:hAnsi="宋体"/>
                <w:highlight w:val="none"/>
              </w:rPr>
            </w:pPr>
            <w:r>
              <w:rPr>
                <w:rFonts w:hAnsi="宋体"/>
                <w:highlight w:val="none"/>
              </w:rPr>
              <w:t>700</w:t>
            </w:r>
          </w:p>
        </w:tc>
      </w:tr>
      <w:bookmarkEnd w:id="127"/>
    </w:tbl>
    <w:p>
      <w:pPr>
        <w:pStyle w:val="3"/>
        <w:ind w:firstLine="643"/>
        <w:rPr>
          <w:rFonts w:hAnsi="宋体"/>
          <w:highlight w:val="none"/>
        </w:rPr>
      </w:pPr>
      <w:bookmarkStart w:id="128" w:name="_Toc70201021"/>
      <w:r>
        <w:rPr>
          <w:rFonts w:hAnsi="宋体"/>
          <w:highlight w:val="none"/>
        </w:rPr>
        <w:t>3.4运营期环境影响因素分析</w:t>
      </w:r>
      <w:bookmarkEnd w:id="128"/>
    </w:p>
    <w:p>
      <w:pPr>
        <w:pStyle w:val="4"/>
        <w:ind w:firstLine="562"/>
        <w:rPr>
          <w:rFonts w:hAnsi="宋体"/>
          <w:highlight w:val="none"/>
        </w:rPr>
      </w:pPr>
      <w:r>
        <w:rPr>
          <w:rFonts w:hAnsi="宋体"/>
          <w:highlight w:val="none"/>
        </w:rPr>
        <w:t>3.4.</w:t>
      </w:r>
      <w:r>
        <w:rPr>
          <w:rFonts w:hint="eastAsia" w:hAnsi="宋体"/>
          <w:highlight w:val="none"/>
        </w:rPr>
        <w:t>1</w:t>
      </w:r>
      <w:r>
        <w:rPr>
          <w:rFonts w:hAnsi="宋体"/>
          <w:highlight w:val="none"/>
        </w:rPr>
        <w:t>环境空气</w:t>
      </w:r>
    </w:p>
    <w:p>
      <w:pPr>
        <w:ind w:firstLine="480"/>
        <w:rPr>
          <w:rFonts w:ascii="宋体" w:hAnsi="宋体"/>
          <w:szCs w:val="22"/>
          <w:highlight w:val="none"/>
        </w:rPr>
      </w:pPr>
      <w:r>
        <w:rPr>
          <w:rFonts w:ascii="宋体" w:hAnsi="宋体"/>
          <w:szCs w:val="22"/>
          <w:highlight w:val="none"/>
        </w:rPr>
        <w:t>G1：原料储存粉尘；</w:t>
      </w:r>
    </w:p>
    <w:p>
      <w:pPr>
        <w:ind w:firstLine="480"/>
        <w:rPr>
          <w:rFonts w:ascii="宋体" w:hAnsi="宋体"/>
          <w:szCs w:val="22"/>
          <w:highlight w:val="none"/>
        </w:rPr>
      </w:pPr>
      <w:r>
        <w:rPr>
          <w:rFonts w:ascii="宋体" w:hAnsi="宋体"/>
          <w:szCs w:val="22"/>
          <w:highlight w:val="none"/>
        </w:rPr>
        <w:t>G2：破碎筛分粉尘；</w:t>
      </w:r>
    </w:p>
    <w:p>
      <w:pPr>
        <w:ind w:firstLine="480"/>
        <w:rPr>
          <w:rFonts w:ascii="宋体" w:hAnsi="宋体"/>
          <w:szCs w:val="22"/>
          <w:highlight w:val="none"/>
        </w:rPr>
      </w:pPr>
      <w:r>
        <w:rPr>
          <w:rFonts w:ascii="宋体" w:hAnsi="宋体"/>
          <w:szCs w:val="22"/>
          <w:highlight w:val="none"/>
        </w:rPr>
        <w:t>G3：</w:t>
      </w:r>
      <w:r>
        <w:rPr>
          <w:rFonts w:hint="eastAsia" w:ascii="宋体" w:hAnsi="宋体"/>
          <w:szCs w:val="22"/>
          <w:highlight w:val="none"/>
        </w:rPr>
        <w:t>干选</w:t>
      </w:r>
      <w:r>
        <w:rPr>
          <w:rFonts w:ascii="宋体" w:hAnsi="宋体"/>
          <w:szCs w:val="22"/>
          <w:highlight w:val="none"/>
        </w:rPr>
        <w:t>粉尘</w:t>
      </w:r>
      <w:r>
        <w:rPr>
          <w:rFonts w:hint="eastAsia" w:ascii="宋体" w:hAnsi="宋体"/>
          <w:szCs w:val="22"/>
          <w:highlight w:val="none"/>
        </w:rPr>
        <w:t>；</w:t>
      </w:r>
    </w:p>
    <w:p>
      <w:pPr>
        <w:ind w:firstLine="480"/>
        <w:rPr>
          <w:rFonts w:ascii="宋体" w:hAnsi="宋体"/>
          <w:szCs w:val="22"/>
          <w:highlight w:val="none"/>
        </w:rPr>
      </w:pPr>
      <w:r>
        <w:rPr>
          <w:rFonts w:ascii="宋体" w:hAnsi="宋体"/>
          <w:szCs w:val="22"/>
          <w:highlight w:val="none"/>
        </w:rPr>
        <w:t>G4：</w:t>
      </w:r>
      <w:r>
        <w:rPr>
          <w:rFonts w:hint="eastAsia" w:ascii="宋体" w:hAnsi="宋体"/>
          <w:szCs w:val="22"/>
          <w:highlight w:val="none"/>
        </w:rPr>
        <w:t>废石堆场</w:t>
      </w:r>
      <w:r>
        <w:rPr>
          <w:rFonts w:ascii="宋体" w:hAnsi="宋体"/>
          <w:szCs w:val="22"/>
          <w:highlight w:val="none"/>
        </w:rPr>
        <w:t>扬尘</w:t>
      </w:r>
      <w:r>
        <w:rPr>
          <w:rFonts w:hint="eastAsia" w:ascii="宋体" w:hAnsi="宋体"/>
          <w:szCs w:val="22"/>
          <w:highlight w:val="none"/>
        </w:rPr>
        <w:t>；</w:t>
      </w:r>
    </w:p>
    <w:p>
      <w:pPr>
        <w:ind w:firstLine="480"/>
        <w:rPr>
          <w:rFonts w:ascii="宋体" w:hAnsi="宋体"/>
          <w:szCs w:val="22"/>
          <w:highlight w:val="none"/>
        </w:rPr>
      </w:pPr>
      <w:r>
        <w:rPr>
          <w:rFonts w:ascii="宋体" w:hAnsi="宋体"/>
          <w:szCs w:val="22"/>
          <w:highlight w:val="none"/>
        </w:rPr>
        <w:t>G</w:t>
      </w:r>
      <w:r>
        <w:rPr>
          <w:rFonts w:hint="eastAsia" w:ascii="宋体" w:hAnsi="宋体"/>
          <w:szCs w:val="22"/>
          <w:highlight w:val="none"/>
        </w:rPr>
        <w:t>5</w:t>
      </w:r>
      <w:r>
        <w:rPr>
          <w:rFonts w:ascii="宋体" w:hAnsi="宋体"/>
          <w:szCs w:val="22"/>
          <w:highlight w:val="none"/>
        </w:rPr>
        <w:t>：</w:t>
      </w:r>
      <w:r>
        <w:rPr>
          <w:rFonts w:hint="eastAsia" w:ascii="宋体" w:hAnsi="宋体"/>
          <w:szCs w:val="22"/>
          <w:highlight w:val="none"/>
        </w:rPr>
        <w:t>成品堆场</w:t>
      </w:r>
      <w:r>
        <w:rPr>
          <w:rFonts w:ascii="宋体" w:hAnsi="宋体"/>
          <w:szCs w:val="22"/>
          <w:highlight w:val="none"/>
        </w:rPr>
        <w:t>扬尘</w:t>
      </w:r>
      <w:r>
        <w:rPr>
          <w:rFonts w:hint="eastAsia" w:ascii="宋体" w:hAnsi="宋体"/>
          <w:szCs w:val="22"/>
          <w:highlight w:val="none"/>
        </w:rPr>
        <w:t>；</w:t>
      </w:r>
    </w:p>
    <w:p>
      <w:pPr>
        <w:ind w:firstLine="480"/>
        <w:rPr>
          <w:rFonts w:ascii="宋体" w:hAnsi="宋体"/>
          <w:szCs w:val="22"/>
          <w:highlight w:val="none"/>
        </w:rPr>
      </w:pPr>
      <w:r>
        <w:rPr>
          <w:rFonts w:ascii="宋体" w:hAnsi="宋体"/>
          <w:szCs w:val="22"/>
          <w:highlight w:val="none"/>
        </w:rPr>
        <w:t>G</w:t>
      </w:r>
      <w:r>
        <w:rPr>
          <w:rFonts w:hint="eastAsia" w:ascii="宋体" w:hAnsi="宋体"/>
          <w:szCs w:val="22"/>
          <w:highlight w:val="none"/>
        </w:rPr>
        <w:t>6</w:t>
      </w:r>
      <w:r>
        <w:rPr>
          <w:rFonts w:ascii="宋体" w:hAnsi="宋体"/>
          <w:szCs w:val="22"/>
          <w:highlight w:val="none"/>
        </w:rPr>
        <w:t>：运输扬尘</w:t>
      </w:r>
      <w:r>
        <w:rPr>
          <w:rFonts w:hint="eastAsia" w:ascii="宋体" w:hAnsi="宋体"/>
          <w:szCs w:val="22"/>
          <w:highlight w:val="none"/>
        </w:rPr>
        <w:t>。</w:t>
      </w:r>
    </w:p>
    <w:p>
      <w:pPr>
        <w:pStyle w:val="4"/>
        <w:ind w:firstLine="562"/>
        <w:rPr>
          <w:rFonts w:hAnsi="宋体"/>
          <w:szCs w:val="22"/>
          <w:highlight w:val="none"/>
        </w:rPr>
      </w:pPr>
      <w:r>
        <w:rPr>
          <w:rFonts w:hAnsi="宋体"/>
          <w:highlight w:val="none"/>
        </w:rPr>
        <w:t>3.4.</w:t>
      </w:r>
      <w:r>
        <w:rPr>
          <w:rFonts w:hint="eastAsia" w:hAnsi="宋体"/>
          <w:highlight w:val="none"/>
        </w:rPr>
        <w:t>2</w:t>
      </w:r>
      <w:r>
        <w:rPr>
          <w:rFonts w:hAnsi="宋体"/>
          <w:szCs w:val="22"/>
          <w:highlight w:val="none"/>
        </w:rPr>
        <w:t>水环境</w:t>
      </w:r>
    </w:p>
    <w:p>
      <w:pPr>
        <w:ind w:firstLine="480"/>
        <w:rPr>
          <w:rFonts w:ascii="宋体" w:hAnsi="宋体"/>
          <w:szCs w:val="22"/>
          <w:highlight w:val="none"/>
        </w:rPr>
      </w:pPr>
      <w:r>
        <w:rPr>
          <w:rFonts w:ascii="宋体" w:hAnsi="宋体"/>
          <w:szCs w:val="22"/>
          <w:highlight w:val="none"/>
        </w:rPr>
        <w:t>W1：生活污水，主要为COD、BOD</w:t>
      </w:r>
      <w:r>
        <w:rPr>
          <w:rFonts w:ascii="宋体" w:hAnsi="宋体"/>
          <w:szCs w:val="22"/>
          <w:highlight w:val="none"/>
          <w:vertAlign w:val="subscript"/>
        </w:rPr>
        <w:t>5</w:t>
      </w:r>
      <w:r>
        <w:rPr>
          <w:rFonts w:ascii="宋体" w:hAnsi="宋体"/>
          <w:szCs w:val="22"/>
          <w:highlight w:val="none"/>
        </w:rPr>
        <w:t>、SS、氨氮等为主；</w:t>
      </w:r>
    </w:p>
    <w:p>
      <w:pPr>
        <w:ind w:firstLine="480"/>
        <w:rPr>
          <w:rFonts w:ascii="宋体" w:hAnsi="宋体"/>
          <w:szCs w:val="22"/>
          <w:highlight w:val="none"/>
        </w:rPr>
      </w:pPr>
      <w:r>
        <w:rPr>
          <w:rFonts w:ascii="宋体" w:hAnsi="宋体"/>
          <w:szCs w:val="22"/>
          <w:highlight w:val="none"/>
        </w:rPr>
        <w:t>W2：</w:t>
      </w:r>
      <w:r>
        <w:rPr>
          <w:rFonts w:hint="eastAsia" w:ascii="宋体" w:hAnsi="宋体"/>
          <w:szCs w:val="22"/>
          <w:highlight w:val="none"/>
        </w:rPr>
        <w:t>生产</w:t>
      </w:r>
      <w:r>
        <w:rPr>
          <w:rFonts w:ascii="宋体" w:hAnsi="宋体"/>
          <w:szCs w:val="22"/>
          <w:highlight w:val="none"/>
        </w:rPr>
        <w:t>废水</w:t>
      </w:r>
      <w:r>
        <w:rPr>
          <w:rFonts w:hint="eastAsia" w:ascii="宋体" w:hAnsi="宋体"/>
          <w:szCs w:val="22"/>
          <w:highlight w:val="none"/>
        </w:rPr>
        <w:t>（尾矿浆）</w:t>
      </w:r>
      <w:r>
        <w:rPr>
          <w:rFonts w:ascii="宋体" w:hAnsi="宋体"/>
          <w:szCs w:val="22"/>
          <w:highlight w:val="none"/>
        </w:rPr>
        <w:t>，主要为SS</w:t>
      </w:r>
      <w:r>
        <w:rPr>
          <w:rFonts w:hint="eastAsia" w:ascii="宋体" w:hAnsi="宋体"/>
          <w:szCs w:val="22"/>
          <w:highlight w:val="none"/>
        </w:rPr>
        <w:t>；</w:t>
      </w:r>
    </w:p>
    <w:p>
      <w:pPr>
        <w:ind w:firstLine="480"/>
        <w:rPr>
          <w:rFonts w:ascii="宋体" w:hAnsi="宋体"/>
          <w:szCs w:val="22"/>
          <w:highlight w:val="none"/>
        </w:rPr>
      </w:pPr>
      <w:r>
        <w:rPr>
          <w:rFonts w:ascii="宋体" w:hAnsi="宋体"/>
          <w:szCs w:val="22"/>
          <w:highlight w:val="none"/>
        </w:rPr>
        <w:t>W</w:t>
      </w:r>
      <w:r>
        <w:rPr>
          <w:rFonts w:hint="eastAsia" w:ascii="宋体" w:hAnsi="宋体"/>
          <w:szCs w:val="22"/>
          <w:highlight w:val="none"/>
        </w:rPr>
        <w:t>3</w:t>
      </w:r>
      <w:r>
        <w:rPr>
          <w:rFonts w:ascii="宋体" w:hAnsi="宋体"/>
          <w:szCs w:val="22"/>
          <w:highlight w:val="none"/>
        </w:rPr>
        <w:t>：洗车废水，主要为pH、COD和SS。</w:t>
      </w:r>
    </w:p>
    <w:p>
      <w:pPr>
        <w:pStyle w:val="4"/>
        <w:ind w:firstLine="562"/>
        <w:rPr>
          <w:rFonts w:hAnsi="宋体"/>
          <w:szCs w:val="22"/>
          <w:highlight w:val="none"/>
        </w:rPr>
      </w:pPr>
      <w:r>
        <w:rPr>
          <w:rFonts w:hAnsi="宋体"/>
          <w:highlight w:val="none"/>
        </w:rPr>
        <w:t>3.4.</w:t>
      </w:r>
      <w:r>
        <w:rPr>
          <w:rFonts w:hint="eastAsia" w:hAnsi="宋体"/>
          <w:highlight w:val="none"/>
        </w:rPr>
        <w:t>3</w:t>
      </w:r>
      <w:r>
        <w:rPr>
          <w:rFonts w:hAnsi="宋体"/>
          <w:szCs w:val="22"/>
          <w:highlight w:val="none"/>
        </w:rPr>
        <w:t>固体废物</w:t>
      </w:r>
    </w:p>
    <w:p>
      <w:pPr>
        <w:ind w:firstLine="480"/>
        <w:rPr>
          <w:rFonts w:ascii="宋体" w:hAnsi="宋体"/>
          <w:szCs w:val="22"/>
          <w:highlight w:val="none"/>
        </w:rPr>
      </w:pPr>
      <w:r>
        <w:rPr>
          <w:rFonts w:ascii="宋体" w:hAnsi="宋体"/>
          <w:szCs w:val="22"/>
          <w:highlight w:val="none"/>
        </w:rPr>
        <w:t>S1：生活垃圾；</w:t>
      </w:r>
    </w:p>
    <w:p>
      <w:pPr>
        <w:ind w:firstLine="480"/>
        <w:rPr>
          <w:rFonts w:ascii="宋体" w:hAnsi="宋体"/>
          <w:szCs w:val="22"/>
          <w:highlight w:val="none"/>
        </w:rPr>
      </w:pPr>
      <w:r>
        <w:rPr>
          <w:rFonts w:ascii="宋体" w:hAnsi="宋体"/>
          <w:szCs w:val="22"/>
          <w:highlight w:val="none"/>
        </w:rPr>
        <w:t>S2：除尘灰；</w:t>
      </w:r>
    </w:p>
    <w:p>
      <w:pPr>
        <w:pStyle w:val="62"/>
        <w:ind w:firstLine="480"/>
        <w:rPr>
          <w:rFonts w:hAnsi="宋体"/>
          <w:highlight w:val="none"/>
          <w:lang w:val="en-US"/>
        </w:rPr>
      </w:pPr>
      <w:r>
        <w:rPr>
          <w:rFonts w:hAnsi="宋体"/>
          <w:highlight w:val="none"/>
          <w:lang w:val="en-US"/>
        </w:rPr>
        <w:t>S3：</w:t>
      </w:r>
      <w:r>
        <w:rPr>
          <w:rFonts w:hint="eastAsia" w:hAnsi="宋体"/>
          <w:highlight w:val="none"/>
        </w:rPr>
        <w:t>干选废石</w:t>
      </w:r>
      <w:r>
        <w:rPr>
          <w:rFonts w:hint="eastAsia" w:hAnsi="宋体"/>
          <w:highlight w:val="none"/>
          <w:lang w:val="en-US"/>
        </w:rPr>
        <w:t>；</w:t>
      </w:r>
    </w:p>
    <w:p>
      <w:pPr>
        <w:pStyle w:val="62"/>
        <w:ind w:firstLine="480"/>
        <w:rPr>
          <w:rFonts w:hAnsi="宋体"/>
          <w:highlight w:val="none"/>
          <w:lang w:val="en-US"/>
        </w:rPr>
      </w:pPr>
      <w:r>
        <w:rPr>
          <w:rFonts w:hAnsi="宋体"/>
          <w:highlight w:val="none"/>
          <w:lang w:val="en-US"/>
        </w:rPr>
        <w:t>S</w:t>
      </w:r>
      <w:r>
        <w:rPr>
          <w:rFonts w:hint="eastAsia" w:hAnsi="宋体"/>
          <w:highlight w:val="none"/>
          <w:lang w:val="en-US"/>
        </w:rPr>
        <w:t>4</w:t>
      </w:r>
      <w:r>
        <w:rPr>
          <w:rFonts w:hAnsi="宋体"/>
          <w:highlight w:val="none"/>
          <w:lang w:val="en-US"/>
        </w:rPr>
        <w:t>：</w:t>
      </w:r>
      <w:r>
        <w:rPr>
          <w:rFonts w:hint="eastAsia" w:hAnsi="宋体"/>
          <w:highlight w:val="none"/>
        </w:rPr>
        <w:t>尾矿粗砂</w:t>
      </w:r>
      <w:r>
        <w:rPr>
          <w:rFonts w:hint="eastAsia" w:hAnsi="宋体"/>
          <w:highlight w:val="none"/>
          <w:lang w:val="en-US"/>
        </w:rPr>
        <w:t>；</w:t>
      </w:r>
    </w:p>
    <w:p>
      <w:pPr>
        <w:pStyle w:val="62"/>
        <w:ind w:firstLine="480"/>
        <w:rPr>
          <w:rFonts w:hAnsi="宋体"/>
          <w:szCs w:val="22"/>
          <w:highlight w:val="none"/>
          <w:lang w:val="en-US"/>
        </w:rPr>
      </w:pPr>
      <w:r>
        <w:rPr>
          <w:rFonts w:hAnsi="宋体"/>
          <w:highlight w:val="none"/>
          <w:lang w:val="en-US"/>
        </w:rPr>
        <w:t>S</w:t>
      </w:r>
      <w:r>
        <w:rPr>
          <w:rFonts w:hint="eastAsia" w:hAnsi="宋体"/>
          <w:highlight w:val="none"/>
          <w:lang w:val="en-US"/>
        </w:rPr>
        <w:t>5</w:t>
      </w:r>
      <w:r>
        <w:rPr>
          <w:rFonts w:hAnsi="宋体"/>
          <w:highlight w:val="none"/>
          <w:lang w:val="en-US"/>
        </w:rPr>
        <w:t>：</w:t>
      </w:r>
      <w:r>
        <w:rPr>
          <w:rFonts w:hint="eastAsia" w:hAnsi="宋体"/>
          <w:highlight w:val="none"/>
          <w:lang w:val="en-US"/>
        </w:rPr>
        <w:t>尾砂；</w:t>
      </w:r>
    </w:p>
    <w:p>
      <w:pPr>
        <w:pStyle w:val="62"/>
        <w:ind w:firstLine="480"/>
        <w:rPr>
          <w:rFonts w:hAnsi="宋体"/>
          <w:highlight w:val="none"/>
          <w:lang w:val="en-US"/>
        </w:rPr>
      </w:pPr>
      <w:r>
        <w:rPr>
          <w:rFonts w:hAnsi="宋体"/>
          <w:highlight w:val="none"/>
          <w:lang w:val="en-US"/>
        </w:rPr>
        <w:t>S</w:t>
      </w:r>
      <w:r>
        <w:rPr>
          <w:rFonts w:hint="eastAsia" w:hAnsi="宋体"/>
          <w:highlight w:val="none"/>
          <w:lang w:val="en-US"/>
        </w:rPr>
        <w:t>6</w:t>
      </w:r>
      <w:r>
        <w:rPr>
          <w:rFonts w:hAnsi="宋体"/>
          <w:highlight w:val="none"/>
          <w:lang w:val="en-US"/>
        </w:rPr>
        <w:t>：</w:t>
      </w:r>
      <w:r>
        <w:rPr>
          <w:rFonts w:hAnsi="宋体"/>
          <w:highlight w:val="none"/>
        </w:rPr>
        <w:t>废机油。</w:t>
      </w:r>
    </w:p>
    <w:p>
      <w:pPr>
        <w:pStyle w:val="4"/>
        <w:ind w:firstLine="562"/>
        <w:rPr>
          <w:rFonts w:hAnsi="宋体"/>
          <w:szCs w:val="22"/>
          <w:highlight w:val="none"/>
        </w:rPr>
      </w:pPr>
      <w:r>
        <w:rPr>
          <w:rFonts w:hAnsi="宋体"/>
          <w:highlight w:val="none"/>
        </w:rPr>
        <w:t>3.4.</w:t>
      </w:r>
      <w:r>
        <w:rPr>
          <w:rFonts w:hint="eastAsia" w:hAnsi="宋体"/>
          <w:highlight w:val="none"/>
        </w:rPr>
        <w:t>4</w:t>
      </w:r>
      <w:r>
        <w:rPr>
          <w:rFonts w:hAnsi="宋体"/>
          <w:szCs w:val="22"/>
          <w:highlight w:val="none"/>
        </w:rPr>
        <w:t>声环境</w:t>
      </w:r>
    </w:p>
    <w:p>
      <w:pPr>
        <w:ind w:firstLine="480"/>
        <w:rPr>
          <w:rFonts w:ascii="宋体" w:hAnsi="宋体"/>
          <w:szCs w:val="22"/>
          <w:highlight w:val="none"/>
        </w:rPr>
      </w:pPr>
      <w:r>
        <w:rPr>
          <w:rFonts w:ascii="宋体" w:hAnsi="宋体"/>
          <w:szCs w:val="22"/>
          <w:highlight w:val="none"/>
        </w:rPr>
        <w:t>N1：生产设备噪声；</w:t>
      </w:r>
    </w:p>
    <w:p>
      <w:pPr>
        <w:ind w:firstLine="480"/>
        <w:rPr>
          <w:rFonts w:ascii="宋体" w:hAnsi="宋体"/>
          <w:highlight w:val="none"/>
        </w:rPr>
      </w:pPr>
      <w:r>
        <w:rPr>
          <w:rFonts w:ascii="宋体" w:hAnsi="宋体"/>
          <w:szCs w:val="22"/>
          <w:highlight w:val="none"/>
        </w:rPr>
        <w:t>N2：运输车辆交通噪声。</w:t>
      </w:r>
    </w:p>
    <w:p>
      <w:pPr>
        <w:pStyle w:val="3"/>
        <w:ind w:firstLine="643"/>
        <w:rPr>
          <w:rFonts w:hAnsi="宋体"/>
          <w:highlight w:val="none"/>
        </w:rPr>
      </w:pPr>
      <w:bookmarkStart w:id="129" w:name="_Toc70201022"/>
      <w:r>
        <w:rPr>
          <w:rFonts w:hAnsi="宋体"/>
          <w:highlight w:val="none"/>
        </w:rPr>
        <w:t>3.5运营期污染物源强核算</w:t>
      </w:r>
      <w:bookmarkEnd w:id="129"/>
    </w:p>
    <w:p>
      <w:pPr>
        <w:pStyle w:val="4"/>
        <w:ind w:firstLine="562"/>
        <w:rPr>
          <w:rFonts w:hAnsi="宋体"/>
          <w:highlight w:val="none"/>
        </w:rPr>
      </w:pPr>
      <w:bookmarkStart w:id="130" w:name="_Toc448417705"/>
      <w:r>
        <w:rPr>
          <w:rFonts w:hAnsi="宋体"/>
          <w:highlight w:val="none"/>
        </w:rPr>
        <w:t>3.5.1废气污染物源强</w:t>
      </w:r>
    </w:p>
    <w:p>
      <w:pPr>
        <w:pStyle w:val="62"/>
        <w:ind w:firstLine="480"/>
        <w:rPr>
          <w:rFonts w:hAnsi="宋体"/>
          <w:highlight w:val="none"/>
        </w:rPr>
      </w:pPr>
      <w:r>
        <w:rPr>
          <w:rFonts w:hint="eastAsia" w:hAnsi="宋体"/>
          <w:highlight w:val="none"/>
        </w:rPr>
        <w:t>1、堆场粉尘</w:t>
      </w:r>
    </w:p>
    <w:p>
      <w:pPr>
        <w:pStyle w:val="62"/>
        <w:ind w:firstLine="480"/>
        <w:rPr>
          <w:rFonts w:hAnsi="宋体"/>
          <w:highlight w:val="none"/>
        </w:rPr>
      </w:pPr>
      <w:r>
        <w:rPr>
          <w:rFonts w:hAnsi="宋体"/>
          <w:highlight w:val="none"/>
        </w:rPr>
        <w:t>本项目运营期大气的污染源主要是原料储存、运输、破碎等过程中产生的粉尘，无组织颗粒物采用《扬尘源颗粒物排放清单编制技术指南》的公式进行计算，有组织颗粒物采用《第二次全国污染源普查产排污核算系数手册（试用版）》“0810铁矿采选业系数手册”产污系数进行计算。项目大气污染物均采用生态环境部推荐的核算方法，如下所述：</w:t>
      </w:r>
    </w:p>
    <w:p>
      <w:pPr>
        <w:pStyle w:val="62"/>
        <w:ind w:firstLine="480"/>
        <w:rPr>
          <w:rFonts w:hAnsi="宋体"/>
          <w:highlight w:val="none"/>
        </w:rPr>
      </w:pPr>
      <w:r>
        <w:rPr>
          <w:rFonts w:hAnsi="宋体"/>
          <w:highlight w:val="none"/>
        </w:rPr>
        <w:t>原矿</w:t>
      </w:r>
      <w:r>
        <w:rPr>
          <w:rFonts w:hint="eastAsia" w:hAnsi="宋体"/>
          <w:highlight w:val="none"/>
        </w:rPr>
        <w:t>、废石和成品</w:t>
      </w:r>
      <w:r>
        <w:rPr>
          <w:rFonts w:hAnsi="宋体"/>
          <w:highlight w:val="none"/>
        </w:rPr>
        <w:t>堆场扬尘根据《扬尘源颗粒物排放清单编制技术指南》，堆场的扬尘源排放量是装卸、运输引起的扬尘与堆积存放期间风蚀扬尘的加和，</w:t>
      </w:r>
      <w:r>
        <w:rPr>
          <w:rFonts w:hint="eastAsia" w:hAnsi="宋体"/>
          <w:highlight w:val="none"/>
        </w:rPr>
        <w:t>计算公式</w:t>
      </w:r>
      <w:r>
        <w:rPr>
          <w:rFonts w:hAnsi="宋体"/>
          <w:highlight w:val="none"/>
        </w:rPr>
        <w:t>如下：</w:t>
      </w:r>
    </w:p>
    <w:p>
      <w:pPr>
        <w:pStyle w:val="62"/>
        <w:spacing w:line="240" w:lineRule="auto"/>
        <w:ind w:firstLine="0" w:firstLineChars="0"/>
        <w:jc w:val="center"/>
        <w:rPr>
          <w:rFonts w:hAnsi="宋体"/>
          <w:sz w:val="16"/>
          <w:szCs w:val="16"/>
          <w:highlight w:val="none"/>
        </w:rPr>
      </w:pPr>
      <w:r>
        <w:rPr>
          <w:rFonts w:hAnsi="宋体"/>
          <w:highlight w:val="none"/>
          <w:lang w:val="en-US"/>
        </w:rPr>
        <w:drawing>
          <wp:inline distT="0" distB="0" distL="0" distR="0">
            <wp:extent cx="2727960" cy="5029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37"/>
                    <a:stretch>
                      <a:fillRect/>
                    </a:stretch>
                  </pic:blipFill>
                  <pic:spPr>
                    <a:xfrm>
                      <a:off x="0" y="0"/>
                      <a:ext cx="2728197" cy="502964"/>
                    </a:xfrm>
                    <a:prstGeom prst="rect">
                      <a:avLst/>
                    </a:prstGeom>
                  </pic:spPr>
                </pic:pic>
              </a:graphicData>
            </a:graphic>
          </wp:inline>
        </w:drawing>
      </w:r>
      <w:r>
        <w:rPr>
          <w:rFonts w:hint="eastAsia" w:hAnsi="宋体"/>
          <w:highlight w:val="none"/>
        </w:rPr>
        <w:t>（1）</w:t>
      </w:r>
    </w:p>
    <w:p>
      <w:pPr>
        <w:pStyle w:val="62"/>
        <w:ind w:firstLine="480"/>
        <w:rPr>
          <w:rFonts w:hAnsi="宋体"/>
          <w:highlight w:val="none"/>
        </w:rPr>
      </w:pPr>
      <w:r>
        <w:rPr>
          <w:rFonts w:hAnsi="宋体"/>
          <w:highlight w:val="none"/>
        </w:rPr>
        <w:t>式中：</w:t>
      </w:r>
    </w:p>
    <w:p>
      <w:pPr>
        <w:pStyle w:val="62"/>
        <w:ind w:firstLine="480"/>
        <w:rPr>
          <w:rFonts w:hAnsi="宋体"/>
          <w:highlight w:val="none"/>
        </w:rPr>
      </w:pPr>
      <w:r>
        <w:rPr>
          <w:rFonts w:hAnsi="宋体"/>
          <w:highlight w:val="none"/>
        </w:rPr>
        <w:t>1）W</w:t>
      </w:r>
      <w:r>
        <w:rPr>
          <w:rFonts w:hAnsi="宋体"/>
          <w:highlight w:val="none"/>
          <w:vertAlign w:val="subscript"/>
        </w:rPr>
        <w:t>Y</w:t>
      </w:r>
      <w:r>
        <w:rPr>
          <w:rFonts w:hAnsi="宋体"/>
          <w:highlight w:val="none"/>
        </w:rPr>
        <w:t>为堆场扬尘源中颗粒物总排放量，t/a；</w:t>
      </w:r>
    </w:p>
    <w:p>
      <w:pPr>
        <w:pStyle w:val="62"/>
        <w:ind w:firstLine="480"/>
        <w:rPr>
          <w:rFonts w:hAnsi="宋体"/>
          <w:highlight w:val="none"/>
        </w:rPr>
      </w:pPr>
      <w:r>
        <w:rPr>
          <w:rFonts w:hAnsi="宋体"/>
          <w:highlight w:val="none"/>
        </w:rPr>
        <w:t>2）E</w:t>
      </w:r>
      <w:r>
        <w:rPr>
          <w:rFonts w:hAnsi="宋体"/>
          <w:highlight w:val="none"/>
          <w:vertAlign w:val="subscript"/>
        </w:rPr>
        <w:t>h</w:t>
      </w:r>
      <w:r>
        <w:rPr>
          <w:rFonts w:hAnsi="宋体"/>
          <w:highlight w:val="none"/>
        </w:rPr>
        <w:t>为堆场装卸运输过程的扬尘颗粒物排放系数，kg/t；</w:t>
      </w:r>
    </w:p>
    <w:p>
      <w:pPr>
        <w:pStyle w:val="62"/>
        <w:ind w:firstLine="480"/>
        <w:rPr>
          <w:rFonts w:hAnsi="宋体"/>
          <w:highlight w:val="none"/>
        </w:rPr>
      </w:pPr>
      <w:r>
        <w:rPr>
          <w:rFonts w:hAnsi="宋体"/>
          <w:highlight w:val="none"/>
        </w:rPr>
        <w:t>3）m为每年料堆物料装卸总次数（原矿10000次，铁精粉2</w:t>
      </w:r>
      <w:r>
        <w:rPr>
          <w:rFonts w:hint="eastAsia" w:hAnsi="宋体"/>
          <w:highlight w:val="none"/>
        </w:rPr>
        <w:t>93</w:t>
      </w:r>
      <w:r>
        <w:rPr>
          <w:rFonts w:hAnsi="宋体"/>
          <w:highlight w:val="none"/>
        </w:rPr>
        <w:t>0次，</w:t>
      </w:r>
      <w:r>
        <w:rPr>
          <w:rFonts w:hint="eastAsia" w:hAnsi="宋体"/>
          <w:highlight w:val="none"/>
        </w:rPr>
        <w:t>废石6970</w:t>
      </w:r>
      <w:r>
        <w:rPr>
          <w:rFonts w:hAnsi="宋体"/>
          <w:highlight w:val="none"/>
        </w:rPr>
        <w:t>次</w:t>
      </w:r>
      <w:r>
        <w:rPr>
          <w:rFonts w:hint="eastAsia" w:hAnsi="宋体"/>
          <w:highlight w:val="none"/>
        </w:rPr>
        <w:t>，尾砂100次</w:t>
      </w:r>
      <w:r>
        <w:rPr>
          <w:rFonts w:hAnsi="宋体"/>
          <w:highlight w:val="none"/>
        </w:rPr>
        <w:t>）；</w:t>
      </w:r>
    </w:p>
    <w:p>
      <w:pPr>
        <w:pStyle w:val="62"/>
        <w:ind w:firstLine="480"/>
        <w:rPr>
          <w:rFonts w:hAnsi="宋体"/>
          <w:highlight w:val="none"/>
        </w:rPr>
      </w:pPr>
      <w:r>
        <w:rPr>
          <w:rFonts w:hAnsi="宋体"/>
          <w:highlight w:val="none"/>
        </w:rPr>
        <w:t>4）G</w:t>
      </w:r>
      <w:r>
        <w:rPr>
          <w:rFonts w:hAnsi="宋体"/>
          <w:highlight w:val="none"/>
          <w:vertAlign w:val="subscript"/>
        </w:rPr>
        <w:t>Yi</w:t>
      </w:r>
      <w:r>
        <w:rPr>
          <w:rFonts w:hAnsi="宋体"/>
          <w:highlight w:val="none"/>
        </w:rPr>
        <w:t>为第i次装卸过程的物料装卸量，30t/次；</w:t>
      </w:r>
    </w:p>
    <w:p>
      <w:pPr>
        <w:pStyle w:val="62"/>
        <w:ind w:firstLine="480"/>
        <w:rPr>
          <w:rFonts w:hAnsi="宋体"/>
          <w:highlight w:val="none"/>
        </w:rPr>
      </w:pPr>
      <w:r>
        <w:rPr>
          <w:rFonts w:hAnsi="宋体"/>
          <w:highlight w:val="none"/>
        </w:rPr>
        <w:t>5）E</w:t>
      </w:r>
      <w:r>
        <w:rPr>
          <w:rFonts w:hint="eastAsia" w:hAnsi="宋体"/>
          <w:highlight w:val="none"/>
          <w:vertAlign w:val="subscript"/>
        </w:rPr>
        <w:t>W</w:t>
      </w:r>
      <w:r>
        <w:rPr>
          <w:rFonts w:hAnsi="宋体"/>
          <w:highlight w:val="none"/>
        </w:rPr>
        <w:t>为料堆受到风蚀作用的颗粒物排放系数，kg/m</w:t>
      </w:r>
      <w:r>
        <w:rPr>
          <w:rFonts w:hAnsi="宋体"/>
          <w:highlight w:val="none"/>
          <w:vertAlign w:val="superscript"/>
        </w:rPr>
        <w:t>2</w:t>
      </w:r>
      <w:r>
        <w:rPr>
          <w:rFonts w:hAnsi="宋体"/>
          <w:highlight w:val="none"/>
        </w:rPr>
        <w:t>；</w:t>
      </w:r>
    </w:p>
    <w:p>
      <w:pPr>
        <w:pStyle w:val="62"/>
        <w:ind w:firstLine="480"/>
        <w:rPr>
          <w:rFonts w:hAnsi="宋体"/>
          <w:highlight w:val="none"/>
        </w:rPr>
      </w:pPr>
      <w:r>
        <w:rPr>
          <w:rFonts w:hAnsi="宋体"/>
          <w:highlight w:val="none"/>
        </w:rPr>
        <w:t>6）A</w:t>
      </w:r>
      <w:r>
        <w:rPr>
          <w:rFonts w:hAnsi="宋体"/>
          <w:highlight w:val="none"/>
          <w:vertAlign w:val="subscript"/>
        </w:rPr>
        <w:t>Y</w:t>
      </w:r>
      <w:r>
        <w:rPr>
          <w:rFonts w:hAnsi="宋体"/>
          <w:highlight w:val="none"/>
        </w:rPr>
        <w:t>为料堆表面积，m</w:t>
      </w:r>
      <w:r>
        <w:rPr>
          <w:rFonts w:hAnsi="宋体"/>
          <w:highlight w:val="none"/>
          <w:vertAlign w:val="superscript"/>
        </w:rPr>
        <w:t>2</w:t>
      </w:r>
      <w:r>
        <w:rPr>
          <w:rFonts w:hAnsi="宋体"/>
          <w:highlight w:val="none"/>
        </w:rPr>
        <w:t>。</w:t>
      </w:r>
    </w:p>
    <w:p>
      <w:pPr>
        <w:pStyle w:val="62"/>
        <w:ind w:firstLine="480"/>
        <w:rPr>
          <w:rFonts w:hAnsi="宋体"/>
          <w:highlight w:val="none"/>
        </w:rPr>
      </w:pPr>
      <w:r>
        <w:rPr>
          <w:rFonts w:hAnsi="宋体"/>
          <w:highlight w:val="none"/>
        </w:rPr>
        <w:t>装卸、运输物料过程扬尘排放系数的估算见下式：</w:t>
      </w:r>
    </w:p>
    <w:p>
      <w:pPr>
        <w:pStyle w:val="62"/>
        <w:spacing w:line="240" w:lineRule="auto"/>
        <w:ind w:firstLine="0" w:firstLineChars="0"/>
        <w:jc w:val="center"/>
        <w:rPr>
          <w:rFonts w:hAnsi="宋体"/>
          <w:highlight w:val="none"/>
        </w:rPr>
      </w:pPr>
      <w:r>
        <w:rPr>
          <w:rFonts w:hAnsi="宋体"/>
          <w:highlight w:val="none"/>
          <w:lang w:val="en-US"/>
        </w:rPr>
        <w:drawing>
          <wp:inline distT="0" distB="0" distL="0" distR="0">
            <wp:extent cx="2484120" cy="868680"/>
            <wp:effectExtent l="0" t="0" r="0" b="762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38"/>
                    <a:stretch>
                      <a:fillRect/>
                    </a:stretch>
                  </pic:blipFill>
                  <pic:spPr>
                    <a:xfrm>
                      <a:off x="0" y="0"/>
                      <a:ext cx="2484335" cy="868755"/>
                    </a:xfrm>
                    <a:prstGeom prst="rect">
                      <a:avLst/>
                    </a:prstGeom>
                  </pic:spPr>
                </pic:pic>
              </a:graphicData>
            </a:graphic>
          </wp:inline>
        </w:drawing>
      </w:r>
      <w:r>
        <w:rPr>
          <w:rFonts w:hint="eastAsia" w:hAnsi="宋体"/>
          <w:highlight w:val="none"/>
        </w:rPr>
        <w:t>（2）</w:t>
      </w:r>
    </w:p>
    <w:p>
      <w:pPr>
        <w:pStyle w:val="62"/>
        <w:ind w:firstLine="480"/>
        <w:rPr>
          <w:rFonts w:hAnsi="宋体"/>
          <w:highlight w:val="none"/>
        </w:rPr>
      </w:pPr>
      <w:r>
        <w:rPr>
          <w:rFonts w:hAnsi="宋体"/>
          <w:highlight w:val="none"/>
        </w:rPr>
        <w:t>1）Eh为堆场装卸扬尘的排放系数，kg/t；</w:t>
      </w:r>
    </w:p>
    <w:p>
      <w:pPr>
        <w:pStyle w:val="62"/>
        <w:ind w:firstLine="480"/>
        <w:rPr>
          <w:rFonts w:hAnsi="宋体"/>
          <w:highlight w:val="none"/>
        </w:rPr>
      </w:pPr>
      <w:r>
        <w:rPr>
          <w:rFonts w:hAnsi="宋体"/>
          <w:highlight w:val="none"/>
        </w:rPr>
        <w:t>2）ki为物料的粒度乘数，TSP取0.74；</w:t>
      </w:r>
    </w:p>
    <w:p>
      <w:pPr>
        <w:pStyle w:val="62"/>
        <w:ind w:firstLine="480"/>
        <w:rPr>
          <w:rFonts w:hAnsi="宋体"/>
          <w:highlight w:val="none"/>
        </w:rPr>
      </w:pPr>
      <w:r>
        <w:rPr>
          <w:rFonts w:hAnsi="宋体"/>
          <w:highlight w:val="none"/>
        </w:rPr>
        <w:t>3）u为地面平均风速，</w:t>
      </w:r>
      <w:r>
        <w:rPr>
          <w:rFonts w:hint="eastAsia" w:hAnsi="宋体"/>
          <w:highlight w:val="none"/>
        </w:rPr>
        <w:t>1</w:t>
      </w:r>
      <w:r>
        <w:rPr>
          <w:rFonts w:hAnsi="宋体"/>
          <w:highlight w:val="none"/>
        </w:rPr>
        <w:t>.9m/s；</w:t>
      </w:r>
    </w:p>
    <w:p>
      <w:pPr>
        <w:pStyle w:val="62"/>
        <w:ind w:firstLine="480"/>
        <w:rPr>
          <w:rFonts w:hAnsi="宋体"/>
          <w:highlight w:val="none"/>
        </w:rPr>
      </w:pPr>
      <w:r>
        <w:rPr>
          <w:rFonts w:hAnsi="宋体"/>
          <w:highlight w:val="none"/>
        </w:rPr>
        <w:t>4）M为物料含水率，原矿取5%，</w:t>
      </w:r>
      <w:r>
        <w:rPr>
          <w:rFonts w:hint="eastAsia" w:hAnsi="宋体"/>
          <w:highlight w:val="none"/>
        </w:rPr>
        <w:t>废石</w:t>
      </w:r>
      <w:r>
        <w:rPr>
          <w:rFonts w:hAnsi="宋体"/>
          <w:highlight w:val="none"/>
        </w:rPr>
        <w:t>取5%</w:t>
      </w:r>
      <w:r>
        <w:rPr>
          <w:rFonts w:hint="eastAsia" w:hAnsi="宋体"/>
          <w:highlight w:val="none"/>
        </w:rPr>
        <w:t>，</w:t>
      </w:r>
      <w:r>
        <w:rPr>
          <w:rFonts w:hAnsi="宋体"/>
          <w:highlight w:val="none"/>
        </w:rPr>
        <w:t>铁精粉取20%；</w:t>
      </w:r>
    </w:p>
    <w:p>
      <w:pPr>
        <w:pStyle w:val="62"/>
        <w:ind w:firstLine="480"/>
        <w:rPr>
          <w:rFonts w:hAnsi="宋体"/>
          <w:highlight w:val="none"/>
        </w:rPr>
      </w:pPr>
      <w:r>
        <w:rPr>
          <w:rFonts w:hAnsi="宋体"/>
          <w:highlight w:val="none"/>
        </w:rPr>
        <w:t>5）η为污染控制技术对扬尘的去除效率，%；</w:t>
      </w:r>
      <w:r>
        <w:rPr>
          <w:rFonts w:hint="eastAsia" w:hAnsi="宋体"/>
          <w:highlight w:val="none"/>
        </w:rPr>
        <w:t>本项目采用全封闭库，取90%。</w:t>
      </w:r>
    </w:p>
    <w:p>
      <w:pPr>
        <w:pStyle w:val="62"/>
        <w:ind w:firstLine="480"/>
        <w:rPr>
          <w:rFonts w:hAnsi="宋体"/>
          <w:highlight w:val="none"/>
        </w:rPr>
      </w:pPr>
      <w:r>
        <w:rPr>
          <w:rFonts w:hAnsi="宋体"/>
          <w:highlight w:val="none"/>
        </w:rPr>
        <w:t>料堆表面遭受风扰动后引起颗粒物排放的排放系数用下式计算：</w:t>
      </w:r>
    </w:p>
    <w:p>
      <w:pPr>
        <w:pStyle w:val="62"/>
        <w:spacing w:line="240" w:lineRule="auto"/>
        <w:ind w:firstLine="0" w:firstLineChars="0"/>
        <w:jc w:val="center"/>
        <w:rPr>
          <w:rFonts w:hAnsi="宋体"/>
          <w:highlight w:val="none"/>
        </w:rPr>
      </w:pPr>
      <w:r>
        <w:rPr>
          <w:rFonts w:hAnsi="宋体"/>
          <w:highlight w:val="none"/>
          <w:lang w:val="en-US"/>
        </w:rPr>
        <w:drawing>
          <wp:inline distT="0" distB="0" distL="0" distR="0">
            <wp:extent cx="2011680" cy="525780"/>
            <wp:effectExtent l="0" t="0" r="7620" b="762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39"/>
                    <a:stretch>
                      <a:fillRect/>
                    </a:stretch>
                  </pic:blipFill>
                  <pic:spPr>
                    <a:xfrm>
                      <a:off x="0" y="0"/>
                      <a:ext cx="2011854" cy="525826"/>
                    </a:xfrm>
                    <a:prstGeom prst="rect">
                      <a:avLst/>
                    </a:prstGeom>
                  </pic:spPr>
                </pic:pic>
              </a:graphicData>
            </a:graphic>
          </wp:inline>
        </w:drawing>
      </w:r>
      <w:r>
        <w:rPr>
          <w:rFonts w:hint="eastAsia" w:hAnsi="宋体"/>
          <w:highlight w:val="none"/>
        </w:rPr>
        <w:t>（3）</w:t>
      </w:r>
    </w:p>
    <w:p>
      <w:pPr>
        <w:pStyle w:val="62"/>
        <w:ind w:firstLine="480"/>
        <w:rPr>
          <w:rFonts w:hAnsi="宋体"/>
          <w:highlight w:val="none"/>
        </w:rPr>
      </w:pPr>
      <w:r>
        <w:rPr>
          <w:rFonts w:hAnsi="宋体"/>
          <w:highlight w:val="none"/>
        </w:rPr>
        <w:t>1）Ew为堆场风蚀扬尘的排放系数，kg/m</w:t>
      </w:r>
      <w:r>
        <w:rPr>
          <w:rFonts w:hAnsi="宋体"/>
          <w:highlight w:val="none"/>
          <w:vertAlign w:val="superscript"/>
        </w:rPr>
        <w:t>2</w:t>
      </w:r>
      <w:r>
        <w:rPr>
          <w:rFonts w:hAnsi="宋体"/>
          <w:highlight w:val="none"/>
        </w:rPr>
        <w:t>；</w:t>
      </w:r>
    </w:p>
    <w:p>
      <w:pPr>
        <w:pStyle w:val="62"/>
        <w:ind w:firstLine="480"/>
        <w:rPr>
          <w:rFonts w:hAnsi="宋体"/>
          <w:highlight w:val="none"/>
        </w:rPr>
      </w:pPr>
      <w:r>
        <w:rPr>
          <w:rFonts w:hAnsi="宋体"/>
          <w:highlight w:val="none"/>
        </w:rPr>
        <w:t>2）ki为物料的粒度乘数，TSP1.0；</w:t>
      </w:r>
    </w:p>
    <w:p>
      <w:pPr>
        <w:pStyle w:val="62"/>
        <w:ind w:firstLine="480"/>
        <w:rPr>
          <w:rFonts w:hAnsi="宋体"/>
          <w:highlight w:val="none"/>
        </w:rPr>
      </w:pPr>
      <w:r>
        <w:rPr>
          <w:rFonts w:hAnsi="宋体"/>
          <w:highlight w:val="none"/>
        </w:rPr>
        <w:t>3）n为料堆每年受扰动的次数；</w:t>
      </w:r>
    </w:p>
    <w:p>
      <w:pPr>
        <w:pStyle w:val="62"/>
        <w:ind w:firstLine="480"/>
        <w:rPr>
          <w:rFonts w:hAnsi="宋体"/>
          <w:highlight w:val="none"/>
        </w:rPr>
      </w:pPr>
      <w:r>
        <w:rPr>
          <w:rFonts w:hAnsi="宋体"/>
          <w:highlight w:val="none"/>
        </w:rPr>
        <w:t>4）Pi为第i次扰动中观测的最大风速的风蚀潜势，g/m</w:t>
      </w:r>
      <w:r>
        <w:rPr>
          <w:rFonts w:hAnsi="宋体"/>
          <w:highlight w:val="none"/>
          <w:vertAlign w:val="superscript"/>
        </w:rPr>
        <w:t>2</w:t>
      </w:r>
      <w:r>
        <w:rPr>
          <w:rFonts w:hAnsi="宋体"/>
          <w:highlight w:val="none"/>
        </w:rPr>
        <w:t>；</w:t>
      </w:r>
    </w:p>
    <w:p>
      <w:pPr>
        <w:pStyle w:val="62"/>
        <w:ind w:firstLine="480"/>
        <w:rPr>
          <w:rFonts w:hAnsi="宋体"/>
          <w:highlight w:val="none"/>
        </w:rPr>
      </w:pPr>
      <w:r>
        <w:rPr>
          <w:rFonts w:hAnsi="宋体"/>
          <w:highlight w:val="none"/>
        </w:rPr>
        <w:t>5）η为污染控制技术对扬尘的去除效率，%；</w:t>
      </w:r>
    </w:p>
    <w:p>
      <w:pPr>
        <w:pStyle w:val="62"/>
        <w:ind w:firstLine="480"/>
        <w:rPr>
          <w:rFonts w:hAnsi="宋体"/>
          <w:highlight w:val="none"/>
        </w:rPr>
      </w:pPr>
      <w:r>
        <w:rPr>
          <w:rFonts w:hAnsi="宋体"/>
          <w:highlight w:val="none"/>
        </w:rPr>
        <w:t>项目建设全封闭原矿储库、</w:t>
      </w:r>
      <w:r>
        <w:rPr>
          <w:rFonts w:hint="eastAsia" w:hAnsi="宋体"/>
          <w:highlight w:val="none"/>
        </w:rPr>
        <w:t>成品</w:t>
      </w:r>
      <w:r>
        <w:rPr>
          <w:rFonts w:hAnsi="宋体"/>
          <w:highlight w:val="none"/>
        </w:rPr>
        <w:t>库</w:t>
      </w:r>
      <w:r>
        <w:rPr>
          <w:rFonts w:hint="eastAsia" w:hAnsi="宋体"/>
          <w:highlight w:val="none"/>
        </w:rPr>
        <w:t>及废石库</w:t>
      </w:r>
      <w:r>
        <w:rPr>
          <w:rFonts w:hAnsi="宋体"/>
          <w:highlight w:val="none"/>
        </w:rPr>
        <w:t>，因此料堆基本不会受到风扰动，n值取0，则原矿库、</w:t>
      </w:r>
      <w:r>
        <w:rPr>
          <w:rFonts w:hint="eastAsia" w:hAnsi="宋体"/>
          <w:highlight w:val="none"/>
        </w:rPr>
        <w:t>成品</w:t>
      </w:r>
      <w:r>
        <w:rPr>
          <w:rFonts w:hAnsi="宋体"/>
          <w:highlight w:val="none"/>
        </w:rPr>
        <w:t>库、</w:t>
      </w:r>
      <w:r>
        <w:rPr>
          <w:rFonts w:hint="eastAsia" w:hAnsi="宋体"/>
          <w:highlight w:val="none"/>
        </w:rPr>
        <w:t>废石</w:t>
      </w:r>
      <w:r>
        <w:rPr>
          <w:rFonts w:hAnsi="宋体"/>
          <w:highlight w:val="none"/>
        </w:rPr>
        <w:t>库E</w:t>
      </w:r>
      <w:r>
        <w:rPr>
          <w:rFonts w:hAnsi="宋体"/>
          <w:highlight w:val="none"/>
          <w:vertAlign w:val="subscript"/>
        </w:rPr>
        <w:t>W</w:t>
      </w:r>
      <w:r>
        <w:rPr>
          <w:rFonts w:hAnsi="宋体"/>
          <w:highlight w:val="none"/>
        </w:rPr>
        <w:t>基本为零。不考虑颗粒物去除效率，经计算，原矿堆场装卸扬尘系数Eh为</w:t>
      </w:r>
      <w:r>
        <w:rPr>
          <w:rFonts w:hint="eastAsia" w:hAnsi="宋体"/>
          <w:highlight w:val="none"/>
        </w:rPr>
        <w:t>2.31</w:t>
      </w:r>
      <w:r>
        <w:rPr>
          <w:rFonts w:hAnsi="宋体"/>
          <w:highlight w:val="none"/>
        </w:rPr>
        <w:t>×10</w:t>
      </w:r>
      <w:r>
        <w:rPr>
          <w:rFonts w:hAnsi="宋体"/>
          <w:highlight w:val="none"/>
          <w:vertAlign w:val="superscript"/>
        </w:rPr>
        <w:t>-3</w:t>
      </w:r>
      <w:r>
        <w:rPr>
          <w:rFonts w:hAnsi="宋体"/>
          <w:highlight w:val="none"/>
        </w:rPr>
        <w:t>kg/t，</w:t>
      </w:r>
      <w:r>
        <w:rPr>
          <w:rFonts w:hint="eastAsia" w:hAnsi="宋体"/>
          <w:highlight w:val="none"/>
        </w:rPr>
        <w:t>废石</w:t>
      </w:r>
      <w:r>
        <w:rPr>
          <w:rFonts w:hAnsi="宋体"/>
          <w:highlight w:val="none"/>
        </w:rPr>
        <w:t>堆场装卸扬尘系数Eh为</w:t>
      </w:r>
      <w:r>
        <w:rPr>
          <w:rFonts w:hint="eastAsia" w:hAnsi="宋体"/>
          <w:highlight w:val="none"/>
        </w:rPr>
        <w:t>2.31</w:t>
      </w:r>
      <w:r>
        <w:rPr>
          <w:rFonts w:hAnsi="宋体"/>
          <w:highlight w:val="none"/>
        </w:rPr>
        <w:t>×10</w:t>
      </w:r>
      <w:r>
        <w:rPr>
          <w:rFonts w:hAnsi="宋体"/>
          <w:highlight w:val="none"/>
          <w:vertAlign w:val="superscript"/>
        </w:rPr>
        <w:t>-3</w:t>
      </w:r>
      <w:r>
        <w:rPr>
          <w:rFonts w:hAnsi="宋体"/>
          <w:highlight w:val="none"/>
        </w:rPr>
        <w:t>kg/t，</w:t>
      </w:r>
      <w:r>
        <w:rPr>
          <w:rFonts w:hint="eastAsia" w:hAnsi="宋体"/>
          <w:highlight w:val="none"/>
        </w:rPr>
        <w:t>成品</w:t>
      </w:r>
      <w:r>
        <w:rPr>
          <w:rFonts w:hAnsi="宋体"/>
          <w:highlight w:val="none"/>
        </w:rPr>
        <w:t>堆场装卸扬尘系数Eh为0.</w:t>
      </w:r>
      <w:r>
        <w:rPr>
          <w:rFonts w:hint="eastAsia" w:hAnsi="宋体"/>
          <w:highlight w:val="none"/>
        </w:rPr>
        <w:t>332</w:t>
      </w:r>
      <w:r>
        <w:rPr>
          <w:rFonts w:hAnsi="宋体"/>
          <w:highlight w:val="none"/>
        </w:rPr>
        <w:t>×10</w:t>
      </w:r>
      <w:r>
        <w:rPr>
          <w:rFonts w:hAnsi="宋体"/>
          <w:highlight w:val="none"/>
          <w:vertAlign w:val="superscript"/>
        </w:rPr>
        <w:t>-3</w:t>
      </w:r>
      <w:r>
        <w:rPr>
          <w:rFonts w:hAnsi="宋体"/>
          <w:highlight w:val="none"/>
        </w:rPr>
        <w:t>kg/t。代入</w:t>
      </w:r>
      <w:r>
        <w:rPr>
          <w:rFonts w:hint="eastAsia" w:hAnsi="宋体"/>
          <w:highlight w:val="none"/>
        </w:rPr>
        <w:t>上</w:t>
      </w:r>
      <w:r>
        <w:rPr>
          <w:rFonts w:hAnsi="宋体"/>
          <w:highlight w:val="none"/>
        </w:rPr>
        <w:t>式，项目原矿、</w:t>
      </w:r>
      <w:r>
        <w:rPr>
          <w:rFonts w:hint="eastAsia" w:hAnsi="宋体"/>
          <w:highlight w:val="none"/>
        </w:rPr>
        <w:t>成品</w:t>
      </w:r>
      <w:r>
        <w:rPr>
          <w:rFonts w:hAnsi="宋体"/>
          <w:highlight w:val="none"/>
        </w:rPr>
        <w:t>、</w:t>
      </w:r>
      <w:r>
        <w:rPr>
          <w:rFonts w:hint="eastAsia" w:hAnsi="宋体"/>
          <w:highlight w:val="none"/>
        </w:rPr>
        <w:t>废石</w:t>
      </w:r>
      <w:r>
        <w:rPr>
          <w:rFonts w:hAnsi="宋体"/>
          <w:highlight w:val="none"/>
        </w:rPr>
        <w:t>均堆存于全封闭储库内，仅在物料装卸过程中</w:t>
      </w:r>
      <w:r>
        <w:rPr>
          <w:rFonts w:hint="eastAsia" w:hAnsi="宋体"/>
          <w:highlight w:val="none"/>
        </w:rPr>
        <w:t>有</w:t>
      </w:r>
      <w:r>
        <w:rPr>
          <w:rFonts w:hAnsi="宋体"/>
          <w:highlight w:val="none"/>
        </w:rPr>
        <w:t>少量粉尘</w:t>
      </w:r>
      <w:r>
        <w:rPr>
          <w:rFonts w:hint="eastAsia" w:hAnsi="宋体"/>
          <w:highlight w:val="none"/>
        </w:rPr>
        <w:t>溢</w:t>
      </w:r>
      <w:r>
        <w:rPr>
          <w:rFonts w:hAnsi="宋体"/>
          <w:highlight w:val="none"/>
        </w:rPr>
        <w:t>出，大部分粉尘均由墙体隔绝。抑尘效率取</w:t>
      </w:r>
      <w:r>
        <w:rPr>
          <w:rFonts w:hint="eastAsia" w:hAnsi="宋体"/>
          <w:highlight w:val="none"/>
        </w:rPr>
        <w:t>90</w:t>
      </w:r>
      <w:r>
        <w:rPr>
          <w:rFonts w:hAnsi="宋体"/>
          <w:highlight w:val="none"/>
        </w:rPr>
        <w:t>%，则原矿库、</w:t>
      </w:r>
      <w:r>
        <w:rPr>
          <w:rFonts w:hint="eastAsia" w:hAnsi="宋体"/>
          <w:highlight w:val="none"/>
        </w:rPr>
        <w:t>成品</w:t>
      </w:r>
      <w:r>
        <w:rPr>
          <w:rFonts w:hAnsi="宋体"/>
          <w:highlight w:val="none"/>
        </w:rPr>
        <w:t>库、</w:t>
      </w:r>
      <w:r>
        <w:rPr>
          <w:rFonts w:hint="eastAsia" w:hAnsi="宋体"/>
          <w:highlight w:val="none"/>
        </w:rPr>
        <w:t>废石</w:t>
      </w:r>
      <w:r>
        <w:rPr>
          <w:rFonts w:hAnsi="宋体"/>
          <w:highlight w:val="none"/>
        </w:rPr>
        <w:t>库粉尘无组织排放量分别为</w:t>
      </w:r>
      <w:r>
        <w:rPr>
          <w:rFonts w:hint="eastAsia" w:hAnsi="宋体"/>
          <w:highlight w:val="none"/>
        </w:rPr>
        <w:t>0.693</w:t>
      </w:r>
      <w:r>
        <w:rPr>
          <w:rFonts w:hAnsi="宋体"/>
          <w:highlight w:val="none"/>
        </w:rPr>
        <w:t>t/a、0.</w:t>
      </w:r>
      <w:r>
        <w:rPr>
          <w:rFonts w:hint="eastAsia" w:hAnsi="宋体"/>
          <w:highlight w:val="none"/>
        </w:rPr>
        <w:t>492</w:t>
      </w:r>
      <w:r>
        <w:rPr>
          <w:rFonts w:hAnsi="宋体"/>
          <w:highlight w:val="none"/>
        </w:rPr>
        <w:t>t/a、0.0</w:t>
      </w:r>
      <w:r>
        <w:rPr>
          <w:rFonts w:hint="eastAsia" w:hAnsi="宋体"/>
          <w:highlight w:val="none"/>
        </w:rPr>
        <w:t>29</w:t>
      </w:r>
      <w:r>
        <w:rPr>
          <w:rFonts w:hAnsi="宋体"/>
          <w:highlight w:val="none"/>
        </w:rPr>
        <w:t>t/a。</w:t>
      </w:r>
    </w:p>
    <w:p>
      <w:pPr>
        <w:pStyle w:val="62"/>
        <w:ind w:firstLine="480"/>
        <w:rPr>
          <w:rFonts w:hAnsi="宋体"/>
          <w:highlight w:val="none"/>
        </w:rPr>
      </w:pPr>
      <w:r>
        <w:rPr>
          <w:rFonts w:hint="eastAsia" w:hAnsi="宋体"/>
          <w:highlight w:val="none"/>
        </w:rPr>
        <w:t>2、</w:t>
      </w:r>
      <w:r>
        <w:rPr>
          <w:rFonts w:hAnsi="宋体"/>
          <w:highlight w:val="none"/>
        </w:rPr>
        <w:t>原矿破碎、干选产生的粉尘</w:t>
      </w:r>
    </w:p>
    <w:p>
      <w:pPr>
        <w:pStyle w:val="62"/>
        <w:ind w:firstLine="480"/>
        <w:rPr>
          <w:rFonts w:hAnsi="宋体"/>
          <w:highlight w:val="none"/>
        </w:rPr>
      </w:pPr>
      <w:r>
        <w:rPr>
          <w:rFonts w:hAnsi="宋体"/>
          <w:highlight w:val="none"/>
        </w:rPr>
        <w:t>在原矿破碎、干选进出料、物料转载过程中产生大量的含尘废气，含尘浓度较高，为本项目主要产尘点，如不采取措施将会对周围大气环境造成较大影响。</w:t>
      </w:r>
    </w:p>
    <w:p>
      <w:pPr>
        <w:pStyle w:val="62"/>
        <w:ind w:firstLine="480"/>
        <w:rPr>
          <w:rFonts w:hAnsi="宋体"/>
          <w:highlight w:val="none"/>
        </w:rPr>
      </w:pPr>
      <w:r>
        <w:rPr>
          <w:rFonts w:hAnsi="宋体"/>
          <w:highlight w:val="none"/>
        </w:rPr>
        <w:t>为了最大限度的减少粉尘排放，本次评价要求各产尘设备均布置于车间内，鄂式破碎机入料处三面封闭、上部设集气罩，圆锥破碎机</w:t>
      </w:r>
      <w:r>
        <w:rPr>
          <w:rFonts w:hint="eastAsia" w:hAnsi="宋体"/>
          <w:highlight w:val="none"/>
        </w:rPr>
        <w:t>、</w:t>
      </w:r>
      <w:r>
        <w:rPr>
          <w:rFonts w:hAnsi="宋体"/>
          <w:highlight w:val="none"/>
        </w:rPr>
        <w:t>干选机进、出料口分别设置集尘罩，各皮带机落料点处设置局部密闭负压集气装置，各产尘点废气经收集后通过风机送入一台布袋除尘器进行除尘。</w:t>
      </w:r>
    </w:p>
    <w:p>
      <w:pPr>
        <w:pStyle w:val="62"/>
        <w:ind w:firstLine="480"/>
        <w:rPr>
          <w:rFonts w:hAnsi="宋体"/>
          <w:highlight w:val="none"/>
        </w:rPr>
      </w:pPr>
      <w:r>
        <w:rPr>
          <w:rFonts w:hAnsi="宋体"/>
          <w:highlight w:val="none"/>
        </w:rPr>
        <w:t>根据《第二次全国污染源普查产排污核算系数手册（试用版）》“0810铁矿采选业系数手册”，颗粒物组合产污系数共计为1.71千克/吨-产品。</w:t>
      </w:r>
      <w:r>
        <w:rPr>
          <w:rFonts w:hint="eastAsia" w:hAnsi="宋体"/>
          <w:highlight w:val="none"/>
        </w:rPr>
        <w:t>本项目原料为低品位铁矿，较原矿产品率较低，产污系数失准。本次环评参考原矿按60%的产品率考虑。</w:t>
      </w:r>
      <w:r>
        <w:rPr>
          <w:rFonts w:hAnsi="宋体"/>
          <w:highlight w:val="none"/>
        </w:rPr>
        <w:t>本项目年入选原矿30万吨，产品共计</w:t>
      </w:r>
      <w:r>
        <w:rPr>
          <w:rFonts w:hint="eastAsia" w:hAnsi="宋体"/>
          <w:highlight w:val="none"/>
        </w:rPr>
        <w:t>18</w:t>
      </w:r>
      <w:r>
        <w:rPr>
          <w:rFonts w:hAnsi="宋体"/>
          <w:highlight w:val="none"/>
        </w:rPr>
        <w:t>万吨/年。因此粉尘产生量共计</w:t>
      </w:r>
      <w:r>
        <w:rPr>
          <w:rFonts w:hint="eastAsia" w:hAnsi="宋体"/>
          <w:highlight w:val="none"/>
        </w:rPr>
        <w:t>307.8</w:t>
      </w:r>
      <w:r>
        <w:rPr>
          <w:rFonts w:hAnsi="宋体"/>
          <w:highlight w:val="none"/>
        </w:rPr>
        <w:t>吨/年。</w:t>
      </w:r>
    </w:p>
    <w:p>
      <w:pPr>
        <w:pStyle w:val="62"/>
        <w:ind w:firstLine="480"/>
        <w:rPr>
          <w:rFonts w:hAnsi="宋体"/>
          <w:highlight w:val="none"/>
        </w:rPr>
      </w:pPr>
      <w:r>
        <w:rPr>
          <w:rFonts w:hint="eastAsia" w:hAnsi="宋体"/>
          <w:highlight w:val="none"/>
        </w:rPr>
        <w:t>一段采用颚式破碎机PE500×750进行破碎，破碎机进料口为500mm×750mm，</w:t>
      </w:r>
      <w:r>
        <w:rPr>
          <w:rFonts w:hAnsi="宋体"/>
          <w:highlight w:val="none"/>
        </w:rPr>
        <w:t>颚式破碎机集尘罩罩口</w:t>
      </w:r>
      <w:r>
        <w:rPr>
          <w:rFonts w:hint="eastAsia" w:hAnsi="宋体"/>
          <w:highlight w:val="none"/>
        </w:rPr>
        <w:t>长宽</w:t>
      </w:r>
      <w:r>
        <w:rPr>
          <w:rFonts w:hAnsi="宋体"/>
          <w:highlight w:val="none"/>
        </w:rPr>
        <w:t>约为</w:t>
      </w:r>
      <w:r>
        <w:rPr>
          <w:rFonts w:hint="eastAsia" w:hAnsi="宋体"/>
          <w:highlight w:val="none"/>
        </w:rPr>
        <w:t>700mm×950mm；二段采用颚式破碎机PEX250×1200进行破碎，破碎机进料口为250mm×1200mm，</w:t>
      </w:r>
      <w:r>
        <w:rPr>
          <w:rFonts w:hAnsi="宋体"/>
          <w:highlight w:val="none"/>
        </w:rPr>
        <w:t>颚式破碎机集尘罩罩口</w:t>
      </w:r>
      <w:r>
        <w:rPr>
          <w:rFonts w:hint="eastAsia" w:hAnsi="宋体"/>
          <w:highlight w:val="none"/>
        </w:rPr>
        <w:t>长宽</w:t>
      </w:r>
      <w:r>
        <w:rPr>
          <w:rFonts w:hAnsi="宋体"/>
          <w:highlight w:val="none"/>
        </w:rPr>
        <w:t>为</w:t>
      </w:r>
      <w:r>
        <w:rPr>
          <w:rFonts w:hint="eastAsia" w:hAnsi="宋体"/>
          <w:highlight w:val="none"/>
        </w:rPr>
        <w:t>450mm×1400mm；三段采用圆锥破碎机PYD1200，破碎机进料口为Φ1200mm，圆锥破碎机</w:t>
      </w:r>
      <w:r>
        <w:rPr>
          <w:rFonts w:hAnsi="宋体"/>
          <w:highlight w:val="none"/>
        </w:rPr>
        <w:t>集尘罩罩口</w:t>
      </w:r>
      <w:r>
        <w:rPr>
          <w:rFonts w:hint="eastAsia" w:hAnsi="宋体"/>
          <w:highlight w:val="none"/>
        </w:rPr>
        <w:t>直径</w:t>
      </w:r>
      <w:r>
        <w:rPr>
          <w:rFonts w:hAnsi="宋体"/>
          <w:highlight w:val="none"/>
        </w:rPr>
        <w:t>为</w:t>
      </w:r>
      <w:r>
        <w:rPr>
          <w:rFonts w:hint="eastAsia" w:hAnsi="宋体"/>
          <w:highlight w:val="none"/>
        </w:rPr>
        <w:t>Φ1400mm；</w:t>
      </w:r>
      <w:r>
        <w:rPr>
          <w:rFonts w:hAnsi="宋体"/>
          <w:highlight w:val="none"/>
        </w:rPr>
        <w:t>干选机进、出料口集尘罩罩口</w:t>
      </w:r>
      <w:r>
        <w:rPr>
          <w:rFonts w:hint="eastAsia" w:hAnsi="宋体"/>
          <w:highlight w:val="none"/>
        </w:rPr>
        <w:t>长宽</w:t>
      </w:r>
      <w:r>
        <w:rPr>
          <w:rFonts w:hAnsi="宋体"/>
          <w:highlight w:val="none"/>
        </w:rPr>
        <w:t>均为</w:t>
      </w:r>
      <w:r>
        <w:rPr>
          <w:rFonts w:hint="eastAsia" w:hAnsi="宋体"/>
          <w:highlight w:val="none"/>
        </w:rPr>
        <w:t>800mm×800mm</w:t>
      </w:r>
      <w:r>
        <w:rPr>
          <w:rFonts w:hAnsi="宋体"/>
          <w:highlight w:val="none"/>
        </w:rPr>
        <w:t>。集气罩形状根据实地厂房结构和平面布置进行适当调整，在不影响生产的情况下，尽量减小集气罩和生产设备的高差。</w:t>
      </w:r>
    </w:p>
    <w:p>
      <w:pPr>
        <w:pStyle w:val="62"/>
        <w:ind w:firstLine="480"/>
        <w:rPr>
          <w:rFonts w:hAnsi="宋体"/>
          <w:highlight w:val="none"/>
        </w:rPr>
      </w:pPr>
      <w:r>
        <w:rPr>
          <w:rFonts w:hAnsi="宋体"/>
          <w:highlight w:val="none"/>
        </w:rPr>
        <w:t>根据《环保设备设计手册―大气污染控制设备》（周兴求主编，化学工业出版社）P495：上部集气管道的排风量Q可根据下式计算：</w:t>
      </w:r>
    </w:p>
    <w:p>
      <w:pPr>
        <w:pStyle w:val="62"/>
        <w:ind w:firstLine="480"/>
        <w:rPr>
          <w:rFonts w:hAnsi="宋体"/>
          <w:highlight w:val="none"/>
          <w:lang w:val="en-US"/>
        </w:rPr>
      </w:pPr>
      <w:r>
        <w:rPr>
          <w:rFonts w:hAnsi="宋体"/>
          <w:highlight w:val="none"/>
          <w:lang w:val="en-US"/>
        </w:rPr>
        <w:t>Q=k×L×H×V</w:t>
      </w:r>
      <w:r>
        <w:rPr>
          <w:rFonts w:hint="eastAsia" w:hAnsi="宋体"/>
          <w:highlight w:val="none"/>
          <w:lang w:val="en-US"/>
        </w:rPr>
        <w:t xml:space="preserve">             （4）</w:t>
      </w:r>
    </w:p>
    <w:p>
      <w:pPr>
        <w:pStyle w:val="62"/>
        <w:ind w:firstLine="480"/>
        <w:rPr>
          <w:rFonts w:hAnsi="宋体"/>
          <w:highlight w:val="none"/>
          <w:lang w:val="en-US"/>
        </w:rPr>
      </w:pPr>
      <w:r>
        <w:rPr>
          <w:rFonts w:hAnsi="宋体"/>
          <w:highlight w:val="none"/>
        </w:rPr>
        <w:t>式中</w:t>
      </w:r>
      <w:r>
        <w:rPr>
          <w:rFonts w:hAnsi="宋体"/>
          <w:highlight w:val="none"/>
          <w:lang w:val="en-US"/>
        </w:rPr>
        <w:t>：</w:t>
      </w:r>
    </w:p>
    <w:p>
      <w:pPr>
        <w:pStyle w:val="62"/>
        <w:ind w:firstLine="480"/>
        <w:rPr>
          <w:rFonts w:hAnsi="宋体"/>
          <w:highlight w:val="none"/>
        </w:rPr>
      </w:pPr>
      <w:r>
        <w:rPr>
          <w:rFonts w:hAnsi="宋体"/>
          <w:highlight w:val="none"/>
        </w:rPr>
        <w:t>Q—集气风量，m</w:t>
      </w:r>
      <w:r>
        <w:rPr>
          <w:rFonts w:hAnsi="宋体"/>
          <w:highlight w:val="none"/>
          <w:vertAlign w:val="superscript"/>
        </w:rPr>
        <w:t>3</w:t>
      </w:r>
      <w:r>
        <w:rPr>
          <w:rFonts w:hAnsi="宋体"/>
          <w:highlight w:val="none"/>
        </w:rPr>
        <w:t>/s；</w:t>
      </w:r>
    </w:p>
    <w:p>
      <w:pPr>
        <w:pStyle w:val="62"/>
        <w:ind w:firstLine="480"/>
        <w:rPr>
          <w:rFonts w:hAnsi="宋体"/>
          <w:highlight w:val="none"/>
        </w:rPr>
      </w:pPr>
      <w:r>
        <w:rPr>
          <w:rFonts w:hAnsi="宋体"/>
          <w:highlight w:val="none"/>
        </w:rPr>
        <w:t>L―罩口敞开面的周长；</w:t>
      </w:r>
    </w:p>
    <w:p>
      <w:pPr>
        <w:pStyle w:val="62"/>
        <w:ind w:firstLine="480"/>
        <w:rPr>
          <w:rFonts w:hAnsi="宋体"/>
          <w:highlight w:val="none"/>
        </w:rPr>
      </w:pPr>
      <w:r>
        <w:rPr>
          <w:rFonts w:hAnsi="宋体"/>
          <w:highlight w:val="none"/>
        </w:rPr>
        <w:t>H―污染源至罩口的距离，取0.5m；</w:t>
      </w:r>
    </w:p>
    <w:p>
      <w:pPr>
        <w:pStyle w:val="62"/>
        <w:ind w:firstLine="480"/>
        <w:rPr>
          <w:rFonts w:hAnsi="宋体"/>
          <w:highlight w:val="none"/>
        </w:rPr>
      </w:pPr>
      <w:r>
        <w:rPr>
          <w:rFonts w:hAnsi="宋体"/>
          <w:highlight w:val="none"/>
        </w:rPr>
        <w:t>V―敞开断面处流速，取</w:t>
      </w:r>
      <w:r>
        <w:rPr>
          <w:rFonts w:hint="eastAsia" w:hAnsi="宋体"/>
          <w:highlight w:val="none"/>
        </w:rPr>
        <w:t>1.0</w:t>
      </w:r>
      <w:r>
        <w:rPr>
          <w:rFonts w:hAnsi="宋体"/>
          <w:highlight w:val="none"/>
        </w:rPr>
        <w:t>m/s；</w:t>
      </w:r>
    </w:p>
    <w:p>
      <w:pPr>
        <w:pStyle w:val="62"/>
        <w:ind w:firstLine="480"/>
        <w:rPr>
          <w:rFonts w:hAnsi="宋体"/>
          <w:highlight w:val="none"/>
        </w:rPr>
      </w:pPr>
      <w:r>
        <w:rPr>
          <w:rFonts w:hAnsi="宋体"/>
          <w:highlight w:val="none"/>
        </w:rPr>
        <w:t>k—考虑沿高度速度分布不均匀的安全系数，通常取1.</w:t>
      </w:r>
      <w:r>
        <w:rPr>
          <w:rFonts w:hint="eastAsia" w:hAnsi="宋体"/>
          <w:highlight w:val="none"/>
        </w:rPr>
        <w:t>1</w:t>
      </w:r>
      <w:r>
        <w:rPr>
          <w:rFonts w:hAnsi="宋体"/>
          <w:highlight w:val="none"/>
        </w:rPr>
        <w:t>。</w:t>
      </w:r>
    </w:p>
    <w:p>
      <w:pPr>
        <w:pStyle w:val="62"/>
        <w:ind w:firstLine="480"/>
        <w:rPr>
          <w:rFonts w:hAnsi="宋体"/>
          <w:highlight w:val="none"/>
        </w:rPr>
      </w:pPr>
      <w:r>
        <w:rPr>
          <w:rFonts w:hAnsi="宋体"/>
          <w:highlight w:val="none"/>
        </w:rPr>
        <w:t>经上式计算，</w:t>
      </w:r>
      <w:r>
        <w:rPr>
          <w:rFonts w:hint="eastAsia" w:hAnsi="宋体"/>
          <w:highlight w:val="none"/>
        </w:rPr>
        <w:t>一段颚式破碎机</w:t>
      </w:r>
      <w:r>
        <w:rPr>
          <w:rFonts w:hAnsi="宋体"/>
          <w:highlight w:val="none"/>
        </w:rPr>
        <w:t>罩口所需的风量Q为6534m</w:t>
      </w:r>
      <w:r>
        <w:rPr>
          <w:rFonts w:hAnsi="宋体"/>
          <w:highlight w:val="none"/>
          <w:vertAlign w:val="superscript"/>
        </w:rPr>
        <w:t>3</w:t>
      </w:r>
      <w:r>
        <w:rPr>
          <w:rFonts w:hAnsi="宋体"/>
          <w:highlight w:val="none"/>
        </w:rPr>
        <w:t>/h</w:t>
      </w:r>
      <w:r>
        <w:rPr>
          <w:rFonts w:hint="eastAsia" w:hAnsi="宋体"/>
          <w:highlight w:val="none"/>
        </w:rPr>
        <w:t>；二段颚式破碎机</w:t>
      </w:r>
      <w:r>
        <w:rPr>
          <w:rFonts w:hAnsi="宋体"/>
          <w:highlight w:val="none"/>
        </w:rPr>
        <w:t>罩口所需的风量Q为7326m</w:t>
      </w:r>
      <w:r>
        <w:rPr>
          <w:rFonts w:hAnsi="宋体"/>
          <w:highlight w:val="none"/>
          <w:vertAlign w:val="superscript"/>
        </w:rPr>
        <w:t>3</w:t>
      </w:r>
      <w:r>
        <w:rPr>
          <w:rFonts w:hAnsi="宋体"/>
          <w:highlight w:val="none"/>
        </w:rPr>
        <w:t>/h</w:t>
      </w:r>
      <w:r>
        <w:rPr>
          <w:rFonts w:hint="eastAsia" w:hAnsi="宋体"/>
          <w:highlight w:val="none"/>
        </w:rPr>
        <w:t>；三段圆锥破碎机</w:t>
      </w:r>
      <w:r>
        <w:rPr>
          <w:rFonts w:hAnsi="宋体"/>
          <w:highlight w:val="none"/>
        </w:rPr>
        <w:t>罩口所需的风量Q为8704m</w:t>
      </w:r>
      <w:r>
        <w:rPr>
          <w:rFonts w:hAnsi="宋体"/>
          <w:highlight w:val="none"/>
          <w:vertAlign w:val="superscript"/>
        </w:rPr>
        <w:t>3</w:t>
      </w:r>
      <w:r>
        <w:rPr>
          <w:rFonts w:hAnsi="宋体"/>
          <w:highlight w:val="none"/>
        </w:rPr>
        <w:t>/h</w:t>
      </w:r>
      <w:r>
        <w:rPr>
          <w:rFonts w:hint="eastAsia" w:hAnsi="宋体"/>
          <w:highlight w:val="none"/>
        </w:rPr>
        <w:t>；干选机</w:t>
      </w:r>
      <w:r>
        <w:rPr>
          <w:rFonts w:hAnsi="宋体"/>
          <w:highlight w:val="none"/>
        </w:rPr>
        <w:t>罩口所需的风量Q为6336m</w:t>
      </w:r>
      <w:r>
        <w:rPr>
          <w:rFonts w:hAnsi="宋体"/>
          <w:highlight w:val="none"/>
          <w:vertAlign w:val="superscript"/>
        </w:rPr>
        <w:t>3</w:t>
      </w:r>
      <w:r>
        <w:rPr>
          <w:rFonts w:hAnsi="宋体"/>
          <w:highlight w:val="none"/>
        </w:rPr>
        <w:t>/h</w:t>
      </w:r>
      <w:r>
        <w:rPr>
          <w:rFonts w:hint="eastAsia" w:hAnsi="宋体"/>
          <w:highlight w:val="none"/>
        </w:rPr>
        <w:t>；本项目通过引风管道将5个集尘罩连接，送入同一座布袋除尘器中，5</w:t>
      </w:r>
      <w:r>
        <w:rPr>
          <w:rFonts w:hAnsi="宋体"/>
          <w:highlight w:val="none"/>
        </w:rPr>
        <w:t>个罩口所需的风量Q为35236m</w:t>
      </w:r>
      <w:r>
        <w:rPr>
          <w:rFonts w:hAnsi="宋体"/>
          <w:highlight w:val="none"/>
          <w:vertAlign w:val="superscript"/>
        </w:rPr>
        <w:t>3</w:t>
      </w:r>
      <w:r>
        <w:rPr>
          <w:rFonts w:hAnsi="宋体"/>
          <w:highlight w:val="none"/>
        </w:rPr>
        <w:t>/h，考虑到风力损失，取10%的富裕量，风机风量设计38800m</w:t>
      </w:r>
      <w:r>
        <w:rPr>
          <w:rFonts w:hAnsi="宋体"/>
          <w:highlight w:val="none"/>
          <w:vertAlign w:val="superscript"/>
        </w:rPr>
        <w:t>3</w:t>
      </w:r>
      <w:r>
        <w:rPr>
          <w:rFonts w:hAnsi="宋体"/>
          <w:highlight w:val="none"/>
        </w:rPr>
        <w:t>/h，</w:t>
      </w:r>
      <w:r>
        <w:rPr>
          <w:rFonts w:hint="eastAsia" w:hAnsi="宋体"/>
          <w:highlight w:val="none"/>
        </w:rPr>
        <w:t>因此，</w:t>
      </w:r>
      <w:r>
        <w:rPr>
          <w:rFonts w:hAnsi="宋体"/>
          <w:highlight w:val="none"/>
        </w:rPr>
        <w:t>本项目选取1台风量为3</w:t>
      </w:r>
      <w:r>
        <w:rPr>
          <w:rFonts w:hint="eastAsia" w:hAnsi="宋体"/>
          <w:highlight w:val="none"/>
        </w:rPr>
        <w:t>9000</w:t>
      </w:r>
      <w:r>
        <w:rPr>
          <w:rFonts w:hAnsi="宋体"/>
          <w:highlight w:val="none"/>
        </w:rPr>
        <w:t>m</w:t>
      </w:r>
      <w:r>
        <w:rPr>
          <w:rFonts w:hAnsi="宋体"/>
          <w:highlight w:val="none"/>
          <w:vertAlign w:val="superscript"/>
        </w:rPr>
        <w:t>3</w:t>
      </w:r>
      <w:r>
        <w:rPr>
          <w:rFonts w:hAnsi="宋体"/>
          <w:highlight w:val="none"/>
        </w:rPr>
        <w:t>/h的风机</w:t>
      </w:r>
      <w:r>
        <w:rPr>
          <w:rFonts w:hint="eastAsia" w:hAnsi="宋体"/>
          <w:highlight w:val="none"/>
        </w:rPr>
        <w:t>，通过1座</w:t>
      </w:r>
      <w:r>
        <w:rPr>
          <w:rFonts w:hAnsi="宋体"/>
          <w:highlight w:val="none"/>
        </w:rPr>
        <w:t>15m</w:t>
      </w:r>
      <w:r>
        <w:rPr>
          <w:rFonts w:hint="eastAsia" w:hAnsi="宋体"/>
          <w:highlight w:val="none"/>
        </w:rPr>
        <w:t>高的</w:t>
      </w:r>
      <w:r>
        <w:rPr>
          <w:rFonts w:hAnsi="宋体"/>
          <w:highlight w:val="none"/>
        </w:rPr>
        <w:t>排气筒</w:t>
      </w:r>
      <w:r>
        <w:rPr>
          <w:rFonts w:hint="eastAsia" w:hAnsi="宋体"/>
          <w:highlight w:val="none"/>
        </w:rPr>
        <w:t>排放，排气筒内径Φ1200mm。</w:t>
      </w:r>
    </w:p>
    <w:p>
      <w:pPr>
        <w:pStyle w:val="62"/>
        <w:ind w:firstLine="480"/>
        <w:rPr>
          <w:rFonts w:hAnsi="宋体"/>
          <w:highlight w:val="none"/>
        </w:rPr>
      </w:pPr>
      <w:r>
        <w:rPr>
          <w:rFonts w:hint="eastAsia" w:hAnsi="宋体"/>
          <w:highlight w:val="none"/>
        </w:rPr>
        <w:t>布袋</w:t>
      </w:r>
      <w:r>
        <w:rPr>
          <w:rFonts w:hAnsi="宋体"/>
          <w:highlight w:val="none"/>
        </w:rPr>
        <w:t>除尘器风量设计3</w:t>
      </w:r>
      <w:r>
        <w:rPr>
          <w:rFonts w:hint="eastAsia" w:hAnsi="宋体"/>
          <w:highlight w:val="none"/>
        </w:rPr>
        <w:t>90</w:t>
      </w:r>
      <w:r>
        <w:rPr>
          <w:rFonts w:hAnsi="宋体"/>
          <w:highlight w:val="none"/>
        </w:rPr>
        <w:t>00m</w:t>
      </w:r>
      <w:r>
        <w:rPr>
          <w:rFonts w:hAnsi="宋体"/>
          <w:highlight w:val="none"/>
          <w:vertAlign w:val="superscript"/>
        </w:rPr>
        <w:t>3</w:t>
      </w:r>
      <w:r>
        <w:rPr>
          <w:rFonts w:hAnsi="宋体"/>
          <w:highlight w:val="none"/>
        </w:rPr>
        <w:t>/h</w:t>
      </w:r>
      <w:r>
        <w:rPr>
          <w:rFonts w:hint="eastAsia" w:hAnsi="宋体"/>
          <w:highlight w:val="none"/>
        </w:rPr>
        <w:t>，</w:t>
      </w:r>
      <w:r>
        <w:rPr>
          <w:rFonts w:hAnsi="宋体"/>
          <w:highlight w:val="none"/>
        </w:rPr>
        <w:t>除尘器</w:t>
      </w:r>
      <w:r>
        <w:rPr>
          <w:rFonts w:hint="eastAsia" w:hAnsi="宋体"/>
          <w:highlight w:val="none"/>
        </w:rPr>
        <w:t>进口</w:t>
      </w:r>
      <w:r>
        <w:rPr>
          <w:rFonts w:hint="eastAsia" w:hAnsi="宋体" w:cs="宋体"/>
          <w:bCs/>
          <w:highlight w:val="none"/>
        </w:rPr>
        <w:t>浓度</w:t>
      </w:r>
      <w:r>
        <w:rPr>
          <w:rFonts w:hint="eastAsia" w:hAnsi="宋体"/>
          <w:highlight w:val="none"/>
          <w:lang w:val="en-US"/>
        </w:rPr>
        <w:t>1096.2mg/m</w:t>
      </w:r>
      <w:r>
        <w:rPr>
          <w:rFonts w:hint="eastAsia" w:hAnsi="宋体"/>
          <w:highlight w:val="none"/>
          <w:vertAlign w:val="superscript"/>
          <w:lang w:val="en-US"/>
        </w:rPr>
        <w:t>3</w:t>
      </w:r>
      <w:r>
        <w:rPr>
          <w:rFonts w:hint="eastAsia" w:hAnsi="宋体"/>
          <w:highlight w:val="none"/>
        </w:rPr>
        <w:t>，</w:t>
      </w:r>
      <w:r>
        <w:rPr>
          <w:rFonts w:hAnsi="宋体"/>
          <w:highlight w:val="none"/>
        </w:rPr>
        <w:t>过滤风速0.6m/min，过滤面积</w:t>
      </w:r>
      <w:r>
        <w:rPr>
          <w:rFonts w:hint="eastAsia" w:hAnsi="宋体"/>
          <w:highlight w:val="none"/>
        </w:rPr>
        <w:t>1083</w:t>
      </w:r>
      <w:r>
        <w:rPr>
          <w:rFonts w:hAnsi="宋体"/>
          <w:highlight w:val="none"/>
        </w:rPr>
        <w:t>m</w:t>
      </w:r>
      <w:r>
        <w:rPr>
          <w:rFonts w:hAnsi="宋体"/>
          <w:highlight w:val="none"/>
          <w:vertAlign w:val="superscript"/>
        </w:rPr>
        <w:t>2</w:t>
      </w:r>
      <w:r>
        <w:rPr>
          <w:rFonts w:hAnsi="宋体"/>
          <w:highlight w:val="none"/>
        </w:rPr>
        <w:t>，滤袋材质采用PPS复合覆膜，粉尘集气效率按95%计，除尘效率99%以上，除尘器出口浓度控制在10mg/m</w:t>
      </w:r>
      <w:r>
        <w:rPr>
          <w:rFonts w:hAnsi="宋体"/>
          <w:highlight w:val="none"/>
          <w:vertAlign w:val="superscript"/>
        </w:rPr>
        <w:t>3</w:t>
      </w:r>
      <w:r>
        <w:rPr>
          <w:rFonts w:hAnsi="宋体"/>
          <w:highlight w:val="none"/>
        </w:rPr>
        <w:t>以下</w:t>
      </w:r>
      <w:r>
        <w:rPr>
          <w:rFonts w:hint="eastAsia" w:hAnsi="宋体"/>
          <w:highlight w:val="none"/>
        </w:rPr>
        <w:t>。运行制度7200小时计。</w:t>
      </w:r>
    </w:p>
    <w:p>
      <w:pPr>
        <w:ind w:firstLine="480"/>
        <w:rPr>
          <w:rFonts w:ascii="宋体" w:hAnsi="宋体"/>
          <w:highlight w:val="none"/>
        </w:rPr>
      </w:pPr>
      <w:r>
        <w:rPr>
          <w:rFonts w:hint="eastAsia" w:ascii="宋体" w:hAnsi="宋体" w:cs="宋体"/>
          <w:szCs w:val="20"/>
          <w:highlight w:val="none"/>
        </w:rPr>
        <w:t>颗粒物</w:t>
      </w:r>
      <w:r>
        <w:rPr>
          <w:rFonts w:hint="eastAsia" w:ascii="宋体" w:hAnsi="宋体" w:cs="宋体"/>
          <w:bCs/>
          <w:szCs w:val="20"/>
          <w:highlight w:val="none"/>
        </w:rPr>
        <w:t>产生量</w:t>
      </w:r>
      <w:r>
        <w:rPr>
          <w:rFonts w:hint="eastAsia" w:ascii="宋体" w:hAnsi="宋体"/>
          <w:highlight w:val="none"/>
        </w:rPr>
        <w:t>=</w:t>
      </w:r>
      <w:r>
        <w:rPr>
          <w:rFonts w:ascii="宋体" w:hAnsi="宋体"/>
          <w:highlight w:val="none"/>
        </w:rPr>
        <w:t>307.8t/a</w:t>
      </w:r>
    </w:p>
    <w:p>
      <w:pPr>
        <w:ind w:firstLine="480"/>
        <w:rPr>
          <w:rFonts w:ascii="宋体" w:hAnsi="宋体"/>
          <w:highlight w:val="none"/>
        </w:rPr>
      </w:pPr>
      <w:r>
        <w:rPr>
          <w:rFonts w:hint="eastAsia" w:ascii="宋体" w:hAnsi="宋体" w:cs="宋体"/>
          <w:szCs w:val="20"/>
          <w:highlight w:val="none"/>
        </w:rPr>
        <w:t>颗粒物</w:t>
      </w:r>
      <w:r>
        <w:rPr>
          <w:rFonts w:hint="eastAsia" w:ascii="宋体" w:hAnsi="宋体" w:cs="宋体"/>
          <w:bCs/>
          <w:szCs w:val="20"/>
          <w:highlight w:val="none"/>
        </w:rPr>
        <w:t>产生浓度=</w:t>
      </w:r>
      <w:r>
        <w:rPr>
          <w:rFonts w:ascii="宋体" w:hAnsi="宋体"/>
          <w:highlight w:val="none"/>
        </w:rPr>
        <w:t>307.8</w:t>
      </w:r>
      <w:r>
        <w:rPr>
          <w:rFonts w:hint="eastAsia" w:ascii="宋体" w:hAnsi="宋体"/>
          <w:highlight w:val="none"/>
        </w:rPr>
        <w:t>/300/39000/24×10</w:t>
      </w:r>
      <w:r>
        <w:rPr>
          <w:rFonts w:hint="eastAsia" w:ascii="宋体" w:hAnsi="宋体"/>
          <w:highlight w:val="none"/>
          <w:vertAlign w:val="superscript"/>
        </w:rPr>
        <w:t>9</w:t>
      </w:r>
      <w:r>
        <w:rPr>
          <w:rFonts w:hint="eastAsia" w:ascii="宋体" w:hAnsi="宋体"/>
          <w:highlight w:val="none"/>
        </w:rPr>
        <w:t>=1096.2mg/m</w:t>
      </w:r>
      <w:r>
        <w:rPr>
          <w:rFonts w:hint="eastAsia" w:ascii="宋体" w:hAnsi="宋体"/>
          <w:highlight w:val="none"/>
          <w:vertAlign w:val="superscript"/>
        </w:rPr>
        <w:t>3</w:t>
      </w:r>
    </w:p>
    <w:p>
      <w:pPr>
        <w:ind w:firstLine="480"/>
        <w:rPr>
          <w:rFonts w:ascii="宋体" w:hAnsi="宋体"/>
          <w:highlight w:val="none"/>
        </w:rPr>
      </w:pPr>
      <w:r>
        <w:rPr>
          <w:rFonts w:hint="eastAsia" w:ascii="宋体" w:hAnsi="宋体" w:cs="宋体"/>
          <w:szCs w:val="20"/>
          <w:highlight w:val="none"/>
        </w:rPr>
        <w:t>颗粒物</w:t>
      </w:r>
      <w:r>
        <w:rPr>
          <w:rFonts w:hint="eastAsia" w:ascii="宋体" w:hAnsi="宋体"/>
          <w:highlight w:val="none"/>
        </w:rPr>
        <w:t>排放量=300d/a×24h×39000m</w:t>
      </w:r>
      <w:r>
        <w:rPr>
          <w:rFonts w:hint="eastAsia" w:ascii="宋体" w:hAnsi="宋体"/>
          <w:highlight w:val="none"/>
          <w:vertAlign w:val="superscript"/>
        </w:rPr>
        <w:t>3</w:t>
      </w:r>
      <w:r>
        <w:rPr>
          <w:rFonts w:hint="eastAsia" w:ascii="宋体" w:hAnsi="宋体"/>
          <w:highlight w:val="none"/>
        </w:rPr>
        <w:t>/h×10mg/m</w:t>
      </w:r>
      <w:r>
        <w:rPr>
          <w:rFonts w:hint="eastAsia" w:ascii="宋体" w:hAnsi="宋体"/>
          <w:highlight w:val="none"/>
          <w:vertAlign w:val="superscript"/>
        </w:rPr>
        <w:t>3</w:t>
      </w:r>
      <w:r>
        <w:rPr>
          <w:rFonts w:hint="eastAsia" w:ascii="宋体" w:hAnsi="宋体"/>
          <w:highlight w:val="none"/>
        </w:rPr>
        <w:t>=2.808t/a</w:t>
      </w:r>
    </w:p>
    <w:p>
      <w:pPr>
        <w:pStyle w:val="62"/>
        <w:ind w:firstLine="480"/>
        <w:rPr>
          <w:rFonts w:hAnsi="宋体"/>
          <w:highlight w:val="none"/>
        </w:rPr>
      </w:pPr>
      <w:r>
        <w:rPr>
          <w:rFonts w:hint="eastAsia" w:hAnsi="宋体"/>
          <w:highlight w:val="none"/>
        </w:rPr>
        <w:t>粉尘产生量为</w:t>
      </w:r>
      <w:r>
        <w:rPr>
          <w:rFonts w:hint="eastAsia" w:hAnsi="宋体"/>
          <w:highlight w:val="none"/>
          <w:lang w:val="en-US"/>
        </w:rPr>
        <w:t>307.8t/a，</w:t>
      </w:r>
      <w:r>
        <w:rPr>
          <w:rFonts w:hint="eastAsia" w:hAnsi="宋体" w:cs="宋体"/>
          <w:highlight w:val="none"/>
        </w:rPr>
        <w:t>颗粒物</w:t>
      </w:r>
      <w:r>
        <w:rPr>
          <w:rFonts w:hint="eastAsia" w:hAnsi="宋体" w:cs="宋体"/>
          <w:bCs/>
          <w:highlight w:val="none"/>
        </w:rPr>
        <w:t>产生浓度</w:t>
      </w:r>
      <w:r>
        <w:rPr>
          <w:rFonts w:hint="eastAsia" w:hAnsi="宋体"/>
          <w:highlight w:val="none"/>
          <w:lang w:val="en-US"/>
        </w:rPr>
        <w:t>1096.2mg/m</w:t>
      </w:r>
      <w:r>
        <w:rPr>
          <w:rFonts w:hint="eastAsia" w:hAnsi="宋体"/>
          <w:highlight w:val="none"/>
          <w:vertAlign w:val="superscript"/>
          <w:lang w:val="en-US"/>
        </w:rPr>
        <w:t>3</w:t>
      </w:r>
      <w:r>
        <w:rPr>
          <w:rFonts w:hint="eastAsia" w:hAnsi="宋体"/>
          <w:highlight w:val="none"/>
          <w:lang w:val="en-US"/>
        </w:rPr>
        <w:t>，</w:t>
      </w:r>
      <w:r>
        <w:rPr>
          <w:rFonts w:hint="eastAsia" w:hAnsi="宋体"/>
          <w:highlight w:val="none"/>
        </w:rPr>
        <w:t>粉尘有组织排放量为</w:t>
      </w:r>
      <w:r>
        <w:rPr>
          <w:rFonts w:hint="eastAsia" w:hAnsi="宋体"/>
          <w:highlight w:val="none"/>
          <w:lang w:val="en-US"/>
        </w:rPr>
        <w:t>2.808t/a，</w:t>
      </w:r>
      <w:r>
        <w:rPr>
          <w:rFonts w:hint="eastAsia" w:hAnsi="宋体"/>
          <w:highlight w:val="none"/>
        </w:rPr>
        <w:t>排放速率</w:t>
      </w:r>
      <w:r>
        <w:rPr>
          <w:rFonts w:hint="eastAsia" w:hAnsi="宋体"/>
          <w:highlight w:val="none"/>
          <w:lang w:val="en-US"/>
        </w:rPr>
        <w:t>0.39kg/h</w:t>
      </w:r>
      <w:r>
        <w:rPr>
          <w:rFonts w:hint="eastAsia" w:hAnsi="宋体"/>
          <w:highlight w:val="none"/>
        </w:rPr>
        <w:t>。无组织产生量为15.39t/a，车间封闭可抑尘90%，最终无组织排放量1.539t/a，排放速率0.214kg/h。</w:t>
      </w:r>
      <w:r>
        <w:rPr>
          <w:rFonts w:hAnsi="宋体"/>
          <w:highlight w:val="none"/>
        </w:rPr>
        <w:t>满足《铁矿采选工业污染物排放标准》（GB28661-2012）中表6大气污染物特别排放限值的要求。</w:t>
      </w:r>
    </w:p>
    <w:p>
      <w:pPr>
        <w:pStyle w:val="62"/>
        <w:ind w:firstLine="480"/>
        <w:rPr>
          <w:rFonts w:hAnsi="宋体"/>
          <w:highlight w:val="none"/>
        </w:rPr>
      </w:pPr>
      <w:r>
        <w:rPr>
          <w:rFonts w:hint="eastAsia" w:hAnsi="宋体"/>
          <w:highlight w:val="none"/>
        </w:rPr>
        <w:t>3、</w:t>
      </w:r>
      <w:r>
        <w:rPr>
          <w:rFonts w:hAnsi="宋体"/>
          <w:highlight w:val="none"/>
        </w:rPr>
        <w:t>输送转运过程产生粉尘</w:t>
      </w:r>
    </w:p>
    <w:p>
      <w:pPr>
        <w:pStyle w:val="62"/>
        <w:ind w:firstLine="480"/>
        <w:rPr>
          <w:rFonts w:hAnsi="宋体"/>
          <w:highlight w:val="none"/>
        </w:rPr>
      </w:pPr>
      <w:r>
        <w:rPr>
          <w:rFonts w:hAnsi="宋体"/>
          <w:highlight w:val="none"/>
        </w:rPr>
        <w:t>本项目输送、转载过程采用全封闭皮带通廊，物料进入球磨机后，生产全程皆为湿料，输送转运过程在全封闭生产车间内进行，基本不会产生无组织粉尘。</w:t>
      </w:r>
    </w:p>
    <w:p>
      <w:pPr>
        <w:pStyle w:val="62"/>
        <w:ind w:firstLine="480"/>
        <w:rPr>
          <w:rFonts w:hAnsi="宋体"/>
          <w:highlight w:val="none"/>
        </w:rPr>
      </w:pPr>
      <w:r>
        <w:rPr>
          <w:rFonts w:hint="eastAsia" w:hAnsi="宋体"/>
          <w:highlight w:val="none"/>
        </w:rPr>
        <w:t>4、</w:t>
      </w:r>
      <w:r>
        <w:rPr>
          <w:rFonts w:hAnsi="宋体"/>
          <w:highlight w:val="none"/>
        </w:rPr>
        <w:t>道路扬尘项目道路扬尘计算采用《扬尘源颗粒物排放清单编制技术指南》推荐的公式进行计算，公式如下：</w:t>
      </w:r>
    </w:p>
    <w:p>
      <w:pPr>
        <w:pStyle w:val="62"/>
        <w:spacing w:line="240" w:lineRule="auto"/>
        <w:ind w:firstLine="440"/>
        <w:jc w:val="center"/>
        <w:rPr>
          <w:rFonts w:hAnsi="宋体"/>
          <w:sz w:val="20"/>
          <w:highlight w:val="none"/>
        </w:rPr>
      </w:pPr>
      <w:r>
        <w:rPr>
          <w:rFonts w:hAnsi="宋体"/>
          <w:sz w:val="22"/>
          <w:szCs w:val="22"/>
          <w:highlight w:val="none"/>
          <w:lang w:val="en-US"/>
        </w:rPr>
        <w:drawing>
          <wp:inline distT="0" distB="0" distL="0" distR="0">
            <wp:extent cx="2687955" cy="3327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87955" cy="332740"/>
                    </a:xfrm>
                    <a:prstGeom prst="rect">
                      <a:avLst/>
                    </a:prstGeom>
                    <a:noFill/>
                    <a:ln>
                      <a:noFill/>
                    </a:ln>
                  </pic:spPr>
                </pic:pic>
              </a:graphicData>
            </a:graphic>
          </wp:inline>
        </w:drawing>
      </w:r>
      <w:r>
        <w:rPr>
          <w:rFonts w:hint="eastAsia" w:hAnsi="宋体"/>
          <w:highlight w:val="none"/>
        </w:rPr>
        <w:t>（5）</w:t>
      </w:r>
    </w:p>
    <w:p>
      <w:pPr>
        <w:pStyle w:val="62"/>
        <w:ind w:firstLine="480"/>
        <w:rPr>
          <w:rFonts w:hAnsi="宋体"/>
          <w:highlight w:val="none"/>
        </w:rPr>
      </w:pPr>
      <w:r>
        <w:rPr>
          <w:rFonts w:hAnsi="宋体"/>
          <w:highlight w:val="none"/>
        </w:rPr>
        <w:t>式中：</w:t>
      </w:r>
    </w:p>
    <w:p>
      <w:pPr>
        <w:pStyle w:val="62"/>
        <w:ind w:firstLine="480"/>
        <w:rPr>
          <w:rFonts w:hAnsi="宋体"/>
          <w:highlight w:val="none"/>
        </w:rPr>
      </w:pPr>
      <w:r>
        <w:rPr>
          <w:rFonts w:hAnsi="宋体"/>
          <w:highlight w:val="none"/>
        </w:rPr>
        <w:t>1）W</w:t>
      </w:r>
      <w:r>
        <w:rPr>
          <w:rFonts w:hAnsi="宋体"/>
          <w:highlight w:val="none"/>
          <w:vertAlign w:val="subscript"/>
        </w:rPr>
        <w:t>Ri</w:t>
      </w:r>
      <w:r>
        <w:rPr>
          <w:rFonts w:hAnsi="宋体"/>
          <w:highlight w:val="none"/>
        </w:rPr>
        <w:t>为道路扬尘源中颗粒物的总排放量，t/a</w:t>
      </w:r>
      <w:r>
        <w:rPr>
          <w:rFonts w:hint="eastAsia" w:hAnsi="宋体"/>
          <w:highlight w:val="none"/>
        </w:rPr>
        <w:t>；</w:t>
      </w:r>
    </w:p>
    <w:p>
      <w:pPr>
        <w:pStyle w:val="62"/>
        <w:ind w:firstLine="480"/>
        <w:rPr>
          <w:rFonts w:hAnsi="宋体"/>
          <w:highlight w:val="none"/>
        </w:rPr>
      </w:pPr>
      <w:r>
        <w:rPr>
          <w:rFonts w:hAnsi="宋体"/>
          <w:highlight w:val="none"/>
        </w:rPr>
        <w:t>2）E</w:t>
      </w:r>
      <w:r>
        <w:rPr>
          <w:rFonts w:hAnsi="宋体"/>
          <w:highlight w:val="none"/>
          <w:vertAlign w:val="subscript"/>
        </w:rPr>
        <w:t>Ri</w:t>
      </w:r>
      <w:r>
        <w:rPr>
          <w:rFonts w:hAnsi="宋体"/>
          <w:highlight w:val="none"/>
        </w:rPr>
        <w:t>为道路扬尘源中颗粒物平均排放系数，取</w:t>
      </w:r>
      <w:r>
        <w:rPr>
          <w:rFonts w:hint="eastAsia" w:hAnsi="宋体"/>
          <w:highlight w:val="none"/>
        </w:rPr>
        <w:t>843</w:t>
      </w:r>
      <w:r>
        <w:rPr>
          <w:rFonts w:hAnsi="宋体"/>
          <w:highlight w:val="none"/>
        </w:rPr>
        <w:t>g/(km•辆)</w:t>
      </w:r>
      <w:r>
        <w:rPr>
          <w:rFonts w:hint="eastAsia" w:hAnsi="宋体"/>
          <w:highlight w:val="none"/>
        </w:rPr>
        <w:t>；</w:t>
      </w:r>
    </w:p>
    <w:p>
      <w:pPr>
        <w:pStyle w:val="62"/>
        <w:ind w:firstLine="480"/>
        <w:rPr>
          <w:rFonts w:hAnsi="宋体"/>
          <w:highlight w:val="none"/>
        </w:rPr>
      </w:pPr>
      <w:r>
        <w:rPr>
          <w:rFonts w:hAnsi="宋体"/>
          <w:highlight w:val="none"/>
        </w:rPr>
        <w:t>3）L</w:t>
      </w:r>
      <w:r>
        <w:rPr>
          <w:rFonts w:hAnsi="宋体"/>
          <w:highlight w:val="none"/>
          <w:vertAlign w:val="subscript"/>
        </w:rPr>
        <w:t>R</w:t>
      </w:r>
      <w:r>
        <w:rPr>
          <w:rFonts w:hAnsi="宋体"/>
          <w:highlight w:val="none"/>
        </w:rPr>
        <w:t>为道路长度，0.</w:t>
      </w:r>
      <w:r>
        <w:rPr>
          <w:rFonts w:hint="eastAsia" w:hAnsi="宋体"/>
          <w:highlight w:val="none"/>
        </w:rPr>
        <w:t>2</w:t>
      </w:r>
      <w:r>
        <w:rPr>
          <w:rFonts w:hAnsi="宋体"/>
          <w:highlight w:val="none"/>
        </w:rPr>
        <w:t>km</w:t>
      </w:r>
      <w:r>
        <w:rPr>
          <w:rFonts w:hint="eastAsia" w:hAnsi="宋体"/>
          <w:highlight w:val="none"/>
        </w:rPr>
        <w:t>；</w:t>
      </w:r>
    </w:p>
    <w:p>
      <w:pPr>
        <w:pStyle w:val="62"/>
        <w:ind w:firstLine="480"/>
        <w:rPr>
          <w:rFonts w:hAnsi="宋体"/>
          <w:highlight w:val="none"/>
        </w:rPr>
      </w:pPr>
      <w:r>
        <w:rPr>
          <w:rFonts w:hAnsi="宋体"/>
          <w:highlight w:val="none"/>
        </w:rPr>
        <w:t>4）N</w:t>
      </w:r>
      <w:r>
        <w:rPr>
          <w:rFonts w:hAnsi="宋体"/>
          <w:highlight w:val="none"/>
          <w:vertAlign w:val="subscript"/>
        </w:rPr>
        <w:t>R</w:t>
      </w:r>
      <w:r>
        <w:rPr>
          <w:rFonts w:hAnsi="宋体"/>
          <w:highlight w:val="none"/>
        </w:rPr>
        <w:t>运输次数，</w:t>
      </w:r>
      <w:r>
        <w:rPr>
          <w:rFonts w:hint="eastAsia" w:hAnsi="宋体"/>
          <w:highlight w:val="none"/>
        </w:rPr>
        <w:t>20000</w:t>
      </w:r>
      <w:r>
        <w:rPr>
          <w:rFonts w:hAnsi="宋体"/>
          <w:highlight w:val="none"/>
        </w:rPr>
        <w:t>辆/a</w:t>
      </w:r>
      <w:r>
        <w:rPr>
          <w:rFonts w:hint="eastAsia" w:hAnsi="宋体"/>
          <w:highlight w:val="none"/>
        </w:rPr>
        <w:t>；</w:t>
      </w:r>
    </w:p>
    <w:p>
      <w:pPr>
        <w:pStyle w:val="62"/>
        <w:ind w:firstLine="480"/>
        <w:rPr>
          <w:rFonts w:hAnsi="宋体"/>
          <w:highlight w:val="none"/>
        </w:rPr>
      </w:pPr>
      <w:r>
        <w:rPr>
          <w:rFonts w:hAnsi="宋体"/>
          <w:highlight w:val="none"/>
        </w:rPr>
        <w:t>5）n</w:t>
      </w:r>
      <w:r>
        <w:rPr>
          <w:rFonts w:hAnsi="宋体"/>
          <w:highlight w:val="none"/>
          <w:vertAlign w:val="subscript"/>
        </w:rPr>
        <w:t>r</w:t>
      </w:r>
      <w:r>
        <w:rPr>
          <w:rFonts w:hAnsi="宋体"/>
          <w:highlight w:val="none"/>
        </w:rPr>
        <w:t>为不起尘天数，取90。</w:t>
      </w:r>
    </w:p>
    <w:p>
      <w:pPr>
        <w:pStyle w:val="62"/>
        <w:ind w:firstLine="480"/>
        <w:rPr>
          <w:rFonts w:hAnsi="宋体"/>
          <w:highlight w:val="none"/>
        </w:rPr>
      </w:pPr>
      <w:r>
        <w:rPr>
          <w:rFonts w:hint="eastAsia" w:hAnsi="宋体"/>
          <w:highlight w:val="none"/>
        </w:rPr>
        <w:t>对于铺装道路，道路扬尘源排放系数计算公式：</w:t>
      </w:r>
    </w:p>
    <w:p>
      <w:pPr>
        <w:pStyle w:val="62"/>
        <w:spacing w:line="240" w:lineRule="auto"/>
        <w:ind w:firstLine="0" w:firstLineChars="0"/>
        <w:jc w:val="center"/>
        <w:rPr>
          <w:rFonts w:hAnsi="宋体"/>
          <w:highlight w:val="none"/>
        </w:rPr>
      </w:pPr>
      <w:r>
        <w:rPr>
          <w:rFonts w:hAnsi="宋体"/>
          <w:highlight w:val="none"/>
          <w:lang w:val="en-US"/>
        </w:rPr>
        <w:drawing>
          <wp:inline distT="0" distB="0" distL="0" distR="0">
            <wp:extent cx="2420620" cy="3136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2419659" cy="313550"/>
                    </a:xfrm>
                    <a:prstGeom prst="rect">
                      <a:avLst/>
                    </a:prstGeom>
                  </pic:spPr>
                </pic:pic>
              </a:graphicData>
            </a:graphic>
          </wp:inline>
        </w:drawing>
      </w:r>
      <w:r>
        <w:rPr>
          <w:rFonts w:hint="eastAsia" w:hAnsi="宋体"/>
          <w:highlight w:val="none"/>
        </w:rPr>
        <w:t>（6）</w:t>
      </w:r>
    </w:p>
    <w:p>
      <w:pPr>
        <w:pStyle w:val="62"/>
        <w:ind w:firstLine="480"/>
        <w:rPr>
          <w:rFonts w:hAnsi="宋体"/>
          <w:highlight w:val="none"/>
        </w:rPr>
      </w:pPr>
      <w:r>
        <w:rPr>
          <w:rFonts w:hint="eastAsia" w:hAnsi="宋体"/>
          <w:highlight w:val="none"/>
        </w:rPr>
        <w:t>式中：</w:t>
      </w:r>
    </w:p>
    <w:p>
      <w:pPr>
        <w:pStyle w:val="62"/>
        <w:ind w:firstLine="480"/>
        <w:rPr>
          <w:rFonts w:hAnsi="宋体"/>
          <w:highlight w:val="none"/>
        </w:rPr>
      </w:pPr>
      <w:r>
        <w:rPr>
          <w:rFonts w:hint="eastAsia" w:hAnsi="宋体"/>
          <w:highlight w:val="none"/>
        </w:rPr>
        <w:t>1）E</w:t>
      </w:r>
      <w:r>
        <w:rPr>
          <w:rFonts w:hint="eastAsia" w:hAnsi="宋体"/>
          <w:highlight w:val="none"/>
          <w:vertAlign w:val="subscript"/>
        </w:rPr>
        <w:t>Pi</w:t>
      </w:r>
      <w:r>
        <w:rPr>
          <w:rFonts w:hint="eastAsia" w:hAnsi="宋体"/>
          <w:highlight w:val="none"/>
        </w:rPr>
        <w:t>为铺装道路的扬尘中PMi排放系数，g/km（机动车行驶1千米产生的道路扬尘质量）。</w:t>
      </w:r>
    </w:p>
    <w:p>
      <w:pPr>
        <w:pStyle w:val="62"/>
        <w:ind w:firstLine="480"/>
        <w:rPr>
          <w:rFonts w:hAnsi="宋体"/>
          <w:highlight w:val="none"/>
        </w:rPr>
      </w:pPr>
      <w:r>
        <w:rPr>
          <w:rFonts w:hint="eastAsia" w:hAnsi="宋体"/>
          <w:highlight w:val="none"/>
        </w:rPr>
        <w:t>2）k</w:t>
      </w:r>
      <w:r>
        <w:rPr>
          <w:rFonts w:hint="eastAsia" w:hAnsi="宋体"/>
          <w:highlight w:val="none"/>
          <w:vertAlign w:val="subscript"/>
        </w:rPr>
        <w:t>i</w:t>
      </w:r>
      <w:r>
        <w:rPr>
          <w:rFonts w:hint="eastAsia" w:hAnsi="宋体"/>
          <w:highlight w:val="none"/>
        </w:rPr>
        <w:t>为产生的扬尘中PMi的粒度乘数，取3.23。</w:t>
      </w:r>
    </w:p>
    <w:p>
      <w:pPr>
        <w:pStyle w:val="62"/>
        <w:ind w:firstLine="480"/>
        <w:rPr>
          <w:rFonts w:hAnsi="宋体"/>
          <w:highlight w:val="none"/>
        </w:rPr>
      </w:pPr>
      <w:r>
        <w:rPr>
          <w:rFonts w:hint="eastAsia" w:hAnsi="宋体"/>
          <w:highlight w:val="none"/>
        </w:rPr>
        <w:t>3）sL为道路积尘负荷，g/m</w:t>
      </w:r>
      <w:r>
        <w:rPr>
          <w:rFonts w:hint="eastAsia" w:hAnsi="宋体"/>
          <w:highlight w:val="none"/>
          <w:vertAlign w:val="superscript"/>
        </w:rPr>
        <w:t>2</w:t>
      </w:r>
      <w:r>
        <w:rPr>
          <w:rFonts w:hint="eastAsia" w:hAnsi="宋体"/>
          <w:highlight w:val="none"/>
        </w:rPr>
        <w:t>。取值参考《防治城市扬尘污染技术规范》（HJ/T393-2007）中的附录C，取值10。</w:t>
      </w:r>
    </w:p>
    <w:p>
      <w:pPr>
        <w:pStyle w:val="62"/>
        <w:ind w:firstLine="480"/>
        <w:rPr>
          <w:rFonts w:hAnsi="宋体"/>
          <w:highlight w:val="none"/>
        </w:rPr>
      </w:pPr>
      <w:r>
        <w:rPr>
          <w:rFonts w:hint="eastAsia" w:hAnsi="宋体"/>
          <w:highlight w:val="none"/>
        </w:rPr>
        <w:t>4）W为平均车重，t。表示通过某等级道路所有车辆的平均重量，取30。</w:t>
      </w:r>
    </w:p>
    <w:p>
      <w:pPr>
        <w:pStyle w:val="62"/>
        <w:ind w:firstLine="480"/>
        <w:rPr>
          <w:rFonts w:hAnsi="宋体"/>
          <w:highlight w:val="none"/>
        </w:rPr>
      </w:pPr>
      <w:r>
        <w:rPr>
          <w:rFonts w:hAnsi="宋体"/>
          <w:highlight w:val="none"/>
        </w:rPr>
        <w:t>经计算</w:t>
      </w:r>
      <w:r>
        <w:rPr>
          <w:rFonts w:hint="eastAsia" w:hAnsi="宋体"/>
          <w:highlight w:val="none"/>
        </w:rPr>
        <w:t>：E</w:t>
      </w:r>
      <w:r>
        <w:rPr>
          <w:rFonts w:hint="eastAsia" w:hAnsi="宋体"/>
          <w:highlight w:val="none"/>
          <w:vertAlign w:val="subscript"/>
        </w:rPr>
        <w:t>Pi</w:t>
      </w:r>
      <w:r>
        <w:rPr>
          <w:rFonts w:hint="eastAsia" w:hAnsi="宋体"/>
          <w:highlight w:val="none"/>
        </w:rPr>
        <w:t>=843g/km；</w:t>
      </w:r>
      <w:r>
        <w:rPr>
          <w:rFonts w:hAnsi="宋体"/>
          <w:highlight w:val="none"/>
        </w:rPr>
        <w:t>本项目产生道路扬尘</w:t>
      </w:r>
      <w:r>
        <w:rPr>
          <w:rFonts w:hint="eastAsia" w:hAnsi="宋体"/>
          <w:highlight w:val="none"/>
        </w:rPr>
        <w:t>2.541</w:t>
      </w:r>
      <w:r>
        <w:rPr>
          <w:rFonts w:hAnsi="宋体"/>
          <w:highlight w:val="none"/>
        </w:rPr>
        <w:t>t/a。为了减少道路扬尘对大气环境的污染，评价要求厂区运输道路洒水，运输汽车上路前采用篷布遮盖严实，并及时清理车轮附带的泥土等措施。在采取防治措施后抑尘70%，道路扬尘排放量为</w:t>
      </w:r>
      <w:r>
        <w:rPr>
          <w:rFonts w:hint="eastAsia" w:hAnsi="宋体"/>
          <w:highlight w:val="none"/>
        </w:rPr>
        <w:t>0.762</w:t>
      </w:r>
      <w:r>
        <w:rPr>
          <w:rFonts w:hAnsi="宋体"/>
          <w:highlight w:val="none"/>
        </w:rPr>
        <w:t>t/a。</w:t>
      </w:r>
    </w:p>
    <w:p>
      <w:pPr>
        <w:pStyle w:val="62"/>
        <w:ind w:firstLine="480"/>
        <w:rPr>
          <w:rFonts w:hAnsi="宋体"/>
          <w:highlight w:val="none"/>
        </w:rPr>
      </w:pPr>
      <w:r>
        <w:rPr>
          <w:rFonts w:hint="eastAsia" w:hAnsi="宋体"/>
          <w:highlight w:val="none"/>
        </w:rPr>
        <w:t>5、</w:t>
      </w:r>
      <w:r>
        <w:rPr>
          <w:rFonts w:hAnsi="宋体"/>
          <w:highlight w:val="none"/>
        </w:rPr>
        <w:t>尾矿库扬尘</w:t>
      </w:r>
    </w:p>
    <w:p>
      <w:pPr>
        <w:pStyle w:val="62"/>
        <w:ind w:firstLine="480"/>
        <w:rPr>
          <w:rFonts w:hAnsi="宋体"/>
          <w:highlight w:val="none"/>
        </w:rPr>
      </w:pPr>
      <w:r>
        <w:rPr>
          <w:rFonts w:hAnsi="宋体"/>
          <w:highlight w:val="none"/>
        </w:rPr>
        <w:t>根据《扬尘源颗粒物排放清单编制技术指南》，干尾矿库的扬尘源排放量是装卸、运输引起的扬尘与堆积存放期间风蚀扬尘的加和，计算公式为前文列出的公式（1）（2）（3）。</w:t>
      </w:r>
    </w:p>
    <w:p>
      <w:pPr>
        <w:pStyle w:val="62"/>
        <w:ind w:firstLine="480"/>
        <w:rPr>
          <w:rFonts w:hAnsi="宋体"/>
          <w:highlight w:val="none"/>
        </w:rPr>
      </w:pPr>
      <w:r>
        <w:rPr>
          <w:rFonts w:hint="eastAsia" w:hAnsi="宋体"/>
          <w:highlight w:val="none"/>
        </w:rPr>
        <w:t>本项目尾砂经脱水后运送至尾矿库进行填埋，由于尾砂含水量较高，</w:t>
      </w:r>
      <w:r>
        <w:rPr>
          <w:rFonts w:hAnsi="宋体"/>
          <w:highlight w:val="none"/>
        </w:rPr>
        <w:t>尾矿库装卸扬尘产生系数Eh</w:t>
      </w:r>
      <w:r>
        <w:rPr>
          <w:rFonts w:hint="eastAsia" w:hAnsi="宋体"/>
          <w:highlight w:val="none"/>
        </w:rPr>
        <w:t>取值为0。</w:t>
      </w:r>
      <w:r>
        <w:rPr>
          <w:rFonts w:hAnsi="宋体"/>
          <w:highlight w:val="none"/>
        </w:rPr>
        <w:t>经计算，尾矿库风蚀扬尘产生系数Ew为</w:t>
      </w:r>
      <w:r>
        <w:rPr>
          <w:rFonts w:hint="eastAsia" w:hAnsi="宋体"/>
          <w:highlight w:val="none"/>
        </w:rPr>
        <w:t>1</w:t>
      </w:r>
      <w:r>
        <w:rPr>
          <w:rFonts w:hAnsi="宋体"/>
          <w:highlight w:val="none"/>
        </w:rPr>
        <w:t>.3kg/m</w:t>
      </w:r>
      <w:r>
        <w:rPr>
          <w:rFonts w:hAnsi="宋体"/>
          <w:highlight w:val="none"/>
          <w:vertAlign w:val="superscript"/>
        </w:rPr>
        <w:t>2</w:t>
      </w:r>
      <w:r>
        <w:rPr>
          <w:rFonts w:hAnsi="宋体"/>
          <w:highlight w:val="none"/>
        </w:rPr>
        <w:t>，</w:t>
      </w:r>
      <w:r>
        <w:rPr>
          <w:rFonts w:hint="eastAsia" w:hAnsi="宋体"/>
          <w:highlight w:val="none"/>
        </w:rPr>
        <w:t>尾砂填埋工作面为25m×8m的作业单元，面积为200m</w:t>
      </w:r>
      <w:r>
        <w:rPr>
          <w:rFonts w:hint="eastAsia" w:hAnsi="宋体"/>
          <w:highlight w:val="none"/>
          <w:vertAlign w:val="superscript"/>
        </w:rPr>
        <w:t>2</w:t>
      </w:r>
      <w:r>
        <w:rPr>
          <w:rFonts w:hint="eastAsia" w:hAnsi="宋体"/>
          <w:highlight w:val="none"/>
        </w:rPr>
        <w:t>，</w:t>
      </w:r>
      <w:r>
        <w:rPr>
          <w:rFonts w:hAnsi="宋体"/>
          <w:highlight w:val="none"/>
        </w:rPr>
        <w:t>将Ew代入</w:t>
      </w:r>
      <w:r>
        <w:rPr>
          <w:rFonts w:hint="eastAsia" w:hAnsi="宋体"/>
          <w:highlight w:val="none"/>
        </w:rPr>
        <w:t>公式</w:t>
      </w:r>
      <w:r>
        <w:rPr>
          <w:rFonts w:hAnsi="宋体"/>
          <w:highlight w:val="none"/>
        </w:rPr>
        <w:t>（1），计算得尾矿库扬尘产生量W为0.</w:t>
      </w:r>
      <w:r>
        <w:rPr>
          <w:rFonts w:hint="eastAsia" w:hAnsi="宋体"/>
          <w:highlight w:val="none"/>
        </w:rPr>
        <w:t>26</w:t>
      </w:r>
      <w:r>
        <w:rPr>
          <w:rFonts w:hAnsi="宋体"/>
          <w:highlight w:val="none"/>
        </w:rPr>
        <w:t>t/a。</w:t>
      </w:r>
    </w:p>
    <w:p>
      <w:pPr>
        <w:pStyle w:val="62"/>
        <w:ind w:firstLine="480"/>
        <w:rPr>
          <w:rFonts w:hAnsi="宋体"/>
          <w:highlight w:val="none"/>
        </w:rPr>
      </w:pPr>
      <w:r>
        <w:rPr>
          <w:rFonts w:hAnsi="宋体"/>
          <w:highlight w:val="none"/>
        </w:rPr>
        <w:t>为了减少尾矿库扬尘对环境空气的影响，评价提出以下措施：</w:t>
      </w:r>
    </w:p>
    <w:p>
      <w:pPr>
        <w:pStyle w:val="62"/>
        <w:ind w:firstLine="480" w:firstLineChars="0"/>
        <w:rPr>
          <w:rFonts w:hAnsi="宋体"/>
          <w:highlight w:val="none"/>
        </w:rPr>
      </w:pPr>
      <w:r>
        <w:rPr>
          <w:rFonts w:hint="eastAsia" w:hAnsi="宋体"/>
          <w:highlight w:val="none"/>
        </w:rPr>
        <w:t>1）</w:t>
      </w:r>
      <w:r>
        <w:rPr>
          <w:rFonts w:hAnsi="宋体"/>
          <w:highlight w:val="none"/>
        </w:rPr>
        <w:t>堆置废渣要由里向外按</w:t>
      </w:r>
      <w:r>
        <w:rPr>
          <w:rFonts w:hint="eastAsia" w:hAnsi="宋体"/>
          <w:highlight w:val="none"/>
        </w:rPr>
        <w:t>25</w:t>
      </w:r>
      <w:r>
        <w:rPr>
          <w:rFonts w:hAnsi="宋体"/>
          <w:highlight w:val="none"/>
        </w:rPr>
        <w:t>m×</w:t>
      </w:r>
      <w:r>
        <w:rPr>
          <w:rFonts w:hint="eastAsia" w:hAnsi="宋体"/>
          <w:highlight w:val="none"/>
        </w:rPr>
        <w:t>8</w:t>
      </w:r>
      <w:r>
        <w:rPr>
          <w:rFonts w:hAnsi="宋体"/>
          <w:highlight w:val="none"/>
        </w:rPr>
        <w:t>m的作业单元填充，对整个区域沿着水平方向逐渐推进，并及时分片覆土封闭；</w:t>
      </w:r>
    </w:p>
    <w:p>
      <w:pPr>
        <w:pStyle w:val="62"/>
        <w:ind w:firstLine="480" w:firstLineChars="0"/>
        <w:rPr>
          <w:rFonts w:hAnsi="宋体"/>
          <w:highlight w:val="none"/>
        </w:rPr>
      </w:pPr>
      <w:r>
        <w:rPr>
          <w:rFonts w:hint="eastAsia" w:hAnsi="宋体"/>
          <w:highlight w:val="none"/>
        </w:rPr>
        <w:t>2）倾倒过程中采取洒水抑尘措施，配置1台雾炮车，使用雾炮车定时进行洒水抑尘，使废石面裸露面保持潮湿状态，洒水周期和水量据季节和天气而定。</w:t>
      </w:r>
    </w:p>
    <w:p>
      <w:pPr>
        <w:pStyle w:val="62"/>
        <w:ind w:firstLine="480" w:firstLineChars="0"/>
        <w:rPr>
          <w:rFonts w:hAnsi="宋体"/>
          <w:highlight w:val="none"/>
        </w:rPr>
      </w:pPr>
      <w:r>
        <w:rPr>
          <w:rFonts w:hint="eastAsia" w:hAnsi="宋体"/>
          <w:highlight w:val="none"/>
        </w:rPr>
        <w:t>3）降低物料落差。</w:t>
      </w:r>
    </w:p>
    <w:p>
      <w:pPr>
        <w:pStyle w:val="62"/>
        <w:ind w:firstLine="480" w:firstLineChars="0"/>
        <w:rPr>
          <w:rFonts w:hAnsi="宋体"/>
          <w:highlight w:val="none"/>
        </w:rPr>
      </w:pPr>
      <w:r>
        <w:rPr>
          <w:rFonts w:hint="eastAsia" w:hAnsi="宋体"/>
          <w:highlight w:val="none"/>
        </w:rPr>
        <w:t>4）</w:t>
      </w:r>
      <w:r>
        <w:rPr>
          <w:rFonts w:hAnsi="宋体"/>
          <w:highlight w:val="none"/>
        </w:rPr>
        <w:t>非作业时间内将未覆土的作业面全部用不透水的防尘布全部覆盖。</w:t>
      </w:r>
    </w:p>
    <w:p>
      <w:pPr>
        <w:pStyle w:val="62"/>
        <w:ind w:firstLine="480"/>
        <w:rPr>
          <w:rFonts w:hAnsi="宋体"/>
          <w:highlight w:val="none"/>
        </w:rPr>
      </w:pPr>
      <w:r>
        <w:rPr>
          <w:rFonts w:hint="eastAsia" w:hAnsi="宋体"/>
          <w:highlight w:val="none"/>
        </w:rPr>
        <w:t>5）</w:t>
      </w:r>
      <w:r>
        <w:rPr>
          <w:rFonts w:hAnsi="宋体"/>
          <w:highlight w:val="none"/>
        </w:rPr>
        <w:t>四级及四级以上大风天气禁止作业，设专人负责洒水抑尘管理，降低物料</w:t>
      </w:r>
      <w:r>
        <w:rPr>
          <w:rFonts w:hint="eastAsia" w:hAnsi="宋体"/>
          <w:highlight w:val="none"/>
        </w:rPr>
        <w:t>起尘</w:t>
      </w:r>
      <w:r>
        <w:rPr>
          <w:rFonts w:hAnsi="宋体"/>
          <w:highlight w:val="none"/>
        </w:rPr>
        <w:t>。</w:t>
      </w:r>
    </w:p>
    <w:p>
      <w:pPr>
        <w:pStyle w:val="62"/>
        <w:ind w:firstLine="480"/>
        <w:rPr>
          <w:rFonts w:hAnsi="宋体"/>
          <w:highlight w:val="none"/>
        </w:rPr>
      </w:pPr>
      <w:r>
        <w:rPr>
          <w:rFonts w:hAnsi="宋体"/>
          <w:highlight w:val="none"/>
        </w:rPr>
        <w:t>在采取上述措施后，抑尘效率</w:t>
      </w:r>
      <w:r>
        <w:rPr>
          <w:rFonts w:hint="eastAsia" w:hAnsi="宋体"/>
          <w:highlight w:val="none"/>
        </w:rPr>
        <w:t>70</w:t>
      </w:r>
      <w:r>
        <w:rPr>
          <w:rFonts w:hAnsi="宋体"/>
          <w:highlight w:val="none"/>
        </w:rPr>
        <w:t>%，则尾矿库扬尘排放量为0.</w:t>
      </w:r>
      <w:r>
        <w:rPr>
          <w:rFonts w:hint="eastAsia" w:hAnsi="宋体"/>
          <w:highlight w:val="none"/>
        </w:rPr>
        <w:t>07</w:t>
      </w:r>
      <w:r>
        <w:rPr>
          <w:rFonts w:hAnsi="宋体"/>
          <w:highlight w:val="none"/>
        </w:rPr>
        <w:t>8t/a。</w:t>
      </w:r>
    </w:p>
    <w:p>
      <w:pPr>
        <w:ind w:left="426" w:firstLine="0" w:firstLineChars="0"/>
        <w:rPr>
          <w:rFonts w:ascii="宋体" w:hAnsi="宋体"/>
          <w:bCs/>
          <w:szCs w:val="21"/>
          <w:highlight w:val="none"/>
        </w:rPr>
      </w:pPr>
      <w:r>
        <w:rPr>
          <w:rFonts w:ascii="宋体" w:hAnsi="宋体"/>
          <w:bCs/>
          <w:szCs w:val="21"/>
          <w:highlight w:val="none"/>
        </w:rPr>
        <w:t>2、污染物源强核算</w:t>
      </w:r>
    </w:p>
    <w:p>
      <w:pPr>
        <w:pStyle w:val="62"/>
        <w:ind w:firstLine="480"/>
        <w:rPr>
          <w:rFonts w:hAnsi="宋体"/>
          <w:bCs/>
          <w:szCs w:val="21"/>
          <w:highlight w:val="none"/>
        </w:rPr>
        <w:sectPr>
          <w:footerReference r:id="rId15" w:type="default"/>
          <w:pgSz w:w="11906" w:h="16838"/>
          <w:pgMar w:top="1588" w:right="1588" w:bottom="1474" w:left="1588" w:header="964" w:footer="850" w:gutter="0"/>
          <w:pgBorders>
            <w:top w:val="none" w:sz="0" w:space="0"/>
            <w:left w:val="none" w:sz="0" w:space="0"/>
            <w:bottom w:val="none" w:sz="0" w:space="0"/>
            <w:right w:val="none" w:sz="0" w:space="0"/>
          </w:pgBorders>
          <w:pgNumType w:start="1"/>
          <w:cols w:space="720" w:num="1"/>
          <w:docGrid w:linePitch="326" w:charSpace="0"/>
        </w:sectPr>
      </w:pPr>
      <w:r>
        <w:rPr>
          <w:rFonts w:hAnsi="宋体"/>
          <w:highlight w:val="none"/>
        </w:rPr>
        <w:t>本项目大气污染物产排情况汇总见表3</w:t>
      </w:r>
      <w:r>
        <w:rPr>
          <w:rFonts w:hint="eastAsia" w:hAnsi="宋体"/>
          <w:highlight w:val="none"/>
        </w:rPr>
        <w:t>.5</w:t>
      </w:r>
      <w:r>
        <w:rPr>
          <w:rFonts w:hAnsi="宋体"/>
          <w:highlight w:val="none"/>
        </w:rPr>
        <w:t>-</w:t>
      </w:r>
      <w:r>
        <w:rPr>
          <w:rFonts w:hint="eastAsia" w:hAnsi="宋体"/>
          <w:highlight w:val="none"/>
        </w:rPr>
        <w:t>1</w:t>
      </w:r>
      <w:r>
        <w:rPr>
          <w:rFonts w:hAnsi="宋体"/>
          <w:highlight w:val="none"/>
        </w:rPr>
        <w:t>。</w:t>
      </w:r>
    </w:p>
    <w:p>
      <w:pPr>
        <w:pStyle w:val="65"/>
        <w:rPr>
          <w:rFonts w:hAnsi="宋体"/>
          <w:highlight w:val="none"/>
        </w:rPr>
      </w:pPr>
      <w:r>
        <w:rPr>
          <w:rFonts w:hAnsi="宋体"/>
          <w:highlight w:val="none"/>
        </w:rPr>
        <w:t>表3</w:t>
      </w:r>
      <w:r>
        <w:rPr>
          <w:rFonts w:hint="eastAsia" w:hAnsi="宋体"/>
          <w:highlight w:val="none"/>
        </w:rPr>
        <w:t>.5</w:t>
      </w:r>
      <w:r>
        <w:rPr>
          <w:rFonts w:hAnsi="宋体"/>
          <w:highlight w:val="none"/>
        </w:rPr>
        <w:t>-</w:t>
      </w:r>
      <w:r>
        <w:rPr>
          <w:rFonts w:hint="eastAsia" w:hAnsi="宋体"/>
          <w:highlight w:val="none"/>
        </w:rPr>
        <w:t>1</w:t>
      </w:r>
      <w:r>
        <w:rPr>
          <w:rFonts w:hint="eastAsia" w:hAnsi="宋体"/>
          <w:bCs/>
          <w:highlight w:val="none"/>
        </w:rPr>
        <w:t xml:space="preserve">  </w:t>
      </w:r>
      <w:r>
        <w:rPr>
          <w:rFonts w:hAnsi="宋体"/>
          <w:highlight w:val="none"/>
        </w:rPr>
        <w:t>废</w:t>
      </w:r>
      <w:r>
        <w:rPr>
          <w:rFonts w:hAnsi="宋体"/>
          <w:spacing w:val="2"/>
          <w:highlight w:val="none"/>
        </w:rPr>
        <w:t>气</w:t>
      </w:r>
      <w:r>
        <w:rPr>
          <w:rFonts w:hAnsi="宋体"/>
          <w:highlight w:val="none"/>
        </w:rPr>
        <w:t>污</w:t>
      </w:r>
      <w:r>
        <w:rPr>
          <w:rFonts w:hAnsi="宋体"/>
          <w:spacing w:val="2"/>
          <w:highlight w:val="none"/>
        </w:rPr>
        <w:t>染</w:t>
      </w:r>
      <w:r>
        <w:rPr>
          <w:rFonts w:hAnsi="宋体"/>
          <w:highlight w:val="none"/>
        </w:rPr>
        <w:t>源源</w:t>
      </w:r>
      <w:r>
        <w:rPr>
          <w:rFonts w:hAnsi="宋体"/>
          <w:spacing w:val="2"/>
          <w:highlight w:val="none"/>
        </w:rPr>
        <w:t>强</w:t>
      </w:r>
      <w:r>
        <w:rPr>
          <w:rFonts w:hAnsi="宋体"/>
          <w:highlight w:val="none"/>
        </w:rPr>
        <w:t>核</w:t>
      </w:r>
      <w:r>
        <w:rPr>
          <w:rFonts w:hAnsi="宋体"/>
          <w:spacing w:val="2"/>
          <w:highlight w:val="none"/>
        </w:rPr>
        <w:t>算</w:t>
      </w:r>
      <w:r>
        <w:rPr>
          <w:rFonts w:hAnsi="宋体"/>
          <w:highlight w:val="none"/>
        </w:rPr>
        <w:t>结果</w:t>
      </w:r>
      <w:r>
        <w:rPr>
          <w:rFonts w:hAnsi="宋体"/>
          <w:spacing w:val="2"/>
          <w:highlight w:val="none"/>
        </w:rPr>
        <w:t>及</w:t>
      </w:r>
      <w:r>
        <w:rPr>
          <w:rFonts w:hAnsi="宋体"/>
          <w:highlight w:val="none"/>
        </w:rPr>
        <w:t>相关</w:t>
      </w:r>
      <w:r>
        <w:rPr>
          <w:rFonts w:hAnsi="宋体"/>
          <w:spacing w:val="2"/>
          <w:highlight w:val="none"/>
        </w:rPr>
        <w:t>参</w:t>
      </w:r>
      <w:r>
        <w:rPr>
          <w:rFonts w:hAnsi="宋体"/>
          <w:highlight w:val="none"/>
        </w:rPr>
        <w:t>数</w:t>
      </w:r>
      <w:r>
        <w:rPr>
          <w:rFonts w:hAnsi="宋体"/>
          <w:spacing w:val="2"/>
          <w:highlight w:val="none"/>
        </w:rPr>
        <w:t>一</w:t>
      </w:r>
      <w:r>
        <w:rPr>
          <w:rFonts w:hAnsi="宋体"/>
          <w:highlight w:val="none"/>
        </w:rPr>
        <w:t>览表</w:t>
      </w:r>
    </w:p>
    <w:p>
      <w:pPr>
        <w:spacing w:before="6" w:line="40" w:lineRule="exact"/>
        <w:ind w:firstLine="0" w:firstLineChars="0"/>
        <w:jc w:val="left"/>
        <w:rPr>
          <w:rFonts w:ascii="宋体" w:hAnsi="宋体"/>
          <w:kern w:val="0"/>
          <w:sz w:val="4"/>
          <w:szCs w:val="4"/>
          <w:highlight w:val="none"/>
        </w:rPr>
      </w:pPr>
    </w:p>
    <w:tbl>
      <w:tblPr>
        <w:tblStyle w:val="44"/>
        <w:tblW w:w="1399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802"/>
        <w:gridCol w:w="803"/>
        <w:gridCol w:w="750"/>
        <w:gridCol w:w="733"/>
        <w:gridCol w:w="1005"/>
        <w:gridCol w:w="974"/>
        <w:gridCol w:w="993"/>
        <w:gridCol w:w="2270"/>
        <w:gridCol w:w="991"/>
        <w:gridCol w:w="711"/>
        <w:gridCol w:w="991"/>
        <w:gridCol w:w="1016"/>
        <w:gridCol w:w="1063"/>
        <w:gridCol w:w="89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Merge w:val="restart"/>
            <w:vAlign w:val="center"/>
          </w:tcPr>
          <w:p>
            <w:pPr>
              <w:pStyle w:val="64"/>
              <w:rPr>
                <w:rFonts w:hAnsi="宋体"/>
                <w:highlight w:val="none"/>
              </w:rPr>
            </w:pPr>
            <w:r>
              <w:rPr>
                <w:rFonts w:hAnsi="宋体"/>
                <w:spacing w:val="2"/>
                <w:highlight w:val="none"/>
              </w:rPr>
              <w:t>装</w:t>
            </w:r>
            <w:r>
              <w:rPr>
                <w:rFonts w:hAnsi="宋体"/>
                <w:highlight w:val="none"/>
              </w:rPr>
              <w:t>置</w:t>
            </w:r>
          </w:p>
        </w:tc>
        <w:tc>
          <w:tcPr>
            <w:tcW w:w="803" w:type="dxa"/>
            <w:vMerge w:val="restart"/>
            <w:vAlign w:val="center"/>
          </w:tcPr>
          <w:p>
            <w:pPr>
              <w:pStyle w:val="64"/>
              <w:rPr>
                <w:rFonts w:hAnsi="宋体"/>
                <w:highlight w:val="none"/>
              </w:rPr>
            </w:pPr>
            <w:r>
              <w:rPr>
                <w:rFonts w:hAnsi="宋体"/>
                <w:spacing w:val="1"/>
                <w:w w:val="95"/>
                <w:highlight w:val="none"/>
              </w:rPr>
              <w:t>污</w:t>
            </w:r>
            <w:r>
              <w:rPr>
                <w:rFonts w:hAnsi="宋体"/>
                <w:w w:val="95"/>
                <w:highlight w:val="none"/>
              </w:rPr>
              <w:t>染</w:t>
            </w:r>
            <w:r>
              <w:rPr>
                <w:rFonts w:hAnsi="宋体"/>
                <w:highlight w:val="none"/>
              </w:rPr>
              <w:t>源</w:t>
            </w:r>
          </w:p>
        </w:tc>
        <w:tc>
          <w:tcPr>
            <w:tcW w:w="750" w:type="dxa"/>
            <w:vMerge w:val="restart"/>
            <w:vAlign w:val="center"/>
          </w:tcPr>
          <w:p>
            <w:pPr>
              <w:pStyle w:val="64"/>
              <w:rPr>
                <w:rFonts w:hAnsi="宋体"/>
                <w:highlight w:val="none"/>
              </w:rPr>
            </w:pPr>
            <w:r>
              <w:rPr>
                <w:rFonts w:hAnsi="宋体"/>
                <w:spacing w:val="1"/>
                <w:w w:val="95"/>
                <w:highlight w:val="none"/>
              </w:rPr>
              <w:t>污</w:t>
            </w:r>
            <w:r>
              <w:rPr>
                <w:rFonts w:hAnsi="宋体"/>
                <w:w w:val="95"/>
                <w:highlight w:val="none"/>
              </w:rPr>
              <w:t>染</w:t>
            </w:r>
            <w:r>
              <w:rPr>
                <w:rFonts w:hAnsi="宋体"/>
                <w:highlight w:val="none"/>
              </w:rPr>
              <w:t>物</w:t>
            </w:r>
          </w:p>
        </w:tc>
        <w:tc>
          <w:tcPr>
            <w:tcW w:w="3705" w:type="dxa"/>
            <w:gridSpan w:val="4"/>
            <w:vAlign w:val="center"/>
          </w:tcPr>
          <w:p>
            <w:pPr>
              <w:pStyle w:val="64"/>
              <w:rPr>
                <w:rFonts w:hAnsi="宋体"/>
                <w:highlight w:val="none"/>
              </w:rPr>
            </w:pPr>
            <w:r>
              <w:rPr>
                <w:rFonts w:hAnsi="宋体"/>
                <w:spacing w:val="2"/>
                <w:highlight w:val="none"/>
              </w:rPr>
              <w:t>污染物</w:t>
            </w:r>
            <w:r>
              <w:rPr>
                <w:rFonts w:hAnsi="宋体"/>
                <w:spacing w:val="-1"/>
                <w:highlight w:val="none"/>
              </w:rPr>
              <w:t>产</w:t>
            </w:r>
            <w:r>
              <w:rPr>
                <w:rFonts w:hAnsi="宋体"/>
                <w:highlight w:val="none"/>
              </w:rPr>
              <w:t>生</w:t>
            </w:r>
          </w:p>
        </w:tc>
        <w:tc>
          <w:tcPr>
            <w:tcW w:w="3261" w:type="dxa"/>
            <w:gridSpan w:val="2"/>
            <w:vAlign w:val="center"/>
          </w:tcPr>
          <w:p>
            <w:pPr>
              <w:pStyle w:val="64"/>
              <w:rPr>
                <w:rFonts w:hAnsi="宋体"/>
                <w:highlight w:val="none"/>
              </w:rPr>
            </w:pPr>
            <w:r>
              <w:rPr>
                <w:rFonts w:hAnsi="宋体"/>
                <w:spacing w:val="2"/>
                <w:highlight w:val="none"/>
              </w:rPr>
              <w:t>治理措</w:t>
            </w:r>
            <w:r>
              <w:rPr>
                <w:rFonts w:hAnsi="宋体"/>
                <w:highlight w:val="none"/>
              </w:rPr>
              <w:t>施</w:t>
            </w:r>
          </w:p>
        </w:tc>
        <w:tc>
          <w:tcPr>
            <w:tcW w:w="3781" w:type="dxa"/>
            <w:gridSpan w:val="4"/>
            <w:vAlign w:val="center"/>
          </w:tcPr>
          <w:p>
            <w:pPr>
              <w:pStyle w:val="64"/>
              <w:rPr>
                <w:rFonts w:hAnsi="宋体"/>
                <w:highlight w:val="none"/>
              </w:rPr>
            </w:pPr>
            <w:r>
              <w:rPr>
                <w:rFonts w:hAnsi="宋体"/>
                <w:spacing w:val="2"/>
                <w:highlight w:val="none"/>
              </w:rPr>
              <w:t>污染物</w:t>
            </w:r>
            <w:r>
              <w:rPr>
                <w:rFonts w:hAnsi="宋体"/>
                <w:spacing w:val="-1"/>
                <w:highlight w:val="none"/>
              </w:rPr>
              <w:t>排</w:t>
            </w:r>
            <w:r>
              <w:rPr>
                <w:rFonts w:hAnsi="宋体"/>
                <w:highlight w:val="none"/>
              </w:rPr>
              <w:t>放</w:t>
            </w:r>
          </w:p>
        </w:tc>
        <w:tc>
          <w:tcPr>
            <w:tcW w:w="890" w:type="dxa"/>
            <w:vMerge w:val="restart"/>
            <w:vAlign w:val="center"/>
          </w:tcPr>
          <w:p>
            <w:pPr>
              <w:pStyle w:val="64"/>
              <w:rPr>
                <w:rFonts w:hAnsi="宋体"/>
                <w:highlight w:val="none"/>
              </w:rPr>
            </w:pPr>
            <w:r>
              <w:rPr>
                <w:rFonts w:hAnsi="宋体"/>
                <w:spacing w:val="1"/>
                <w:w w:val="95"/>
                <w:highlight w:val="none"/>
              </w:rPr>
              <w:t>排放</w:t>
            </w:r>
            <w:r>
              <w:rPr>
                <w:rFonts w:hAnsi="宋体"/>
                <w:w w:val="95"/>
                <w:highlight w:val="none"/>
              </w:rPr>
              <w:t>时</w:t>
            </w:r>
            <w:r>
              <w:rPr>
                <w:rFonts w:hAnsi="宋体"/>
                <w:highlight w:val="none"/>
              </w:rPr>
              <w:t>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Merge w:val="continue"/>
            <w:vAlign w:val="center"/>
          </w:tcPr>
          <w:p>
            <w:pPr>
              <w:pStyle w:val="64"/>
              <w:rPr>
                <w:rFonts w:hAnsi="宋体"/>
                <w:sz w:val="22"/>
                <w:highlight w:val="none"/>
              </w:rPr>
            </w:pPr>
          </w:p>
        </w:tc>
        <w:tc>
          <w:tcPr>
            <w:tcW w:w="803" w:type="dxa"/>
            <w:vMerge w:val="continue"/>
            <w:vAlign w:val="center"/>
          </w:tcPr>
          <w:p>
            <w:pPr>
              <w:pStyle w:val="64"/>
              <w:rPr>
                <w:rFonts w:hAnsi="宋体"/>
                <w:sz w:val="22"/>
                <w:highlight w:val="none"/>
              </w:rPr>
            </w:pPr>
          </w:p>
        </w:tc>
        <w:tc>
          <w:tcPr>
            <w:tcW w:w="750" w:type="dxa"/>
            <w:vMerge w:val="continue"/>
            <w:vAlign w:val="center"/>
          </w:tcPr>
          <w:p>
            <w:pPr>
              <w:pStyle w:val="64"/>
              <w:rPr>
                <w:rFonts w:hAnsi="宋体"/>
                <w:sz w:val="22"/>
                <w:highlight w:val="none"/>
              </w:rPr>
            </w:pPr>
          </w:p>
        </w:tc>
        <w:tc>
          <w:tcPr>
            <w:tcW w:w="733" w:type="dxa"/>
            <w:vAlign w:val="center"/>
          </w:tcPr>
          <w:p>
            <w:pPr>
              <w:pStyle w:val="64"/>
              <w:rPr>
                <w:rFonts w:hAnsi="宋体"/>
                <w:highlight w:val="none"/>
              </w:rPr>
            </w:pPr>
            <w:r>
              <w:rPr>
                <w:rFonts w:hAnsi="宋体"/>
                <w:spacing w:val="2"/>
                <w:highlight w:val="none"/>
              </w:rPr>
              <w:t>核</w:t>
            </w:r>
            <w:r>
              <w:rPr>
                <w:rFonts w:hAnsi="宋体"/>
                <w:highlight w:val="none"/>
              </w:rPr>
              <w:t>算</w:t>
            </w:r>
          </w:p>
          <w:p>
            <w:pPr>
              <w:pStyle w:val="64"/>
              <w:rPr>
                <w:rFonts w:hAnsi="宋体"/>
                <w:highlight w:val="none"/>
              </w:rPr>
            </w:pPr>
            <w:r>
              <w:rPr>
                <w:rFonts w:hAnsi="宋体"/>
                <w:spacing w:val="2"/>
                <w:highlight w:val="none"/>
              </w:rPr>
              <w:t>方</w:t>
            </w:r>
            <w:r>
              <w:rPr>
                <w:rFonts w:hAnsi="宋体"/>
                <w:highlight w:val="none"/>
              </w:rPr>
              <w:t>法</w:t>
            </w:r>
          </w:p>
        </w:tc>
        <w:tc>
          <w:tcPr>
            <w:tcW w:w="1005" w:type="dxa"/>
            <w:vAlign w:val="center"/>
          </w:tcPr>
          <w:p>
            <w:pPr>
              <w:pStyle w:val="64"/>
              <w:rPr>
                <w:rFonts w:hAnsi="宋体"/>
                <w:highlight w:val="none"/>
              </w:rPr>
            </w:pPr>
            <w:r>
              <w:rPr>
                <w:rFonts w:hAnsi="宋体"/>
                <w:spacing w:val="2"/>
                <w:highlight w:val="none"/>
              </w:rPr>
              <w:t>废气产</w:t>
            </w:r>
            <w:r>
              <w:rPr>
                <w:rFonts w:hAnsi="宋体"/>
                <w:spacing w:val="-1"/>
                <w:highlight w:val="none"/>
              </w:rPr>
              <w:t>生</w:t>
            </w:r>
            <w:r>
              <w:rPr>
                <w:rFonts w:hAnsi="宋体"/>
                <w:highlight w:val="none"/>
              </w:rPr>
              <w:t>量</w:t>
            </w:r>
          </w:p>
          <w:p>
            <w:pPr>
              <w:pStyle w:val="64"/>
              <w:rPr>
                <w:rFonts w:hAnsi="宋体"/>
                <w:highlight w:val="none"/>
              </w:rPr>
            </w:pPr>
            <w:r>
              <w:rPr>
                <w:rFonts w:hAnsi="宋体"/>
                <w:spacing w:val="1"/>
                <w:highlight w:val="none"/>
              </w:rPr>
              <w:t>/</w:t>
            </w:r>
            <w:r>
              <w:rPr>
                <w:rFonts w:hAnsi="宋体"/>
                <w:spacing w:val="2"/>
                <w:highlight w:val="none"/>
              </w:rPr>
              <w:t>（</w:t>
            </w:r>
            <w:r>
              <w:rPr>
                <w:rFonts w:hAnsi="宋体"/>
                <w:spacing w:val="1"/>
                <w:highlight w:val="none"/>
              </w:rPr>
              <w:t>m</w:t>
            </w:r>
            <w:r>
              <w:rPr>
                <w:rFonts w:hAnsi="宋体"/>
                <w:spacing w:val="-1"/>
                <w:position w:val="11"/>
                <w:sz w:val="10"/>
                <w:szCs w:val="10"/>
                <w:highlight w:val="none"/>
              </w:rPr>
              <w:t>3</w:t>
            </w:r>
            <w:r>
              <w:rPr>
                <w:rFonts w:hAnsi="宋体"/>
                <w:spacing w:val="3"/>
                <w:highlight w:val="none"/>
              </w:rPr>
              <w:t>/</w:t>
            </w:r>
            <w:r>
              <w:rPr>
                <w:rFonts w:hAnsi="宋体"/>
                <w:spacing w:val="-2"/>
                <w:highlight w:val="none"/>
              </w:rPr>
              <w:t>h</w:t>
            </w:r>
            <w:r>
              <w:rPr>
                <w:rFonts w:hAnsi="宋体"/>
                <w:highlight w:val="none"/>
              </w:rPr>
              <w:t>）</w:t>
            </w:r>
          </w:p>
        </w:tc>
        <w:tc>
          <w:tcPr>
            <w:tcW w:w="974" w:type="dxa"/>
            <w:vAlign w:val="center"/>
          </w:tcPr>
          <w:p>
            <w:pPr>
              <w:pStyle w:val="64"/>
              <w:rPr>
                <w:rFonts w:hAnsi="宋体"/>
                <w:highlight w:val="none"/>
              </w:rPr>
            </w:pPr>
            <w:r>
              <w:rPr>
                <w:rFonts w:hAnsi="宋体"/>
                <w:spacing w:val="2"/>
                <w:highlight w:val="none"/>
              </w:rPr>
              <w:t>产生浓</w:t>
            </w:r>
            <w:r>
              <w:rPr>
                <w:rFonts w:hAnsi="宋体"/>
                <w:highlight w:val="none"/>
              </w:rPr>
              <w:t>度</w:t>
            </w:r>
          </w:p>
          <w:p>
            <w:pPr>
              <w:pStyle w:val="64"/>
              <w:rPr>
                <w:rFonts w:hAnsi="宋体"/>
                <w:highlight w:val="none"/>
              </w:rPr>
            </w:pPr>
            <w:r>
              <w:rPr>
                <w:rFonts w:hAnsi="宋体"/>
                <w:spacing w:val="-4"/>
                <w:w w:val="95"/>
                <w:highlight w:val="none"/>
              </w:rPr>
              <w:t>/</w:t>
            </w:r>
            <w:r>
              <w:rPr>
                <w:rFonts w:hAnsi="宋体"/>
                <w:spacing w:val="1"/>
                <w:w w:val="95"/>
                <w:highlight w:val="none"/>
              </w:rPr>
              <w:t>（</w:t>
            </w:r>
            <w:r>
              <w:rPr>
                <w:rFonts w:hAnsi="宋体"/>
                <w:spacing w:val="2"/>
                <w:w w:val="95"/>
                <w:highlight w:val="none"/>
              </w:rPr>
              <w:t>m</w:t>
            </w:r>
            <w:r>
              <w:rPr>
                <w:rFonts w:hAnsi="宋体"/>
                <w:w w:val="95"/>
                <w:highlight w:val="none"/>
              </w:rPr>
              <w:t>g/m</w:t>
            </w:r>
            <w:r>
              <w:rPr>
                <w:rFonts w:hAnsi="宋体"/>
                <w:spacing w:val="-1"/>
                <w:w w:val="95"/>
                <w:position w:val="11"/>
                <w:sz w:val="10"/>
                <w:szCs w:val="10"/>
                <w:highlight w:val="none"/>
              </w:rPr>
              <w:t>3</w:t>
            </w:r>
            <w:r>
              <w:rPr>
                <w:rFonts w:hAnsi="宋体"/>
                <w:w w:val="95"/>
                <w:highlight w:val="none"/>
              </w:rPr>
              <w:t>）</w:t>
            </w:r>
          </w:p>
        </w:tc>
        <w:tc>
          <w:tcPr>
            <w:tcW w:w="993" w:type="dxa"/>
            <w:vAlign w:val="center"/>
          </w:tcPr>
          <w:p>
            <w:pPr>
              <w:pStyle w:val="64"/>
              <w:rPr>
                <w:rFonts w:hAnsi="宋体"/>
                <w:highlight w:val="none"/>
              </w:rPr>
            </w:pPr>
            <w:r>
              <w:rPr>
                <w:rFonts w:hAnsi="宋体"/>
                <w:spacing w:val="2"/>
                <w:highlight w:val="none"/>
              </w:rPr>
              <w:t>产生量</w:t>
            </w:r>
            <w:r>
              <w:rPr>
                <w:rFonts w:hAnsi="宋体"/>
                <w:highlight w:val="none"/>
              </w:rPr>
              <w:t>/</w:t>
            </w:r>
          </w:p>
          <w:p>
            <w:pPr>
              <w:pStyle w:val="64"/>
              <w:rPr>
                <w:rFonts w:hAnsi="宋体"/>
                <w:highlight w:val="none"/>
              </w:rPr>
            </w:pPr>
            <w:r>
              <w:rPr>
                <w:rFonts w:hAnsi="宋体"/>
                <w:spacing w:val="2"/>
                <w:highlight w:val="none"/>
              </w:rPr>
              <w:t>（</w:t>
            </w:r>
            <w:r>
              <w:rPr>
                <w:rFonts w:hAnsi="宋体"/>
                <w:spacing w:val="1"/>
                <w:highlight w:val="none"/>
              </w:rPr>
              <w:t>t/a</w:t>
            </w:r>
            <w:r>
              <w:rPr>
                <w:rFonts w:hAnsi="宋体"/>
                <w:highlight w:val="none"/>
              </w:rPr>
              <w:t>）</w:t>
            </w:r>
          </w:p>
        </w:tc>
        <w:tc>
          <w:tcPr>
            <w:tcW w:w="2270" w:type="dxa"/>
            <w:vAlign w:val="center"/>
          </w:tcPr>
          <w:p>
            <w:pPr>
              <w:pStyle w:val="64"/>
              <w:rPr>
                <w:rFonts w:hAnsi="宋体"/>
                <w:highlight w:val="none"/>
              </w:rPr>
            </w:pPr>
            <w:r>
              <w:rPr>
                <w:rFonts w:hAnsi="宋体"/>
                <w:spacing w:val="2"/>
                <w:highlight w:val="none"/>
              </w:rPr>
              <w:t>工</w:t>
            </w:r>
            <w:r>
              <w:rPr>
                <w:rFonts w:hAnsi="宋体"/>
                <w:highlight w:val="none"/>
              </w:rPr>
              <w:t>艺</w:t>
            </w:r>
          </w:p>
        </w:tc>
        <w:tc>
          <w:tcPr>
            <w:tcW w:w="991" w:type="dxa"/>
            <w:vAlign w:val="center"/>
          </w:tcPr>
          <w:p>
            <w:pPr>
              <w:pStyle w:val="64"/>
              <w:rPr>
                <w:rFonts w:hAnsi="宋体"/>
                <w:highlight w:val="none"/>
              </w:rPr>
            </w:pPr>
            <w:r>
              <w:rPr>
                <w:rFonts w:hAnsi="宋体"/>
                <w:spacing w:val="2"/>
                <w:highlight w:val="none"/>
              </w:rPr>
              <w:t>效</w:t>
            </w:r>
            <w:r>
              <w:rPr>
                <w:rFonts w:hAnsi="宋体"/>
                <w:highlight w:val="none"/>
              </w:rPr>
              <w:t>率</w:t>
            </w:r>
          </w:p>
          <w:p>
            <w:pPr>
              <w:pStyle w:val="64"/>
              <w:rPr>
                <w:rFonts w:hAnsi="宋体"/>
                <w:highlight w:val="none"/>
              </w:rPr>
            </w:pPr>
            <w:r>
              <w:rPr>
                <w:rFonts w:hAnsi="宋体"/>
                <w:spacing w:val="1"/>
                <w:highlight w:val="none"/>
              </w:rPr>
              <w:t>/</w:t>
            </w:r>
            <w:r>
              <w:rPr>
                <w:rFonts w:hAnsi="宋体"/>
                <w:highlight w:val="none"/>
              </w:rPr>
              <w:t>%</w:t>
            </w:r>
          </w:p>
        </w:tc>
        <w:tc>
          <w:tcPr>
            <w:tcW w:w="711" w:type="dxa"/>
            <w:vAlign w:val="center"/>
          </w:tcPr>
          <w:p>
            <w:pPr>
              <w:pStyle w:val="64"/>
              <w:rPr>
                <w:rFonts w:hAnsi="宋体"/>
                <w:highlight w:val="none"/>
              </w:rPr>
            </w:pPr>
            <w:r>
              <w:rPr>
                <w:rFonts w:hAnsi="宋体"/>
                <w:spacing w:val="2"/>
                <w:highlight w:val="none"/>
              </w:rPr>
              <w:t>核</w:t>
            </w:r>
            <w:r>
              <w:rPr>
                <w:rFonts w:hAnsi="宋体"/>
                <w:highlight w:val="none"/>
              </w:rPr>
              <w:t>算</w:t>
            </w:r>
            <w:r>
              <w:rPr>
                <w:rFonts w:hAnsi="宋体"/>
                <w:spacing w:val="2"/>
                <w:highlight w:val="none"/>
              </w:rPr>
              <w:t>方</w:t>
            </w:r>
            <w:r>
              <w:rPr>
                <w:rFonts w:hAnsi="宋体"/>
                <w:highlight w:val="none"/>
              </w:rPr>
              <w:t>法</w:t>
            </w:r>
          </w:p>
        </w:tc>
        <w:tc>
          <w:tcPr>
            <w:tcW w:w="991" w:type="dxa"/>
            <w:vAlign w:val="center"/>
          </w:tcPr>
          <w:p>
            <w:pPr>
              <w:pStyle w:val="64"/>
              <w:rPr>
                <w:rFonts w:hAnsi="宋体"/>
                <w:highlight w:val="none"/>
              </w:rPr>
            </w:pPr>
            <w:r>
              <w:rPr>
                <w:rFonts w:hAnsi="宋体"/>
                <w:spacing w:val="2"/>
                <w:highlight w:val="none"/>
              </w:rPr>
              <w:t>废气排</w:t>
            </w:r>
            <w:r>
              <w:rPr>
                <w:rFonts w:hAnsi="宋体"/>
                <w:highlight w:val="none"/>
              </w:rPr>
              <w:t>放</w:t>
            </w:r>
            <w:r>
              <w:rPr>
                <w:rFonts w:hAnsi="宋体"/>
                <w:spacing w:val="-1"/>
                <w:w w:val="95"/>
                <w:highlight w:val="none"/>
              </w:rPr>
              <w:t>量</w:t>
            </w:r>
            <w:r>
              <w:rPr>
                <w:rFonts w:hAnsi="宋体"/>
                <w:spacing w:val="-60"/>
                <w:w w:val="95"/>
                <w:highlight w:val="none"/>
              </w:rPr>
              <w:t>/</w:t>
            </w:r>
            <w:r>
              <w:rPr>
                <w:rFonts w:hAnsi="宋体"/>
                <w:spacing w:val="-1"/>
                <w:w w:val="95"/>
                <w:highlight w:val="none"/>
              </w:rPr>
              <w:t>（</w:t>
            </w:r>
            <w:r>
              <w:rPr>
                <w:rFonts w:hAnsi="宋体"/>
                <w:spacing w:val="2"/>
                <w:w w:val="95"/>
                <w:highlight w:val="none"/>
              </w:rPr>
              <w:t>m</w:t>
            </w:r>
            <w:r>
              <w:rPr>
                <w:rFonts w:hAnsi="宋体"/>
                <w:spacing w:val="-3"/>
                <w:w w:val="95"/>
                <w:position w:val="11"/>
                <w:sz w:val="10"/>
                <w:szCs w:val="10"/>
                <w:highlight w:val="none"/>
              </w:rPr>
              <w:t>3</w:t>
            </w:r>
            <w:r>
              <w:rPr>
                <w:rFonts w:hAnsi="宋体"/>
                <w:spacing w:val="2"/>
                <w:w w:val="95"/>
                <w:highlight w:val="none"/>
              </w:rPr>
              <w:t>/</w:t>
            </w:r>
            <w:r>
              <w:rPr>
                <w:rFonts w:hAnsi="宋体"/>
                <w:w w:val="95"/>
                <w:highlight w:val="none"/>
              </w:rPr>
              <w:t>h）</w:t>
            </w:r>
          </w:p>
        </w:tc>
        <w:tc>
          <w:tcPr>
            <w:tcW w:w="1016" w:type="dxa"/>
            <w:vAlign w:val="center"/>
          </w:tcPr>
          <w:p>
            <w:pPr>
              <w:pStyle w:val="64"/>
              <w:rPr>
                <w:rFonts w:hAnsi="宋体"/>
                <w:highlight w:val="none"/>
              </w:rPr>
            </w:pPr>
            <w:r>
              <w:rPr>
                <w:rFonts w:hAnsi="宋体"/>
                <w:spacing w:val="2"/>
                <w:highlight w:val="none"/>
              </w:rPr>
              <w:t>排放浓</w:t>
            </w:r>
            <w:r>
              <w:rPr>
                <w:rFonts w:hAnsi="宋体"/>
                <w:spacing w:val="-1"/>
                <w:highlight w:val="none"/>
              </w:rPr>
              <w:t>度</w:t>
            </w:r>
            <w:r>
              <w:rPr>
                <w:rFonts w:hAnsi="宋体"/>
                <w:highlight w:val="none"/>
              </w:rPr>
              <w:t>/</w:t>
            </w:r>
          </w:p>
          <w:p>
            <w:pPr>
              <w:pStyle w:val="64"/>
              <w:rPr>
                <w:rFonts w:hAnsi="宋体"/>
                <w:highlight w:val="none"/>
              </w:rPr>
            </w:pPr>
            <w:r>
              <w:rPr>
                <w:rFonts w:hAnsi="宋体"/>
                <w:spacing w:val="2"/>
                <w:highlight w:val="none"/>
              </w:rPr>
              <w:t>（</w:t>
            </w:r>
            <w:r>
              <w:rPr>
                <w:rFonts w:hAnsi="宋体"/>
                <w:spacing w:val="3"/>
                <w:highlight w:val="none"/>
              </w:rPr>
              <w:t>m</w:t>
            </w:r>
            <w:r>
              <w:rPr>
                <w:rFonts w:hAnsi="宋体"/>
                <w:spacing w:val="1"/>
                <w:highlight w:val="none"/>
              </w:rPr>
              <w:t>g/m</w:t>
            </w:r>
            <w:r>
              <w:rPr>
                <w:rFonts w:hAnsi="宋体"/>
                <w:spacing w:val="-1"/>
                <w:position w:val="11"/>
                <w:sz w:val="10"/>
                <w:szCs w:val="10"/>
                <w:highlight w:val="none"/>
              </w:rPr>
              <w:t>3</w:t>
            </w:r>
            <w:r>
              <w:rPr>
                <w:rFonts w:hAnsi="宋体"/>
                <w:highlight w:val="none"/>
              </w:rPr>
              <w:t>）</w:t>
            </w:r>
          </w:p>
        </w:tc>
        <w:tc>
          <w:tcPr>
            <w:tcW w:w="1063" w:type="dxa"/>
            <w:vAlign w:val="center"/>
          </w:tcPr>
          <w:p>
            <w:pPr>
              <w:pStyle w:val="64"/>
              <w:rPr>
                <w:rFonts w:hAnsi="宋体"/>
                <w:highlight w:val="none"/>
              </w:rPr>
            </w:pPr>
            <w:r>
              <w:rPr>
                <w:rFonts w:hAnsi="宋体"/>
                <w:spacing w:val="2"/>
                <w:highlight w:val="none"/>
              </w:rPr>
              <w:t>排放量</w:t>
            </w:r>
            <w:r>
              <w:rPr>
                <w:rFonts w:hAnsi="宋体"/>
                <w:highlight w:val="none"/>
              </w:rPr>
              <w:t>/</w:t>
            </w:r>
          </w:p>
          <w:p>
            <w:pPr>
              <w:pStyle w:val="64"/>
              <w:rPr>
                <w:rFonts w:hAnsi="宋体"/>
                <w:highlight w:val="none"/>
              </w:rPr>
            </w:pPr>
            <w:r>
              <w:rPr>
                <w:rFonts w:hAnsi="宋体"/>
                <w:spacing w:val="2"/>
                <w:highlight w:val="none"/>
              </w:rPr>
              <w:t>（</w:t>
            </w:r>
            <w:r>
              <w:rPr>
                <w:rFonts w:hAnsi="宋体"/>
                <w:spacing w:val="1"/>
                <w:highlight w:val="none"/>
              </w:rPr>
              <w:t>t/a</w:t>
            </w:r>
            <w:r>
              <w:rPr>
                <w:rFonts w:hAnsi="宋体"/>
                <w:highlight w:val="none"/>
              </w:rPr>
              <w:t>）</w:t>
            </w:r>
          </w:p>
        </w:tc>
        <w:tc>
          <w:tcPr>
            <w:tcW w:w="890" w:type="dxa"/>
            <w:vMerge w:val="continue"/>
            <w:vAlign w:val="center"/>
          </w:tcPr>
          <w:p>
            <w:pPr>
              <w:pStyle w:val="64"/>
              <w:rPr>
                <w:rFonts w:hAnsi="宋体"/>
                <w:sz w:val="22"/>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Align w:val="center"/>
          </w:tcPr>
          <w:p>
            <w:pPr>
              <w:pStyle w:val="64"/>
              <w:rPr>
                <w:rFonts w:hAnsi="宋体"/>
                <w:highlight w:val="none"/>
              </w:rPr>
            </w:pPr>
            <w:r>
              <w:rPr>
                <w:rFonts w:hAnsi="宋体"/>
                <w:spacing w:val="-1"/>
                <w:highlight w:val="none"/>
              </w:rPr>
              <w:t>原</w:t>
            </w:r>
            <w:r>
              <w:rPr>
                <w:rFonts w:hint="eastAsia" w:hAnsi="宋体"/>
                <w:highlight w:val="none"/>
              </w:rPr>
              <w:t>料</w:t>
            </w:r>
            <w:r>
              <w:rPr>
                <w:rFonts w:hAnsi="宋体"/>
                <w:highlight w:val="none"/>
              </w:rPr>
              <w:t>库</w:t>
            </w:r>
          </w:p>
        </w:tc>
        <w:tc>
          <w:tcPr>
            <w:tcW w:w="803"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750" w:type="dxa"/>
            <w:vAlign w:val="center"/>
          </w:tcPr>
          <w:p>
            <w:pPr>
              <w:pStyle w:val="64"/>
              <w:rPr>
                <w:rFonts w:hAnsi="宋体"/>
                <w:highlight w:val="none"/>
              </w:rPr>
            </w:pPr>
            <w:r>
              <w:rPr>
                <w:rFonts w:hAnsi="宋体"/>
                <w:spacing w:val="-1"/>
                <w:highlight w:val="none"/>
              </w:rPr>
              <w:t>颗</w:t>
            </w:r>
            <w:r>
              <w:rPr>
                <w:rFonts w:hAnsi="宋体"/>
                <w:highlight w:val="none"/>
              </w:rPr>
              <w:t>粒物</w:t>
            </w:r>
          </w:p>
        </w:tc>
        <w:tc>
          <w:tcPr>
            <w:tcW w:w="733" w:type="dxa"/>
            <w:vAlign w:val="center"/>
          </w:tcPr>
          <w:p>
            <w:pPr>
              <w:pStyle w:val="64"/>
              <w:rPr>
                <w:rFonts w:hAnsi="宋体"/>
                <w:highlight w:val="none"/>
              </w:rPr>
            </w:pPr>
            <w:r>
              <w:rPr>
                <w:rFonts w:hAnsi="宋体"/>
                <w:spacing w:val="-1"/>
                <w:highlight w:val="none"/>
              </w:rPr>
              <w:t>经</w:t>
            </w:r>
            <w:r>
              <w:rPr>
                <w:rFonts w:hAnsi="宋体"/>
                <w:highlight w:val="none"/>
              </w:rPr>
              <w:t>验</w:t>
            </w:r>
            <w:r>
              <w:rPr>
                <w:rFonts w:hAnsi="宋体"/>
                <w:spacing w:val="-1"/>
                <w:highlight w:val="none"/>
              </w:rPr>
              <w:t>公</w:t>
            </w:r>
            <w:r>
              <w:rPr>
                <w:rFonts w:hAnsi="宋体"/>
                <w:highlight w:val="none"/>
              </w:rPr>
              <w:t>式</w:t>
            </w:r>
          </w:p>
        </w:tc>
        <w:tc>
          <w:tcPr>
            <w:tcW w:w="1005" w:type="dxa"/>
            <w:vAlign w:val="center"/>
          </w:tcPr>
          <w:p>
            <w:pPr>
              <w:pStyle w:val="64"/>
              <w:rPr>
                <w:rFonts w:hAnsi="宋体"/>
                <w:highlight w:val="none"/>
              </w:rPr>
            </w:pPr>
            <w:r>
              <w:rPr>
                <w:rFonts w:hAnsi="宋体"/>
                <w:highlight w:val="none"/>
              </w:rPr>
              <w:t>/</w:t>
            </w:r>
          </w:p>
        </w:tc>
        <w:tc>
          <w:tcPr>
            <w:tcW w:w="974" w:type="dxa"/>
            <w:vAlign w:val="center"/>
          </w:tcPr>
          <w:p>
            <w:pPr>
              <w:pStyle w:val="64"/>
              <w:rPr>
                <w:rFonts w:hAnsi="宋体"/>
                <w:highlight w:val="none"/>
              </w:rPr>
            </w:pPr>
            <w:r>
              <w:rPr>
                <w:rFonts w:hAnsi="宋体"/>
                <w:highlight w:val="none"/>
              </w:rPr>
              <w:t>/</w:t>
            </w:r>
          </w:p>
        </w:tc>
        <w:tc>
          <w:tcPr>
            <w:tcW w:w="993" w:type="dxa"/>
            <w:vAlign w:val="center"/>
          </w:tcPr>
          <w:p>
            <w:pPr>
              <w:pStyle w:val="64"/>
              <w:rPr>
                <w:rFonts w:hAnsi="宋体"/>
                <w:highlight w:val="none"/>
              </w:rPr>
            </w:pPr>
            <w:r>
              <w:rPr>
                <w:rFonts w:hint="eastAsia" w:hAnsi="宋体"/>
                <w:spacing w:val="1"/>
                <w:highlight w:val="none"/>
              </w:rPr>
              <w:t>6.93</w:t>
            </w:r>
          </w:p>
        </w:tc>
        <w:tc>
          <w:tcPr>
            <w:tcW w:w="2270"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原</w:t>
            </w:r>
            <w:r>
              <w:rPr>
                <w:rFonts w:hAnsi="宋体"/>
                <w:spacing w:val="2"/>
                <w:highlight w:val="none"/>
              </w:rPr>
              <w:t>料</w:t>
            </w:r>
            <w:r>
              <w:rPr>
                <w:rFonts w:hAnsi="宋体"/>
                <w:highlight w:val="none"/>
              </w:rPr>
              <w:t>库，配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c>
          <w:tcPr>
            <w:tcW w:w="991" w:type="dxa"/>
            <w:vAlign w:val="center"/>
          </w:tcPr>
          <w:p>
            <w:pPr>
              <w:pStyle w:val="64"/>
              <w:rPr>
                <w:rFonts w:hAnsi="宋体"/>
                <w:highlight w:val="none"/>
              </w:rPr>
            </w:pPr>
            <w:r>
              <w:rPr>
                <w:rFonts w:hAnsi="宋体"/>
                <w:spacing w:val="1"/>
                <w:highlight w:val="none"/>
              </w:rPr>
              <w:t>9</w:t>
            </w:r>
            <w:r>
              <w:rPr>
                <w:rFonts w:hint="eastAsia" w:hAnsi="宋体"/>
                <w:highlight w:val="none"/>
              </w:rPr>
              <w:t>0</w:t>
            </w:r>
          </w:p>
        </w:tc>
        <w:tc>
          <w:tcPr>
            <w:tcW w:w="711" w:type="dxa"/>
            <w:vAlign w:val="center"/>
          </w:tcPr>
          <w:p>
            <w:pPr>
              <w:pStyle w:val="64"/>
              <w:rPr>
                <w:rFonts w:hAnsi="宋体"/>
                <w:highlight w:val="none"/>
              </w:rPr>
            </w:pPr>
            <w:r>
              <w:rPr>
                <w:rFonts w:hAnsi="宋体"/>
                <w:spacing w:val="-1"/>
                <w:highlight w:val="none"/>
              </w:rPr>
              <w:t>物</w:t>
            </w:r>
            <w:r>
              <w:rPr>
                <w:rFonts w:hAnsi="宋体"/>
                <w:highlight w:val="none"/>
              </w:rPr>
              <w:t>料</w:t>
            </w:r>
            <w:r>
              <w:rPr>
                <w:rFonts w:hAnsi="宋体"/>
                <w:spacing w:val="-1"/>
                <w:highlight w:val="none"/>
              </w:rPr>
              <w:t>衡</w:t>
            </w:r>
            <w:r>
              <w:rPr>
                <w:rFonts w:hAnsi="宋体"/>
                <w:highlight w:val="none"/>
              </w:rPr>
              <w:t>算</w:t>
            </w:r>
          </w:p>
        </w:tc>
        <w:tc>
          <w:tcPr>
            <w:tcW w:w="991" w:type="dxa"/>
            <w:vAlign w:val="center"/>
          </w:tcPr>
          <w:p>
            <w:pPr>
              <w:pStyle w:val="64"/>
              <w:rPr>
                <w:rFonts w:hAnsi="宋体"/>
                <w:highlight w:val="none"/>
              </w:rPr>
            </w:pPr>
            <w:r>
              <w:rPr>
                <w:rFonts w:hAnsi="宋体"/>
                <w:highlight w:val="none"/>
              </w:rPr>
              <w:t>/</w:t>
            </w:r>
          </w:p>
        </w:tc>
        <w:tc>
          <w:tcPr>
            <w:tcW w:w="1016" w:type="dxa"/>
            <w:vAlign w:val="center"/>
          </w:tcPr>
          <w:p>
            <w:pPr>
              <w:pStyle w:val="64"/>
              <w:rPr>
                <w:rFonts w:hAnsi="宋体"/>
                <w:highlight w:val="none"/>
              </w:rPr>
            </w:pPr>
            <w:r>
              <w:rPr>
                <w:rFonts w:hAnsi="宋体"/>
                <w:highlight w:val="none"/>
              </w:rPr>
              <w:t>/</w:t>
            </w:r>
          </w:p>
        </w:tc>
        <w:tc>
          <w:tcPr>
            <w:tcW w:w="1063" w:type="dxa"/>
            <w:vAlign w:val="center"/>
          </w:tcPr>
          <w:p>
            <w:pPr>
              <w:pStyle w:val="64"/>
              <w:rPr>
                <w:rFonts w:hAnsi="宋体"/>
                <w:highlight w:val="none"/>
              </w:rPr>
            </w:pPr>
            <w:r>
              <w:rPr>
                <w:rFonts w:hint="eastAsia" w:hAnsi="宋体"/>
                <w:spacing w:val="1"/>
                <w:highlight w:val="none"/>
              </w:rPr>
              <w:t>0.693</w:t>
            </w:r>
          </w:p>
        </w:tc>
        <w:tc>
          <w:tcPr>
            <w:tcW w:w="890" w:type="dxa"/>
            <w:vAlign w:val="center"/>
          </w:tcPr>
          <w:p>
            <w:pPr>
              <w:pStyle w:val="64"/>
              <w:rPr>
                <w:rFonts w:hAnsi="宋体"/>
                <w:highlight w:val="none"/>
              </w:rPr>
            </w:pPr>
            <w:r>
              <w:rPr>
                <w:rFonts w:hint="eastAsia" w:hAnsi="宋体"/>
                <w:spacing w:val="1"/>
                <w:highlight w:val="none"/>
              </w:rPr>
              <w:t>72</w:t>
            </w:r>
            <w:r>
              <w:rPr>
                <w:rFonts w:hAnsi="宋体"/>
                <w:spacing w:val="-2"/>
                <w:highlight w:val="none"/>
              </w:rPr>
              <w:t>0</w:t>
            </w:r>
            <w:r>
              <w:rPr>
                <w:rFonts w:hAnsi="宋体"/>
                <w:highlight w:val="none"/>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02" w:type="dxa"/>
            <w:vAlign w:val="center"/>
          </w:tcPr>
          <w:p>
            <w:pPr>
              <w:pStyle w:val="64"/>
              <w:rPr>
                <w:rFonts w:hAnsi="宋体"/>
                <w:highlight w:val="none"/>
              </w:rPr>
            </w:pPr>
            <w:r>
              <w:rPr>
                <w:rFonts w:hint="eastAsia" w:hAnsi="宋体"/>
                <w:spacing w:val="2"/>
                <w:highlight w:val="none"/>
              </w:rPr>
              <w:t>成品</w:t>
            </w:r>
            <w:r>
              <w:rPr>
                <w:rFonts w:hAnsi="宋体"/>
                <w:highlight w:val="none"/>
              </w:rPr>
              <w:t>库</w:t>
            </w:r>
          </w:p>
        </w:tc>
        <w:tc>
          <w:tcPr>
            <w:tcW w:w="803"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750" w:type="dxa"/>
            <w:vAlign w:val="center"/>
          </w:tcPr>
          <w:p>
            <w:pPr>
              <w:pStyle w:val="64"/>
              <w:rPr>
                <w:rFonts w:hAnsi="宋体"/>
                <w:highlight w:val="none"/>
              </w:rPr>
            </w:pPr>
            <w:r>
              <w:rPr>
                <w:rFonts w:hAnsi="宋体"/>
                <w:spacing w:val="-1"/>
                <w:highlight w:val="none"/>
              </w:rPr>
              <w:t>颗</w:t>
            </w:r>
            <w:r>
              <w:rPr>
                <w:rFonts w:hAnsi="宋体"/>
                <w:highlight w:val="none"/>
              </w:rPr>
              <w:t>粒物</w:t>
            </w:r>
          </w:p>
        </w:tc>
        <w:tc>
          <w:tcPr>
            <w:tcW w:w="733" w:type="dxa"/>
            <w:vAlign w:val="center"/>
          </w:tcPr>
          <w:p>
            <w:pPr>
              <w:pStyle w:val="64"/>
              <w:rPr>
                <w:rFonts w:hAnsi="宋体"/>
                <w:highlight w:val="none"/>
              </w:rPr>
            </w:pPr>
            <w:r>
              <w:rPr>
                <w:rFonts w:hAnsi="宋体"/>
                <w:spacing w:val="-1"/>
                <w:highlight w:val="none"/>
              </w:rPr>
              <w:t>经</w:t>
            </w:r>
            <w:r>
              <w:rPr>
                <w:rFonts w:hAnsi="宋体"/>
                <w:highlight w:val="none"/>
              </w:rPr>
              <w:t>验</w:t>
            </w:r>
            <w:r>
              <w:rPr>
                <w:rFonts w:hAnsi="宋体"/>
                <w:spacing w:val="-1"/>
                <w:highlight w:val="none"/>
              </w:rPr>
              <w:t>公</w:t>
            </w:r>
            <w:r>
              <w:rPr>
                <w:rFonts w:hAnsi="宋体"/>
                <w:highlight w:val="none"/>
              </w:rPr>
              <w:t>式</w:t>
            </w:r>
          </w:p>
        </w:tc>
        <w:tc>
          <w:tcPr>
            <w:tcW w:w="1005" w:type="dxa"/>
            <w:vAlign w:val="center"/>
          </w:tcPr>
          <w:p>
            <w:pPr>
              <w:pStyle w:val="64"/>
              <w:rPr>
                <w:rFonts w:hAnsi="宋体"/>
                <w:highlight w:val="none"/>
              </w:rPr>
            </w:pPr>
            <w:r>
              <w:rPr>
                <w:rFonts w:hAnsi="宋体"/>
                <w:highlight w:val="none"/>
              </w:rPr>
              <w:t>/</w:t>
            </w:r>
          </w:p>
        </w:tc>
        <w:tc>
          <w:tcPr>
            <w:tcW w:w="974" w:type="dxa"/>
            <w:vAlign w:val="center"/>
          </w:tcPr>
          <w:p>
            <w:pPr>
              <w:pStyle w:val="64"/>
              <w:rPr>
                <w:rFonts w:hAnsi="宋体"/>
                <w:highlight w:val="none"/>
              </w:rPr>
            </w:pPr>
            <w:r>
              <w:rPr>
                <w:rFonts w:hAnsi="宋体"/>
                <w:highlight w:val="none"/>
              </w:rPr>
              <w:t>/</w:t>
            </w:r>
          </w:p>
        </w:tc>
        <w:tc>
          <w:tcPr>
            <w:tcW w:w="993" w:type="dxa"/>
            <w:vAlign w:val="center"/>
          </w:tcPr>
          <w:p>
            <w:pPr>
              <w:pStyle w:val="64"/>
              <w:rPr>
                <w:rFonts w:hAnsi="宋体"/>
                <w:highlight w:val="none"/>
              </w:rPr>
            </w:pPr>
            <w:r>
              <w:rPr>
                <w:rFonts w:hAnsi="宋体"/>
                <w:spacing w:val="1"/>
                <w:highlight w:val="none"/>
              </w:rPr>
              <w:t>0.</w:t>
            </w:r>
            <w:r>
              <w:rPr>
                <w:rFonts w:hint="eastAsia" w:hAnsi="宋体"/>
                <w:spacing w:val="1"/>
                <w:highlight w:val="none"/>
              </w:rPr>
              <w:t>29</w:t>
            </w:r>
          </w:p>
        </w:tc>
        <w:tc>
          <w:tcPr>
            <w:tcW w:w="2270"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成品库</w:t>
            </w:r>
          </w:p>
        </w:tc>
        <w:tc>
          <w:tcPr>
            <w:tcW w:w="991" w:type="dxa"/>
            <w:vAlign w:val="center"/>
          </w:tcPr>
          <w:p>
            <w:pPr>
              <w:pStyle w:val="64"/>
              <w:rPr>
                <w:rFonts w:hAnsi="宋体"/>
                <w:highlight w:val="none"/>
              </w:rPr>
            </w:pPr>
            <w:r>
              <w:rPr>
                <w:rFonts w:hint="eastAsia" w:hAnsi="宋体"/>
                <w:spacing w:val="1"/>
                <w:highlight w:val="none"/>
              </w:rPr>
              <w:t>90</w:t>
            </w:r>
          </w:p>
        </w:tc>
        <w:tc>
          <w:tcPr>
            <w:tcW w:w="711" w:type="dxa"/>
            <w:vAlign w:val="center"/>
          </w:tcPr>
          <w:p>
            <w:pPr>
              <w:pStyle w:val="64"/>
              <w:rPr>
                <w:rFonts w:hAnsi="宋体"/>
                <w:highlight w:val="none"/>
              </w:rPr>
            </w:pPr>
            <w:r>
              <w:rPr>
                <w:rFonts w:hAnsi="宋体"/>
                <w:highlight w:val="none"/>
              </w:rPr>
              <w:t>/</w:t>
            </w:r>
          </w:p>
        </w:tc>
        <w:tc>
          <w:tcPr>
            <w:tcW w:w="991" w:type="dxa"/>
            <w:vAlign w:val="center"/>
          </w:tcPr>
          <w:p>
            <w:pPr>
              <w:pStyle w:val="64"/>
              <w:rPr>
                <w:rFonts w:hAnsi="宋体"/>
                <w:highlight w:val="none"/>
              </w:rPr>
            </w:pPr>
            <w:r>
              <w:rPr>
                <w:rFonts w:hAnsi="宋体"/>
                <w:highlight w:val="none"/>
              </w:rPr>
              <w:t>/</w:t>
            </w:r>
          </w:p>
        </w:tc>
        <w:tc>
          <w:tcPr>
            <w:tcW w:w="1016" w:type="dxa"/>
            <w:vAlign w:val="center"/>
          </w:tcPr>
          <w:p>
            <w:pPr>
              <w:pStyle w:val="64"/>
              <w:rPr>
                <w:rFonts w:hAnsi="宋体"/>
                <w:highlight w:val="none"/>
              </w:rPr>
            </w:pPr>
            <w:r>
              <w:rPr>
                <w:rFonts w:hAnsi="宋体"/>
                <w:highlight w:val="none"/>
              </w:rPr>
              <w:t>/</w:t>
            </w:r>
          </w:p>
        </w:tc>
        <w:tc>
          <w:tcPr>
            <w:tcW w:w="1063" w:type="dxa"/>
            <w:vAlign w:val="center"/>
          </w:tcPr>
          <w:p>
            <w:pPr>
              <w:pStyle w:val="64"/>
              <w:rPr>
                <w:rFonts w:hAnsi="宋体"/>
                <w:highlight w:val="none"/>
              </w:rPr>
            </w:pPr>
            <w:r>
              <w:rPr>
                <w:rFonts w:hAnsi="宋体"/>
                <w:spacing w:val="1"/>
                <w:highlight w:val="none"/>
              </w:rPr>
              <w:t>0.0</w:t>
            </w:r>
            <w:r>
              <w:rPr>
                <w:rFonts w:hint="eastAsia" w:hAnsi="宋体"/>
                <w:spacing w:val="-2"/>
                <w:highlight w:val="none"/>
              </w:rPr>
              <w:t>29</w:t>
            </w:r>
          </w:p>
        </w:tc>
        <w:tc>
          <w:tcPr>
            <w:tcW w:w="890" w:type="dxa"/>
            <w:vAlign w:val="center"/>
          </w:tcPr>
          <w:p>
            <w:pPr>
              <w:pStyle w:val="64"/>
              <w:rPr>
                <w:rFonts w:hAnsi="宋体"/>
                <w:highlight w:val="none"/>
              </w:rPr>
            </w:pPr>
            <w:r>
              <w:rPr>
                <w:rFonts w:hint="eastAsia" w:hAnsi="宋体"/>
                <w:spacing w:val="1"/>
                <w:highlight w:val="none"/>
              </w:rPr>
              <w:t>7200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Align w:val="center"/>
          </w:tcPr>
          <w:p>
            <w:pPr>
              <w:pStyle w:val="64"/>
              <w:rPr>
                <w:rFonts w:hAnsi="宋体"/>
                <w:highlight w:val="none"/>
              </w:rPr>
            </w:pPr>
            <w:r>
              <w:rPr>
                <w:rFonts w:hint="eastAsia" w:hAnsi="宋体"/>
                <w:spacing w:val="2"/>
                <w:highlight w:val="none"/>
              </w:rPr>
              <w:t>废石</w:t>
            </w:r>
            <w:r>
              <w:rPr>
                <w:rFonts w:hAnsi="宋体"/>
                <w:highlight w:val="none"/>
              </w:rPr>
              <w:t>库</w:t>
            </w:r>
          </w:p>
        </w:tc>
        <w:tc>
          <w:tcPr>
            <w:tcW w:w="803"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750" w:type="dxa"/>
            <w:vAlign w:val="center"/>
          </w:tcPr>
          <w:p>
            <w:pPr>
              <w:pStyle w:val="64"/>
              <w:rPr>
                <w:rFonts w:hAnsi="宋体"/>
                <w:highlight w:val="none"/>
              </w:rPr>
            </w:pPr>
            <w:r>
              <w:rPr>
                <w:rFonts w:hAnsi="宋体"/>
                <w:spacing w:val="-1"/>
                <w:highlight w:val="none"/>
              </w:rPr>
              <w:t>颗</w:t>
            </w:r>
            <w:r>
              <w:rPr>
                <w:rFonts w:hAnsi="宋体"/>
                <w:highlight w:val="none"/>
              </w:rPr>
              <w:t>粒物</w:t>
            </w:r>
          </w:p>
        </w:tc>
        <w:tc>
          <w:tcPr>
            <w:tcW w:w="733" w:type="dxa"/>
            <w:vAlign w:val="center"/>
          </w:tcPr>
          <w:p>
            <w:pPr>
              <w:pStyle w:val="64"/>
              <w:rPr>
                <w:rFonts w:hAnsi="宋体"/>
                <w:highlight w:val="none"/>
              </w:rPr>
            </w:pPr>
            <w:r>
              <w:rPr>
                <w:rFonts w:hAnsi="宋体"/>
                <w:spacing w:val="-1"/>
                <w:highlight w:val="none"/>
              </w:rPr>
              <w:t>经</w:t>
            </w:r>
            <w:r>
              <w:rPr>
                <w:rFonts w:hAnsi="宋体"/>
                <w:highlight w:val="none"/>
              </w:rPr>
              <w:t>验</w:t>
            </w:r>
            <w:r>
              <w:rPr>
                <w:rFonts w:hAnsi="宋体"/>
                <w:spacing w:val="-1"/>
                <w:highlight w:val="none"/>
              </w:rPr>
              <w:t>公</w:t>
            </w:r>
            <w:r>
              <w:rPr>
                <w:rFonts w:hAnsi="宋体"/>
                <w:highlight w:val="none"/>
              </w:rPr>
              <w:t>式</w:t>
            </w:r>
          </w:p>
        </w:tc>
        <w:tc>
          <w:tcPr>
            <w:tcW w:w="1005" w:type="dxa"/>
            <w:vAlign w:val="center"/>
          </w:tcPr>
          <w:p>
            <w:pPr>
              <w:pStyle w:val="64"/>
              <w:rPr>
                <w:rFonts w:hAnsi="宋体"/>
                <w:highlight w:val="none"/>
              </w:rPr>
            </w:pPr>
            <w:r>
              <w:rPr>
                <w:rFonts w:hAnsi="宋体"/>
                <w:highlight w:val="none"/>
              </w:rPr>
              <w:t>/</w:t>
            </w:r>
          </w:p>
        </w:tc>
        <w:tc>
          <w:tcPr>
            <w:tcW w:w="974" w:type="dxa"/>
            <w:vAlign w:val="center"/>
          </w:tcPr>
          <w:p>
            <w:pPr>
              <w:pStyle w:val="64"/>
              <w:rPr>
                <w:rFonts w:hAnsi="宋体"/>
                <w:highlight w:val="none"/>
              </w:rPr>
            </w:pPr>
            <w:r>
              <w:rPr>
                <w:rFonts w:hAnsi="宋体"/>
                <w:highlight w:val="none"/>
              </w:rPr>
              <w:t>/</w:t>
            </w:r>
          </w:p>
        </w:tc>
        <w:tc>
          <w:tcPr>
            <w:tcW w:w="993" w:type="dxa"/>
            <w:vAlign w:val="center"/>
          </w:tcPr>
          <w:p>
            <w:pPr>
              <w:pStyle w:val="64"/>
              <w:rPr>
                <w:rFonts w:hAnsi="宋体"/>
                <w:highlight w:val="none"/>
              </w:rPr>
            </w:pPr>
            <w:r>
              <w:rPr>
                <w:rFonts w:hint="eastAsia" w:hAnsi="宋体"/>
                <w:spacing w:val="1"/>
                <w:highlight w:val="none"/>
              </w:rPr>
              <w:t>4.92</w:t>
            </w:r>
          </w:p>
        </w:tc>
        <w:tc>
          <w:tcPr>
            <w:tcW w:w="2270"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废石</w:t>
            </w:r>
            <w:r>
              <w:rPr>
                <w:rFonts w:hint="eastAsia" w:hAnsi="宋体"/>
                <w:highlight w:val="none"/>
              </w:rPr>
              <w:t>库</w:t>
            </w:r>
            <w:r>
              <w:rPr>
                <w:rFonts w:hAnsi="宋体"/>
                <w:highlight w:val="none"/>
              </w:rPr>
              <w:t>，配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c>
          <w:tcPr>
            <w:tcW w:w="991" w:type="dxa"/>
            <w:vAlign w:val="center"/>
          </w:tcPr>
          <w:p>
            <w:pPr>
              <w:pStyle w:val="64"/>
              <w:rPr>
                <w:rFonts w:hAnsi="宋体"/>
                <w:highlight w:val="none"/>
              </w:rPr>
            </w:pPr>
            <w:r>
              <w:rPr>
                <w:rFonts w:hint="eastAsia" w:hAnsi="宋体"/>
                <w:spacing w:val="1"/>
                <w:highlight w:val="none"/>
              </w:rPr>
              <w:t>90</w:t>
            </w:r>
          </w:p>
        </w:tc>
        <w:tc>
          <w:tcPr>
            <w:tcW w:w="711" w:type="dxa"/>
            <w:vAlign w:val="center"/>
          </w:tcPr>
          <w:p>
            <w:pPr>
              <w:pStyle w:val="64"/>
              <w:rPr>
                <w:rFonts w:hAnsi="宋体"/>
                <w:highlight w:val="none"/>
              </w:rPr>
            </w:pPr>
            <w:r>
              <w:rPr>
                <w:rFonts w:hAnsi="宋体"/>
                <w:highlight w:val="none"/>
              </w:rPr>
              <w:t>/</w:t>
            </w:r>
          </w:p>
        </w:tc>
        <w:tc>
          <w:tcPr>
            <w:tcW w:w="991" w:type="dxa"/>
            <w:vAlign w:val="center"/>
          </w:tcPr>
          <w:p>
            <w:pPr>
              <w:pStyle w:val="64"/>
              <w:rPr>
                <w:rFonts w:hAnsi="宋体"/>
                <w:highlight w:val="none"/>
              </w:rPr>
            </w:pPr>
            <w:r>
              <w:rPr>
                <w:rFonts w:hAnsi="宋体"/>
                <w:highlight w:val="none"/>
              </w:rPr>
              <w:t>/</w:t>
            </w:r>
          </w:p>
        </w:tc>
        <w:tc>
          <w:tcPr>
            <w:tcW w:w="1016" w:type="dxa"/>
            <w:vAlign w:val="center"/>
          </w:tcPr>
          <w:p>
            <w:pPr>
              <w:pStyle w:val="64"/>
              <w:rPr>
                <w:rFonts w:hAnsi="宋体"/>
                <w:highlight w:val="none"/>
              </w:rPr>
            </w:pPr>
            <w:r>
              <w:rPr>
                <w:rFonts w:hAnsi="宋体"/>
                <w:highlight w:val="none"/>
              </w:rPr>
              <w:t>/</w:t>
            </w:r>
          </w:p>
        </w:tc>
        <w:tc>
          <w:tcPr>
            <w:tcW w:w="1063" w:type="dxa"/>
            <w:vAlign w:val="center"/>
          </w:tcPr>
          <w:p>
            <w:pPr>
              <w:pStyle w:val="64"/>
              <w:rPr>
                <w:rFonts w:hAnsi="宋体"/>
                <w:highlight w:val="none"/>
              </w:rPr>
            </w:pPr>
            <w:r>
              <w:rPr>
                <w:rFonts w:hAnsi="宋体"/>
                <w:spacing w:val="1"/>
                <w:highlight w:val="none"/>
              </w:rPr>
              <w:t>0.</w:t>
            </w:r>
            <w:r>
              <w:rPr>
                <w:rFonts w:hint="eastAsia" w:hAnsi="宋体"/>
                <w:spacing w:val="1"/>
                <w:highlight w:val="none"/>
              </w:rPr>
              <w:t>492</w:t>
            </w:r>
          </w:p>
        </w:tc>
        <w:tc>
          <w:tcPr>
            <w:tcW w:w="890" w:type="dxa"/>
            <w:vAlign w:val="center"/>
          </w:tcPr>
          <w:p>
            <w:pPr>
              <w:pStyle w:val="64"/>
              <w:rPr>
                <w:rFonts w:hAnsi="宋体"/>
                <w:highlight w:val="none"/>
              </w:rPr>
            </w:pPr>
            <w:r>
              <w:rPr>
                <w:rFonts w:hint="eastAsia" w:hAnsi="宋体"/>
                <w:spacing w:val="1"/>
                <w:highlight w:val="none"/>
              </w:rPr>
              <w:t>7200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Align w:val="center"/>
          </w:tcPr>
          <w:p>
            <w:pPr>
              <w:pStyle w:val="64"/>
              <w:rPr>
                <w:rFonts w:hAnsi="宋体"/>
                <w:highlight w:val="none"/>
              </w:rPr>
            </w:pPr>
            <w:r>
              <w:rPr>
                <w:rFonts w:hAnsi="宋体"/>
                <w:spacing w:val="-1"/>
                <w:highlight w:val="none"/>
              </w:rPr>
              <w:t>破</w:t>
            </w:r>
            <w:r>
              <w:rPr>
                <w:rFonts w:hAnsi="宋体"/>
                <w:highlight w:val="none"/>
              </w:rPr>
              <w:t>碎</w:t>
            </w:r>
            <w:r>
              <w:rPr>
                <w:rFonts w:hAnsi="宋体"/>
                <w:spacing w:val="2"/>
                <w:highlight w:val="none"/>
              </w:rPr>
              <w:t>机</w:t>
            </w:r>
            <w:r>
              <w:rPr>
                <w:rFonts w:hAnsi="宋体"/>
                <w:spacing w:val="-74"/>
                <w:highlight w:val="none"/>
              </w:rPr>
              <w:t>、</w:t>
            </w:r>
            <w:r>
              <w:rPr>
                <w:rFonts w:hAnsi="宋体"/>
                <w:spacing w:val="-1"/>
                <w:highlight w:val="none"/>
              </w:rPr>
              <w:t>干</w:t>
            </w:r>
            <w:r>
              <w:rPr>
                <w:rFonts w:hAnsi="宋体"/>
                <w:highlight w:val="none"/>
              </w:rPr>
              <w:t>选机</w:t>
            </w:r>
          </w:p>
        </w:tc>
        <w:tc>
          <w:tcPr>
            <w:tcW w:w="803" w:type="dxa"/>
            <w:vAlign w:val="center"/>
          </w:tcPr>
          <w:p>
            <w:pPr>
              <w:pStyle w:val="64"/>
              <w:rPr>
                <w:rFonts w:hAnsi="宋体"/>
                <w:highlight w:val="none"/>
              </w:rPr>
            </w:pPr>
            <w:r>
              <w:rPr>
                <w:rFonts w:hint="eastAsia" w:hAnsi="宋体"/>
                <w:spacing w:val="-1"/>
                <w:highlight w:val="none"/>
              </w:rPr>
              <w:t>有组织</w:t>
            </w:r>
          </w:p>
        </w:tc>
        <w:tc>
          <w:tcPr>
            <w:tcW w:w="750"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733" w:type="dxa"/>
            <w:vAlign w:val="center"/>
          </w:tcPr>
          <w:p>
            <w:pPr>
              <w:pStyle w:val="64"/>
              <w:rPr>
                <w:rFonts w:hAnsi="宋体"/>
                <w:highlight w:val="none"/>
              </w:rPr>
            </w:pPr>
            <w:r>
              <w:rPr>
                <w:rFonts w:hint="eastAsia" w:hAnsi="宋体"/>
                <w:spacing w:val="-1"/>
                <w:highlight w:val="none"/>
              </w:rPr>
              <w:t>计算</w:t>
            </w:r>
          </w:p>
        </w:tc>
        <w:tc>
          <w:tcPr>
            <w:tcW w:w="1005" w:type="dxa"/>
            <w:vAlign w:val="center"/>
          </w:tcPr>
          <w:p>
            <w:pPr>
              <w:pStyle w:val="64"/>
              <w:rPr>
                <w:rFonts w:hAnsi="宋体"/>
                <w:highlight w:val="none"/>
              </w:rPr>
            </w:pPr>
            <w:r>
              <w:rPr>
                <w:rFonts w:hint="eastAsia" w:hAnsi="宋体"/>
                <w:spacing w:val="1"/>
                <w:highlight w:val="none"/>
              </w:rPr>
              <w:t>39</w:t>
            </w:r>
            <w:r>
              <w:rPr>
                <w:rFonts w:hAnsi="宋体"/>
                <w:spacing w:val="1"/>
                <w:highlight w:val="none"/>
              </w:rPr>
              <w:t>0</w:t>
            </w:r>
            <w:r>
              <w:rPr>
                <w:rFonts w:hAnsi="宋体"/>
                <w:spacing w:val="-2"/>
                <w:highlight w:val="none"/>
              </w:rPr>
              <w:t>0</w:t>
            </w:r>
            <w:r>
              <w:rPr>
                <w:rFonts w:hAnsi="宋体"/>
                <w:highlight w:val="none"/>
              </w:rPr>
              <w:t>0</w:t>
            </w:r>
          </w:p>
        </w:tc>
        <w:tc>
          <w:tcPr>
            <w:tcW w:w="974" w:type="dxa"/>
            <w:vAlign w:val="center"/>
          </w:tcPr>
          <w:p>
            <w:pPr>
              <w:pStyle w:val="64"/>
              <w:rPr>
                <w:rFonts w:hAnsi="宋体"/>
                <w:highlight w:val="none"/>
              </w:rPr>
            </w:pPr>
            <w:r>
              <w:rPr>
                <w:rFonts w:hAnsi="宋体"/>
                <w:spacing w:val="1"/>
                <w:highlight w:val="none"/>
              </w:rPr>
              <w:t>1096.2</w:t>
            </w:r>
          </w:p>
        </w:tc>
        <w:tc>
          <w:tcPr>
            <w:tcW w:w="993" w:type="dxa"/>
            <w:vAlign w:val="center"/>
          </w:tcPr>
          <w:p>
            <w:pPr>
              <w:pStyle w:val="64"/>
              <w:rPr>
                <w:rFonts w:hAnsi="宋体"/>
                <w:highlight w:val="none"/>
              </w:rPr>
            </w:pPr>
            <w:r>
              <w:rPr>
                <w:rFonts w:hint="eastAsia" w:hAnsi="宋体"/>
                <w:spacing w:val="1"/>
                <w:highlight w:val="none"/>
              </w:rPr>
              <w:t>307.8</w:t>
            </w:r>
          </w:p>
        </w:tc>
        <w:tc>
          <w:tcPr>
            <w:tcW w:w="2270" w:type="dxa"/>
            <w:vAlign w:val="center"/>
          </w:tcPr>
          <w:p>
            <w:pPr>
              <w:pStyle w:val="64"/>
              <w:rPr>
                <w:rFonts w:hAnsi="宋体"/>
                <w:highlight w:val="none"/>
              </w:rPr>
            </w:pPr>
            <w:r>
              <w:rPr>
                <w:rFonts w:hAnsi="宋体"/>
                <w:spacing w:val="-1"/>
                <w:highlight w:val="none"/>
              </w:rPr>
              <w:t>产</w:t>
            </w:r>
            <w:r>
              <w:rPr>
                <w:rFonts w:hAnsi="宋体"/>
                <w:spacing w:val="2"/>
                <w:highlight w:val="none"/>
              </w:rPr>
              <w:t>尘点</w:t>
            </w:r>
            <w:r>
              <w:rPr>
                <w:rFonts w:hAnsi="宋体"/>
                <w:highlight w:val="none"/>
              </w:rPr>
              <w:t>、</w:t>
            </w:r>
            <w:r>
              <w:rPr>
                <w:rFonts w:hAnsi="宋体"/>
                <w:spacing w:val="-1"/>
                <w:w w:val="95"/>
                <w:highlight w:val="none"/>
              </w:rPr>
              <w:t>皮</w:t>
            </w:r>
            <w:r>
              <w:rPr>
                <w:rFonts w:hAnsi="宋体"/>
                <w:spacing w:val="1"/>
                <w:w w:val="95"/>
                <w:highlight w:val="none"/>
              </w:rPr>
              <w:t>带</w:t>
            </w:r>
            <w:r>
              <w:rPr>
                <w:rFonts w:hAnsi="宋体"/>
                <w:w w:val="95"/>
                <w:highlight w:val="none"/>
              </w:rPr>
              <w:t>机</w:t>
            </w:r>
            <w:r>
              <w:rPr>
                <w:rFonts w:hAnsi="宋体"/>
                <w:spacing w:val="-1"/>
                <w:w w:val="95"/>
                <w:highlight w:val="none"/>
              </w:rPr>
              <w:t>落</w:t>
            </w:r>
            <w:r>
              <w:rPr>
                <w:rFonts w:hAnsi="宋体"/>
                <w:spacing w:val="1"/>
                <w:w w:val="95"/>
                <w:highlight w:val="none"/>
              </w:rPr>
              <w:t>料</w:t>
            </w:r>
            <w:r>
              <w:rPr>
                <w:rFonts w:hAnsi="宋体"/>
                <w:w w:val="95"/>
                <w:highlight w:val="none"/>
              </w:rPr>
              <w:t>处</w:t>
            </w:r>
            <w:r>
              <w:rPr>
                <w:rFonts w:hAnsi="宋体"/>
                <w:spacing w:val="-1"/>
                <w:highlight w:val="none"/>
              </w:rPr>
              <w:t>分</w:t>
            </w:r>
            <w:r>
              <w:rPr>
                <w:rFonts w:hAnsi="宋体"/>
                <w:spacing w:val="2"/>
                <w:highlight w:val="none"/>
              </w:rPr>
              <w:t>别</w:t>
            </w:r>
            <w:r>
              <w:rPr>
                <w:rFonts w:hint="eastAsia" w:hAnsi="宋体"/>
                <w:spacing w:val="2"/>
                <w:highlight w:val="none"/>
              </w:rPr>
              <w:t>安装</w:t>
            </w:r>
            <w:r>
              <w:rPr>
                <w:rFonts w:hAnsi="宋体"/>
                <w:highlight w:val="none"/>
              </w:rPr>
              <w:t>集</w:t>
            </w:r>
            <w:r>
              <w:rPr>
                <w:rFonts w:hAnsi="宋体"/>
                <w:spacing w:val="-1"/>
                <w:w w:val="95"/>
                <w:highlight w:val="none"/>
              </w:rPr>
              <w:t>气</w:t>
            </w:r>
            <w:r>
              <w:rPr>
                <w:rFonts w:hint="eastAsia" w:hAnsi="宋体"/>
                <w:spacing w:val="-1"/>
                <w:w w:val="95"/>
                <w:highlight w:val="none"/>
              </w:rPr>
              <w:t>罩，通过管道将上述废气引入同一台</w:t>
            </w:r>
            <w:r>
              <w:rPr>
                <w:rFonts w:hAnsi="宋体"/>
                <w:spacing w:val="-1"/>
                <w:w w:val="95"/>
                <w:highlight w:val="none"/>
              </w:rPr>
              <w:t>布</w:t>
            </w:r>
            <w:r>
              <w:rPr>
                <w:rFonts w:hAnsi="宋体"/>
                <w:w w:val="95"/>
                <w:highlight w:val="none"/>
              </w:rPr>
              <w:t>袋</w:t>
            </w:r>
            <w:r>
              <w:rPr>
                <w:rFonts w:hAnsi="宋体"/>
                <w:spacing w:val="-1"/>
                <w:highlight w:val="none"/>
              </w:rPr>
              <w:t>除</w:t>
            </w:r>
            <w:r>
              <w:rPr>
                <w:rFonts w:hAnsi="宋体"/>
                <w:spacing w:val="2"/>
                <w:highlight w:val="none"/>
              </w:rPr>
              <w:t>尘</w:t>
            </w:r>
            <w:r>
              <w:rPr>
                <w:rFonts w:hAnsi="宋体"/>
                <w:highlight w:val="none"/>
              </w:rPr>
              <w:t>器</w:t>
            </w:r>
          </w:p>
        </w:tc>
        <w:tc>
          <w:tcPr>
            <w:tcW w:w="991" w:type="dxa"/>
            <w:vAlign w:val="center"/>
          </w:tcPr>
          <w:p>
            <w:pPr>
              <w:pStyle w:val="64"/>
              <w:rPr>
                <w:rFonts w:hAnsi="宋体"/>
                <w:highlight w:val="none"/>
              </w:rPr>
            </w:pPr>
            <w:r>
              <w:rPr>
                <w:rFonts w:hAnsi="宋体"/>
                <w:spacing w:val="1"/>
                <w:highlight w:val="none"/>
              </w:rPr>
              <w:t>9</w:t>
            </w:r>
            <w:r>
              <w:rPr>
                <w:rFonts w:hAnsi="宋体"/>
                <w:highlight w:val="none"/>
              </w:rPr>
              <w:t>9</w:t>
            </w:r>
            <w:r>
              <w:rPr>
                <w:rFonts w:hint="eastAsia" w:hAnsi="宋体"/>
                <w:highlight w:val="none"/>
              </w:rPr>
              <w:t>.1</w:t>
            </w:r>
            <w:r>
              <w:rPr>
                <w:rFonts w:hAnsi="宋体"/>
                <w:spacing w:val="-1"/>
                <w:highlight w:val="none"/>
              </w:rPr>
              <w:t>以</w:t>
            </w:r>
            <w:r>
              <w:rPr>
                <w:rFonts w:hAnsi="宋体"/>
                <w:highlight w:val="none"/>
              </w:rPr>
              <w:t>上</w:t>
            </w:r>
          </w:p>
        </w:tc>
        <w:tc>
          <w:tcPr>
            <w:tcW w:w="711" w:type="dxa"/>
            <w:vAlign w:val="center"/>
          </w:tcPr>
          <w:p>
            <w:pPr>
              <w:pStyle w:val="64"/>
              <w:rPr>
                <w:rFonts w:hAnsi="宋体"/>
                <w:highlight w:val="none"/>
              </w:rPr>
            </w:pPr>
            <w:r>
              <w:rPr>
                <w:rFonts w:hAnsi="宋体"/>
                <w:spacing w:val="-1"/>
                <w:highlight w:val="none"/>
              </w:rPr>
              <w:t>物</w:t>
            </w:r>
            <w:r>
              <w:rPr>
                <w:rFonts w:hAnsi="宋体"/>
                <w:highlight w:val="none"/>
              </w:rPr>
              <w:t>料</w:t>
            </w:r>
            <w:r>
              <w:rPr>
                <w:rFonts w:hAnsi="宋体"/>
                <w:spacing w:val="-1"/>
                <w:highlight w:val="none"/>
              </w:rPr>
              <w:t>衡</w:t>
            </w:r>
            <w:r>
              <w:rPr>
                <w:rFonts w:hAnsi="宋体"/>
                <w:highlight w:val="none"/>
              </w:rPr>
              <w:t>算</w:t>
            </w:r>
          </w:p>
        </w:tc>
        <w:tc>
          <w:tcPr>
            <w:tcW w:w="991" w:type="dxa"/>
            <w:vAlign w:val="center"/>
          </w:tcPr>
          <w:p>
            <w:pPr>
              <w:pStyle w:val="64"/>
              <w:rPr>
                <w:rFonts w:hAnsi="宋体"/>
                <w:highlight w:val="none"/>
              </w:rPr>
            </w:pPr>
            <w:r>
              <w:rPr>
                <w:rFonts w:hint="eastAsia" w:hAnsi="宋体"/>
                <w:spacing w:val="1"/>
                <w:highlight w:val="none"/>
              </w:rPr>
              <w:t>39000</w:t>
            </w:r>
          </w:p>
        </w:tc>
        <w:tc>
          <w:tcPr>
            <w:tcW w:w="1016" w:type="dxa"/>
            <w:vAlign w:val="center"/>
          </w:tcPr>
          <w:p>
            <w:pPr>
              <w:pStyle w:val="64"/>
              <w:rPr>
                <w:rFonts w:hAnsi="宋体"/>
                <w:highlight w:val="none"/>
              </w:rPr>
            </w:pPr>
            <w:r>
              <w:rPr>
                <w:rFonts w:hAnsi="宋体"/>
                <w:spacing w:val="1"/>
                <w:highlight w:val="none"/>
              </w:rPr>
              <w:t>1</w:t>
            </w:r>
            <w:r>
              <w:rPr>
                <w:rFonts w:hAnsi="宋体"/>
                <w:highlight w:val="none"/>
              </w:rPr>
              <w:t>0</w:t>
            </w:r>
          </w:p>
        </w:tc>
        <w:tc>
          <w:tcPr>
            <w:tcW w:w="1063" w:type="dxa"/>
            <w:vAlign w:val="center"/>
          </w:tcPr>
          <w:p>
            <w:pPr>
              <w:pStyle w:val="64"/>
              <w:rPr>
                <w:rFonts w:hAnsi="宋体"/>
                <w:highlight w:val="none"/>
              </w:rPr>
            </w:pPr>
            <w:r>
              <w:rPr>
                <w:rFonts w:hAnsi="宋体"/>
                <w:spacing w:val="1"/>
                <w:highlight w:val="none"/>
              </w:rPr>
              <w:t>2.808</w:t>
            </w:r>
          </w:p>
        </w:tc>
        <w:tc>
          <w:tcPr>
            <w:tcW w:w="890" w:type="dxa"/>
            <w:vAlign w:val="center"/>
          </w:tcPr>
          <w:p>
            <w:pPr>
              <w:pStyle w:val="64"/>
              <w:rPr>
                <w:rFonts w:hAnsi="宋体"/>
                <w:highlight w:val="none"/>
              </w:rPr>
            </w:pPr>
            <w:r>
              <w:rPr>
                <w:rFonts w:hint="eastAsia" w:hAnsi="宋体"/>
                <w:spacing w:val="1"/>
                <w:highlight w:val="none"/>
              </w:rPr>
              <w:t>7200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Align w:val="center"/>
          </w:tcPr>
          <w:p>
            <w:pPr>
              <w:pStyle w:val="64"/>
              <w:rPr>
                <w:rFonts w:hAnsi="宋体"/>
                <w:highlight w:val="none"/>
              </w:rPr>
            </w:pPr>
            <w:r>
              <w:rPr>
                <w:rFonts w:hAnsi="宋体"/>
                <w:spacing w:val="-1"/>
                <w:highlight w:val="none"/>
              </w:rPr>
              <w:t>输</w:t>
            </w:r>
            <w:r>
              <w:rPr>
                <w:rFonts w:hAnsi="宋体"/>
                <w:highlight w:val="none"/>
              </w:rPr>
              <w:t>送</w:t>
            </w:r>
            <w:r>
              <w:rPr>
                <w:rFonts w:hAnsi="宋体"/>
                <w:spacing w:val="-1"/>
                <w:highlight w:val="none"/>
              </w:rPr>
              <w:t>皮</w:t>
            </w:r>
            <w:r>
              <w:rPr>
                <w:rFonts w:hAnsi="宋体"/>
                <w:highlight w:val="none"/>
              </w:rPr>
              <w:t>带</w:t>
            </w:r>
          </w:p>
        </w:tc>
        <w:tc>
          <w:tcPr>
            <w:tcW w:w="803" w:type="dxa"/>
            <w:vAlign w:val="center"/>
          </w:tcPr>
          <w:p>
            <w:pPr>
              <w:pStyle w:val="64"/>
              <w:rPr>
                <w:rFonts w:hAnsi="宋体"/>
                <w:highlight w:val="none"/>
              </w:rPr>
            </w:pPr>
            <w:r>
              <w:rPr>
                <w:rFonts w:hAnsi="宋体"/>
                <w:spacing w:val="-1"/>
                <w:highlight w:val="none"/>
              </w:rPr>
              <w:t>输</w:t>
            </w:r>
            <w:r>
              <w:rPr>
                <w:rFonts w:hAnsi="宋体"/>
                <w:highlight w:val="none"/>
              </w:rPr>
              <w:t>送</w:t>
            </w:r>
            <w:r>
              <w:rPr>
                <w:rFonts w:hAnsi="宋体"/>
                <w:spacing w:val="-1"/>
                <w:highlight w:val="none"/>
              </w:rPr>
              <w:t>皮</w:t>
            </w:r>
            <w:r>
              <w:rPr>
                <w:rFonts w:hAnsi="宋体"/>
                <w:highlight w:val="none"/>
              </w:rPr>
              <w:t>带</w:t>
            </w:r>
          </w:p>
        </w:tc>
        <w:tc>
          <w:tcPr>
            <w:tcW w:w="750"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733" w:type="dxa"/>
            <w:vAlign w:val="center"/>
          </w:tcPr>
          <w:p>
            <w:pPr>
              <w:pStyle w:val="64"/>
              <w:rPr>
                <w:rFonts w:hAnsi="宋体"/>
                <w:highlight w:val="none"/>
              </w:rPr>
            </w:pPr>
            <w:r>
              <w:rPr>
                <w:rFonts w:hAnsi="宋体"/>
                <w:spacing w:val="-1"/>
                <w:highlight w:val="none"/>
              </w:rPr>
              <w:t>类</w:t>
            </w:r>
            <w:r>
              <w:rPr>
                <w:rFonts w:hAnsi="宋体"/>
                <w:highlight w:val="none"/>
              </w:rPr>
              <w:t>比</w:t>
            </w:r>
          </w:p>
        </w:tc>
        <w:tc>
          <w:tcPr>
            <w:tcW w:w="1005" w:type="dxa"/>
            <w:vAlign w:val="center"/>
          </w:tcPr>
          <w:p>
            <w:pPr>
              <w:pStyle w:val="64"/>
              <w:rPr>
                <w:rFonts w:hAnsi="宋体"/>
                <w:highlight w:val="none"/>
              </w:rPr>
            </w:pPr>
            <w:r>
              <w:rPr>
                <w:rFonts w:hAnsi="宋体"/>
                <w:highlight w:val="none"/>
              </w:rPr>
              <w:t>/</w:t>
            </w:r>
          </w:p>
        </w:tc>
        <w:tc>
          <w:tcPr>
            <w:tcW w:w="974" w:type="dxa"/>
            <w:vAlign w:val="center"/>
          </w:tcPr>
          <w:p>
            <w:pPr>
              <w:pStyle w:val="64"/>
              <w:rPr>
                <w:rFonts w:hAnsi="宋体"/>
                <w:highlight w:val="none"/>
              </w:rPr>
            </w:pPr>
            <w:r>
              <w:rPr>
                <w:rFonts w:hAnsi="宋体"/>
                <w:highlight w:val="none"/>
              </w:rPr>
              <w:t>/</w:t>
            </w:r>
          </w:p>
        </w:tc>
        <w:tc>
          <w:tcPr>
            <w:tcW w:w="993" w:type="dxa"/>
            <w:vAlign w:val="center"/>
          </w:tcPr>
          <w:p>
            <w:pPr>
              <w:pStyle w:val="64"/>
              <w:rPr>
                <w:rFonts w:hAnsi="宋体"/>
                <w:highlight w:val="none"/>
              </w:rPr>
            </w:pPr>
            <w:r>
              <w:rPr>
                <w:rFonts w:hAnsi="宋体"/>
                <w:highlight w:val="none"/>
              </w:rPr>
              <w:t>/</w:t>
            </w:r>
          </w:p>
        </w:tc>
        <w:tc>
          <w:tcPr>
            <w:tcW w:w="2270" w:type="dxa"/>
            <w:vAlign w:val="center"/>
          </w:tcPr>
          <w:p>
            <w:pPr>
              <w:pStyle w:val="64"/>
              <w:rPr>
                <w:rFonts w:hAnsi="宋体"/>
                <w:highlight w:val="none"/>
              </w:rPr>
            </w:pPr>
            <w:r>
              <w:rPr>
                <w:rFonts w:hAnsi="宋体"/>
                <w:spacing w:val="-1"/>
                <w:highlight w:val="none"/>
              </w:rPr>
              <w:t>全</w:t>
            </w:r>
            <w:r>
              <w:rPr>
                <w:rFonts w:hAnsi="宋体"/>
                <w:spacing w:val="2"/>
                <w:highlight w:val="none"/>
              </w:rPr>
              <w:t>封</w:t>
            </w:r>
            <w:r>
              <w:rPr>
                <w:rFonts w:hAnsi="宋体"/>
                <w:highlight w:val="none"/>
              </w:rPr>
              <w:t>闭</w:t>
            </w:r>
            <w:r>
              <w:rPr>
                <w:rFonts w:hAnsi="宋体"/>
                <w:spacing w:val="-1"/>
                <w:highlight w:val="none"/>
              </w:rPr>
              <w:t>皮</w:t>
            </w:r>
            <w:r>
              <w:rPr>
                <w:rFonts w:hAnsi="宋体"/>
                <w:spacing w:val="2"/>
                <w:highlight w:val="none"/>
              </w:rPr>
              <w:t>带</w:t>
            </w:r>
            <w:r>
              <w:rPr>
                <w:rFonts w:hAnsi="宋体"/>
                <w:highlight w:val="none"/>
              </w:rPr>
              <w:t>通</w:t>
            </w:r>
            <w:r>
              <w:rPr>
                <w:rFonts w:hAnsi="宋体"/>
                <w:spacing w:val="1"/>
                <w:w w:val="95"/>
                <w:highlight w:val="none"/>
              </w:rPr>
              <w:t>廊</w:t>
            </w:r>
          </w:p>
        </w:tc>
        <w:tc>
          <w:tcPr>
            <w:tcW w:w="991" w:type="dxa"/>
            <w:vAlign w:val="center"/>
          </w:tcPr>
          <w:p>
            <w:pPr>
              <w:pStyle w:val="64"/>
              <w:rPr>
                <w:rFonts w:hAnsi="宋体"/>
                <w:highlight w:val="none"/>
              </w:rPr>
            </w:pPr>
            <w:r>
              <w:rPr>
                <w:rFonts w:hAnsi="宋体"/>
                <w:highlight w:val="none"/>
              </w:rPr>
              <w:t>/</w:t>
            </w:r>
          </w:p>
        </w:tc>
        <w:tc>
          <w:tcPr>
            <w:tcW w:w="711" w:type="dxa"/>
            <w:vAlign w:val="center"/>
          </w:tcPr>
          <w:p>
            <w:pPr>
              <w:pStyle w:val="64"/>
              <w:rPr>
                <w:rFonts w:hAnsi="宋体"/>
                <w:highlight w:val="none"/>
              </w:rPr>
            </w:pPr>
            <w:r>
              <w:rPr>
                <w:rFonts w:hAnsi="宋体"/>
                <w:highlight w:val="none"/>
              </w:rPr>
              <w:t>/</w:t>
            </w:r>
          </w:p>
        </w:tc>
        <w:tc>
          <w:tcPr>
            <w:tcW w:w="991" w:type="dxa"/>
            <w:vAlign w:val="center"/>
          </w:tcPr>
          <w:p>
            <w:pPr>
              <w:pStyle w:val="64"/>
              <w:rPr>
                <w:rFonts w:hAnsi="宋体"/>
                <w:highlight w:val="none"/>
              </w:rPr>
            </w:pPr>
            <w:r>
              <w:rPr>
                <w:rFonts w:hAnsi="宋体"/>
                <w:highlight w:val="none"/>
              </w:rPr>
              <w:t>/</w:t>
            </w:r>
          </w:p>
        </w:tc>
        <w:tc>
          <w:tcPr>
            <w:tcW w:w="1016" w:type="dxa"/>
            <w:vAlign w:val="center"/>
          </w:tcPr>
          <w:p>
            <w:pPr>
              <w:pStyle w:val="64"/>
              <w:rPr>
                <w:rFonts w:hAnsi="宋体"/>
                <w:highlight w:val="none"/>
              </w:rPr>
            </w:pPr>
            <w:r>
              <w:rPr>
                <w:rFonts w:hAnsi="宋体"/>
                <w:highlight w:val="none"/>
              </w:rPr>
              <w:t>/</w:t>
            </w:r>
          </w:p>
        </w:tc>
        <w:tc>
          <w:tcPr>
            <w:tcW w:w="1063" w:type="dxa"/>
            <w:vAlign w:val="center"/>
          </w:tcPr>
          <w:p>
            <w:pPr>
              <w:pStyle w:val="64"/>
              <w:rPr>
                <w:rFonts w:hAnsi="宋体"/>
                <w:highlight w:val="none"/>
              </w:rPr>
            </w:pPr>
            <w:r>
              <w:rPr>
                <w:rFonts w:hAnsi="宋体"/>
                <w:highlight w:val="none"/>
              </w:rPr>
              <w:t>/</w:t>
            </w:r>
          </w:p>
        </w:tc>
        <w:tc>
          <w:tcPr>
            <w:tcW w:w="890" w:type="dxa"/>
            <w:vAlign w:val="center"/>
          </w:tcPr>
          <w:p>
            <w:pPr>
              <w:pStyle w:val="64"/>
              <w:rPr>
                <w:rFonts w:hAnsi="宋体"/>
                <w:highlight w:val="none"/>
              </w:rPr>
            </w:pP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02" w:type="dxa"/>
            <w:vAlign w:val="center"/>
          </w:tcPr>
          <w:p>
            <w:pPr>
              <w:pStyle w:val="64"/>
              <w:rPr>
                <w:rFonts w:hAnsi="宋体"/>
                <w:highlight w:val="none"/>
              </w:rPr>
            </w:pPr>
            <w:r>
              <w:rPr>
                <w:rFonts w:hAnsi="宋体"/>
                <w:spacing w:val="-1"/>
                <w:highlight w:val="none"/>
              </w:rPr>
              <w:t>道</w:t>
            </w:r>
            <w:r>
              <w:rPr>
                <w:rFonts w:hAnsi="宋体"/>
                <w:highlight w:val="none"/>
              </w:rPr>
              <w:t>路</w:t>
            </w:r>
            <w:r>
              <w:rPr>
                <w:rFonts w:hAnsi="宋体"/>
                <w:spacing w:val="-1"/>
                <w:highlight w:val="none"/>
              </w:rPr>
              <w:t>扬</w:t>
            </w:r>
            <w:r>
              <w:rPr>
                <w:rFonts w:hAnsi="宋体"/>
                <w:highlight w:val="none"/>
              </w:rPr>
              <w:t>尘</w:t>
            </w:r>
          </w:p>
        </w:tc>
        <w:tc>
          <w:tcPr>
            <w:tcW w:w="803" w:type="dxa"/>
            <w:vAlign w:val="center"/>
          </w:tcPr>
          <w:p>
            <w:pPr>
              <w:pStyle w:val="64"/>
              <w:rPr>
                <w:rFonts w:hAnsi="宋体"/>
                <w:highlight w:val="none"/>
              </w:rPr>
            </w:pPr>
            <w:r>
              <w:rPr>
                <w:rFonts w:hAnsi="宋体"/>
                <w:spacing w:val="-1"/>
                <w:highlight w:val="none"/>
              </w:rPr>
              <w:t>运</w:t>
            </w:r>
            <w:r>
              <w:rPr>
                <w:rFonts w:hAnsi="宋体"/>
                <w:highlight w:val="none"/>
              </w:rPr>
              <w:t>输</w:t>
            </w:r>
            <w:r>
              <w:rPr>
                <w:rFonts w:hAnsi="宋体"/>
                <w:spacing w:val="-1"/>
                <w:highlight w:val="none"/>
              </w:rPr>
              <w:t>过</w:t>
            </w:r>
            <w:r>
              <w:rPr>
                <w:rFonts w:hAnsi="宋体"/>
                <w:highlight w:val="none"/>
              </w:rPr>
              <w:t>程</w:t>
            </w:r>
          </w:p>
        </w:tc>
        <w:tc>
          <w:tcPr>
            <w:tcW w:w="750"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733" w:type="dxa"/>
            <w:vAlign w:val="center"/>
          </w:tcPr>
          <w:p>
            <w:pPr>
              <w:pStyle w:val="64"/>
              <w:rPr>
                <w:rFonts w:hAnsi="宋体"/>
                <w:highlight w:val="none"/>
              </w:rPr>
            </w:pPr>
            <w:r>
              <w:rPr>
                <w:rFonts w:hAnsi="宋体"/>
                <w:spacing w:val="-1"/>
                <w:w w:val="95"/>
                <w:highlight w:val="none"/>
              </w:rPr>
              <w:t>经</w:t>
            </w:r>
            <w:r>
              <w:rPr>
                <w:rFonts w:hAnsi="宋体"/>
                <w:w w:val="95"/>
                <w:highlight w:val="none"/>
              </w:rPr>
              <w:t>验</w:t>
            </w:r>
            <w:r>
              <w:rPr>
                <w:rFonts w:hAnsi="宋体"/>
                <w:spacing w:val="-1"/>
                <w:w w:val="95"/>
                <w:highlight w:val="none"/>
              </w:rPr>
              <w:t>公</w:t>
            </w:r>
            <w:r>
              <w:rPr>
                <w:rFonts w:hAnsi="宋体"/>
                <w:w w:val="95"/>
                <w:highlight w:val="none"/>
              </w:rPr>
              <w:t>式</w:t>
            </w:r>
          </w:p>
        </w:tc>
        <w:tc>
          <w:tcPr>
            <w:tcW w:w="1005" w:type="dxa"/>
            <w:vAlign w:val="center"/>
          </w:tcPr>
          <w:p>
            <w:pPr>
              <w:pStyle w:val="64"/>
              <w:rPr>
                <w:rFonts w:hAnsi="宋体"/>
                <w:highlight w:val="none"/>
              </w:rPr>
            </w:pPr>
            <w:r>
              <w:rPr>
                <w:rFonts w:hAnsi="宋体"/>
                <w:highlight w:val="none"/>
              </w:rPr>
              <w:t>/</w:t>
            </w:r>
          </w:p>
        </w:tc>
        <w:tc>
          <w:tcPr>
            <w:tcW w:w="974" w:type="dxa"/>
            <w:vAlign w:val="center"/>
          </w:tcPr>
          <w:p>
            <w:pPr>
              <w:pStyle w:val="64"/>
              <w:rPr>
                <w:rFonts w:hAnsi="宋体"/>
                <w:highlight w:val="none"/>
              </w:rPr>
            </w:pPr>
            <w:r>
              <w:rPr>
                <w:rFonts w:hAnsi="宋体"/>
                <w:highlight w:val="none"/>
              </w:rPr>
              <w:t>/</w:t>
            </w:r>
          </w:p>
        </w:tc>
        <w:tc>
          <w:tcPr>
            <w:tcW w:w="993" w:type="dxa"/>
            <w:vAlign w:val="center"/>
          </w:tcPr>
          <w:p>
            <w:pPr>
              <w:pStyle w:val="64"/>
              <w:rPr>
                <w:rFonts w:hAnsi="宋体"/>
                <w:highlight w:val="none"/>
              </w:rPr>
            </w:pPr>
            <w:r>
              <w:rPr>
                <w:rFonts w:hint="eastAsia" w:hAnsi="宋体"/>
                <w:spacing w:val="1"/>
                <w:highlight w:val="none"/>
              </w:rPr>
              <w:t>2.541</w:t>
            </w:r>
          </w:p>
        </w:tc>
        <w:tc>
          <w:tcPr>
            <w:tcW w:w="2270" w:type="dxa"/>
            <w:vAlign w:val="center"/>
          </w:tcPr>
          <w:p>
            <w:pPr>
              <w:pStyle w:val="64"/>
              <w:rPr>
                <w:rFonts w:hAnsi="宋体"/>
                <w:highlight w:val="none"/>
              </w:rPr>
            </w:pPr>
            <w:r>
              <w:rPr>
                <w:rFonts w:hAnsi="宋体"/>
                <w:spacing w:val="-1"/>
                <w:highlight w:val="none"/>
              </w:rPr>
              <w:t>道路硬化、洒水抑尘</w:t>
            </w:r>
          </w:p>
        </w:tc>
        <w:tc>
          <w:tcPr>
            <w:tcW w:w="991" w:type="dxa"/>
            <w:vAlign w:val="center"/>
          </w:tcPr>
          <w:p>
            <w:pPr>
              <w:pStyle w:val="64"/>
              <w:rPr>
                <w:rFonts w:hAnsi="宋体"/>
                <w:highlight w:val="none"/>
              </w:rPr>
            </w:pPr>
            <w:r>
              <w:rPr>
                <w:rFonts w:hAnsi="宋体"/>
                <w:spacing w:val="1"/>
                <w:highlight w:val="none"/>
              </w:rPr>
              <w:t>7</w:t>
            </w:r>
            <w:r>
              <w:rPr>
                <w:rFonts w:hAnsi="宋体"/>
                <w:highlight w:val="none"/>
              </w:rPr>
              <w:t>0</w:t>
            </w:r>
          </w:p>
        </w:tc>
        <w:tc>
          <w:tcPr>
            <w:tcW w:w="711" w:type="dxa"/>
            <w:vAlign w:val="center"/>
          </w:tcPr>
          <w:p>
            <w:pPr>
              <w:pStyle w:val="64"/>
              <w:rPr>
                <w:rFonts w:hAnsi="宋体"/>
                <w:highlight w:val="none"/>
              </w:rPr>
            </w:pPr>
            <w:r>
              <w:rPr>
                <w:rFonts w:hAnsi="宋体"/>
                <w:spacing w:val="-1"/>
                <w:highlight w:val="none"/>
              </w:rPr>
              <w:t>物</w:t>
            </w:r>
            <w:r>
              <w:rPr>
                <w:rFonts w:hAnsi="宋体"/>
                <w:highlight w:val="none"/>
              </w:rPr>
              <w:t>料</w:t>
            </w:r>
            <w:r>
              <w:rPr>
                <w:rFonts w:hAnsi="宋体"/>
                <w:spacing w:val="-1"/>
                <w:highlight w:val="none"/>
              </w:rPr>
              <w:t>衡</w:t>
            </w:r>
            <w:r>
              <w:rPr>
                <w:rFonts w:hAnsi="宋体"/>
                <w:highlight w:val="none"/>
              </w:rPr>
              <w:t>算</w:t>
            </w:r>
          </w:p>
        </w:tc>
        <w:tc>
          <w:tcPr>
            <w:tcW w:w="991" w:type="dxa"/>
            <w:vAlign w:val="center"/>
          </w:tcPr>
          <w:p>
            <w:pPr>
              <w:pStyle w:val="64"/>
              <w:rPr>
                <w:rFonts w:hAnsi="宋体"/>
                <w:highlight w:val="none"/>
              </w:rPr>
            </w:pPr>
            <w:r>
              <w:rPr>
                <w:rFonts w:hAnsi="宋体"/>
                <w:highlight w:val="none"/>
              </w:rPr>
              <w:t>/</w:t>
            </w:r>
          </w:p>
        </w:tc>
        <w:tc>
          <w:tcPr>
            <w:tcW w:w="1016" w:type="dxa"/>
            <w:vAlign w:val="center"/>
          </w:tcPr>
          <w:p>
            <w:pPr>
              <w:pStyle w:val="64"/>
              <w:rPr>
                <w:rFonts w:hAnsi="宋体"/>
                <w:highlight w:val="none"/>
              </w:rPr>
            </w:pPr>
            <w:r>
              <w:rPr>
                <w:rFonts w:hAnsi="宋体"/>
                <w:highlight w:val="none"/>
              </w:rPr>
              <w:t>/</w:t>
            </w:r>
          </w:p>
        </w:tc>
        <w:tc>
          <w:tcPr>
            <w:tcW w:w="1063" w:type="dxa"/>
            <w:vAlign w:val="center"/>
          </w:tcPr>
          <w:p>
            <w:pPr>
              <w:pStyle w:val="64"/>
              <w:rPr>
                <w:rFonts w:hAnsi="宋体"/>
                <w:highlight w:val="none"/>
              </w:rPr>
            </w:pPr>
            <w:r>
              <w:rPr>
                <w:rFonts w:hint="eastAsia" w:hAnsi="宋体"/>
                <w:spacing w:val="1"/>
                <w:highlight w:val="none"/>
              </w:rPr>
              <w:t>0.762</w:t>
            </w:r>
          </w:p>
        </w:tc>
        <w:tc>
          <w:tcPr>
            <w:tcW w:w="890" w:type="dxa"/>
            <w:vAlign w:val="center"/>
          </w:tcPr>
          <w:p>
            <w:pPr>
              <w:pStyle w:val="64"/>
              <w:rPr>
                <w:rFonts w:hAnsi="宋体"/>
                <w:highlight w:val="none"/>
              </w:rPr>
            </w:pPr>
            <w:r>
              <w:rPr>
                <w:rFonts w:hint="eastAsia" w:hAnsi="宋体"/>
                <w:spacing w:val="1"/>
                <w:highlight w:val="none"/>
              </w:rPr>
              <w:t>7200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2" w:type="dxa"/>
            <w:vAlign w:val="center"/>
          </w:tcPr>
          <w:p>
            <w:pPr>
              <w:pStyle w:val="64"/>
              <w:rPr>
                <w:rFonts w:hAnsi="宋体"/>
                <w:highlight w:val="none"/>
              </w:rPr>
            </w:pPr>
            <w:r>
              <w:rPr>
                <w:rFonts w:hAnsi="宋体"/>
                <w:spacing w:val="-1"/>
                <w:highlight w:val="none"/>
              </w:rPr>
              <w:t>尾矿库</w:t>
            </w:r>
          </w:p>
        </w:tc>
        <w:tc>
          <w:tcPr>
            <w:tcW w:w="803"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750"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733" w:type="dxa"/>
            <w:vAlign w:val="center"/>
          </w:tcPr>
          <w:p>
            <w:pPr>
              <w:pStyle w:val="64"/>
              <w:rPr>
                <w:rFonts w:hAnsi="宋体"/>
                <w:highlight w:val="none"/>
              </w:rPr>
            </w:pPr>
            <w:r>
              <w:rPr>
                <w:rFonts w:hAnsi="宋体"/>
                <w:spacing w:val="-1"/>
                <w:w w:val="95"/>
                <w:highlight w:val="none"/>
              </w:rPr>
              <w:t>经</w:t>
            </w:r>
            <w:r>
              <w:rPr>
                <w:rFonts w:hAnsi="宋体"/>
                <w:w w:val="95"/>
                <w:highlight w:val="none"/>
              </w:rPr>
              <w:t>验</w:t>
            </w:r>
            <w:r>
              <w:rPr>
                <w:rFonts w:hAnsi="宋体"/>
                <w:spacing w:val="-1"/>
                <w:w w:val="95"/>
                <w:highlight w:val="none"/>
              </w:rPr>
              <w:t>公</w:t>
            </w:r>
            <w:r>
              <w:rPr>
                <w:rFonts w:hAnsi="宋体"/>
                <w:w w:val="95"/>
                <w:highlight w:val="none"/>
              </w:rPr>
              <w:t>式</w:t>
            </w:r>
          </w:p>
        </w:tc>
        <w:tc>
          <w:tcPr>
            <w:tcW w:w="1005" w:type="dxa"/>
            <w:vAlign w:val="center"/>
          </w:tcPr>
          <w:p>
            <w:pPr>
              <w:pStyle w:val="64"/>
              <w:rPr>
                <w:rFonts w:hAnsi="宋体"/>
                <w:highlight w:val="none"/>
              </w:rPr>
            </w:pPr>
            <w:r>
              <w:rPr>
                <w:rFonts w:hAnsi="宋体"/>
                <w:highlight w:val="none"/>
              </w:rPr>
              <w:t>/</w:t>
            </w:r>
          </w:p>
        </w:tc>
        <w:tc>
          <w:tcPr>
            <w:tcW w:w="974" w:type="dxa"/>
            <w:vAlign w:val="center"/>
          </w:tcPr>
          <w:p>
            <w:pPr>
              <w:pStyle w:val="64"/>
              <w:rPr>
                <w:rFonts w:hAnsi="宋体"/>
                <w:highlight w:val="none"/>
              </w:rPr>
            </w:pPr>
            <w:r>
              <w:rPr>
                <w:rFonts w:hAnsi="宋体"/>
                <w:highlight w:val="none"/>
              </w:rPr>
              <w:t>/</w:t>
            </w:r>
          </w:p>
        </w:tc>
        <w:tc>
          <w:tcPr>
            <w:tcW w:w="993" w:type="dxa"/>
            <w:vAlign w:val="center"/>
          </w:tcPr>
          <w:p>
            <w:pPr>
              <w:pStyle w:val="64"/>
              <w:rPr>
                <w:rFonts w:hAnsi="宋体"/>
                <w:highlight w:val="none"/>
              </w:rPr>
            </w:pPr>
            <w:r>
              <w:rPr>
                <w:rFonts w:hAnsi="宋体"/>
                <w:spacing w:val="1"/>
                <w:highlight w:val="none"/>
              </w:rPr>
              <w:t>0.</w:t>
            </w:r>
            <w:r>
              <w:rPr>
                <w:rFonts w:hint="eastAsia" w:hAnsi="宋体"/>
                <w:spacing w:val="1"/>
                <w:highlight w:val="none"/>
              </w:rPr>
              <w:t>26</w:t>
            </w:r>
          </w:p>
        </w:tc>
        <w:tc>
          <w:tcPr>
            <w:tcW w:w="2270" w:type="dxa"/>
            <w:vAlign w:val="center"/>
          </w:tcPr>
          <w:p>
            <w:pPr>
              <w:pStyle w:val="64"/>
              <w:rPr>
                <w:rFonts w:hAnsi="宋体"/>
                <w:highlight w:val="none"/>
              </w:rPr>
            </w:pPr>
            <w:r>
              <w:rPr>
                <w:rFonts w:hAnsi="宋体"/>
                <w:spacing w:val="-1"/>
                <w:highlight w:val="none"/>
              </w:rPr>
              <w:t>洒</w:t>
            </w:r>
            <w:r>
              <w:rPr>
                <w:rFonts w:hAnsi="宋体"/>
                <w:spacing w:val="2"/>
                <w:highlight w:val="none"/>
              </w:rPr>
              <w:t>水</w:t>
            </w:r>
            <w:r>
              <w:rPr>
                <w:rFonts w:hAnsi="宋体"/>
                <w:highlight w:val="none"/>
              </w:rPr>
              <w:t>抑</w:t>
            </w:r>
            <w:r>
              <w:rPr>
                <w:rFonts w:hAnsi="宋体"/>
                <w:spacing w:val="1"/>
                <w:w w:val="95"/>
                <w:highlight w:val="none"/>
              </w:rPr>
              <w:t>尘</w:t>
            </w:r>
            <w:r>
              <w:rPr>
                <w:rFonts w:hAnsi="宋体"/>
                <w:spacing w:val="-1"/>
                <w:w w:val="95"/>
                <w:highlight w:val="none"/>
              </w:rPr>
              <w:t>及</w:t>
            </w:r>
            <w:r>
              <w:rPr>
                <w:rFonts w:hAnsi="宋体"/>
                <w:w w:val="95"/>
                <w:highlight w:val="none"/>
              </w:rPr>
              <w:t>时</w:t>
            </w:r>
            <w:r>
              <w:rPr>
                <w:rFonts w:hAnsi="宋体"/>
                <w:spacing w:val="-1"/>
                <w:highlight w:val="none"/>
              </w:rPr>
              <w:t>覆</w:t>
            </w:r>
            <w:r>
              <w:rPr>
                <w:rFonts w:hAnsi="宋体"/>
                <w:spacing w:val="2"/>
                <w:highlight w:val="none"/>
              </w:rPr>
              <w:t>土</w:t>
            </w:r>
            <w:r>
              <w:rPr>
                <w:rFonts w:hAnsi="宋体"/>
                <w:highlight w:val="none"/>
              </w:rPr>
              <w:t>压实</w:t>
            </w:r>
          </w:p>
        </w:tc>
        <w:tc>
          <w:tcPr>
            <w:tcW w:w="991" w:type="dxa"/>
            <w:vAlign w:val="center"/>
          </w:tcPr>
          <w:p>
            <w:pPr>
              <w:pStyle w:val="64"/>
              <w:rPr>
                <w:rFonts w:hAnsi="宋体"/>
                <w:highlight w:val="none"/>
              </w:rPr>
            </w:pPr>
            <w:r>
              <w:rPr>
                <w:rFonts w:hAnsi="宋体"/>
                <w:spacing w:val="1"/>
                <w:highlight w:val="none"/>
              </w:rPr>
              <w:t>7</w:t>
            </w:r>
            <w:r>
              <w:rPr>
                <w:rFonts w:hint="eastAsia" w:hAnsi="宋体"/>
                <w:highlight w:val="none"/>
              </w:rPr>
              <w:t>0</w:t>
            </w:r>
          </w:p>
        </w:tc>
        <w:tc>
          <w:tcPr>
            <w:tcW w:w="711" w:type="dxa"/>
            <w:vAlign w:val="center"/>
          </w:tcPr>
          <w:p>
            <w:pPr>
              <w:pStyle w:val="64"/>
              <w:rPr>
                <w:rFonts w:hAnsi="宋体"/>
                <w:highlight w:val="none"/>
              </w:rPr>
            </w:pPr>
            <w:r>
              <w:rPr>
                <w:rFonts w:hAnsi="宋体"/>
                <w:spacing w:val="-1"/>
                <w:highlight w:val="none"/>
              </w:rPr>
              <w:t>物</w:t>
            </w:r>
            <w:r>
              <w:rPr>
                <w:rFonts w:hAnsi="宋体"/>
                <w:highlight w:val="none"/>
              </w:rPr>
              <w:t>料</w:t>
            </w:r>
            <w:r>
              <w:rPr>
                <w:rFonts w:hAnsi="宋体"/>
                <w:spacing w:val="-1"/>
                <w:highlight w:val="none"/>
              </w:rPr>
              <w:t>衡</w:t>
            </w:r>
            <w:r>
              <w:rPr>
                <w:rFonts w:hAnsi="宋体"/>
                <w:highlight w:val="none"/>
              </w:rPr>
              <w:t>算</w:t>
            </w:r>
          </w:p>
        </w:tc>
        <w:tc>
          <w:tcPr>
            <w:tcW w:w="991" w:type="dxa"/>
            <w:vAlign w:val="center"/>
          </w:tcPr>
          <w:p>
            <w:pPr>
              <w:pStyle w:val="64"/>
              <w:rPr>
                <w:rFonts w:hAnsi="宋体"/>
                <w:highlight w:val="none"/>
              </w:rPr>
            </w:pPr>
            <w:r>
              <w:rPr>
                <w:rFonts w:hAnsi="宋体"/>
                <w:highlight w:val="none"/>
              </w:rPr>
              <w:t>/</w:t>
            </w:r>
          </w:p>
        </w:tc>
        <w:tc>
          <w:tcPr>
            <w:tcW w:w="1016" w:type="dxa"/>
            <w:vAlign w:val="center"/>
          </w:tcPr>
          <w:p>
            <w:pPr>
              <w:pStyle w:val="64"/>
              <w:rPr>
                <w:rFonts w:hAnsi="宋体"/>
                <w:highlight w:val="none"/>
              </w:rPr>
            </w:pPr>
            <w:r>
              <w:rPr>
                <w:rFonts w:hAnsi="宋体"/>
                <w:highlight w:val="none"/>
              </w:rPr>
              <w:t>/</w:t>
            </w:r>
          </w:p>
        </w:tc>
        <w:tc>
          <w:tcPr>
            <w:tcW w:w="1063" w:type="dxa"/>
            <w:vAlign w:val="center"/>
          </w:tcPr>
          <w:p>
            <w:pPr>
              <w:pStyle w:val="64"/>
              <w:rPr>
                <w:rFonts w:hAnsi="宋体"/>
                <w:highlight w:val="none"/>
              </w:rPr>
            </w:pPr>
            <w:r>
              <w:rPr>
                <w:rFonts w:hAnsi="宋体"/>
                <w:spacing w:val="1"/>
                <w:highlight w:val="none"/>
              </w:rPr>
              <w:t>0.</w:t>
            </w:r>
            <w:r>
              <w:rPr>
                <w:rFonts w:hint="eastAsia" w:hAnsi="宋体"/>
                <w:spacing w:val="1"/>
                <w:highlight w:val="none"/>
              </w:rPr>
              <w:t>078</w:t>
            </w:r>
          </w:p>
        </w:tc>
        <w:tc>
          <w:tcPr>
            <w:tcW w:w="890" w:type="dxa"/>
            <w:vAlign w:val="center"/>
          </w:tcPr>
          <w:p>
            <w:pPr>
              <w:pStyle w:val="64"/>
              <w:rPr>
                <w:rFonts w:hAnsi="宋体"/>
                <w:highlight w:val="none"/>
              </w:rPr>
            </w:pPr>
            <w:r>
              <w:rPr>
                <w:rFonts w:hAnsi="宋体"/>
                <w:spacing w:val="1"/>
                <w:highlight w:val="none"/>
              </w:rPr>
              <w:t>7</w:t>
            </w:r>
            <w:r>
              <w:rPr>
                <w:rFonts w:hAnsi="宋体"/>
                <w:spacing w:val="-2"/>
                <w:highlight w:val="none"/>
              </w:rPr>
              <w:t>2</w:t>
            </w:r>
            <w:r>
              <w:rPr>
                <w:rFonts w:hAnsi="宋体"/>
                <w:spacing w:val="1"/>
                <w:highlight w:val="none"/>
              </w:rPr>
              <w:t>0</w:t>
            </w:r>
            <w:r>
              <w:rPr>
                <w:rFonts w:hAnsi="宋体"/>
                <w:highlight w:val="none"/>
              </w:rPr>
              <w:t>0</w:t>
            </w:r>
          </w:p>
        </w:tc>
      </w:tr>
    </w:tbl>
    <w:p>
      <w:pPr>
        <w:ind w:firstLine="480"/>
        <w:rPr>
          <w:rFonts w:ascii="宋体" w:hAnsi="宋体"/>
          <w:bCs/>
          <w:szCs w:val="21"/>
          <w:highlight w:val="none"/>
        </w:rPr>
        <w:sectPr>
          <w:pgSz w:w="16838" w:h="11906" w:orient="landscape"/>
          <w:pgMar w:top="1588" w:right="1588" w:bottom="1588" w:left="1474" w:header="850" w:footer="850" w:gutter="0"/>
          <w:pgBorders>
            <w:top w:val="none" w:sz="0" w:space="0"/>
            <w:left w:val="none" w:sz="0" w:space="0"/>
            <w:bottom w:val="none" w:sz="0" w:space="0"/>
            <w:right w:val="none" w:sz="0" w:space="0"/>
          </w:pgBorders>
          <w:cols w:space="720" w:num="1"/>
          <w:docGrid w:linePitch="326" w:charSpace="0"/>
        </w:sectPr>
      </w:pPr>
    </w:p>
    <w:p>
      <w:pPr>
        <w:pStyle w:val="4"/>
        <w:ind w:firstLine="562"/>
        <w:rPr>
          <w:rFonts w:hAnsi="宋体"/>
          <w:highlight w:val="none"/>
        </w:rPr>
      </w:pPr>
      <w:r>
        <w:rPr>
          <w:rFonts w:hAnsi="宋体"/>
          <w:highlight w:val="none"/>
        </w:rPr>
        <w:t>3.5.2废水污染物源强</w:t>
      </w:r>
    </w:p>
    <w:p>
      <w:pPr>
        <w:adjustRightInd w:val="0"/>
        <w:snapToGrid w:val="0"/>
        <w:ind w:firstLine="480"/>
        <w:rPr>
          <w:rFonts w:ascii="宋体" w:hAnsi="宋体"/>
          <w:kern w:val="0"/>
          <w:szCs w:val="20"/>
          <w:highlight w:val="none"/>
        </w:rPr>
      </w:pPr>
      <w:r>
        <w:rPr>
          <w:rFonts w:hint="eastAsia" w:ascii="宋体" w:hAnsi="宋体"/>
          <w:kern w:val="0"/>
          <w:szCs w:val="20"/>
          <w:highlight w:val="none"/>
        </w:rPr>
        <w:t>1、</w:t>
      </w:r>
      <w:r>
        <w:rPr>
          <w:rFonts w:ascii="宋体" w:hAnsi="宋体"/>
          <w:kern w:val="0"/>
          <w:szCs w:val="20"/>
          <w:highlight w:val="none"/>
        </w:rPr>
        <w:t>生活</w:t>
      </w:r>
      <w:r>
        <w:rPr>
          <w:rFonts w:hint="eastAsia" w:ascii="宋体" w:hAnsi="宋体"/>
          <w:kern w:val="0"/>
          <w:szCs w:val="20"/>
          <w:highlight w:val="none"/>
        </w:rPr>
        <w:t>废水</w:t>
      </w:r>
    </w:p>
    <w:p>
      <w:pPr>
        <w:adjustRightInd w:val="0"/>
        <w:snapToGrid w:val="0"/>
        <w:ind w:firstLine="480"/>
        <w:rPr>
          <w:rFonts w:ascii="宋体" w:hAnsi="宋体"/>
          <w:kern w:val="0"/>
          <w:szCs w:val="20"/>
          <w:highlight w:val="none"/>
        </w:rPr>
      </w:pPr>
      <w:r>
        <w:rPr>
          <w:rFonts w:hint="eastAsia" w:ascii="宋体" w:hAnsi="宋体"/>
          <w:kern w:val="0"/>
          <w:szCs w:val="20"/>
          <w:highlight w:val="none"/>
        </w:rPr>
        <w:t>本项目劳动定员共15人，生活用水量0.9m</w:t>
      </w:r>
      <w:r>
        <w:rPr>
          <w:rFonts w:hint="eastAsia" w:ascii="宋体" w:hAnsi="宋体"/>
          <w:kern w:val="0"/>
          <w:szCs w:val="20"/>
          <w:highlight w:val="none"/>
          <w:vertAlign w:val="superscript"/>
        </w:rPr>
        <w:t>3</w:t>
      </w:r>
      <w:r>
        <w:rPr>
          <w:rFonts w:hint="eastAsia" w:ascii="宋体" w:hAnsi="宋体"/>
          <w:kern w:val="0"/>
          <w:szCs w:val="20"/>
          <w:highlight w:val="none"/>
        </w:rPr>
        <w:t>/d，270m</w:t>
      </w:r>
      <w:r>
        <w:rPr>
          <w:rFonts w:hint="eastAsia" w:ascii="宋体" w:hAnsi="宋体"/>
          <w:kern w:val="0"/>
          <w:szCs w:val="20"/>
          <w:highlight w:val="none"/>
          <w:vertAlign w:val="superscript"/>
        </w:rPr>
        <w:t>3</w:t>
      </w:r>
      <w:r>
        <w:rPr>
          <w:rFonts w:hint="eastAsia" w:ascii="宋体" w:hAnsi="宋体"/>
          <w:kern w:val="0"/>
          <w:szCs w:val="20"/>
          <w:highlight w:val="none"/>
        </w:rPr>
        <w:t>/a。</w:t>
      </w:r>
      <w:r>
        <w:rPr>
          <w:rFonts w:ascii="宋体" w:hAnsi="宋体"/>
          <w:kern w:val="0"/>
          <w:szCs w:val="20"/>
          <w:highlight w:val="none"/>
        </w:rPr>
        <w:t>生活污水排放系数按80%计，则生活污水产生量为0.</w:t>
      </w:r>
      <w:r>
        <w:rPr>
          <w:rFonts w:hint="eastAsia" w:ascii="宋体" w:hAnsi="宋体"/>
          <w:kern w:val="0"/>
          <w:szCs w:val="20"/>
          <w:highlight w:val="none"/>
        </w:rPr>
        <w:t>72</w:t>
      </w:r>
      <w:r>
        <w:rPr>
          <w:rFonts w:ascii="宋体" w:hAnsi="宋体"/>
          <w:kern w:val="0"/>
          <w:szCs w:val="20"/>
          <w:highlight w:val="none"/>
        </w:rPr>
        <w:t>m³/d（</w:t>
      </w:r>
      <w:r>
        <w:rPr>
          <w:rFonts w:hint="eastAsia" w:ascii="宋体" w:hAnsi="宋体"/>
          <w:kern w:val="0"/>
          <w:szCs w:val="20"/>
          <w:highlight w:val="none"/>
        </w:rPr>
        <w:t>216</w:t>
      </w:r>
      <w:r>
        <w:rPr>
          <w:rFonts w:ascii="宋体" w:hAnsi="宋体"/>
          <w:kern w:val="0"/>
          <w:szCs w:val="20"/>
          <w:highlight w:val="none"/>
        </w:rPr>
        <w:t>m³/a）</w:t>
      </w:r>
      <w:r>
        <w:rPr>
          <w:rFonts w:hint="eastAsia" w:ascii="宋体" w:hAnsi="宋体"/>
          <w:kern w:val="0"/>
          <w:szCs w:val="20"/>
          <w:highlight w:val="none"/>
        </w:rPr>
        <w:t>。本项目生活污水、食堂废水经隔油池后排入1座2m</w:t>
      </w:r>
      <w:r>
        <w:rPr>
          <w:rFonts w:hint="eastAsia" w:ascii="宋体" w:hAnsi="宋体"/>
          <w:kern w:val="0"/>
          <w:szCs w:val="20"/>
          <w:highlight w:val="none"/>
          <w:vertAlign w:val="superscript"/>
        </w:rPr>
        <w:t>3</w:t>
      </w:r>
      <w:r>
        <w:rPr>
          <w:rFonts w:hint="eastAsia" w:ascii="宋体" w:hAnsi="宋体"/>
          <w:kern w:val="0"/>
          <w:szCs w:val="20"/>
          <w:highlight w:val="none"/>
        </w:rPr>
        <w:t>的沉淀池，用于场地洒水或绿化。本项目使用旱厕，定期由附近农户清掏用作农肥。</w:t>
      </w:r>
    </w:p>
    <w:p>
      <w:pPr>
        <w:ind w:firstLine="470" w:firstLineChars="196"/>
        <w:rPr>
          <w:rFonts w:ascii="宋体" w:hAnsi="宋体"/>
          <w:szCs w:val="22"/>
          <w:highlight w:val="none"/>
        </w:rPr>
      </w:pPr>
      <w:r>
        <w:rPr>
          <w:rFonts w:hint="eastAsia" w:ascii="宋体" w:hAnsi="宋体"/>
          <w:szCs w:val="22"/>
          <w:highlight w:val="none"/>
        </w:rPr>
        <w:t>2、</w:t>
      </w:r>
      <w:r>
        <w:rPr>
          <w:rFonts w:ascii="宋体" w:hAnsi="宋体"/>
          <w:szCs w:val="22"/>
          <w:highlight w:val="none"/>
        </w:rPr>
        <w:t>生产</w:t>
      </w:r>
      <w:r>
        <w:rPr>
          <w:rFonts w:hint="eastAsia" w:ascii="宋体" w:hAnsi="宋体"/>
          <w:szCs w:val="22"/>
          <w:highlight w:val="none"/>
        </w:rPr>
        <w:t>废水</w:t>
      </w:r>
    </w:p>
    <w:p>
      <w:pPr>
        <w:ind w:firstLine="470" w:firstLineChars="196"/>
        <w:rPr>
          <w:rFonts w:ascii="宋体" w:hAnsi="宋体"/>
          <w:highlight w:val="none"/>
        </w:rPr>
      </w:pPr>
      <w:r>
        <w:rPr>
          <w:rFonts w:hint="eastAsia" w:ascii="宋体" w:hAnsi="宋体"/>
          <w:szCs w:val="22"/>
          <w:highlight w:val="none"/>
        </w:rPr>
        <w:t>A、</w:t>
      </w:r>
      <w:r>
        <w:rPr>
          <w:rFonts w:hint="eastAsia" w:ascii="宋体" w:hAnsi="宋体"/>
          <w:highlight w:val="none"/>
        </w:rPr>
        <w:t>尾矿浆</w:t>
      </w:r>
    </w:p>
    <w:p>
      <w:pPr>
        <w:pStyle w:val="62"/>
        <w:ind w:firstLine="480"/>
        <w:rPr>
          <w:rFonts w:hAnsi="宋体"/>
          <w:highlight w:val="none"/>
        </w:rPr>
      </w:pPr>
      <w:r>
        <w:rPr>
          <w:rFonts w:hint="eastAsia" w:hAnsi="宋体"/>
          <w:highlight w:val="none"/>
        </w:rPr>
        <w:t>尾矿浆经浓缩压滤后，泵入循环水池回用于生产。生产废水全部循环利用不外排。同时生产车间内设集中水池60m</w:t>
      </w:r>
      <w:r>
        <w:rPr>
          <w:rFonts w:hint="eastAsia" w:hAnsi="宋体"/>
          <w:highlight w:val="none"/>
          <w:vertAlign w:val="superscript"/>
        </w:rPr>
        <w:t>3</w:t>
      </w:r>
      <w:r>
        <w:rPr>
          <w:rFonts w:hint="eastAsia" w:hAnsi="宋体"/>
          <w:highlight w:val="none"/>
        </w:rPr>
        <w:t>，将跑、冒、滴、漏、地板冲洗水等经收集后，进入生产系统，作为选矿补充水。</w:t>
      </w:r>
    </w:p>
    <w:p>
      <w:pPr>
        <w:ind w:firstLine="470" w:firstLineChars="196"/>
        <w:rPr>
          <w:rFonts w:ascii="宋体" w:hAnsi="宋体"/>
          <w:szCs w:val="22"/>
          <w:highlight w:val="none"/>
        </w:rPr>
      </w:pPr>
      <w:r>
        <w:rPr>
          <w:rFonts w:hint="eastAsia" w:ascii="宋体" w:hAnsi="宋体"/>
          <w:szCs w:val="22"/>
          <w:highlight w:val="none"/>
        </w:rPr>
        <w:t>B、</w:t>
      </w:r>
      <w:r>
        <w:rPr>
          <w:rFonts w:ascii="宋体" w:hAnsi="宋体"/>
          <w:szCs w:val="22"/>
          <w:highlight w:val="none"/>
        </w:rPr>
        <w:t>车辆冲洗用水</w:t>
      </w:r>
    </w:p>
    <w:p>
      <w:pPr>
        <w:ind w:firstLine="470" w:firstLineChars="196"/>
        <w:rPr>
          <w:rFonts w:ascii="宋体" w:hAnsi="宋体"/>
          <w:kern w:val="0"/>
          <w:szCs w:val="20"/>
          <w:highlight w:val="none"/>
        </w:rPr>
      </w:pPr>
      <w:r>
        <w:rPr>
          <w:rFonts w:ascii="宋体" w:hAnsi="宋体"/>
          <w:szCs w:val="22"/>
          <w:highlight w:val="none"/>
        </w:rPr>
        <w:t>本次项目拟在厂区出入口设置1座车辆清洗平台，洗车用水量为</w:t>
      </w:r>
      <w:r>
        <w:rPr>
          <w:rFonts w:hint="eastAsia" w:ascii="宋体" w:hAnsi="宋体"/>
          <w:szCs w:val="22"/>
          <w:highlight w:val="none"/>
        </w:rPr>
        <w:t>1.34</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r>
        <w:rPr>
          <w:rFonts w:hint="eastAsia" w:ascii="宋体" w:hAnsi="宋体"/>
          <w:szCs w:val="22"/>
          <w:highlight w:val="none"/>
        </w:rPr>
        <w:t>，</w:t>
      </w:r>
      <w:r>
        <w:rPr>
          <w:rFonts w:hint="eastAsia" w:ascii="宋体" w:hAnsi="宋体"/>
          <w:kern w:val="0"/>
          <w:szCs w:val="20"/>
          <w:highlight w:val="none"/>
        </w:rPr>
        <w:t>洗车循环水量为20m</w:t>
      </w:r>
      <w:r>
        <w:rPr>
          <w:rFonts w:hint="eastAsia" w:ascii="宋体" w:hAnsi="宋体"/>
          <w:kern w:val="0"/>
          <w:szCs w:val="20"/>
          <w:highlight w:val="none"/>
          <w:vertAlign w:val="superscript"/>
        </w:rPr>
        <w:t>3</w:t>
      </w:r>
      <w:r>
        <w:rPr>
          <w:rFonts w:hint="eastAsia" w:ascii="宋体" w:hAnsi="宋体"/>
          <w:kern w:val="0"/>
          <w:szCs w:val="20"/>
          <w:highlight w:val="none"/>
        </w:rPr>
        <w:t>/d，洗车废水经沉淀池沉淀后循环使用，不外排。</w:t>
      </w:r>
    </w:p>
    <w:p>
      <w:pPr>
        <w:pStyle w:val="62"/>
        <w:ind w:firstLine="480"/>
        <w:rPr>
          <w:rFonts w:hAnsi="宋体"/>
          <w:highlight w:val="none"/>
        </w:rPr>
      </w:pPr>
      <w:r>
        <w:rPr>
          <w:rFonts w:hint="eastAsia" w:hAnsi="宋体"/>
          <w:highlight w:val="none"/>
        </w:rPr>
        <w:t>3、</w:t>
      </w:r>
      <w:r>
        <w:rPr>
          <w:rFonts w:hAnsi="宋体"/>
          <w:highlight w:val="none"/>
        </w:rPr>
        <w:t>初期雨水</w:t>
      </w:r>
    </w:p>
    <w:p>
      <w:pPr>
        <w:pStyle w:val="62"/>
        <w:ind w:firstLine="480"/>
        <w:rPr>
          <w:rFonts w:hAnsi="宋体"/>
          <w:highlight w:val="none"/>
        </w:rPr>
      </w:pPr>
      <w:r>
        <w:rPr>
          <w:rFonts w:hAnsi="宋体"/>
          <w:highlight w:val="none"/>
        </w:rPr>
        <w:t>在厂内设置初期雨水收集池</w:t>
      </w:r>
      <w:r>
        <w:rPr>
          <w:rFonts w:hAnsi="宋体"/>
          <w:spacing w:val="-32"/>
          <w:highlight w:val="none"/>
        </w:rPr>
        <w:t>，</w:t>
      </w:r>
      <w:r>
        <w:rPr>
          <w:rFonts w:hAnsi="宋体"/>
          <w:highlight w:val="none"/>
        </w:rPr>
        <w:t>雨水经收集沉淀后可用于</w:t>
      </w:r>
      <w:r>
        <w:rPr>
          <w:rFonts w:hint="eastAsia" w:hAnsi="宋体"/>
          <w:highlight w:val="none"/>
        </w:rPr>
        <w:t>原料库和道路洒水</w:t>
      </w:r>
      <w:r>
        <w:rPr>
          <w:rFonts w:hAnsi="宋体"/>
          <w:highlight w:val="none"/>
        </w:rPr>
        <w:t>降尘</w:t>
      </w:r>
      <w:r>
        <w:rPr>
          <w:rFonts w:hAnsi="宋体"/>
          <w:spacing w:val="-34"/>
          <w:highlight w:val="none"/>
        </w:rPr>
        <w:t>，</w:t>
      </w:r>
      <w:r>
        <w:rPr>
          <w:rFonts w:hAnsi="宋体"/>
          <w:highlight w:val="none"/>
        </w:rPr>
        <w:t>也可以作为生产用水，从而避免无组织选矿泥水的外排。计算公式如下：</w:t>
      </w:r>
    </w:p>
    <w:p>
      <w:pPr>
        <w:adjustRightInd w:val="0"/>
        <w:snapToGrid w:val="0"/>
        <w:ind w:firstLine="480"/>
        <w:rPr>
          <w:rFonts w:ascii="宋体" w:hAnsi="宋体"/>
          <w:highlight w:val="none"/>
        </w:rPr>
      </w:pPr>
      <w:r>
        <w:rPr>
          <w:rFonts w:hint="eastAsia" w:ascii="宋体" w:hAnsi="宋体"/>
          <w:highlight w:val="none"/>
        </w:rPr>
        <w:t>本项目生产车间、原料库、产品库和道路占地面积8500m</w:t>
      </w:r>
      <w:r>
        <w:rPr>
          <w:rFonts w:hint="eastAsia" w:ascii="宋体" w:hAnsi="宋体"/>
          <w:highlight w:val="none"/>
          <w:vertAlign w:val="superscript"/>
        </w:rPr>
        <w:t>2</w:t>
      </w:r>
      <w:r>
        <w:rPr>
          <w:rFonts w:hint="eastAsia" w:ascii="宋体" w:hAnsi="宋体"/>
          <w:highlight w:val="none"/>
        </w:rPr>
        <w:t>，降雨初期产生的初期雨水中污染物浓度较高，评价要求进行收集。</w:t>
      </w:r>
    </w:p>
    <w:p>
      <w:pPr>
        <w:adjustRightInd w:val="0"/>
        <w:snapToGrid w:val="0"/>
        <w:ind w:firstLine="480"/>
        <w:rPr>
          <w:rFonts w:ascii="宋体" w:hAnsi="宋体"/>
          <w:highlight w:val="none"/>
        </w:rPr>
      </w:pPr>
      <w:r>
        <w:rPr>
          <w:rFonts w:hint="eastAsia" w:ascii="宋体" w:hAnsi="宋体"/>
          <w:highlight w:val="none"/>
        </w:rPr>
        <w:t>对于初期雨水量，评价按下列公式计算：</w:t>
      </w:r>
    </w:p>
    <w:p>
      <w:pPr>
        <w:adjustRightInd w:val="0"/>
        <w:snapToGrid w:val="0"/>
        <w:ind w:firstLine="1200" w:firstLineChars="500"/>
        <w:rPr>
          <w:rFonts w:ascii="宋体" w:hAnsi="宋体"/>
          <w:highlight w:val="none"/>
        </w:rPr>
      </w:pPr>
      <w:r>
        <w:rPr>
          <w:rFonts w:ascii="宋体" w:hAnsi="宋体"/>
          <w:highlight w:val="none"/>
        </w:rPr>
        <w:t>Q=Φ×q×F</w:t>
      </w:r>
    </w:p>
    <w:p>
      <w:pPr>
        <w:adjustRightInd w:val="0"/>
        <w:snapToGrid w:val="0"/>
        <w:ind w:firstLine="480"/>
        <w:rPr>
          <w:rFonts w:ascii="宋体" w:hAnsi="宋体"/>
          <w:highlight w:val="none"/>
        </w:rPr>
      </w:pPr>
      <w:r>
        <w:rPr>
          <w:rFonts w:hint="eastAsia" w:ascii="宋体" w:hAnsi="宋体"/>
          <w:highlight w:val="none"/>
        </w:rPr>
        <w:t>其中：</w:t>
      </w:r>
      <w:r>
        <w:rPr>
          <w:rFonts w:ascii="宋体" w:hAnsi="宋体"/>
          <w:highlight w:val="none"/>
        </w:rPr>
        <w:t>Φ</w:t>
      </w:r>
      <w:r>
        <w:rPr>
          <w:rFonts w:hint="eastAsia" w:ascii="宋体" w:hAnsi="宋体"/>
          <w:highlight w:val="none"/>
        </w:rPr>
        <w:t>—径流系数，取0.9；</w:t>
      </w:r>
    </w:p>
    <w:p>
      <w:pPr>
        <w:adjustRightInd w:val="0"/>
        <w:snapToGrid w:val="0"/>
        <w:ind w:firstLine="1200" w:firstLineChars="500"/>
        <w:rPr>
          <w:rFonts w:ascii="宋体" w:hAnsi="宋体"/>
          <w:highlight w:val="none"/>
        </w:rPr>
      </w:pPr>
      <w:r>
        <w:rPr>
          <w:rFonts w:hint="eastAsia" w:ascii="宋体" w:hAnsi="宋体"/>
          <w:highlight w:val="none"/>
        </w:rPr>
        <w:t>q—设计暴雨强度（L/s•公顷）；</w:t>
      </w:r>
    </w:p>
    <w:p>
      <w:pPr>
        <w:adjustRightInd w:val="0"/>
        <w:snapToGrid w:val="0"/>
        <w:ind w:firstLine="1200" w:firstLineChars="500"/>
        <w:rPr>
          <w:rFonts w:ascii="宋体" w:hAnsi="宋体"/>
          <w:highlight w:val="none"/>
        </w:rPr>
      </w:pPr>
      <w:r>
        <w:rPr>
          <w:rFonts w:hint="eastAsia" w:ascii="宋体" w:hAnsi="宋体"/>
          <w:highlight w:val="none"/>
        </w:rPr>
        <w:t>F—汇水面积（汇水面积取生产车间、原料库、产品库和道路占地面积，为8500m</w:t>
      </w:r>
      <w:r>
        <w:rPr>
          <w:rFonts w:hint="eastAsia" w:ascii="宋体" w:hAnsi="宋体"/>
          <w:highlight w:val="none"/>
          <w:vertAlign w:val="superscript"/>
        </w:rPr>
        <w:t>2</w:t>
      </w:r>
      <w:r>
        <w:rPr>
          <w:rFonts w:hint="eastAsia" w:ascii="宋体" w:hAnsi="宋体"/>
          <w:highlight w:val="none"/>
        </w:rPr>
        <w:t>）。</w:t>
      </w:r>
    </w:p>
    <w:p>
      <w:pPr>
        <w:adjustRightInd w:val="0"/>
        <w:snapToGrid w:val="0"/>
        <w:ind w:firstLine="480"/>
        <w:rPr>
          <w:rFonts w:ascii="宋体" w:hAnsi="宋体"/>
          <w:highlight w:val="none"/>
        </w:rPr>
      </w:pPr>
      <w:r>
        <w:rPr>
          <w:rFonts w:hint="eastAsia" w:ascii="宋体" w:hAnsi="宋体"/>
          <w:highlight w:val="none"/>
        </w:rPr>
        <w:t>本项目未收集到繁峙县暴雨强度公式，因厂址距离原平市较近，暴雨强度q采用原平市暴雨强度公式进行计算，公式如下：</w:t>
      </w:r>
    </w:p>
    <w:p>
      <w:pPr>
        <w:adjustRightInd w:val="0"/>
        <w:snapToGrid w:val="0"/>
        <w:ind w:firstLine="480"/>
        <w:rPr>
          <w:rFonts w:ascii="宋体" w:hAnsi="宋体"/>
          <w:highlight w:val="none"/>
        </w:rPr>
      </w:pPr>
      <w:r>
        <w:rPr>
          <w:rFonts w:hint="eastAsia" w:ascii="宋体" w:hAnsi="宋体"/>
          <w:highlight w:val="none"/>
        </w:rPr>
        <w:t>q=1803.6（1+1.04lgT）/(t+8.64)</w:t>
      </w:r>
      <w:r>
        <w:rPr>
          <w:rFonts w:hint="eastAsia" w:ascii="宋体" w:hAnsi="宋体"/>
          <w:highlight w:val="none"/>
          <w:vertAlign w:val="superscript"/>
        </w:rPr>
        <w:t>0.8</w:t>
      </w:r>
      <w:r>
        <w:rPr>
          <w:rFonts w:hint="eastAsia" w:ascii="宋体" w:hAnsi="宋体"/>
          <w:highlight w:val="none"/>
        </w:rPr>
        <w:t>（L/s•公顷）</w:t>
      </w:r>
    </w:p>
    <w:p>
      <w:pPr>
        <w:adjustRightInd w:val="0"/>
        <w:snapToGrid w:val="0"/>
        <w:ind w:firstLine="480"/>
        <w:rPr>
          <w:rFonts w:ascii="宋体" w:hAnsi="宋体"/>
          <w:highlight w:val="none"/>
        </w:rPr>
      </w:pPr>
      <w:r>
        <w:rPr>
          <w:rFonts w:hint="eastAsia" w:ascii="宋体" w:hAnsi="宋体"/>
          <w:highlight w:val="none"/>
        </w:rPr>
        <w:t>其中：P—设计重现期，取2年；</w:t>
      </w:r>
    </w:p>
    <w:p>
      <w:pPr>
        <w:adjustRightInd w:val="0"/>
        <w:snapToGrid w:val="0"/>
        <w:ind w:firstLine="480"/>
        <w:rPr>
          <w:rFonts w:ascii="宋体" w:hAnsi="宋体"/>
          <w:highlight w:val="none"/>
        </w:rPr>
      </w:pPr>
      <w:r>
        <w:rPr>
          <w:rFonts w:hint="eastAsia" w:ascii="宋体" w:hAnsi="宋体"/>
          <w:highlight w:val="none"/>
        </w:rPr>
        <w:t>t—降雨历时（取15min）。</w:t>
      </w:r>
    </w:p>
    <w:p>
      <w:pPr>
        <w:pStyle w:val="62"/>
        <w:ind w:firstLine="480"/>
        <w:rPr>
          <w:rFonts w:hAnsi="宋体"/>
          <w:highlight w:val="none"/>
        </w:rPr>
      </w:pPr>
      <w:r>
        <w:rPr>
          <w:rFonts w:hAnsi="宋体"/>
          <w:highlight w:val="none"/>
        </w:rPr>
        <w:t>经计算，</w:t>
      </w:r>
      <w:r>
        <w:rPr>
          <w:rFonts w:hAnsi="宋体" w:cs="hakuyoxingshu7000"/>
          <w:highlight w:val="none"/>
        </w:rPr>
        <w:t>q</w:t>
      </w:r>
      <w:r>
        <w:rPr>
          <w:rFonts w:hAnsi="宋体"/>
          <w:highlight w:val="none"/>
        </w:rPr>
        <w:t>＝</w:t>
      </w:r>
      <w:r>
        <w:rPr>
          <w:rFonts w:hint="eastAsia" w:hAnsi="宋体" w:cs="hakuyoxingshu7000"/>
          <w:highlight w:val="none"/>
        </w:rPr>
        <w:t>188.59</w:t>
      </w:r>
      <w:r>
        <w:rPr>
          <w:rFonts w:hAnsi="宋体" w:cs="hakuyoxingshu7000"/>
          <w:spacing w:val="-3"/>
          <w:highlight w:val="none"/>
        </w:rPr>
        <w:t>L</w:t>
      </w:r>
      <w:r>
        <w:rPr>
          <w:rFonts w:hAnsi="宋体" w:cs="hakuyoxingshu7000"/>
          <w:highlight w:val="none"/>
        </w:rPr>
        <w:t>/s</w:t>
      </w:r>
      <w:r>
        <w:rPr>
          <w:rFonts w:hAnsi="宋体"/>
          <w:highlight w:val="none"/>
        </w:rPr>
        <w:t>·公顷；</w:t>
      </w:r>
      <w:r>
        <w:rPr>
          <w:rFonts w:hAnsi="宋体" w:cs="hakuyoxingshu7000"/>
          <w:highlight w:val="none"/>
        </w:rPr>
        <w:t>Q</w:t>
      </w:r>
      <w:r>
        <w:rPr>
          <w:rFonts w:hAnsi="宋体"/>
          <w:highlight w:val="none"/>
        </w:rPr>
        <w:t>＝</w:t>
      </w:r>
      <w:r>
        <w:rPr>
          <w:rFonts w:hAnsi="宋体" w:cs="hakuyoxingshu7000"/>
          <w:highlight w:val="none"/>
        </w:rPr>
        <w:t>129.84</w:t>
      </w:r>
      <w:r>
        <w:rPr>
          <w:rFonts w:hAnsi="宋体" w:cs="hakuyoxingshu7000"/>
          <w:spacing w:val="-2"/>
          <w:highlight w:val="none"/>
        </w:rPr>
        <w:t>m</w:t>
      </w:r>
      <w:r>
        <w:rPr>
          <w:rFonts w:hAnsi="宋体" w:cs="hakuyoxingshu7000"/>
          <w:position w:val="8"/>
          <w:sz w:val="15"/>
          <w:szCs w:val="15"/>
          <w:highlight w:val="none"/>
        </w:rPr>
        <w:t>3</w:t>
      </w:r>
      <w:r>
        <w:rPr>
          <w:rFonts w:hAnsi="宋体"/>
          <w:highlight w:val="none"/>
        </w:rPr>
        <w:t>。</w:t>
      </w:r>
    </w:p>
    <w:p>
      <w:pPr>
        <w:pStyle w:val="62"/>
        <w:ind w:firstLine="480"/>
        <w:rPr>
          <w:rFonts w:hAnsi="宋体"/>
          <w:highlight w:val="none"/>
        </w:rPr>
      </w:pPr>
      <w:r>
        <w:rPr>
          <w:rFonts w:hAnsi="宋体"/>
          <w:highlight w:val="none"/>
        </w:rPr>
        <w:t>计算得知厂区最大初期雨水</w:t>
      </w:r>
      <w:r>
        <w:rPr>
          <w:rFonts w:hAnsi="宋体"/>
          <w:spacing w:val="2"/>
          <w:highlight w:val="none"/>
        </w:rPr>
        <w:t>量</w:t>
      </w:r>
      <w:r>
        <w:rPr>
          <w:rFonts w:hAnsi="宋体"/>
          <w:highlight w:val="none"/>
        </w:rPr>
        <w:t>为</w:t>
      </w:r>
      <w:r>
        <w:rPr>
          <w:rFonts w:hint="eastAsia" w:hAnsi="宋体" w:cs="hakuyoxingshu7000"/>
          <w:highlight w:val="none"/>
        </w:rPr>
        <w:t>129.84</w:t>
      </w:r>
      <w:r>
        <w:rPr>
          <w:rFonts w:hAnsi="宋体" w:cs="hakuyoxingshu7000"/>
          <w:highlight w:val="none"/>
        </w:rPr>
        <w:t>m</w:t>
      </w:r>
      <w:r>
        <w:rPr>
          <w:rFonts w:hAnsi="宋体" w:cs="hakuyoxingshu7000"/>
          <w:spacing w:val="-2"/>
          <w:position w:val="8"/>
          <w:sz w:val="15"/>
          <w:szCs w:val="15"/>
          <w:highlight w:val="none"/>
        </w:rPr>
        <w:t>3</w:t>
      </w:r>
      <w:r>
        <w:rPr>
          <w:rFonts w:hAnsi="宋体"/>
          <w:spacing w:val="-29"/>
          <w:highlight w:val="none"/>
        </w:rPr>
        <w:t>，</w:t>
      </w:r>
      <w:r>
        <w:rPr>
          <w:rFonts w:hAnsi="宋体"/>
          <w:highlight w:val="none"/>
        </w:rPr>
        <w:t>故评价要求在厂区地势最低</w:t>
      </w:r>
      <w:r>
        <w:rPr>
          <w:rFonts w:hAnsi="宋体"/>
          <w:spacing w:val="2"/>
          <w:highlight w:val="none"/>
        </w:rPr>
        <w:t>处</w:t>
      </w:r>
      <w:r>
        <w:rPr>
          <w:rFonts w:hAnsi="宋体"/>
          <w:spacing w:val="-29"/>
          <w:highlight w:val="none"/>
        </w:rPr>
        <w:t>，</w:t>
      </w:r>
      <w:r>
        <w:rPr>
          <w:rFonts w:hAnsi="宋体"/>
          <w:highlight w:val="none"/>
        </w:rPr>
        <w:t>即厂区东北部较低处设</w:t>
      </w:r>
      <w:r>
        <w:rPr>
          <w:rFonts w:hAnsi="宋体" w:cs="hakuyoxingshu7000"/>
          <w:highlight w:val="none"/>
        </w:rPr>
        <w:t>1</w:t>
      </w:r>
      <w:r>
        <w:rPr>
          <w:rFonts w:hAnsi="宋体"/>
          <w:highlight w:val="none"/>
        </w:rPr>
        <w:t>座</w:t>
      </w:r>
      <w:r>
        <w:rPr>
          <w:rFonts w:hint="eastAsia" w:hAnsi="宋体" w:cs="hakuyoxingshu7000"/>
          <w:highlight w:val="none"/>
        </w:rPr>
        <w:t>160</w:t>
      </w:r>
      <w:r>
        <w:rPr>
          <w:rFonts w:hAnsi="宋体" w:cs="hakuyoxingshu7000"/>
          <w:highlight w:val="none"/>
        </w:rPr>
        <w:t>m</w:t>
      </w:r>
      <w:r>
        <w:rPr>
          <w:rFonts w:hAnsi="宋体" w:cs="hakuyoxingshu7000"/>
          <w:position w:val="8"/>
          <w:sz w:val="15"/>
          <w:szCs w:val="15"/>
          <w:highlight w:val="none"/>
        </w:rPr>
        <w:t>3</w:t>
      </w:r>
      <w:r>
        <w:rPr>
          <w:rFonts w:hAnsi="宋体"/>
          <w:highlight w:val="none"/>
        </w:rPr>
        <w:t>初期雨水收集</w:t>
      </w:r>
      <w:r>
        <w:rPr>
          <w:rFonts w:hAnsi="宋体"/>
          <w:spacing w:val="2"/>
          <w:highlight w:val="none"/>
        </w:rPr>
        <w:t>池</w:t>
      </w:r>
      <w:r>
        <w:rPr>
          <w:rFonts w:hAnsi="宋体"/>
          <w:spacing w:val="-51"/>
          <w:highlight w:val="none"/>
        </w:rPr>
        <w:t>，</w:t>
      </w:r>
      <w:r>
        <w:rPr>
          <w:rFonts w:hAnsi="宋体"/>
          <w:highlight w:val="none"/>
        </w:rPr>
        <w:t>收集后的雨水经沉淀</w:t>
      </w:r>
      <w:r>
        <w:rPr>
          <w:rFonts w:hAnsi="宋体"/>
          <w:spacing w:val="2"/>
          <w:highlight w:val="none"/>
        </w:rPr>
        <w:t>后</w:t>
      </w:r>
      <w:r>
        <w:rPr>
          <w:rFonts w:hAnsi="宋体"/>
          <w:spacing w:val="-51"/>
          <w:highlight w:val="none"/>
        </w:rPr>
        <w:t>，</w:t>
      </w:r>
      <w:r>
        <w:rPr>
          <w:rFonts w:hAnsi="宋体"/>
          <w:highlight w:val="none"/>
        </w:rPr>
        <w:t>可以用于</w:t>
      </w:r>
      <w:r>
        <w:rPr>
          <w:rFonts w:hint="eastAsia" w:hAnsi="宋体"/>
          <w:highlight w:val="none"/>
        </w:rPr>
        <w:t>原料库洒水抑尘</w:t>
      </w:r>
      <w:r>
        <w:rPr>
          <w:rFonts w:hAnsi="宋体"/>
          <w:highlight w:val="none"/>
        </w:rPr>
        <w:t>及道路降尘洒水。</w:t>
      </w:r>
    </w:p>
    <w:p>
      <w:pPr>
        <w:pStyle w:val="62"/>
        <w:ind w:firstLine="480"/>
        <w:rPr>
          <w:rFonts w:hAnsi="宋体"/>
          <w:highlight w:val="none"/>
        </w:rPr>
      </w:pPr>
      <w:r>
        <w:rPr>
          <w:rFonts w:hAnsi="宋体"/>
          <w:highlight w:val="none"/>
        </w:rPr>
        <w:t>全厂废水产排情况见表3</w:t>
      </w:r>
      <w:r>
        <w:rPr>
          <w:rFonts w:hint="eastAsia" w:hAnsi="宋体"/>
          <w:highlight w:val="none"/>
        </w:rPr>
        <w:t>.5</w:t>
      </w:r>
      <w:r>
        <w:rPr>
          <w:rFonts w:hAnsi="宋体"/>
          <w:highlight w:val="none"/>
        </w:rPr>
        <w:t>-</w:t>
      </w:r>
      <w:r>
        <w:rPr>
          <w:rFonts w:hint="eastAsia" w:hAnsi="宋体"/>
          <w:highlight w:val="none"/>
        </w:rPr>
        <w:t>2</w:t>
      </w:r>
      <w:r>
        <w:rPr>
          <w:rFonts w:hAnsi="宋体"/>
          <w:highlight w:val="none"/>
        </w:rPr>
        <w:t>。</w:t>
      </w:r>
    </w:p>
    <w:p>
      <w:pPr>
        <w:pStyle w:val="65"/>
        <w:rPr>
          <w:rFonts w:hAnsi="宋体"/>
          <w:sz w:val="7"/>
          <w:szCs w:val="7"/>
          <w:highlight w:val="none"/>
        </w:rPr>
      </w:pPr>
      <w:r>
        <w:rPr>
          <w:rFonts w:hAnsi="宋体"/>
          <w:highlight w:val="none"/>
        </w:rPr>
        <w:t>表3</w:t>
      </w:r>
      <w:r>
        <w:rPr>
          <w:rFonts w:hint="eastAsia" w:hAnsi="宋体"/>
          <w:highlight w:val="none"/>
        </w:rPr>
        <w:t>.5</w:t>
      </w:r>
      <w:r>
        <w:rPr>
          <w:rFonts w:hAnsi="宋体"/>
          <w:highlight w:val="none"/>
        </w:rPr>
        <w:t>-</w:t>
      </w:r>
      <w:r>
        <w:rPr>
          <w:rFonts w:hint="eastAsia" w:hAnsi="宋体"/>
          <w:highlight w:val="none"/>
        </w:rPr>
        <w:t xml:space="preserve">2  </w:t>
      </w:r>
      <w:r>
        <w:rPr>
          <w:rFonts w:hAnsi="宋体"/>
          <w:highlight w:val="none"/>
        </w:rPr>
        <w:t>水</w:t>
      </w:r>
      <w:r>
        <w:rPr>
          <w:rFonts w:hAnsi="宋体"/>
          <w:spacing w:val="2"/>
          <w:highlight w:val="none"/>
        </w:rPr>
        <w:t>污</w:t>
      </w:r>
      <w:r>
        <w:rPr>
          <w:rFonts w:hAnsi="宋体"/>
          <w:highlight w:val="none"/>
        </w:rPr>
        <w:t>染</w:t>
      </w:r>
      <w:r>
        <w:rPr>
          <w:rFonts w:hAnsi="宋体"/>
          <w:spacing w:val="2"/>
          <w:highlight w:val="none"/>
        </w:rPr>
        <w:t>物</w:t>
      </w:r>
      <w:r>
        <w:rPr>
          <w:rFonts w:hAnsi="宋体"/>
          <w:highlight w:val="none"/>
        </w:rPr>
        <w:t>产生</w:t>
      </w:r>
      <w:r>
        <w:rPr>
          <w:rFonts w:hAnsi="宋体"/>
          <w:spacing w:val="2"/>
          <w:highlight w:val="none"/>
        </w:rPr>
        <w:t>及</w:t>
      </w:r>
      <w:r>
        <w:rPr>
          <w:rFonts w:hAnsi="宋体"/>
          <w:highlight w:val="none"/>
        </w:rPr>
        <w:t>排</w:t>
      </w:r>
      <w:r>
        <w:rPr>
          <w:rFonts w:hAnsi="宋体"/>
          <w:spacing w:val="2"/>
          <w:highlight w:val="none"/>
        </w:rPr>
        <w:t>放</w:t>
      </w:r>
      <w:r>
        <w:rPr>
          <w:rFonts w:hAnsi="宋体"/>
          <w:highlight w:val="none"/>
        </w:rPr>
        <w:t>情况</w:t>
      </w:r>
      <w:r>
        <w:rPr>
          <w:rFonts w:hAnsi="宋体"/>
          <w:spacing w:val="2"/>
          <w:highlight w:val="none"/>
        </w:rPr>
        <w:t>汇</w:t>
      </w:r>
      <w:r>
        <w:rPr>
          <w:rFonts w:hAnsi="宋体"/>
          <w:highlight w:val="none"/>
        </w:rPr>
        <w:t>总</w:t>
      </w:r>
    </w:p>
    <w:tbl>
      <w:tblPr>
        <w:tblStyle w:val="68"/>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554"/>
        <w:gridCol w:w="2158"/>
        <w:gridCol w:w="4095"/>
        <w:gridCol w:w="94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554" w:type="dxa"/>
            <w:vAlign w:val="center"/>
          </w:tcPr>
          <w:p>
            <w:pPr>
              <w:pStyle w:val="64"/>
              <w:widowControl w:val="0"/>
              <w:rPr>
                <w:rFonts w:hAnsi="宋体" w:cs="宋体"/>
                <w:szCs w:val="21"/>
                <w:highlight w:val="none"/>
                <w:lang w:eastAsia="en-US"/>
              </w:rPr>
            </w:pPr>
            <w:r>
              <w:rPr>
                <w:rFonts w:hAnsi="宋体" w:cs="宋体"/>
                <w:spacing w:val="-1"/>
                <w:w w:val="95"/>
                <w:szCs w:val="21"/>
                <w:highlight w:val="none"/>
                <w:lang w:eastAsia="en-US"/>
              </w:rPr>
              <w:t>污</w:t>
            </w:r>
            <w:r>
              <w:rPr>
                <w:rFonts w:hAnsi="宋体" w:cs="宋体"/>
                <w:spacing w:val="1"/>
                <w:w w:val="95"/>
                <w:szCs w:val="21"/>
                <w:highlight w:val="none"/>
                <w:lang w:eastAsia="en-US"/>
              </w:rPr>
              <w:t>染</w:t>
            </w:r>
            <w:r>
              <w:rPr>
                <w:rFonts w:hAnsi="宋体" w:cs="宋体"/>
                <w:spacing w:val="-1"/>
                <w:w w:val="95"/>
                <w:szCs w:val="21"/>
                <w:highlight w:val="none"/>
                <w:lang w:eastAsia="en-US"/>
              </w:rPr>
              <w:t>源</w:t>
            </w:r>
            <w:r>
              <w:rPr>
                <w:rFonts w:hAnsi="宋体" w:cs="宋体"/>
                <w:w w:val="95"/>
                <w:szCs w:val="21"/>
                <w:highlight w:val="none"/>
                <w:lang w:eastAsia="en-US"/>
              </w:rPr>
              <w:t>及</w:t>
            </w:r>
            <w:r>
              <w:rPr>
                <w:rFonts w:hAnsi="宋体" w:cs="宋体"/>
                <w:spacing w:val="-1"/>
                <w:szCs w:val="21"/>
                <w:highlight w:val="none"/>
                <w:lang w:eastAsia="en-US"/>
              </w:rPr>
              <w:t>编</w:t>
            </w:r>
            <w:r>
              <w:rPr>
                <w:rFonts w:hAnsi="宋体" w:cs="宋体"/>
                <w:szCs w:val="21"/>
                <w:highlight w:val="none"/>
                <w:lang w:eastAsia="en-US"/>
              </w:rPr>
              <w:t>号</w:t>
            </w:r>
          </w:p>
        </w:tc>
        <w:tc>
          <w:tcPr>
            <w:tcW w:w="215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产</w:t>
            </w:r>
            <w:r>
              <w:rPr>
                <w:rFonts w:hAnsi="宋体" w:cs="宋体"/>
                <w:spacing w:val="2"/>
                <w:szCs w:val="21"/>
                <w:highlight w:val="none"/>
                <w:lang w:eastAsia="en-US"/>
              </w:rPr>
              <w:t>生</w:t>
            </w:r>
            <w:r>
              <w:rPr>
                <w:rFonts w:hAnsi="宋体" w:cs="宋体"/>
                <w:szCs w:val="21"/>
                <w:highlight w:val="none"/>
                <w:lang w:eastAsia="en-US"/>
              </w:rPr>
              <w:t>量</w:t>
            </w:r>
          </w:p>
        </w:tc>
        <w:tc>
          <w:tcPr>
            <w:tcW w:w="4095"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治</w:t>
            </w:r>
            <w:r>
              <w:rPr>
                <w:rFonts w:hAnsi="宋体" w:cs="宋体"/>
                <w:spacing w:val="2"/>
                <w:szCs w:val="21"/>
                <w:highlight w:val="none"/>
                <w:lang w:eastAsia="en-US"/>
              </w:rPr>
              <w:t>理</w:t>
            </w:r>
            <w:r>
              <w:rPr>
                <w:rFonts w:hAnsi="宋体" w:cs="宋体"/>
                <w:spacing w:val="-1"/>
                <w:szCs w:val="21"/>
                <w:highlight w:val="none"/>
                <w:lang w:eastAsia="en-US"/>
              </w:rPr>
              <w:t>方</w:t>
            </w:r>
            <w:r>
              <w:rPr>
                <w:rFonts w:hAnsi="宋体" w:cs="宋体"/>
                <w:szCs w:val="21"/>
                <w:highlight w:val="none"/>
                <w:lang w:eastAsia="en-US"/>
              </w:rPr>
              <w:t>式</w:t>
            </w:r>
          </w:p>
        </w:tc>
        <w:tc>
          <w:tcPr>
            <w:tcW w:w="943"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排</w:t>
            </w:r>
            <w:r>
              <w:rPr>
                <w:rFonts w:hAnsi="宋体" w:cs="宋体"/>
                <w:spacing w:val="2"/>
                <w:szCs w:val="21"/>
                <w:highlight w:val="none"/>
                <w:lang w:eastAsia="en-US"/>
              </w:rPr>
              <w:t>放</w:t>
            </w:r>
            <w:r>
              <w:rPr>
                <w:rFonts w:hAnsi="宋体" w:cs="宋体"/>
                <w:szCs w:val="21"/>
                <w:highlight w:val="none"/>
                <w:lang w:eastAsia="en-US"/>
              </w:rPr>
              <w:t>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554"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生</w:t>
            </w:r>
            <w:r>
              <w:rPr>
                <w:rFonts w:hAnsi="宋体" w:cs="宋体"/>
                <w:spacing w:val="2"/>
                <w:szCs w:val="21"/>
                <w:highlight w:val="none"/>
                <w:lang w:eastAsia="en-US"/>
              </w:rPr>
              <w:t>活</w:t>
            </w:r>
            <w:r>
              <w:rPr>
                <w:rFonts w:hAnsi="宋体" w:cs="宋体"/>
                <w:spacing w:val="-1"/>
                <w:szCs w:val="21"/>
                <w:highlight w:val="none"/>
                <w:lang w:eastAsia="en-US"/>
              </w:rPr>
              <w:t>污</w:t>
            </w:r>
            <w:r>
              <w:rPr>
                <w:rFonts w:hAnsi="宋体" w:cs="宋体"/>
                <w:szCs w:val="21"/>
                <w:highlight w:val="none"/>
                <w:lang w:eastAsia="en-US"/>
              </w:rPr>
              <w:t>水</w:t>
            </w:r>
          </w:p>
        </w:tc>
        <w:tc>
          <w:tcPr>
            <w:tcW w:w="215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0.</w:t>
            </w:r>
            <w:r>
              <w:rPr>
                <w:rFonts w:hint="eastAsia" w:hAnsi="宋体" w:cs="宋体"/>
                <w:spacing w:val="1"/>
                <w:szCs w:val="21"/>
                <w:highlight w:val="none"/>
                <w:lang w:eastAsia="en-US"/>
              </w:rPr>
              <w:t>72</w:t>
            </w:r>
            <w:r>
              <w:rPr>
                <w:rFonts w:hAnsi="宋体" w:cs="宋体"/>
                <w:spacing w:val="1"/>
                <w:szCs w:val="21"/>
                <w:highlight w:val="none"/>
                <w:lang w:eastAsia="en-US"/>
              </w:rPr>
              <w:t>m</w:t>
            </w:r>
            <w:r>
              <w:rPr>
                <w:rFonts w:hAnsi="宋体" w:cs="宋体"/>
                <w:spacing w:val="-3"/>
                <w:position w:val="10"/>
                <w:sz w:val="10"/>
                <w:szCs w:val="10"/>
                <w:highlight w:val="none"/>
                <w:lang w:eastAsia="en-US"/>
              </w:rPr>
              <w:t>3</w:t>
            </w:r>
            <w:r>
              <w:rPr>
                <w:rFonts w:hAnsi="宋体" w:cs="宋体"/>
                <w:spacing w:val="1"/>
                <w:szCs w:val="21"/>
                <w:highlight w:val="none"/>
                <w:lang w:eastAsia="en-US"/>
              </w:rPr>
              <w:t>/</w:t>
            </w:r>
            <w:r>
              <w:rPr>
                <w:rFonts w:hAnsi="宋体" w:cs="宋体"/>
                <w:szCs w:val="21"/>
                <w:highlight w:val="none"/>
                <w:lang w:eastAsia="en-US"/>
              </w:rPr>
              <w:t>d</w:t>
            </w:r>
          </w:p>
        </w:tc>
        <w:tc>
          <w:tcPr>
            <w:tcW w:w="4095" w:type="dxa"/>
            <w:vAlign w:val="center"/>
          </w:tcPr>
          <w:p>
            <w:pPr>
              <w:pStyle w:val="64"/>
              <w:widowControl w:val="0"/>
              <w:rPr>
                <w:rFonts w:hAnsi="宋体" w:cs="宋体"/>
                <w:szCs w:val="21"/>
                <w:highlight w:val="none"/>
                <w:lang w:eastAsia="zh-CN"/>
              </w:rPr>
            </w:pPr>
            <w:r>
              <w:rPr>
                <w:rFonts w:hint="eastAsia" w:hAnsi="宋体"/>
                <w:szCs w:val="20"/>
                <w:highlight w:val="none"/>
                <w:lang w:eastAsia="zh-CN"/>
              </w:rPr>
              <w:t>本项目生活污水、食堂废水经隔油池后排入1座2m</w:t>
            </w:r>
            <w:r>
              <w:rPr>
                <w:rFonts w:hint="eastAsia" w:hAnsi="宋体"/>
                <w:szCs w:val="20"/>
                <w:highlight w:val="none"/>
                <w:vertAlign w:val="superscript"/>
                <w:lang w:eastAsia="zh-CN"/>
              </w:rPr>
              <w:t>3</w:t>
            </w:r>
            <w:r>
              <w:rPr>
                <w:rFonts w:hint="eastAsia" w:hAnsi="宋体"/>
                <w:szCs w:val="20"/>
                <w:highlight w:val="none"/>
                <w:lang w:eastAsia="zh-CN"/>
              </w:rPr>
              <w:t>的沉淀池，用于场地洒水或绿化。本项目使用旱厕，定期由附近农户清掏用作农肥。</w:t>
            </w:r>
          </w:p>
        </w:tc>
        <w:tc>
          <w:tcPr>
            <w:tcW w:w="943" w:type="dxa"/>
            <w:vAlign w:val="center"/>
          </w:tcPr>
          <w:p>
            <w:pPr>
              <w:pStyle w:val="64"/>
              <w:widowControl w:val="0"/>
              <w:rPr>
                <w:rFonts w:hAnsi="宋体" w:cs="宋体"/>
                <w:szCs w:val="21"/>
                <w:highlight w:val="none"/>
                <w:lang w:eastAsia="en-US"/>
              </w:rPr>
            </w:pPr>
            <w:r>
              <w:rPr>
                <w:rFonts w:hAnsi="宋体" w:cs="宋体"/>
                <w:szCs w:val="21"/>
                <w:highlight w:val="none"/>
                <w:lang w:eastAsia="en-US"/>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554"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初</w:t>
            </w:r>
            <w:r>
              <w:rPr>
                <w:rFonts w:hAnsi="宋体" w:cs="宋体"/>
                <w:spacing w:val="2"/>
                <w:szCs w:val="21"/>
                <w:highlight w:val="none"/>
                <w:lang w:eastAsia="en-US"/>
              </w:rPr>
              <w:t>期</w:t>
            </w:r>
            <w:r>
              <w:rPr>
                <w:rFonts w:hAnsi="宋体" w:cs="宋体"/>
                <w:spacing w:val="-1"/>
                <w:szCs w:val="21"/>
                <w:highlight w:val="none"/>
                <w:lang w:eastAsia="en-US"/>
              </w:rPr>
              <w:t>雨</w:t>
            </w:r>
            <w:r>
              <w:rPr>
                <w:rFonts w:hAnsi="宋体" w:cs="宋体"/>
                <w:szCs w:val="21"/>
                <w:highlight w:val="none"/>
                <w:lang w:eastAsia="en-US"/>
              </w:rPr>
              <w:t>水</w:t>
            </w:r>
          </w:p>
        </w:tc>
        <w:tc>
          <w:tcPr>
            <w:tcW w:w="2158" w:type="dxa"/>
            <w:vAlign w:val="center"/>
          </w:tcPr>
          <w:p>
            <w:pPr>
              <w:pStyle w:val="64"/>
              <w:widowControl w:val="0"/>
              <w:rPr>
                <w:rFonts w:hAnsi="宋体" w:cs="宋体"/>
                <w:sz w:val="10"/>
                <w:szCs w:val="10"/>
                <w:highlight w:val="none"/>
                <w:lang w:eastAsia="en-US"/>
              </w:rPr>
            </w:pPr>
            <w:r>
              <w:rPr>
                <w:rFonts w:hAnsi="宋体" w:cs="宋体"/>
                <w:spacing w:val="-1"/>
                <w:szCs w:val="21"/>
                <w:highlight w:val="none"/>
                <w:lang w:eastAsia="en-US"/>
              </w:rPr>
              <w:t>最</w:t>
            </w:r>
            <w:r>
              <w:rPr>
                <w:rFonts w:hAnsi="宋体" w:cs="宋体"/>
                <w:spacing w:val="2"/>
                <w:szCs w:val="21"/>
                <w:highlight w:val="none"/>
                <w:lang w:eastAsia="en-US"/>
              </w:rPr>
              <w:t>大</w:t>
            </w:r>
            <w:r>
              <w:rPr>
                <w:rFonts w:hAnsi="宋体" w:cs="宋体"/>
                <w:spacing w:val="-1"/>
                <w:szCs w:val="21"/>
                <w:highlight w:val="none"/>
                <w:lang w:eastAsia="en-US"/>
              </w:rPr>
              <w:t>雨</w:t>
            </w:r>
            <w:r>
              <w:rPr>
                <w:rFonts w:hAnsi="宋体" w:cs="宋体"/>
                <w:spacing w:val="2"/>
                <w:szCs w:val="21"/>
                <w:highlight w:val="none"/>
                <w:lang w:eastAsia="en-US"/>
              </w:rPr>
              <w:t>水</w:t>
            </w:r>
            <w:r>
              <w:rPr>
                <w:rFonts w:hAnsi="宋体" w:cs="宋体"/>
                <w:szCs w:val="21"/>
                <w:highlight w:val="none"/>
                <w:lang w:eastAsia="en-US"/>
              </w:rPr>
              <w:t>量</w:t>
            </w:r>
            <w:r>
              <w:rPr>
                <w:rFonts w:hAnsi="宋体" w:cs="宋体"/>
                <w:spacing w:val="1"/>
                <w:szCs w:val="21"/>
                <w:highlight w:val="none"/>
                <w:lang w:eastAsia="en-US"/>
              </w:rPr>
              <w:t>129.84</w:t>
            </w:r>
            <w:r>
              <w:rPr>
                <w:rFonts w:hAnsi="宋体" w:cs="宋体"/>
                <w:spacing w:val="-2"/>
                <w:szCs w:val="21"/>
                <w:highlight w:val="none"/>
                <w:lang w:eastAsia="en-US"/>
              </w:rPr>
              <w:t>m</w:t>
            </w:r>
            <w:r>
              <w:rPr>
                <w:rFonts w:hAnsi="宋体" w:cs="宋体"/>
                <w:position w:val="11"/>
                <w:sz w:val="10"/>
                <w:szCs w:val="10"/>
                <w:highlight w:val="none"/>
                <w:lang w:eastAsia="en-US"/>
              </w:rPr>
              <w:t>3</w:t>
            </w:r>
          </w:p>
        </w:tc>
        <w:tc>
          <w:tcPr>
            <w:tcW w:w="4095" w:type="dxa"/>
            <w:vAlign w:val="center"/>
          </w:tcPr>
          <w:p>
            <w:pPr>
              <w:pStyle w:val="64"/>
              <w:widowControl w:val="0"/>
              <w:rPr>
                <w:rFonts w:hAnsi="宋体" w:cs="宋体"/>
                <w:szCs w:val="21"/>
                <w:highlight w:val="none"/>
                <w:lang w:eastAsia="zh-CN"/>
              </w:rPr>
            </w:pPr>
            <w:r>
              <w:rPr>
                <w:rFonts w:hAnsi="宋体"/>
                <w:highlight w:val="none"/>
                <w:lang w:eastAsia="zh-CN"/>
              </w:rPr>
              <w:t>厂区东北部较低处设</w:t>
            </w:r>
            <w:r>
              <w:rPr>
                <w:rFonts w:hAnsi="宋体" w:cs="hakuyoxingshu7000"/>
                <w:highlight w:val="none"/>
                <w:lang w:eastAsia="zh-CN"/>
              </w:rPr>
              <w:t>1</w:t>
            </w:r>
            <w:r>
              <w:rPr>
                <w:rFonts w:hAnsi="宋体"/>
                <w:highlight w:val="none"/>
                <w:lang w:eastAsia="zh-CN"/>
              </w:rPr>
              <w:t>座</w:t>
            </w:r>
            <w:r>
              <w:rPr>
                <w:rFonts w:hint="eastAsia" w:hAnsi="宋体" w:cs="hakuyoxingshu7000"/>
                <w:highlight w:val="none"/>
                <w:lang w:eastAsia="zh-CN"/>
              </w:rPr>
              <w:t>160</w:t>
            </w:r>
            <w:r>
              <w:rPr>
                <w:rFonts w:hAnsi="宋体" w:cs="hakuyoxingshu7000"/>
                <w:highlight w:val="none"/>
                <w:lang w:eastAsia="zh-CN"/>
              </w:rPr>
              <w:t>m</w:t>
            </w:r>
            <w:r>
              <w:rPr>
                <w:rFonts w:hAnsi="宋体" w:cs="hakuyoxingshu7000"/>
                <w:position w:val="8"/>
                <w:sz w:val="15"/>
                <w:szCs w:val="15"/>
                <w:highlight w:val="none"/>
                <w:lang w:eastAsia="zh-CN"/>
              </w:rPr>
              <w:t>3</w:t>
            </w:r>
            <w:r>
              <w:rPr>
                <w:rFonts w:hAnsi="宋体"/>
                <w:highlight w:val="none"/>
                <w:lang w:eastAsia="zh-CN"/>
              </w:rPr>
              <w:t>初期雨水收集</w:t>
            </w:r>
            <w:r>
              <w:rPr>
                <w:rFonts w:hAnsi="宋体"/>
                <w:spacing w:val="2"/>
                <w:highlight w:val="none"/>
                <w:lang w:eastAsia="zh-CN"/>
              </w:rPr>
              <w:t>池</w:t>
            </w:r>
            <w:r>
              <w:rPr>
                <w:rFonts w:hAnsi="宋体"/>
                <w:spacing w:val="-51"/>
                <w:highlight w:val="none"/>
                <w:lang w:eastAsia="zh-CN"/>
              </w:rPr>
              <w:t>，</w:t>
            </w:r>
            <w:r>
              <w:rPr>
                <w:rFonts w:hAnsi="宋体"/>
                <w:highlight w:val="none"/>
                <w:lang w:eastAsia="zh-CN"/>
              </w:rPr>
              <w:t>收集后的雨水经沉淀</w:t>
            </w:r>
            <w:r>
              <w:rPr>
                <w:rFonts w:hAnsi="宋体"/>
                <w:spacing w:val="2"/>
                <w:highlight w:val="none"/>
                <w:lang w:eastAsia="zh-CN"/>
              </w:rPr>
              <w:t>后</w:t>
            </w:r>
            <w:r>
              <w:rPr>
                <w:rFonts w:hAnsi="宋体"/>
                <w:spacing w:val="-51"/>
                <w:highlight w:val="none"/>
                <w:lang w:eastAsia="zh-CN"/>
              </w:rPr>
              <w:t>，</w:t>
            </w:r>
            <w:r>
              <w:rPr>
                <w:rFonts w:hAnsi="宋体"/>
                <w:highlight w:val="none"/>
                <w:lang w:eastAsia="zh-CN"/>
              </w:rPr>
              <w:t>可以用于</w:t>
            </w:r>
            <w:r>
              <w:rPr>
                <w:rFonts w:hint="eastAsia" w:hAnsi="宋体"/>
                <w:highlight w:val="none"/>
                <w:lang w:eastAsia="zh-CN"/>
              </w:rPr>
              <w:t>原料库洒水抑尘</w:t>
            </w:r>
            <w:r>
              <w:rPr>
                <w:rFonts w:hAnsi="宋体"/>
                <w:highlight w:val="none"/>
                <w:lang w:eastAsia="zh-CN"/>
              </w:rPr>
              <w:t>及道路降尘洒水。</w:t>
            </w:r>
          </w:p>
        </w:tc>
        <w:tc>
          <w:tcPr>
            <w:tcW w:w="943" w:type="dxa"/>
            <w:vAlign w:val="center"/>
          </w:tcPr>
          <w:p>
            <w:pPr>
              <w:pStyle w:val="64"/>
              <w:widowControl w:val="0"/>
              <w:rPr>
                <w:rFonts w:hAnsi="宋体" w:cs="宋体"/>
                <w:szCs w:val="21"/>
                <w:highlight w:val="none"/>
                <w:lang w:eastAsia="en-US"/>
              </w:rPr>
            </w:pPr>
            <w:r>
              <w:rPr>
                <w:rFonts w:hAnsi="宋体" w:cs="宋体"/>
                <w:szCs w:val="21"/>
                <w:highlight w:val="none"/>
                <w:lang w:eastAsia="en-US"/>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554"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生</w:t>
            </w:r>
            <w:r>
              <w:rPr>
                <w:rFonts w:hAnsi="宋体" w:cs="宋体"/>
                <w:spacing w:val="2"/>
                <w:szCs w:val="21"/>
                <w:highlight w:val="none"/>
                <w:lang w:eastAsia="en-US"/>
              </w:rPr>
              <w:t>产</w:t>
            </w:r>
            <w:r>
              <w:rPr>
                <w:rFonts w:hAnsi="宋体" w:cs="宋体"/>
                <w:spacing w:val="-1"/>
                <w:szCs w:val="21"/>
                <w:highlight w:val="none"/>
                <w:lang w:eastAsia="en-US"/>
              </w:rPr>
              <w:t>废</w:t>
            </w:r>
            <w:r>
              <w:rPr>
                <w:rFonts w:hAnsi="宋体" w:cs="宋体"/>
                <w:szCs w:val="21"/>
                <w:highlight w:val="none"/>
                <w:lang w:eastAsia="en-US"/>
              </w:rPr>
              <w:t>水</w:t>
            </w:r>
          </w:p>
        </w:tc>
        <w:tc>
          <w:tcPr>
            <w:tcW w:w="2158" w:type="dxa"/>
            <w:vAlign w:val="center"/>
          </w:tcPr>
          <w:p>
            <w:pPr>
              <w:pStyle w:val="64"/>
              <w:widowControl w:val="0"/>
              <w:rPr>
                <w:rFonts w:hAnsi="宋体" w:cs="宋体"/>
                <w:szCs w:val="21"/>
                <w:highlight w:val="none"/>
                <w:lang w:eastAsia="en-US"/>
              </w:rPr>
            </w:pPr>
            <w:r>
              <w:rPr>
                <w:rFonts w:hint="eastAsia" w:hAnsi="宋体" w:cs="宋体"/>
                <w:spacing w:val="1"/>
                <w:szCs w:val="21"/>
                <w:highlight w:val="none"/>
                <w:lang w:eastAsia="en-US"/>
              </w:rPr>
              <w:t>26.7万</w:t>
            </w:r>
            <w:r>
              <w:rPr>
                <w:rFonts w:hAnsi="宋体" w:cs="宋体"/>
                <w:spacing w:val="-2"/>
                <w:szCs w:val="21"/>
                <w:highlight w:val="none"/>
                <w:lang w:eastAsia="en-US"/>
              </w:rPr>
              <w:t>m</w:t>
            </w:r>
            <w:r>
              <w:rPr>
                <w:rFonts w:hAnsi="宋体" w:cs="宋体"/>
                <w:position w:val="11"/>
                <w:sz w:val="10"/>
                <w:szCs w:val="10"/>
                <w:highlight w:val="none"/>
                <w:lang w:eastAsia="en-US"/>
              </w:rPr>
              <w:t>3</w:t>
            </w:r>
          </w:p>
        </w:tc>
        <w:tc>
          <w:tcPr>
            <w:tcW w:w="4095" w:type="dxa"/>
            <w:vAlign w:val="center"/>
          </w:tcPr>
          <w:p>
            <w:pPr>
              <w:pStyle w:val="64"/>
              <w:widowControl w:val="0"/>
              <w:rPr>
                <w:rFonts w:hAnsi="宋体" w:cs="宋体"/>
                <w:szCs w:val="21"/>
                <w:highlight w:val="none"/>
                <w:lang w:eastAsia="zh-CN"/>
              </w:rPr>
            </w:pPr>
            <w:r>
              <w:rPr>
                <w:rFonts w:hint="eastAsia" w:hAnsi="宋体" w:cs="宋体"/>
                <w:spacing w:val="-1"/>
                <w:szCs w:val="21"/>
                <w:highlight w:val="none"/>
                <w:lang w:eastAsia="zh-CN"/>
              </w:rPr>
              <w:t>尾矿浆经浓缩压滤后，泵入循环水池回用于生产。</w:t>
            </w:r>
          </w:p>
        </w:tc>
        <w:tc>
          <w:tcPr>
            <w:tcW w:w="943" w:type="dxa"/>
            <w:vAlign w:val="center"/>
          </w:tcPr>
          <w:p>
            <w:pPr>
              <w:pStyle w:val="64"/>
              <w:widowControl w:val="0"/>
              <w:rPr>
                <w:rFonts w:hAnsi="宋体" w:cs="宋体"/>
                <w:szCs w:val="21"/>
                <w:highlight w:val="none"/>
                <w:lang w:eastAsia="en-US"/>
              </w:rPr>
            </w:pPr>
            <w:r>
              <w:rPr>
                <w:rFonts w:hAnsi="宋体" w:cs="宋体"/>
                <w:szCs w:val="21"/>
                <w:highlight w:val="none"/>
                <w:lang w:eastAsia="en-US"/>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554"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洗</w:t>
            </w:r>
            <w:r>
              <w:rPr>
                <w:rFonts w:hAnsi="宋体" w:cs="宋体"/>
                <w:spacing w:val="2"/>
                <w:szCs w:val="21"/>
                <w:highlight w:val="none"/>
                <w:lang w:eastAsia="en-US"/>
              </w:rPr>
              <w:t>车</w:t>
            </w:r>
            <w:r>
              <w:rPr>
                <w:rFonts w:hAnsi="宋体" w:cs="宋体"/>
                <w:spacing w:val="-1"/>
                <w:szCs w:val="21"/>
                <w:highlight w:val="none"/>
                <w:lang w:eastAsia="en-US"/>
              </w:rPr>
              <w:t>废</w:t>
            </w:r>
            <w:r>
              <w:rPr>
                <w:rFonts w:hAnsi="宋体" w:cs="宋体"/>
                <w:szCs w:val="21"/>
                <w:highlight w:val="none"/>
                <w:lang w:eastAsia="en-US"/>
              </w:rPr>
              <w:t>水</w:t>
            </w:r>
          </w:p>
        </w:tc>
        <w:tc>
          <w:tcPr>
            <w:tcW w:w="2158" w:type="dxa"/>
            <w:vAlign w:val="center"/>
          </w:tcPr>
          <w:p>
            <w:pPr>
              <w:pStyle w:val="64"/>
              <w:widowControl w:val="0"/>
              <w:rPr>
                <w:rFonts w:hAnsi="宋体" w:cs="宋体"/>
                <w:szCs w:val="21"/>
                <w:highlight w:val="none"/>
                <w:lang w:eastAsia="en-US"/>
              </w:rPr>
            </w:pPr>
            <w:r>
              <w:rPr>
                <w:rFonts w:hint="eastAsia" w:hAnsi="宋体" w:cs="宋体"/>
                <w:spacing w:val="1"/>
                <w:szCs w:val="21"/>
                <w:highlight w:val="none"/>
                <w:lang w:eastAsia="en-US"/>
              </w:rPr>
              <w:t>20</w:t>
            </w:r>
            <w:r>
              <w:rPr>
                <w:rFonts w:hAnsi="宋体" w:cs="宋体"/>
                <w:spacing w:val="1"/>
                <w:szCs w:val="21"/>
                <w:highlight w:val="none"/>
                <w:lang w:eastAsia="en-US"/>
              </w:rPr>
              <w:t>m</w:t>
            </w:r>
            <w:r>
              <w:rPr>
                <w:rFonts w:hAnsi="宋体" w:cs="宋体"/>
                <w:spacing w:val="-3"/>
                <w:position w:val="11"/>
                <w:sz w:val="10"/>
                <w:szCs w:val="10"/>
                <w:highlight w:val="none"/>
                <w:lang w:eastAsia="en-US"/>
              </w:rPr>
              <w:t>3</w:t>
            </w:r>
            <w:r>
              <w:rPr>
                <w:rFonts w:hAnsi="宋体" w:cs="宋体"/>
                <w:spacing w:val="1"/>
                <w:szCs w:val="21"/>
                <w:highlight w:val="none"/>
                <w:lang w:eastAsia="en-US"/>
              </w:rPr>
              <w:t>/</w:t>
            </w:r>
            <w:r>
              <w:rPr>
                <w:rFonts w:hAnsi="宋体" w:cs="宋体"/>
                <w:szCs w:val="21"/>
                <w:highlight w:val="none"/>
                <w:lang w:eastAsia="en-US"/>
              </w:rPr>
              <w:t>d</w:t>
            </w:r>
          </w:p>
        </w:tc>
        <w:tc>
          <w:tcPr>
            <w:tcW w:w="4095" w:type="dxa"/>
            <w:vAlign w:val="center"/>
          </w:tcPr>
          <w:p>
            <w:pPr>
              <w:pStyle w:val="64"/>
              <w:widowControl w:val="0"/>
              <w:rPr>
                <w:rFonts w:hAnsi="宋体" w:cs="宋体"/>
                <w:szCs w:val="21"/>
                <w:highlight w:val="none"/>
                <w:lang w:eastAsia="zh-CN"/>
              </w:rPr>
            </w:pPr>
            <w:r>
              <w:rPr>
                <w:rFonts w:hint="eastAsia" w:hAnsi="宋体" w:cs="宋体"/>
                <w:spacing w:val="-1"/>
                <w:szCs w:val="21"/>
                <w:highlight w:val="none"/>
                <w:lang w:eastAsia="zh-CN"/>
              </w:rPr>
              <w:t>洗车废水经沉淀池沉淀后循环使用，不外排。</w:t>
            </w:r>
          </w:p>
        </w:tc>
        <w:tc>
          <w:tcPr>
            <w:tcW w:w="943" w:type="dxa"/>
            <w:vAlign w:val="center"/>
          </w:tcPr>
          <w:p>
            <w:pPr>
              <w:pStyle w:val="64"/>
              <w:widowControl w:val="0"/>
              <w:rPr>
                <w:rFonts w:hAnsi="宋体" w:cs="宋体"/>
                <w:szCs w:val="21"/>
                <w:highlight w:val="none"/>
                <w:lang w:eastAsia="en-US"/>
              </w:rPr>
            </w:pPr>
            <w:r>
              <w:rPr>
                <w:rFonts w:hAnsi="宋体" w:cs="宋体"/>
                <w:szCs w:val="21"/>
                <w:highlight w:val="none"/>
                <w:lang w:eastAsia="en-US"/>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554"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跑</w:t>
            </w:r>
            <w:r>
              <w:rPr>
                <w:rFonts w:hAnsi="宋体" w:cs="宋体"/>
                <w:spacing w:val="2"/>
                <w:szCs w:val="21"/>
                <w:highlight w:val="none"/>
                <w:lang w:eastAsia="en-US"/>
              </w:rPr>
              <w:t>冒</w:t>
            </w:r>
            <w:r>
              <w:rPr>
                <w:rFonts w:hAnsi="宋体" w:cs="宋体"/>
                <w:szCs w:val="21"/>
                <w:highlight w:val="none"/>
                <w:lang w:eastAsia="en-US"/>
              </w:rPr>
              <w:t>滴</w:t>
            </w:r>
            <w:r>
              <w:rPr>
                <w:rFonts w:hAnsi="宋体" w:cs="宋体"/>
                <w:spacing w:val="-1"/>
                <w:szCs w:val="21"/>
                <w:highlight w:val="none"/>
                <w:lang w:eastAsia="en-US"/>
              </w:rPr>
              <w:t>漏</w:t>
            </w:r>
            <w:r>
              <w:rPr>
                <w:rFonts w:hint="eastAsia" w:hAnsi="宋体" w:cs="宋体"/>
                <w:szCs w:val="21"/>
                <w:highlight w:val="none"/>
                <w:lang w:eastAsia="en-US"/>
              </w:rPr>
              <w:t>水</w:t>
            </w:r>
          </w:p>
        </w:tc>
        <w:tc>
          <w:tcPr>
            <w:tcW w:w="215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w:t>
            </w:r>
            <w:r>
              <w:rPr>
                <w:rFonts w:hAnsi="宋体" w:cs="宋体"/>
                <w:szCs w:val="21"/>
                <w:highlight w:val="none"/>
                <w:lang w:eastAsia="en-US"/>
              </w:rPr>
              <w:t>-</w:t>
            </w:r>
          </w:p>
        </w:tc>
        <w:tc>
          <w:tcPr>
            <w:tcW w:w="4095" w:type="dxa"/>
            <w:vAlign w:val="center"/>
          </w:tcPr>
          <w:p>
            <w:pPr>
              <w:pStyle w:val="64"/>
              <w:widowControl w:val="0"/>
              <w:rPr>
                <w:rFonts w:hAnsi="宋体" w:cs="宋体"/>
                <w:szCs w:val="21"/>
                <w:highlight w:val="none"/>
                <w:lang w:eastAsia="zh-CN"/>
              </w:rPr>
            </w:pPr>
            <w:r>
              <w:rPr>
                <w:rFonts w:hint="eastAsia" w:hAnsi="宋体" w:cs="宋体"/>
                <w:spacing w:val="-1"/>
                <w:szCs w:val="21"/>
                <w:highlight w:val="none"/>
                <w:lang w:eastAsia="zh-CN"/>
              </w:rPr>
              <w:t>将跑、冒、滴、漏、地板冲洗水等经收集后，进入生产系统，作为选矿补充水。</w:t>
            </w:r>
          </w:p>
        </w:tc>
        <w:tc>
          <w:tcPr>
            <w:tcW w:w="943" w:type="dxa"/>
            <w:vAlign w:val="center"/>
          </w:tcPr>
          <w:p>
            <w:pPr>
              <w:pStyle w:val="64"/>
              <w:widowControl w:val="0"/>
              <w:rPr>
                <w:rFonts w:hAnsi="宋体" w:cs="宋体"/>
                <w:szCs w:val="21"/>
                <w:highlight w:val="none"/>
                <w:lang w:eastAsia="en-US"/>
              </w:rPr>
            </w:pPr>
            <w:r>
              <w:rPr>
                <w:rFonts w:hAnsi="宋体" w:cs="宋体"/>
                <w:szCs w:val="21"/>
                <w:highlight w:val="none"/>
                <w:lang w:eastAsia="en-US"/>
              </w:rPr>
              <w:t>0</w:t>
            </w:r>
          </w:p>
        </w:tc>
      </w:tr>
    </w:tbl>
    <w:p>
      <w:pPr>
        <w:pStyle w:val="4"/>
        <w:ind w:firstLine="562"/>
        <w:rPr>
          <w:rFonts w:hAnsi="宋体"/>
          <w:highlight w:val="none"/>
        </w:rPr>
      </w:pPr>
      <w:r>
        <w:rPr>
          <w:rFonts w:hAnsi="宋体"/>
          <w:highlight w:val="none"/>
        </w:rPr>
        <w:t>3.5.3固体废物源强</w:t>
      </w:r>
    </w:p>
    <w:p>
      <w:pPr>
        <w:pStyle w:val="62"/>
        <w:ind w:firstLine="480"/>
        <w:rPr>
          <w:rFonts w:hAnsi="宋体"/>
          <w:highlight w:val="none"/>
        </w:rPr>
      </w:pPr>
      <w:r>
        <w:rPr>
          <w:rFonts w:hAnsi="宋体"/>
          <w:highlight w:val="none"/>
        </w:rPr>
        <w:t>固体废物主要为选矿产生的尾矿、除尘系统收集的粉尘、废机油及少量的生活垃圾。</w:t>
      </w:r>
    </w:p>
    <w:p>
      <w:pPr>
        <w:pStyle w:val="62"/>
        <w:ind w:firstLine="480"/>
        <w:rPr>
          <w:rFonts w:hAnsi="宋体"/>
          <w:highlight w:val="none"/>
        </w:rPr>
      </w:pPr>
      <w:r>
        <w:rPr>
          <w:rFonts w:hint="eastAsia" w:hAnsi="宋体"/>
          <w:highlight w:val="none"/>
        </w:rPr>
        <w:t>1、</w:t>
      </w:r>
      <w:r>
        <w:rPr>
          <w:rFonts w:hAnsi="宋体"/>
          <w:highlight w:val="none"/>
        </w:rPr>
        <w:t>尾矿</w:t>
      </w:r>
    </w:p>
    <w:p>
      <w:pPr>
        <w:pStyle w:val="62"/>
        <w:ind w:firstLine="480"/>
        <w:rPr>
          <w:rFonts w:hAnsi="宋体"/>
          <w:highlight w:val="none"/>
        </w:rPr>
      </w:pPr>
      <w:r>
        <w:rPr>
          <w:rFonts w:hAnsi="宋体"/>
          <w:highlight w:val="none"/>
        </w:rPr>
        <w:t>本项目选矿过程年产生尾矿为</w:t>
      </w:r>
      <w:r>
        <w:rPr>
          <w:rFonts w:hint="eastAsia" w:hAnsi="宋体"/>
          <w:highlight w:val="none"/>
        </w:rPr>
        <w:t>21.21</w:t>
      </w:r>
      <w:r>
        <w:rPr>
          <w:rFonts w:hAnsi="宋体"/>
          <w:highlight w:val="none"/>
        </w:rPr>
        <w:t>万吨，其中</w:t>
      </w:r>
      <w:r>
        <w:rPr>
          <w:rFonts w:hint="eastAsia" w:hAnsi="宋体"/>
          <w:highlight w:val="none"/>
        </w:rPr>
        <w:t>废石19.8</w:t>
      </w:r>
      <w:r>
        <w:rPr>
          <w:rFonts w:hAnsi="宋体"/>
          <w:highlight w:val="none"/>
        </w:rPr>
        <w:t>万吨、粗砂</w:t>
      </w:r>
      <w:r>
        <w:rPr>
          <w:rFonts w:hint="eastAsia" w:hAnsi="宋体"/>
          <w:highlight w:val="none"/>
        </w:rPr>
        <w:t>1.11</w:t>
      </w:r>
      <w:r>
        <w:rPr>
          <w:rFonts w:hAnsi="宋体"/>
          <w:highlight w:val="none"/>
        </w:rPr>
        <w:t>万吨、尾砂</w:t>
      </w:r>
      <w:r>
        <w:rPr>
          <w:rFonts w:hint="eastAsia" w:hAnsi="宋体"/>
          <w:highlight w:val="none"/>
        </w:rPr>
        <w:t>0.3</w:t>
      </w:r>
      <w:r>
        <w:rPr>
          <w:rFonts w:hAnsi="宋体"/>
          <w:highlight w:val="none"/>
        </w:rPr>
        <w:t>万吨，</w:t>
      </w:r>
      <w:r>
        <w:rPr>
          <w:rFonts w:hint="eastAsia" w:hAnsi="宋体"/>
          <w:highlight w:val="none"/>
        </w:rPr>
        <w:t>废石</w:t>
      </w:r>
      <w:r>
        <w:rPr>
          <w:rFonts w:hAnsi="宋体"/>
          <w:highlight w:val="none"/>
        </w:rPr>
        <w:t>及粗砂</w:t>
      </w:r>
      <w:r>
        <w:rPr>
          <w:rFonts w:hint="eastAsia" w:hAnsi="宋体"/>
          <w:highlight w:val="none"/>
        </w:rPr>
        <w:t>在废石库内暂存后</w:t>
      </w:r>
      <w:r>
        <w:rPr>
          <w:rFonts w:hAnsi="宋体"/>
          <w:highlight w:val="none"/>
        </w:rPr>
        <w:t>外售综合利用。尾砂</w:t>
      </w:r>
      <w:r>
        <w:rPr>
          <w:rFonts w:hint="eastAsia" w:hAnsi="宋体"/>
          <w:highlight w:val="none"/>
        </w:rPr>
        <w:t>置于</w:t>
      </w:r>
      <w:r>
        <w:rPr>
          <w:rFonts w:hAnsi="宋体"/>
          <w:highlight w:val="none"/>
        </w:rPr>
        <w:t>尾矿库填埋</w:t>
      </w:r>
      <w:r>
        <w:rPr>
          <w:rFonts w:hint="eastAsia" w:hAnsi="宋体"/>
          <w:highlight w:val="none"/>
        </w:rPr>
        <w:t>；</w:t>
      </w:r>
      <w:r>
        <w:rPr>
          <w:rFonts w:hAnsi="宋体"/>
          <w:highlight w:val="none"/>
        </w:rPr>
        <w:t>粗砂综合利用途径不畅时，置于尾矿库内合理堆存。</w:t>
      </w:r>
    </w:p>
    <w:p>
      <w:pPr>
        <w:pStyle w:val="62"/>
        <w:ind w:firstLine="480"/>
        <w:rPr>
          <w:rFonts w:hAnsi="宋体"/>
          <w:highlight w:val="none"/>
        </w:rPr>
      </w:pPr>
      <w:r>
        <w:rPr>
          <w:rFonts w:hint="eastAsia" w:hAnsi="宋体"/>
          <w:highlight w:val="none"/>
        </w:rPr>
        <w:t>2、</w:t>
      </w:r>
      <w:r>
        <w:rPr>
          <w:rFonts w:hAnsi="宋体"/>
          <w:highlight w:val="none"/>
        </w:rPr>
        <w:t>除尘系统收集的粉尘</w:t>
      </w:r>
    </w:p>
    <w:p>
      <w:pPr>
        <w:pStyle w:val="62"/>
        <w:ind w:firstLine="480"/>
        <w:rPr>
          <w:rFonts w:hAnsi="宋体"/>
          <w:highlight w:val="none"/>
        </w:rPr>
      </w:pPr>
      <w:r>
        <w:rPr>
          <w:rFonts w:hAnsi="宋体"/>
          <w:highlight w:val="none"/>
        </w:rPr>
        <w:t>此粉尘均为不同粒度的矿石粉尘约307.8t/a，环评要求作为原料回用于生产。</w:t>
      </w:r>
    </w:p>
    <w:p>
      <w:pPr>
        <w:pStyle w:val="62"/>
        <w:ind w:firstLine="480"/>
        <w:rPr>
          <w:rFonts w:hAnsi="宋体"/>
          <w:highlight w:val="none"/>
        </w:rPr>
      </w:pPr>
      <w:r>
        <w:rPr>
          <w:rFonts w:hint="eastAsia" w:hAnsi="宋体"/>
          <w:highlight w:val="none"/>
        </w:rPr>
        <w:t>3、</w:t>
      </w:r>
      <w:r>
        <w:rPr>
          <w:rFonts w:hAnsi="宋体"/>
          <w:highlight w:val="none"/>
        </w:rPr>
        <w:t>生活垃圾</w:t>
      </w:r>
    </w:p>
    <w:p>
      <w:pPr>
        <w:pStyle w:val="62"/>
        <w:ind w:firstLine="480"/>
        <w:rPr>
          <w:rFonts w:hAnsi="宋体"/>
          <w:highlight w:val="none"/>
        </w:rPr>
      </w:pPr>
      <w:r>
        <w:rPr>
          <w:rFonts w:hAnsi="宋体"/>
          <w:highlight w:val="none"/>
        </w:rPr>
        <w:t>生活垃圾按每人每天0.5kg算，项目劳动定员15人，年工作300天，则生活垃圾产生量为2.25吨，生活垃圾厂内收集后由环卫部门定期清运。</w:t>
      </w:r>
    </w:p>
    <w:p>
      <w:pPr>
        <w:pStyle w:val="62"/>
        <w:ind w:firstLine="480"/>
        <w:rPr>
          <w:rFonts w:hAnsi="宋体"/>
          <w:highlight w:val="none"/>
        </w:rPr>
      </w:pPr>
      <w:r>
        <w:rPr>
          <w:rFonts w:hint="eastAsia" w:hAnsi="宋体"/>
          <w:highlight w:val="none"/>
        </w:rPr>
        <w:t>4、</w:t>
      </w:r>
      <w:r>
        <w:rPr>
          <w:rFonts w:hAnsi="宋体"/>
          <w:highlight w:val="none"/>
        </w:rPr>
        <w:t>废机油</w:t>
      </w:r>
    </w:p>
    <w:p>
      <w:pPr>
        <w:pStyle w:val="62"/>
        <w:ind w:firstLine="480"/>
        <w:rPr>
          <w:rFonts w:hAnsi="宋体"/>
          <w:highlight w:val="none"/>
        </w:rPr>
      </w:pPr>
      <w:r>
        <w:rPr>
          <w:rFonts w:hint="eastAsia" w:hAnsi="宋体"/>
          <w:highlight w:val="none"/>
        </w:rPr>
        <w:t>本项目检修产生废棉纱、手套约0.1t/a，废机油产生量约为0.5t/a。</w:t>
      </w:r>
      <w:r>
        <w:rPr>
          <w:rFonts w:hAnsi="宋体"/>
          <w:highlight w:val="none"/>
        </w:rPr>
        <w:t>废机油属于危险废物，废物类别为HW08。厂区设1间</w:t>
      </w:r>
      <w:r>
        <w:rPr>
          <w:rFonts w:hint="eastAsia" w:hAnsi="宋体"/>
          <w:highlight w:val="none"/>
        </w:rPr>
        <w:t>10</w:t>
      </w:r>
      <w:r>
        <w:rPr>
          <w:rFonts w:hAnsi="宋体"/>
          <w:highlight w:val="none"/>
        </w:rPr>
        <w:t>m</w:t>
      </w:r>
      <w:r>
        <w:rPr>
          <w:rFonts w:hAnsi="宋体"/>
          <w:highlight w:val="none"/>
          <w:vertAlign w:val="superscript"/>
        </w:rPr>
        <w:t>2</w:t>
      </w:r>
      <w:r>
        <w:rPr>
          <w:rFonts w:hAnsi="宋体"/>
          <w:highlight w:val="none"/>
        </w:rPr>
        <w:t>危废暂存间，危废暂存间暂存，委托有危险废物处理资质的单位处置。</w:t>
      </w:r>
    </w:p>
    <w:p>
      <w:pPr>
        <w:pStyle w:val="62"/>
        <w:ind w:firstLine="480"/>
        <w:rPr>
          <w:rFonts w:hAnsi="宋体"/>
          <w:highlight w:val="none"/>
        </w:rPr>
      </w:pPr>
      <w:r>
        <w:rPr>
          <w:rFonts w:hAnsi="宋体"/>
          <w:highlight w:val="none"/>
        </w:rPr>
        <w:t>统计以上固体废物产生及排放情况见表3</w:t>
      </w:r>
      <w:r>
        <w:rPr>
          <w:rFonts w:hint="eastAsia" w:hAnsi="宋体"/>
          <w:highlight w:val="none"/>
        </w:rPr>
        <w:t>.5</w:t>
      </w:r>
      <w:r>
        <w:rPr>
          <w:rFonts w:hAnsi="宋体"/>
          <w:highlight w:val="none"/>
        </w:rPr>
        <w:t>-</w:t>
      </w:r>
      <w:r>
        <w:rPr>
          <w:rFonts w:hint="eastAsia" w:hAnsi="宋体"/>
          <w:highlight w:val="none"/>
        </w:rPr>
        <w:t>3</w:t>
      </w:r>
      <w:r>
        <w:rPr>
          <w:rFonts w:hAnsi="宋体"/>
          <w:highlight w:val="none"/>
        </w:rPr>
        <w:t>。</w:t>
      </w:r>
    </w:p>
    <w:p>
      <w:pPr>
        <w:pStyle w:val="65"/>
        <w:rPr>
          <w:rFonts w:hAnsi="宋体"/>
          <w:highlight w:val="none"/>
        </w:rPr>
      </w:pPr>
      <w:r>
        <w:rPr>
          <w:rFonts w:hAnsi="宋体"/>
          <w:highlight w:val="none"/>
        </w:rPr>
        <w:t>表3</w:t>
      </w:r>
      <w:r>
        <w:rPr>
          <w:rFonts w:hint="eastAsia" w:hAnsi="宋体"/>
          <w:highlight w:val="none"/>
        </w:rPr>
        <w:t>.5</w:t>
      </w:r>
      <w:r>
        <w:rPr>
          <w:rFonts w:hAnsi="宋体"/>
          <w:highlight w:val="none"/>
        </w:rPr>
        <w:t>-</w:t>
      </w:r>
      <w:r>
        <w:rPr>
          <w:rFonts w:hint="eastAsia" w:hAnsi="宋体"/>
          <w:highlight w:val="none"/>
        </w:rPr>
        <w:t xml:space="preserve">3  </w:t>
      </w:r>
      <w:r>
        <w:rPr>
          <w:rFonts w:hAnsi="宋体"/>
          <w:highlight w:val="none"/>
        </w:rPr>
        <w:t>固体废物产生及处置情况表</w:t>
      </w:r>
    </w:p>
    <w:p>
      <w:pPr>
        <w:spacing w:before="1" w:line="50" w:lineRule="exact"/>
        <w:ind w:firstLine="0" w:firstLineChars="0"/>
        <w:jc w:val="left"/>
        <w:rPr>
          <w:rFonts w:ascii="宋体" w:hAnsi="宋体"/>
          <w:kern w:val="0"/>
          <w:sz w:val="5"/>
          <w:szCs w:val="5"/>
          <w:highlight w:val="none"/>
        </w:rPr>
      </w:pPr>
    </w:p>
    <w:tbl>
      <w:tblPr>
        <w:tblStyle w:val="72"/>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911"/>
        <w:gridCol w:w="1057"/>
        <w:gridCol w:w="1857"/>
        <w:gridCol w:w="492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968" w:type="dxa"/>
            <w:gridSpan w:val="2"/>
            <w:vAlign w:val="center"/>
          </w:tcPr>
          <w:p>
            <w:pPr>
              <w:pStyle w:val="64"/>
              <w:widowControl w:val="0"/>
              <w:rPr>
                <w:rFonts w:hAnsi="宋体"/>
                <w:highlight w:val="none"/>
                <w:lang w:eastAsia="en-US"/>
              </w:rPr>
            </w:pPr>
            <w:r>
              <w:rPr>
                <w:rFonts w:hAnsi="宋体"/>
                <w:highlight w:val="none"/>
                <w:lang w:eastAsia="en-US"/>
              </w:rPr>
              <w:t>固废名称</w:t>
            </w:r>
          </w:p>
        </w:tc>
        <w:tc>
          <w:tcPr>
            <w:tcW w:w="1857" w:type="dxa"/>
            <w:vAlign w:val="center"/>
          </w:tcPr>
          <w:p>
            <w:pPr>
              <w:pStyle w:val="64"/>
              <w:widowControl w:val="0"/>
              <w:rPr>
                <w:rFonts w:hAnsi="宋体"/>
                <w:highlight w:val="none"/>
                <w:lang w:eastAsia="en-US"/>
              </w:rPr>
            </w:pPr>
            <w:r>
              <w:rPr>
                <w:rFonts w:hAnsi="宋体"/>
                <w:highlight w:val="none"/>
                <w:lang w:eastAsia="en-US"/>
              </w:rPr>
              <w:t>产生量（t/a）</w:t>
            </w:r>
          </w:p>
        </w:tc>
        <w:tc>
          <w:tcPr>
            <w:tcW w:w="4925" w:type="dxa"/>
            <w:vAlign w:val="center"/>
          </w:tcPr>
          <w:p>
            <w:pPr>
              <w:pStyle w:val="64"/>
              <w:widowControl w:val="0"/>
              <w:rPr>
                <w:rFonts w:hAnsi="宋体"/>
                <w:highlight w:val="none"/>
                <w:lang w:eastAsia="en-US"/>
              </w:rPr>
            </w:pPr>
            <w:r>
              <w:rPr>
                <w:rFonts w:hAnsi="宋体"/>
                <w:highlight w:val="none"/>
                <w:lang w:eastAsia="en-US"/>
              </w:rPr>
              <w:t>治理措施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1" w:type="dxa"/>
            <w:vMerge w:val="restart"/>
            <w:vAlign w:val="center"/>
          </w:tcPr>
          <w:p>
            <w:pPr>
              <w:pStyle w:val="64"/>
              <w:widowControl w:val="0"/>
              <w:rPr>
                <w:rFonts w:hAnsi="宋体"/>
                <w:highlight w:val="none"/>
                <w:lang w:eastAsia="en-US"/>
              </w:rPr>
            </w:pPr>
            <w:r>
              <w:rPr>
                <w:rFonts w:hAnsi="宋体"/>
                <w:highlight w:val="none"/>
                <w:lang w:eastAsia="en-US"/>
              </w:rPr>
              <w:t>尾矿</w:t>
            </w:r>
          </w:p>
        </w:tc>
        <w:tc>
          <w:tcPr>
            <w:tcW w:w="1057" w:type="dxa"/>
            <w:vAlign w:val="center"/>
          </w:tcPr>
          <w:p>
            <w:pPr>
              <w:pStyle w:val="64"/>
              <w:widowControl w:val="0"/>
              <w:rPr>
                <w:rFonts w:hAnsi="宋体"/>
                <w:highlight w:val="none"/>
                <w:lang w:eastAsia="en-US"/>
              </w:rPr>
            </w:pPr>
            <w:r>
              <w:rPr>
                <w:rFonts w:hint="eastAsia" w:hAnsi="宋体"/>
                <w:highlight w:val="none"/>
                <w:lang w:eastAsia="en-US"/>
              </w:rPr>
              <w:t>废石</w:t>
            </w:r>
          </w:p>
        </w:tc>
        <w:tc>
          <w:tcPr>
            <w:tcW w:w="1857" w:type="dxa"/>
            <w:vAlign w:val="center"/>
          </w:tcPr>
          <w:p>
            <w:pPr>
              <w:pStyle w:val="64"/>
              <w:widowControl w:val="0"/>
              <w:rPr>
                <w:rFonts w:hAnsi="宋体"/>
                <w:highlight w:val="none"/>
                <w:lang w:eastAsia="en-US"/>
              </w:rPr>
            </w:pPr>
            <w:r>
              <w:rPr>
                <w:rFonts w:hint="eastAsia" w:hAnsi="宋体"/>
                <w:highlight w:val="none"/>
                <w:lang w:eastAsia="en-US"/>
              </w:rPr>
              <w:t>19.8</w:t>
            </w:r>
            <w:r>
              <w:rPr>
                <w:rFonts w:hAnsi="宋体"/>
                <w:highlight w:val="none"/>
                <w:lang w:eastAsia="en-US"/>
              </w:rPr>
              <w:t>万</w:t>
            </w:r>
          </w:p>
        </w:tc>
        <w:tc>
          <w:tcPr>
            <w:tcW w:w="4925" w:type="dxa"/>
            <w:vMerge w:val="restart"/>
            <w:vAlign w:val="center"/>
          </w:tcPr>
          <w:p>
            <w:pPr>
              <w:pStyle w:val="64"/>
              <w:widowControl w:val="0"/>
              <w:rPr>
                <w:rFonts w:hAnsi="宋体"/>
                <w:highlight w:val="none"/>
                <w:lang w:eastAsia="zh-CN"/>
              </w:rPr>
            </w:pPr>
            <w:r>
              <w:rPr>
                <w:rFonts w:hint="eastAsia" w:hAnsi="宋体"/>
                <w:highlight w:val="none"/>
                <w:lang w:eastAsia="zh-CN"/>
              </w:rPr>
              <w:t>在废石库暂存后，</w:t>
            </w:r>
            <w:r>
              <w:rPr>
                <w:rFonts w:hAnsi="宋体"/>
                <w:highlight w:val="none"/>
                <w:lang w:eastAsia="zh-CN"/>
              </w:rPr>
              <w:t>外售综合利用，销路不畅时送选厂</w:t>
            </w:r>
            <w:r>
              <w:rPr>
                <w:rFonts w:hint="eastAsia" w:hAnsi="宋体"/>
                <w:highlight w:val="none"/>
                <w:lang w:eastAsia="zh-CN"/>
              </w:rPr>
              <w:t>东</w:t>
            </w:r>
            <w:r>
              <w:rPr>
                <w:rFonts w:hAnsi="宋体"/>
                <w:highlight w:val="none"/>
                <w:lang w:eastAsia="zh-CN"/>
              </w:rPr>
              <w:t>侧尾矿库堆存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911" w:type="dxa"/>
            <w:vMerge w:val="continue"/>
            <w:vAlign w:val="center"/>
          </w:tcPr>
          <w:p>
            <w:pPr>
              <w:pStyle w:val="64"/>
              <w:widowControl w:val="0"/>
              <w:rPr>
                <w:rFonts w:hAnsi="宋体"/>
                <w:highlight w:val="none"/>
                <w:lang w:eastAsia="zh-CN"/>
              </w:rPr>
            </w:pPr>
          </w:p>
        </w:tc>
        <w:tc>
          <w:tcPr>
            <w:tcW w:w="1057" w:type="dxa"/>
            <w:vAlign w:val="center"/>
          </w:tcPr>
          <w:p>
            <w:pPr>
              <w:pStyle w:val="64"/>
              <w:widowControl w:val="0"/>
              <w:rPr>
                <w:rFonts w:hAnsi="宋体"/>
                <w:highlight w:val="none"/>
                <w:lang w:eastAsia="en-US"/>
              </w:rPr>
            </w:pPr>
            <w:r>
              <w:rPr>
                <w:rFonts w:hAnsi="宋体"/>
                <w:highlight w:val="none"/>
                <w:lang w:eastAsia="en-US"/>
              </w:rPr>
              <w:t>粗砂</w:t>
            </w:r>
          </w:p>
        </w:tc>
        <w:tc>
          <w:tcPr>
            <w:tcW w:w="1857" w:type="dxa"/>
            <w:vAlign w:val="center"/>
          </w:tcPr>
          <w:p>
            <w:pPr>
              <w:pStyle w:val="64"/>
              <w:widowControl w:val="0"/>
              <w:rPr>
                <w:rFonts w:hAnsi="宋体"/>
                <w:highlight w:val="none"/>
                <w:lang w:eastAsia="en-US"/>
              </w:rPr>
            </w:pPr>
            <w:r>
              <w:rPr>
                <w:rFonts w:hint="eastAsia" w:hAnsi="宋体"/>
                <w:highlight w:val="none"/>
                <w:lang w:eastAsia="en-US"/>
              </w:rPr>
              <w:t>1.11</w:t>
            </w:r>
            <w:r>
              <w:rPr>
                <w:rFonts w:hAnsi="宋体"/>
                <w:highlight w:val="none"/>
                <w:lang w:eastAsia="en-US"/>
              </w:rPr>
              <w:t>万</w:t>
            </w:r>
          </w:p>
        </w:tc>
        <w:tc>
          <w:tcPr>
            <w:tcW w:w="4925" w:type="dxa"/>
            <w:vMerge w:val="continue"/>
            <w:vAlign w:val="center"/>
          </w:tcPr>
          <w:p>
            <w:pPr>
              <w:pStyle w:val="64"/>
              <w:widowControl w:val="0"/>
              <w:rPr>
                <w:rFonts w:hAnsi="宋体"/>
                <w:highlight w:val="none"/>
                <w:lang w:eastAsia="en-US"/>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911" w:type="dxa"/>
            <w:vMerge w:val="continue"/>
            <w:vAlign w:val="center"/>
          </w:tcPr>
          <w:p>
            <w:pPr>
              <w:pStyle w:val="64"/>
              <w:widowControl w:val="0"/>
              <w:rPr>
                <w:rFonts w:hAnsi="宋体"/>
                <w:highlight w:val="none"/>
                <w:lang w:eastAsia="en-US"/>
              </w:rPr>
            </w:pPr>
          </w:p>
        </w:tc>
        <w:tc>
          <w:tcPr>
            <w:tcW w:w="1057" w:type="dxa"/>
            <w:vAlign w:val="center"/>
          </w:tcPr>
          <w:p>
            <w:pPr>
              <w:pStyle w:val="64"/>
              <w:widowControl w:val="0"/>
              <w:rPr>
                <w:rFonts w:hAnsi="宋体"/>
                <w:highlight w:val="none"/>
                <w:lang w:eastAsia="en-US"/>
              </w:rPr>
            </w:pPr>
            <w:r>
              <w:rPr>
                <w:rFonts w:hAnsi="宋体"/>
                <w:highlight w:val="none"/>
                <w:lang w:eastAsia="en-US"/>
              </w:rPr>
              <w:t>尾砂</w:t>
            </w:r>
          </w:p>
        </w:tc>
        <w:tc>
          <w:tcPr>
            <w:tcW w:w="1857" w:type="dxa"/>
            <w:vAlign w:val="center"/>
          </w:tcPr>
          <w:p>
            <w:pPr>
              <w:pStyle w:val="64"/>
              <w:widowControl w:val="0"/>
              <w:rPr>
                <w:rFonts w:hAnsi="宋体"/>
                <w:highlight w:val="none"/>
                <w:lang w:eastAsia="en-US"/>
              </w:rPr>
            </w:pPr>
            <w:r>
              <w:rPr>
                <w:rFonts w:hint="eastAsia" w:hAnsi="宋体"/>
                <w:highlight w:val="none"/>
                <w:lang w:eastAsia="en-US"/>
              </w:rPr>
              <w:t>0.3</w:t>
            </w:r>
            <w:r>
              <w:rPr>
                <w:rFonts w:hAnsi="宋体"/>
                <w:highlight w:val="none"/>
                <w:lang w:eastAsia="en-US"/>
              </w:rPr>
              <w:t>万</w:t>
            </w:r>
          </w:p>
        </w:tc>
        <w:tc>
          <w:tcPr>
            <w:tcW w:w="4925" w:type="dxa"/>
            <w:vAlign w:val="center"/>
          </w:tcPr>
          <w:p>
            <w:pPr>
              <w:pStyle w:val="64"/>
              <w:widowControl w:val="0"/>
              <w:rPr>
                <w:rFonts w:hAnsi="宋体"/>
                <w:highlight w:val="none"/>
                <w:lang w:eastAsia="zh-CN"/>
              </w:rPr>
            </w:pPr>
            <w:r>
              <w:rPr>
                <w:rFonts w:hAnsi="宋体"/>
                <w:highlight w:val="none"/>
                <w:lang w:eastAsia="zh-CN"/>
              </w:rPr>
              <w:t>于</w:t>
            </w:r>
            <w:r>
              <w:rPr>
                <w:rFonts w:hint="eastAsia" w:hAnsi="宋体"/>
                <w:highlight w:val="none"/>
                <w:lang w:eastAsia="zh-CN"/>
              </w:rPr>
              <w:t>东</w:t>
            </w:r>
            <w:r>
              <w:rPr>
                <w:rFonts w:hAnsi="宋体"/>
                <w:highlight w:val="none"/>
                <w:lang w:eastAsia="zh-CN"/>
              </w:rPr>
              <w:t>侧</w:t>
            </w:r>
            <w:r>
              <w:rPr>
                <w:rFonts w:hint="eastAsia" w:hAnsi="宋体"/>
                <w:highlight w:val="none"/>
                <w:lang w:eastAsia="zh-CN"/>
              </w:rPr>
              <w:t>尾矿库</w:t>
            </w:r>
            <w:r>
              <w:rPr>
                <w:rFonts w:hAnsi="宋体"/>
                <w:highlight w:val="none"/>
                <w:lang w:eastAsia="zh-CN"/>
              </w:rPr>
              <w:t>合理堆存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968" w:type="dxa"/>
            <w:gridSpan w:val="2"/>
            <w:vAlign w:val="center"/>
          </w:tcPr>
          <w:p>
            <w:pPr>
              <w:pStyle w:val="64"/>
              <w:widowControl w:val="0"/>
              <w:rPr>
                <w:rFonts w:hAnsi="宋体"/>
                <w:highlight w:val="none"/>
                <w:lang w:eastAsia="en-US"/>
              </w:rPr>
            </w:pPr>
            <w:r>
              <w:rPr>
                <w:rFonts w:hAnsi="宋体"/>
                <w:highlight w:val="none"/>
                <w:lang w:eastAsia="en-US"/>
              </w:rPr>
              <w:t>除尘系统收集粉尘</w:t>
            </w:r>
          </w:p>
        </w:tc>
        <w:tc>
          <w:tcPr>
            <w:tcW w:w="1857" w:type="dxa"/>
            <w:vAlign w:val="center"/>
          </w:tcPr>
          <w:p>
            <w:pPr>
              <w:pStyle w:val="64"/>
              <w:widowControl w:val="0"/>
              <w:rPr>
                <w:rFonts w:hAnsi="宋体"/>
                <w:highlight w:val="none"/>
                <w:lang w:eastAsia="en-US"/>
              </w:rPr>
            </w:pPr>
            <w:r>
              <w:rPr>
                <w:rFonts w:hint="eastAsia" w:hAnsi="宋体"/>
                <w:highlight w:val="none"/>
                <w:lang w:eastAsia="en-US"/>
              </w:rPr>
              <w:t>307.8</w:t>
            </w:r>
          </w:p>
        </w:tc>
        <w:tc>
          <w:tcPr>
            <w:tcW w:w="4925" w:type="dxa"/>
            <w:vAlign w:val="center"/>
          </w:tcPr>
          <w:p>
            <w:pPr>
              <w:pStyle w:val="64"/>
              <w:widowControl w:val="0"/>
              <w:rPr>
                <w:rFonts w:hAnsi="宋体"/>
                <w:highlight w:val="none"/>
                <w:lang w:eastAsia="en-US"/>
              </w:rPr>
            </w:pPr>
            <w:r>
              <w:rPr>
                <w:rFonts w:hAnsi="宋体"/>
                <w:highlight w:val="none"/>
                <w:lang w:eastAsia="en-US"/>
              </w:rPr>
              <w:t>作为原料回用于生产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968" w:type="dxa"/>
            <w:gridSpan w:val="2"/>
            <w:vAlign w:val="center"/>
          </w:tcPr>
          <w:p>
            <w:pPr>
              <w:pStyle w:val="64"/>
              <w:widowControl w:val="0"/>
              <w:rPr>
                <w:rFonts w:hAnsi="宋体"/>
                <w:highlight w:val="none"/>
                <w:lang w:eastAsia="en-US"/>
              </w:rPr>
            </w:pPr>
            <w:r>
              <w:rPr>
                <w:rFonts w:hAnsi="宋体"/>
                <w:highlight w:val="none"/>
                <w:lang w:eastAsia="en-US"/>
              </w:rPr>
              <w:t>生活垃圾</w:t>
            </w:r>
          </w:p>
        </w:tc>
        <w:tc>
          <w:tcPr>
            <w:tcW w:w="1857" w:type="dxa"/>
            <w:vAlign w:val="center"/>
          </w:tcPr>
          <w:p>
            <w:pPr>
              <w:pStyle w:val="64"/>
              <w:widowControl w:val="0"/>
              <w:rPr>
                <w:rFonts w:hAnsi="宋体"/>
                <w:highlight w:val="none"/>
                <w:lang w:eastAsia="en-US"/>
              </w:rPr>
            </w:pPr>
            <w:r>
              <w:rPr>
                <w:rFonts w:hAnsi="宋体"/>
                <w:highlight w:val="none"/>
                <w:lang w:eastAsia="en-US"/>
              </w:rPr>
              <w:t>2.25</w:t>
            </w:r>
          </w:p>
        </w:tc>
        <w:tc>
          <w:tcPr>
            <w:tcW w:w="4925" w:type="dxa"/>
            <w:vAlign w:val="center"/>
          </w:tcPr>
          <w:p>
            <w:pPr>
              <w:pStyle w:val="64"/>
              <w:widowControl w:val="0"/>
              <w:rPr>
                <w:rFonts w:hAnsi="宋体"/>
                <w:highlight w:val="none"/>
                <w:lang w:eastAsia="zh-CN"/>
              </w:rPr>
            </w:pPr>
            <w:r>
              <w:rPr>
                <w:rFonts w:hAnsi="宋体"/>
                <w:highlight w:val="none"/>
                <w:lang w:eastAsia="zh-CN"/>
              </w:rPr>
              <w:t>厂内收集后，由当地环卫部门定期清运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968" w:type="dxa"/>
            <w:gridSpan w:val="2"/>
            <w:vAlign w:val="center"/>
          </w:tcPr>
          <w:p>
            <w:pPr>
              <w:pStyle w:val="64"/>
              <w:widowControl w:val="0"/>
              <w:rPr>
                <w:rFonts w:hAnsi="宋体"/>
                <w:highlight w:val="none"/>
                <w:lang w:eastAsia="en-US"/>
              </w:rPr>
            </w:pPr>
            <w:r>
              <w:rPr>
                <w:rFonts w:hAnsi="宋体"/>
                <w:highlight w:val="none"/>
                <w:lang w:eastAsia="en-US"/>
              </w:rPr>
              <w:t>废机油</w:t>
            </w:r>
          </w:p>
        </w:tc>
        <w:tc>
          <w:tcPr>
            <w:tcW w:w="1857" w:type="dxa"/>
            <w:vAlign w:val="center"/>
          </w:tcPr>
          <w:p>
            <w:pPr>
              <w:pStyle w:val="64"/>
              <w:widowControl w:val="0"/>
              <w:rPr>
                <w:rFonts w:hAnsi="宋体"/>
                <w:highlight w:val="none"/>
                <w:lang w:eastAsia="en-US"/>
              </w:rPr>
            </w:pPr>
            <w:r>
              <w:rPr>
                <w:rFonts w:hAnsi="宋体"/>
                <w:highlight w:val="none"/>
                <w:lang w:eastAsia="en-US"/>
              </w:rPr>
              <w:t>0.</w:t>
            </w:r>
            <w:r>
              <w:rPr>
                <w:rFonts w:hint="eastAsia" w:hAnsi="宋体"/>
                <w:highlight w:val="none"/>
                <w:lang w:eastAsia="en-US"/>
              </w:rPr>
              <w:t>5</w:t>
            </w:r>
          </w:p>
        </w:tc>
        <w:tc>
          <w:tcPr>
            <w:tcW w:w="4925" w:type="dxa"/>
            <w:vMerge w:val="restart"/>
            <w:vAlign w:val="center"/>
          </w:tcPr>
          <w:p>
            <w:pPr>
              <w:pStyle w:val="64"/>
              <w:widowControl w:val="0"/>
              <w:rPr>
                <w:rFonts w:hAnsi="宋体"/>
                <w:highlight w:val="none"/>
                <w:lang w:eastAsia="zh-CN"/>
              </w:rPr>
            </w:pPr>
            <w:r>
              <w:rPr>
                <w:rFonts w:hAnsi="宋体"/>
                <w:highlight w:val="none"/>
                <w:lang w:eastAsia="zh-CN"/>
              </w:rPr>
              <w:t>危废暂存间暂存，委托有危险废物处理资质的单位</w:t>
            </w:r>
          </w:p>
          <w:p>
            <w:pPr>
              <w:pStyle w:val="64"/>
              <w:widowControl w:val="0"/>
              <w:rPr>
                <w:rFonts w:hAnsi="宋体"/>
                <w:highlight w:val="none"/>
                <w:lang w:eastAsia="en-US"/>
              </w:rPr>
            </w:pPr>
            <w:r>
              <w:rPr>
                <w:rFonts w:hAnsi="宋体"/>
                <w:highlight w:val="none"/>
                <w:lang w:eastAsia="en-US"/>
              </w:rPr>
              <w:t>处置。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968" w:type="dxa"/>
            <w:gridSpan w:val="2"/>
            <w:vAlign w:val="center"/>
          </w:tcPr>
          <w:p>
            <w:pPr>
              <w:pStyle w:val="64"/>
              <w:widowControl w:val="0"/>
              <w:rPr>
                <w:rFonts w:hAnsi="宋体"/>
                <w:highlight w:val="none"/>
                <w:lang w:eastAsia="en-US"/>
              </w:rPr>
            </w:pPr>
            <w:r>
              <w:rPr>
                <w:rFonts w:hint="eastAsia" w:hAnsi="宋体"/>
                <w:highlight w:val="none"/>
                <w:lang w:eastAsia="en-US"/>
              </w:rPr>
              <w:t>废棉纱手套</w:t>
            </w:r>
          </w:p>
        </w:tc>
        <w:tc>
          <w:tcPr>
            <w:tcW w:w="1857" w:type="dxa"/>
            <w:vAlign w:val="center"/>
          </w:tcPr>
          <w:p>
            <w:pPr>
              <w:pStyle w:val="64"/>
              <w:widowControl w:val="0"/>
              <w:rPr>
                <w:rFonts w:hAnsi="宋体"/>
                <w:highlight w:val="none"/>
                <w:lang w:eastAsia="en-US"/>
              </w:rPr>
            </w:pPr>
            <w:r>
              <w:rPr>
                <w:rFonts w:hint="eastAsia" w:hAnsi="宋体"/>
                <w:highlight w:val="none"/>
                <w:lang w:eastAsia="en-US"/>
              </w:rPr>
              <w:t>0.1</w:t>
            </w:r>
          </w:p>
        </w:tc>
        <w:tc>
          <w:tcPr>
            <w:tcW w:w="4925" w:type="dxa"/>
            <w:vMerge w:val="continue"/>
            <w:vAlign w:val="center"/>
          </w:tcPr>
          <w:p>
            <w:pPr>
              <w:pStyle w:val="64"/>
              <w:widowControl w:val="0"/>
              <w:rPr>
                <w:rFonts w:hAnsi="宋体"/>
                <w:highlight w:val="none"/>
                <w:lang w:eastAsia="en-US"/>
              </w:rPr>
            </w:pPr>
          </w:p>
        </w:tc>
      </w:tr>
    </w:tbl>
    <w:p>
      <w:pPr>
        <w:pStyle w:val="4"/>
        <w:ind w:firstLine="562"/>
        <w:rPr>
          <w:rFonts w:hAnsi="宋体"/>
          <w:highlight w:val="none"/>
        </w:rPr>
      </w:pPr>
      <w:r>
        <w:rPr>
          <w:rFonts w:hAnsi="宋体"/>
          <w:highlight w:val="none"/>
        </w:rPr>
        <w:t>3.5.4噪声源强</w:t>
      </w:r>
    </w:p>
    <w:p>
      <w:pPr>
        <w:pStyle w:val="62"/>
        <w:ind w:firstLine="480"/>
        <w:rPr>
          <w:rFonts w:hAnsi="宋体"/>
          <w:highlight w:val="none"/>
        </w:rPr>
      </w:pPr>
      <w:r>
        <w:rPr>
          <w:rStyle w:val="63"/>
          <w:rFonts w:hAnsi="宋体"/>
          <w:highlight w:val="none"/>
        </w:rPr>
        <w:t>厂区高噪主要为设备噪声等。主要高声压级设备声压级见表</w:t>
      </w:r>
      <w:r>
        <w:rPr>
          <w:rFonts w:hAnsi="宋体"/>
          <w:highlight w:val="none"/>
        </w:rPr>
        <w:t>3</w:t>
      </w:r>
      <w:r>
        <w:rPr>
          <w:rFonts w:hint="eastAsia" w:hAnsi="宋体"/>
          <w:highlight w:val="none"/>
        </w:rPr>
        <w:t>.5</w:t>
      </w:r>
      <w:r>
        <w:rPr>
          <w:rFonts w:hAnsi="宋体"/>
          <w:highlight w:val="none"/>
        </w:rPr>
        <w:t>-</w:t>
      </w:r>
      <w:r>
        <w:rPr>
          <w:rFonts w:hint="eastAsia" w:hAnsi="宋体"/>
          <w:highlight w:val="none"/>
        </w:rPr>
        <w:t>4</w:t>
      </w:r>
      <w:r>
        <w:rPr>
          <w:rStyle w:val="63"/>
          <w:rFonts w:hAnsi="宋体"/>
          <w:highlight w:val="none"/>
        </w:rPr>
        <w:t>。</w:t>
      </w:r>
    </w:p>
    <w:p>
      <w:pPr>
        <w:pStyle w:val="65"/>
        <w:rPr>
          <w:rFonts w:hAnsi="宋体"/>
          <w:highlight w:val="none"/>
        </w:rPr>
      </w:pPr>
      <w:r>
        <w:rPr>
          <w:rFonts w:hAnsi="宋体"/>
          <w:highlight w:val="none"/>
        </w:rPr>
        <w:t>表3</w:t>
      </w:r>
      <w:r>
        <w:rPr>
          <w:rFonts w:hint="eastAsia" w:hAnsi="宋体"/>
          <w:highlight w:val="none"/>
        </w:rPr>
        <w:t>.5</w:t>
      </w:r>
      <w:r>
        <w:rPr>
          <w:rFonts w:hAnsi="宋体"/>
          <w:highlight w:val="none"/>
        </w:rPr>
        <w:t>-</w:t>
      </w:r>
      <w:r>
        <w:rPr>
          <w:rFonts w:hint="eastAsia" w:hAnsi="宋体"/>
          <w:highlight w:val="none"/>
        </w:rPr>
        <w:t xml:space="preserve">4  </w:t>
      </w:r>
      <w:r>
        <w:rPr>
          <w:rFonts w:hAnsi="宋体"/>
          <w:highlight w:val="none"/>
        </w:rPr>
        <w:t>厂区主要设备声压级</w:t>
      </w:r>
      <w:r>
        <w:rPr>
          <w:rFonts w:hint="eastAsia" w:hAnsi="宋体"/>
          <w:highlight w:val="none"/>
        </w:rPr>
        <w:t xml:space="preserve">  </w:t>
      </w:r>
      <w:r>
        <w:rPr>
          <w:rFonts w:hAnsi="宋体"/>
          <w:highlight w:val="none"/>
        </w:rPr>
        <w:t>dB（A）</w:t>
      </w:r>
    </w:p>
    <w:tbl>
      <w:tblPr>
        <w:tblStyle w:val="44"/>
        <w:tblW w:w="90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85"/>
        <w:gridCol w:w="1842"/>
        <w:gridCol w:w="1701"/>
        <w:gridCol w:w="322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主要噪声设备</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治理前dB(A)</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治理后dB(A)</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防治措施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锥式</w:t>
            </w:r>
            <w:r>
              <w:rPr>
                <w:rFonts w:ascii="宋体" w:hAnsi="宋体"/>
                <w:sz w:val="21"/>
                <w:szCs w:val="21"/>
                <w:highlight w:val="none"/>
              </w:rPr>
              <w:t>破碎机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w:t>
            </w:r>
            <w:r>
              <w:rPr>
                <w:rFonts w:hint="eastAsia" w:ascii="宋体" w:hAnsi="宋体"/>
                <w:sz w:val="21"/>
                <w:szCs w:val="21"/>
                <w:highlight w:val="none"/>
              </w:rPr>
              <w:t>10</w:t>
            </w:r>
            <w:r>
              <w:rPr>
                <w:rFonts w:ascii="宋体" w:hAnsi="宋体"/>
                <w:sz w:val="21"/>
                <w:szCs w:val="21"/>
                <w:highlight w:val="none"/>
              </w:rPr>
              <w:t>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70</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颚式破碎机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9</w:t>
            </w:r>
            <w:r>
              <w:rPr>
                <w:rFonts w:ascii="宋体" w:hAnsi="宋体"/>
                <w:sz w:val="21"/>
                <w:szCs w:val="21"/>
                <w:highlight w:val="none"/>
              </w:rPr>
              <w:t>0~</w:t>
            </w:r>
            <w:r>
              <w:rPr>
                <w:rFonts w:hint="eastAsia" w:ascii="宋体" w:hAnsi="宋体"/>
                <w:sz w:val="21"/>
                <w:szCs w:val="21"/>
                <w:highlight w:val="none"/>
              </w:rPr>
              <w:t>110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8</w:t>
            </w:r>
            <w:r>
              <w:rPr>
                <w:rFonts w:ascii="宋体" w:hAnsi="宋体"/>
                <w:sz w:val="21"/>
                <w:szCs w:val="21"/>
                <w:highlight w:val="none"/>
              </w:rPr>
              <w:t>0</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分级</w:t>
            </w:r>
            <w:r>
              <w:rPr>
                <w:rFonts w:ascii="宋体" w:hAnsi="宋体"/>
                <w:sz w:val="21"/>
                <w:szCs w:val="21"/>
                <w:highlight w:val="none"/>
              </w:rPr>
              <w:t>筛</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70~85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高</w:t>
            </w:r>
            <w:r>
              <w:rPr>
                <w:rFonts w:ascii="宋体" w:hAnsi="宋体"/>
                <w:sz w:val="21"/>
                <w:szCs w:val="21"/>
                <w:highlight w:val="none"/>
              </w:rPr>
              <w:t>频筛</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70~95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65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强磁辊</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70~80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球磨机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w:t>
            </w:r>
            <w:r>
              <w:rPr>
                <w:rFonts w:hint="eastAsia" w:ascii="宋体" w:hAnsi="宋体"/>
                <w:sz w:val="21"/>
                <w:szCs w:val="21"/>
                <w:highlight w:val="none"/>
              </w:rPr>
              <w:t>9</w:t>
            </w:r>
            <w:r>
              <w:rPr>
                <w:rFonts w:ascii="宋体" w:hAnsi="宋体"/>
                <w:sz w:val="21"/>
                <w:szCs w:val="21"/>
                <w:highlight w:val="none"/>
              </w:rPr>
              <w:t>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60</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水</w:t>
            </w:r>
            <w:r>
              <w:rPr>
                <w:rFonts w:ascii="宋体" w:hAnsi="宋体"/>
                <w:sz w:val="21"/>
                <w:szCs w:val="21"/>
                <w:highlight w:val="none"/>
              </w:rPr>
              <w:t>泵</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w:t>
            </w:r>
            <w:r>
              <w:rPr>
                <w:rFonts w:hint="eastAsia" w:ascii="宋体" w:hAnsi="宋体"/>
                <w:sz w:val="21"/>
                <w:szCs w:val="21"/>
                <w:highlight w:val="none"/>
              </w:rPr>
              <w:t>85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bCs/>
                <w:sz w:val="21"/>
                <w:szCs w:val="21"/>
                <w:highlight w:val="none"/>
              </w:rPr>
              <w:t>干选机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bCs/>
                <w:sz w:val="21"/>
                <w:szCs w:val="21"/>
                <w:highlight w:val="none"/>
              </w:rPr>
              <w:t>65</w:t>
            </w:r>
            <w:r>
              <w:rPr>
                <w:rFonts w:ascii="宋体" w:hAnsi="宋体"/>
                <w:sz w:val="21"/>
                <w:szCs w:val="21"/>
                <w:highlight w:val="none"/>
              </w:rPr>
              <w:t>～</w:t>
            </w:r>
            <w:r>
              <w:rPr>
                <w:rFonts w:hint="eastAsia" w:ascii="宋体" w:hAnsi="宋体"/>
                <w:sz w:val="21"/>
                <w:szCs w:val="21"/>
                <w:highlight w:val="none"/>
              </w:rPr>
              <w:t>85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5</w:t>
            </w:r>
            <w:r>
              <w:rPr>
                <w:rFonts w:ascii="宋体" w:hAnsi="宋体"/>
                <w:sz w:val="21"/>
                <w:szCs w:val="21"/>
                <w:highlight w:val="none"/>
              </w:rPr>
              <w:t>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运输车辆</w:t>
            </w:r>
          </w:p>
        </w:tc>
        <w:tc>
          <w:tcPr>
            <w:tcW w:w="1842" w:type="dxa"/>
            <w:shd w:val="clear" w:color="auto" w:fill="auto"/>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70~80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减速慢行</w:t>
            </w:r>
            <w:r>
              <w:rPr>
                <w:rFonts w:ascii="宋体" w:hAnsi="宋体"/>
                <w:sz w:val="21"/>
                <w:szCs w:val="21"/>
                <w:highlight w:val="none"/>
              </w:rPr>
              <w:t>，禁止鸣笛</w:t>
            </w:r>
          </w:p>
        </w:tc>
      </w:tr>
      <w:bookmarkEnd w:id="130"/>
    </w:tbl>
    <w:p>
      <w:pPr>
        <w:pStyle w:val="4"/>
        <w:ind w:firstLine="562"/>
        <w:rPr>
          <w:rFonts w:hAnsi="宋体"/>
          <w:highlight w:val="none"/>
        </w:rPr>
      </w:pPr>
      <w:r>
        <w:rPr>
          <w:rFonts w:hAnsi="宋体"/>
          <w:highlight w:val="none"/>
        </w:rPr>
        <w:t>3.5.</w:t>
      </w:r>
      <w:r>
        <w:rPr>
          <w:rFonts w:hint="eastAsia" w:hAnsi="宋体"/>
          <w:highlight w:val="none"/>
        </w:rPr>
        <w:t>5</w:t>
      </w:r>
      <w:r>
        <w:rPr>
          <w:rFonts w:hAnsi="宋体"/>
          <w:highlight w:val="none"/>
        </w:rPr>
        <w:t>项目主要污染物产排放情况汇总</w:t>
      </w:r>
    </w:p>
    <w:p>
      <w:pPr>
        <w:pStyle w:val="62"/>
        <w:ind w:firstLine="480"/>
        <w:rPr>
          <w:rFonts w:hAnsi="宋体"/>
          <w:highlight w:val="none"/>
        </w:rPr>
      </w:pPr>
      <w:r>
        <w:rPr>
          <w:rFonts w:hAnsi="宋体"/>
          <w:highlight w:val="none"/>
        </w:rPr>
        <w:t>本项目主要污染物产排情况汇总见表3</w:t>
      </w:r>
      <w:r>
        <w:rPr>
          <w:rFonts w:hint="eastAsia" w:hAnsi="宋体"/>
          <w:highlight w:val="none"/>
        </w:rPr>
        <w:t>.5</w:t>
      </w:r>
      <w:r>
        <w:rPr>
          <w:rFonts w:hAnsi="宋体"/>
          <w:highlight w:val="none"/>
        </w:rPr>
        <w:t>-</w:t>
      </w:r>
      <w:r>
        <w:rPr>
          <w:rFonts w:hint="eastAsia" w:hAnsi="宋体"/>
          <w:highlight w:val="none"/>
        </w:rPr>
        <w:t>5</w:t>
      </w:r>
      <w:r>
        <w:rPr>
          <w:rFonts w:hAnsi="宋体"/>
          <w:highlight w:val="none"/>
        </w:rPr>
        <w:t>。</w:t>
      </w:r>
    </w:p>
    <w:p>
      <w:pPr>
        <w:widowControl/>
        <w:ind w:firstLine="480"/>
        <w:jc w:val="left"/>
        <w:rPr>
          <w:rFonts w:ascii="宋体" w:hAnsi="宋体"/>
          <w:highlight w:val="none"/>
        </w:rPr>
      </w:pPr>
    </w:p>
    <w:p>
      <w:pPr>
        <w:widowControl/>
        <w:ind w:firstLine="480"/>
        <w:jc w:val="left"/>
        <w:rPr>
          <w:rFonts w:ascii="宋体" w:hAnsi="宋体"/>
          <w:highlight w:val="none"/>
        </w:rPr>
      </w:pPr>
    </w:p>
    <w:p>
      <w:pPr>
        <w:widowControl/>
        <w:ind w:firstLine="480"/>
        <w:jc w:val="left"/>
        <w:rPr>
          <w:rFonts w:ascii="宋体" w:hAnsi="宋体"/>
          <w:highlight w:val="none"/>
        </w:rPr>
        <w:sectPr>
          <w:pgSz w:w="11906" w:h="16838"/>
          <w:pgMar w:top="1588" w:right="1588" w:bottom="1474" w:left="1588" w:header="850" w:footer="850" w:gutter="0"/>
          <w:pgBorders>
            <w:top w:val="none" w:sz="0" w:space="0"/>
            <w:left w:val="none" w:sz="0" w:space="0"/>
            <w:bottom w:val="none" w:sz="0" w:space="0"/>
            <w:right w:val="none" w:sz="0" w:space="0"/>
          </w:pgBorders>
          <w:cols w:space="720" w:num="1"/>
          <w:docGrid w:linePitch="326" w:charSpace="0"/>
        </w:sectPr>
      </w:pPr>
    </w:p>
    <w:p>
      <w:pPr>
        <w:pStyle w:val="65"/>
        <w:rPr>
          <w:rFonts w:hAnsi="宋体"/>
          <w:highlight w:val="none"/>
        </w:rPr>
      </w:pPr>
      <w:r>
        <w:rPr>
          <w:rFonts w:hAnsi="宋体"/>
          <w:highlight w:val="none"/>
        </w:rPr>
        <w:t>表3</w:t>
      </w:r>
      <w:r>
        <w:rPr>
          <w:rFonts w:hint="eastAsia" w:hAnsi="宋体"/>
          <w:highlight w:val="none"/>
        </w:rPr>
        <w:t>.5</w:t>
      </w:r>
      <w:r>
        <w:rPr>
          <w:rFonts w:hAnsi="宋体"/>
          <w:highlight w:val="none"/>
        </w:rPr>
        <w:t>-</w:t>
      </w:r>
      <w:r>
        <w:rPr>
          <w:rFonts w:hint="eastAsia" w:hAnsi="宋体"/>
          <w:highlight w:val="none"/>
        </w:rPr>
        <w:t xml:space="preserve">5 </w:t>
      </w:r>
      <w:r>
        <w:rPr>
          <w:rFonts w:hAnsi="宋体"/>
          <w:highlight w:val="none"/>
        </w:rPr>
        <w:t>本</w:t>
      </w:r>
      <w:r>
        <w:rPr>
          <w:rFonts w:hAnsi="宋体"/>
          <w:spacing w:val="2"/>
          <w:highlight w:val="none"/>
        </w:rPr>
        <w:t>项</w:t>
      </w:r>
      <w:r>
        <w:rPr>
          <w:rFonts w:hAnsi="宋体"/>
          <w:highlight w:val="none"/>
        </w:rPr>
        <w:t>目</w:t>
      </w:r>
      <w:r>
        <w:rPr>
          <w:rFonts w:hAnsi="宋体"/>
          <w:spacing w:val="2"/>
          <w:highlight w:val="none"/>
        </w:rPr>
        <w:t>主</w:t>
      </w:r>
      <w:r>
        <w:rPr>
          <w:rFonts w:hAnsi="宋体"/>
          <w:highlight w:val="none"/>
        </w:rPr>
        <w:t>要污</w:t>
      </w:r>
      <w:r>
        <w:rPr>
          <w:rFonts w:hAnsi="宋体"/>
          <w:spacing w:val="2"/>
          <w:highlight w:val="none"/>
        </w:rPr>
        <w:t>染</w:t>
      </w:r>
      <w:r>
        <w:rPr>
          <w:rFonts w:hAnsi="宋体"/>
          <w:highlight w:val="none"/>
        </w:rPr>
        <w:t>物</w:t>
      </w:r>
      <w:r>
        <w:rPr>
          <w:rFonts w:hAnsi="宋体"/>
          <w:spacing w:val="2"/>
          <w:highlight w:val="none"/>
        </w:rPr>
        <w:t>产</w:t>
      </w:r>
      <w:r>
        <w:rPr>
          <w:rFonts w:hAnsi="宋体"/>
          <w:highlight w:val="none"/>
        </w:rPr>
        <w:t>排情</w:t>
      </w:r>
      <w:r>
        <w:rPr>
          <w:rFonts w:hAnsi="宋体"/>
          <w:spacing w:val="2"/>
          <w:highlight w:val="none"/>
        </w:rPr>
        <w:t>况</w:t>
      </w:r>
      <w:r>
        <w:rPr>
          <w:rFonts w:hAnsi="宋体"/>
          <w:highlight w:val="none"/>
        </w:rPr>
        <w:t>汇总</w:t>
      </w:r>
    </w:p>
    <w:tbl>
      <w:tblPr>
        <w:tblStyle w:val="44"/>
        <w:tblW w:w="1399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890"/>
        <w:gridCol w:w="957"/>
        <w:gridCol w:w="999"/>
        <w:gridCol w:w="1094"/>
        <w:gridCol w:w="846"/>
        <w:gridCol w:w="846"/>
        <w:gridCol w:w="968"/>
        <w:gridCol w:w="4128"/>
        <w:gridCol w:w="842"/>
        <w:gridCol w:w="951"/>
        <w:gridCol w:w="83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restart"/>
            <w:vAlign w:val="center"/>
          </w:tcPr>
          <w:p>
            <w:pPr>
              <w:pStyle w:val="64"/>
              <w:rPr>
                <w:rFonts w:hAnsi="宋体"/>
                <w:highlight w:val="none"/>
              </w:rPr>
            </w:pPr>
            <w:r>
              <w:rPr>
                <w:rFonts w:hint="eastAsia" w:hAnsi="宋体"/>
                <w:highlight w:val="none"/>
              </w:rPr>
              <w:t>污染因素</w:t>
            </w:r>
          </w:p>
        </w:tc>
        <w:tc>
          <w:tcPr>
            <w:tcW w:w="1847" w:type="dxa"/>
            <w:gridSpan w:val="2"/>
            <w:vMerge w:val="restart"/>
            <w:vAlign w:val="center"/>
          </w:tcPr>
          <w:p>
            <w:pPr>
              <w:pStyle w:val="64"/>
              <w:rPr>
                <w:rFonts w:hAnsi="宋体"/>
                <w:highlight w:val="none"/>
              </w:rPr>
            </w:pPr>
            <w:r>
              <w:rPr>
                <w:rFonts w:hAnsi="宋体"/>
                <w:highlight w:val="none"/>
              </w:rPr>
              <w:t>污染源</w:t>
            </w:r>
          </w:p>
        </w:tc>
        <w:tc>
          <w:tcPr>
            <w:tcW w:w="999" w:type="dxa"/>
            <w:vAlign w:val="center"/>
          </w:tcPr>
          <w:p>
            <w:pPr>
              <w:pStyle w:val="64"/>
              <w:rPr>
                <w:rFonts w:hAnsi="宋体"/>
                <w:highlight w:val="none"/>
              </w:rPr>
            </w:pPr>
            <w:r>
              <w:rPr>
                <w:rFonts w:hAnsi="宋体"/>
                <w:highlight w:val="none"/>
              </w:rPr>
              <w:t>排放量</w:t>
            </w:r>
          </w:p>
        </w:tc>
        <w:tc>
          <w:tcPr>
            <w:tcW w:w="1094" w:type="dxa"/>
            <w:vAlign w:val="center"/>
          </w:tcPr>
          <w:p>
            <w:pPr>
              <w:pStyle w:val="64"/>
              <w:rPr>
                <w:rFonts w:hAnsi="宋体"/>
                <w:highlight w:val="none"/>
              </w:rPr>
            </w:pPr>
            <w:r>
              <w:rPr>
                <w:rFonts w:hAnsi="宋体"/>
                <w:highlight w:val="none"/>
              </w:rPr>
              <w:t>污染物</w:t>
            </w:r>
          </w:p>
        </w:tc>
        <w:tc>
          <w:tcPr>
            <w:tcW w:w="846" w:type="dxa"/>
            <w:vAlign w:val="center"/>
          </w:tcPr>
          <w:p>
            <w:pPr>
              <w:pStyle w:val="64"/>
              <w:rPr>
                <w:rFonts w:hAnsi="宋体"/>
                <w:highlight w:val="none"/>
              </w:rPr>
            </w:pPr>
            <w:r>
              <w:rPr>
                <w:rFonts w:hAnsi="宋体"/>
                <w:highlight w:val="none"/>
              </w:rPr>
              <w:t>产生浓度</w:t>
            </w:r>
          </w:p>
        </w:tc>
        <w:tc>
          <w:tcPr>
            <w:tcW w:w="846" w:type="dxa"/>
            <w:vAlign w:val="center"/>
          </w:tcPr>
          <w:p>
            <w:pPr>
              <w:pStyle w:val="64"/>
              <w:rPr>
                <w:rFonts w:hAnsi="宋体"/>
                <w:highlight w:val="none"/>
              </w:rPr>
            </w:pPr>
            <w:r>
              <w:rPr>
                <w:rFonts w:hAnsi="宋体"/>
                <w:highlight w:val="none"/>
              </w:rPr>
              <w:t>产生速率</w:t>
            </w:r>
          </w:p>
        </w:tc>
        <w:tc>
          <w:tcPr>
            <w:tcW w:w="968" w:type="dxa"/>
            <w:vAlign w:val="center"/>
          </w:tcPr>
          <w:p>
            <w:pPr>
              <w:pStyle w:val="64"/>
              <w:rPr>
                <w:rFonts w:hAnsi="宋体"/>
                <w:highlight w:val="none"/>
              </w:rPr>
            </w:pPr>
            <w:r>
              <w:rPr>
                <w:rFonts w:hAnsi="宋体"/>
                <w:highlight w:val="none"/>
              </w:rPr>
              <w:t>年产生量</w:t>
            </w:r>
          </w:p>
        </w:tc>
        <w:tc>
          <w:tcPr>
            <w:tcW w:w="4128" w:type="dxa"/>
            <w:vMerge w:val="restart"/>
            <w:vAlign w:val="center"/>
          </w:tcPr>
          <w:p>
            <w:pPr>
              <w:pStyle w:val="64"/>
              <w:rPr>
                <w:rFonts w:hAnsi="宋体"/>
                <w:highlight w:val="none"/>
              </w:rPr>
            </w:pPr>
            <w:r>
              <w:rPr>
                <w:rFonts w:hAnsi="宋体"/>
                <w:highlight w:val="none"/>
              </w:rPr>
              <w:t>治理措施</w:t>
            </w:r>
          </w:p>
        </w:tc>
        <w:tc>
          <w:tcPr>
            <w:tcW w:w="842" w:type="dxa"/>
            <w:vAlign w:val="center"/>
          </w:tcPr>
          <w:p>
            <w:pPr>
              <w:pStyle w:val="64"/>
              <w:rPr>
                <w:rFonts w:hAnsi="宋体"/>
                <w:highlight w:val="none"/>
              </w:rPr>
            </w:pPr>
            <w:r>
              <w:rPr>
                <w:rFonts w:hAnsi="宋体"/>
                <w:highlight w:val="none"/>
              </w:rPr>
              <w:t>排放浓度</w:t>
            </w:r>
          </w:p>
        </w:tc>
        <w:tc>
          <w:tcPr>
            <w:tcW w:w="951" w:type="dxa"/>
            <w:vAlign w:val="center"/>
          </w:tcPr>
          <w:p>
            <w:pPr>
              <w:pStyle w:val="64"/>
              <w:rPr>
                <w:rFonts w:hAnsi="宋体"/>
                <w:highlight w:val="none"/>
              </w:rPr>
            </w:pPr>
            <w:r>
              <w:rPr>
                <w:rFonts w:hAnsi="宋体"/>
                <w:highlight w:val="none"/>
              </w:rPr>
              <w:t>排放速率</w:t>
            </w:r>
          </w:p>
        </w:tc>
        <w:tc>
          <w:tcPr>
            <w:tcW w:w="834" w:type="dxa"/>
            <w:vAlign w:val="center"/>
          </w:tcPr>
          <w:p>
            <w:pPr>
              <w:pStyle w:val="64"/>
              <w:rPr>
                <w:rFonts w:hAnsi="宋体"/>
                <w:highlight w:val="none"/>
              </w:rPr>
            </w:pPr>
            <w:r>
              <w:rPr>
                <w:rFonts w:hAnsi="宋体"/>
                <w:highlight w:val="none"/>
              </w:rPr>
              <w:t>年排放量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Merge w:val="continue"/>
            <w:vAlign w:val="center"/>
          </w:tcPr>
          <w:p>
            <w:pPr>
              <w:pStyle w:val="64"/>
              <w:rPr>
                <w:rFonts w:hAnsi="宋体"/>
                <w:highlight w:val="none"/>
              </w:rPr>
            </w:pPr>
          </w:p>
        </w:tc>
        <w:tc>
          <w:tcPr>
            <w:tcW w:w="999" w:type="dxa"/>
            <w:vAlign w:val="center"/>
          </w:tcPr>
          <w:p>
            <w:pPr>
              <w:pStyle w:val="64"/>
              <w:rPr>
                <w:rFonts w:hAnsi="宋体"/>
                <w:highlight w:val="none"/>
              </w:rPr>
            </w:pPr>
            <w:r>
              <w:rPr>
                <w:rFonts w:hAnsi="宋体"/>
                <w:highlight w:val="none"/>
              </w:rPr>
              <w:t>m</w:t>
            </w:r>
            <w:r>
              <w:rPr>
                <w:rFonts w:hAnsi="宋体"/>
                <w:highlight w:val="none"/>
                <w:vertAlign w:val="superscript"/>
              </w:rPr>
              <w:t>3</w:t>
            </w:r>
            <w:r>
              <w:rPr>
                <w:rFonts w:hAnsi="宋体"/>
                <w:highlight w:val="none"/>
              </w:rPr>
              <w:t>/h</w:t>
            </w:r>
          </w:p>
        </w:tc>
        <w:tc>
          <w:tcPr>
            <w:tcW w:w="1094"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mg/m</w:t>
            </w:r>
            <w:r>
              <w:rPr>
                <w:rFonts w:hAnsi="宋体"/>
                <w:highlight w:val="none"/>
                <w:vertAlign w:val="superscript"/>
              </w:rPr>
              <w:t>3</w:t>
            </w:r>
          </w:p>
        </w:tc>
        <w:tc>
          <w:tcPr>
            <w:tcW w:w="846" w:type="dxa"/>
            <w:vAlign w:val="center"/>
          </w:tcPr>
          <w:p>
            <w:pPr>
              <w:pStyle w:val="64"/>
              <w:rPr>
                <w:rFonts w:hAnsi="宋体"/>
                <w:highlight w:val="none"/>
              </w:rPr>
            </w:pPr>
            <w:r>
              <w:rPr>
                <w:rFonts w:hAnsi="宋体"/>
                <w:highlight w:val="none"/>
              </w:rPr>
              <w:t>kg/h</w:t>
            </w:r>
          </w:p>
        </w:tc>
        <w:tc>
          <w:tcPr>
            <w:tcW w:w="968" w:type="dxa"/>
            <w:vAlign w:val="center"/>
          </w:tcPr>
          <w:p>
            <w:pPr>
              <w:pStyle w:val="64"/>
              <w:rPr>
                <w:rFonts w:hAnsi="宋体"/>
                <w:highlight w:val="none"/>
              </w:rPr>
            </w:pPr>
            <w:r>
              <w:rPr>
                <w:rFonts w:hAnsi="宋体"/>
                <w:highlight w:val="none"/>
              </w:rPr>
              <w:t>t/a</w:t>
            </w:r>
          </w:p>
        </w:tc>
        <w:tc>
          <w:tcPr>
            <w:tcW w:w="4128" w:type="dxa"/>
            <w:vMerge w:val="continue"/>
            <w:vAlign w:val="center"/>
          </w:tcPr>
          <w:p>
            <w:pPr>
              <w:pStyle w:val="64"/>
              <w:rPr>
                <w:rFonts w:hAnsi="宋体"/>
                <w:highlight w:val="none"/>
              </w:rPr>
            </w:pPr>
          </w:p>
        </w:tc>
        <w:tc>
          <w:tcPr>
            <w:tcW w:w="842" w:type="dxa"/>
            <w:vAlign w:val="center"/>
          </w:tcPr>
          <w:p>
            <w:pPr>
              <w:pStyle w:val="64"/>
              <w:rPr>
                <w:rFonts w:hAnsi="宋体"/>
                <w:highlight w:val="none"/>
              </w:rPr>
            </w:pPr>
            <w:r>
              <w:rPr>
                <w:rFonts w:hAnsi="宋体"/>
                <w:highlight w:val="none"/>
              </w:rPr>
              <w:t>mg/m</w:t>
            </w:r>
            <w:r>
              <w:rPr>
                <w:rFonts w:hAnsi="宋体"/>
                <w:highlight w:val="none"/>
                <w:vertAlign w:val="superscript"/>
              </w:rPr>
              <w:t>3</w:t>
            </w:r>
          </w:p>
        </w:tc>
        <w:tc>
          <w:tcPr>
            <w:tcW w:w="951" w:type="dxa"/>
            <w:vAlign w:val="center"/>
          </w:tcPr>
          <w:p>
            <w:pPr>
              <w:pStyle w:val="64"/>
              <w:rPr>
                <w:rFonts w:hAnsi="宋体"/>
                <w:highlight w:val="none"/>
              </w:rPr>
            </w:pPr>
            <w:r>
              <w:rPr>
                <w:rFonts w:hAnsi="宋体"/>
                <w:highlight w:val="none"/>
              </w:rPr>
              <w:t>kg/h</w:t>
            </w:r>
          </w:p>
        </w:tc>
        <w:tc>
          <w:tcPr>
            <w:tcW w:w="834" w:type="dxa"/>
            <w:vAlign w:val="center"/>
          </w:tcPr>
          <w:p>
            <w:pPr>
              <w:pStyle w:val="64"/>
              <w:rPr>
                <w:rFonts w:hAnsi="宋体"/>
                <w:highlight w:val="none"/>
              </w:rPr>
            </w:pPr>
            <w:r>
              <w:rPr>
                <w:rFonts w:hAnsi="宋体"/>
                <w:highlight w:val="none"/>
              </w:rPr>
              <w:t>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restart"/>
            <w:vAlign w:val="center"/>
          </w:tcPr>
          <w:p>
            <w:pPr>
              <w:pStyle w:val="64"/>
              <w:rPr>
                <w:rFonts w:hAnsi="宋体"/>
                <w:highlight w:val="none"/>
              </w:rPr>
            </w:pPr>
            <w:r>
              <w:rPr>
                <w:rFonts w:hint="eastAsia" w:hAnsi="宋体"/>
                <w:highlight w:val="none"/>
              </w:rPr>
              <w:t>大气环境</w:t>
            </w:r>
          </w:p>
        </w:tc>
        <w:tc>
          <w:tcPr>
            <w:tcW w:w="1847" w:type="dxa"/>
            <w:gridSpan w:val="2"/>
            <w:vAlign w:val="center"/>
          </w:tcPr>
          <w:p>
            <w:pPr>
              <w:pStyle w:val="64"/>
              <w:rPr>
                <w:rFonts w:hAnsi="宋体"/>
                <w:highlight w:val="none"/>
              </w:rPr>
            </w:pPr>
            <w:r>
              <w:rPr>
                <w:rFonts w:hAnsi="宋体"/>
                <w:highlight w:val="none"/>
              </w:rPr>
              <w:t>原</w:t>
            </w:r>
            <w:r>
              <w:rPr>
                <w:rFonts w:hint="eastAsia" w:hAnsi="宋体"/>
                <w:highlight w:val="none"/>
              </w:rPr>
              <w:t>料</w:t>
            </w:r>
            <w:r>
              <w:rPr>
                <w:rFonts w:hAnsi="宋体"/>
                <w:highlight w:val="none"/>
              </w:rPr>
              <w:t>库</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szCs w:val="22"/>
                <w:highlight w:val="none"/>
              </w:rPr>
            </w:pPr>
            <w:r>
              <w:rPr>
                <w:rFonts w:hAnsi="宋体"/>
                <w:highlight w:val="none"/>
              </w:rPr>
              <w:t>0.963</w:t>
            </w:r>
          </w:p>
        </w:tc>
        <w:tc>
          <w:tcPr>
            <w:tcW w:w="968" w:type="dxa"/>
            <w:vAlign w:val="center"/>
          </w:tcPr>
          <w:p>
            <w:pPr>
              <w:pStyle w:val="64"/>
              <w:rPr>
                <w:rFonts w:hAnsi="宋体"/>
                <w:highlight w:val="none"/>
              </w:rPr>
            </w:pPr>
            <w:r>
              <w:rPr>
                <w:rFonts w:hint="eastAsia" w:hAnsi="宋体"/>
                <w:highlight w:val="none"/>
              </w:rPr>
              <w:t>6.93</w:t>
            </w:r>
          </w:p>
        </w:tc>
        <w:tc>
          <w:tcPr>
            <w:tcW w:w="4128"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原</w:t>
            </w:r>
            <w:r>
              <w:rPr>
                <w:rFonts w:hAnsi="宋体"/>
                <w:spacing w:val="2"/>
                <w:highlight w:val="none"/>
              </w:rPr>
              <w:t>料</w:t>
            </w:r>
            <w:r>
              <w:rPr>
                <w:rFonts w:hAnsi="宋体"/>
                <w:highlight w:val="none"/>
              </w:rPr>
              <w:t>库，配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c>
          <w:tcPr>
            <w:tcW w:w="842" w:type="dxa"/>
            <w:vAlign w:val="center"/>
          </w:tcPr>
          <w:p>
            <w:pPr>
              <w:pStyle w:val="64"/>
              <w:rPr>
                <w:rFonts w:hAnsi="宋体"/>
                <w:highlight w:val="none"/>
              </w:rPr>
            </w:pPr>
            <w:r>
              <w:rPr>
                <w:rFonts w:hAnsi="宋体"/>
                <w:highlight w:val="none"/>
              </w:rPr>
              <w:t>/</w:t>
            </w:r>
          </w:p>
        </w:tc>
        <w:tc>
          <w:tcPr>
            <w:tcW w:w="951" w:type="dxa"/>
            <w:vAlign w:val="center"/>
          </w:tcPr>
          <w:p>
            <w:pPr>
              <w:pStyle w:val="64"/>
              <w:rPr>
                <w:rFonts w:hAnsi="宋体"/>
                <w:szCs w:val="22"/>
                <w:highlight w:val="none"/>
              </w:rPr>
            </w:pPr>
            <w:r>
              <w:rPr>
                <w:rFonts w:hAnsi="宋体"/>
                <w:highlight w:val="none"/>
              </w:rPr>
              <w:t>0.0963</w:t>
            </w:r>
          </w:p>
        </w:tc>
        <w:tc>
          <w:tcPr>
            <w:tcW w:w="834" w:type="dxa"/>
            <w:vAlign w:val="center"/>
          </w:tcPr>
          <w:p>
            <w:pPr>
              <w:pStyle w:val="64"/>
              <w:rPr>
                <w:rFonts w:hAnsi="宋体"/>
                <w:highlight w:val="none"/>
              </w:rPr>
            </w:pPr>
            <w:r>
              <w:rPr>
                <w:rFonts w:hAnsi="宋体"/>
                <w:highlight w:val="none"/>
              </w:rPr>
              <w:t>0.</w:t>
            </w:r>
            <w:r>
              <w:rPr>
                <w:rFonts w:hint="eastAsia" w:hAnsi="宋体"/>
                <w:highlight w:val="none"/>
              </w:rPr>
              <w:t>693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int="eastAsia" w:hAnsi="宋体"/>
                <w:highlight w:val="none"/>
              </w:rPr>
              <w:t>废石</w:t>
            </w:r>
            <w:r>
              <w:rPr>
                <w:rFonts w:hAnsi="宋体"/>
                <w:highlight w:val="none"/>
              </w:rPr>
              <w:t>库</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szCs w:val="22"/>
                <w:highlight w:val="none"/>
              </w:rPr>
            </w:pPr>
            <w:r>
              <w:rPr>
                <w:rFonts w:hAnsi="宋体"/>
                <w:highlight w:val="none"/>
              </w:rPr>
              <w:t>0.683</w:t>
            </w:r>
          </w:p>
        </w:tc>
        <w:tc>
          <w:tcPr>
            <w:tcW w:w="968" w:type="dxa"/>
            <w:vAlign w:val="center"/>
          </w:tcPr>
          <w:p>
            <w:pPr>
              <w:pStyle w:val="64"/>
              <w:rPr>
                <w:rFonts w:hAnsi="宋体"/>
                <w:highlight w:val="none"/>
              </w:rPr>
            </w:pPr>
            <w:r>
              <w:rPr>
                <w:rFonts w:hint="eastAsia" w:hAnsi="宋体"/>
                <w:highlight w:val="none"/>
              </w:rPr>
              <w:t>4.29</w:t>
            </w:r>
          </w:p>
        </w:tc>
        <w:tc>
          <w:tcPr>
            <w:tcW w:w="4128"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废石</w:t>
            </w:r>
            <w:r>
              <w:rPr>
                <w:rFonts w:hint="eastAsia" w:hAnsi="宋体"/>
                <w:highlight w:val="none"/>
              </w:rPr>
              <w:t>库</w:t>
            </w:r>
            <w:r>
              <w:rPr>
                <w:rFonts w:hAnsi="宋体"/>
                <w:highlight w:val="none"/>
              </w:rPr>
              <w:t>，配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c>
          <w:tcPr>
            <w:tcW w:w="842" w:type="dxa"/>
            <w:vAlign w:val="center"/>
          </w:tcPr>
          <w:p>
            <w:pPr>
              <w:pStyle w:val="64"/>
              <w:rPr>
                <w:rFonts w:hAnsi="宋体"/>
                <w:highlight w:val="none"/>
              </w:rPr>
            </w:pPr>
            <w:r>
              <w:rPr>
                <w:rFonts w:hAnsi="宋体"/>
                <w:highlight w:val="none"/>
              </w:rPr>
              <w:t>/</w:t>
            </w:r>
          </w:p>
        </w:tc>
        <w:tc>
          <w:tcPr>
            <w:tcW w:w="951" w:type="dxa"/>
            <w:vAlign w:val="center"/>
          </w:tcPr>
          <w:p>
            <w:pPr>
              <w:pStyle w:val="64"/>
              <w:rPr>
                <w:rFonts w:hAnsi="宋体"/>
                <w:szCs w:val="22"/>
                <w:highlight w:val="none"/>
              </w:rPr>
            </w:pPr>
            <w:r>
              <w:rPr>
                <w:rFonts w:hAnsi="宋体"/>
                <w:highlight w:val="none"/>
              </w:rPr>
              <w:t>0.0683</w:t>
            </w:r>
          </w:p>
        </w:tc>
        <w:tc>
          <w:tcPr>
            <w:tcW w:w="834" w:type="dxa"/>
            <w:vAlign w:val="center"/>
          </w:tcPr>
          <w:p>
            <w:pPr>
              <w:pStyle w:val="64"/>
              <w:rPr>
                <w:rFonts w:hAnsi="宋体"/>
                <w:highlight w:val="none"/>
              </w:rPr>
            </w:pPr>
            <w:r>
              <w:rPr>
                <w:rFonts w:hAnsi="宋体"/>
                <w:highlight w:val="none"/>
              </w:rPr>
              <w:t>0.</w:t>
            </w:r>
            <w:r>
              <w:rPr>
                <w:rFonts w:hint="eastAsia" w:hAnsi="宋体"/>
                <w:highlight w:val="none"/>
              </w:rPr>
              <w:t>492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int="eastAsia" w:hAnsi="宋体"/>
                <w:highlight w:val="none"/>
              </w:rPr>
              <w:t>成品</w:t>
            </w:r>
            <w:r>
              <w:rPr>
                <w:rFonts w:hAnsi="宋体"/>
                <w:highlight w:val="none"/>
              </w:rPr>
              <w:t>库</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szCs w:val="22"/>
                <w:highlight w:val="none"/>
              </w:rPr>
            </w:pPr>
            <w:r>
              <w:rPr>
                <w:rFonts w:hAnsi="宋体"/>
                <w:highlight w:val="none"/>
              </w:rPr>
              <w:t>0.040</w:t>
            </w:r>
            <w:r>
              <w:rPr>
                <w:rFonts w:hint="eastAsia" w:hAnsi="宋体"/>
                <w:highlight w:val="none"/>
              </w:rPr>
              <w:t>3</w:t>
            </w:r>
          </w:p>
        </w:tc>
        <w:tc>
          <w:tcPr>
            <w:tcW w:w="968" w:type="dxa"/>
            <w:vAlign w:val="center"/>
          </w:tcPr>
          <w:p>
            <w:pPr>
              <w:pStyle w:val="64"/>
              <w:rPr>
                <w:rFonts w:hAnsi="宋体"/>
                <w:highlight w:val="none"/>
              </w:rPr>
            </w:pPr>
            <w:r>
              <w:rPr>
                <w:rFonts w:hint="eastAsia" w:hAnsi="宋体"/>
                <w:highlight w:val="none"/>
              </w:rPr>
              <w:t>0.29</w:t>
            </w:r>
          </w:p>
        </w:tc>
        <w:tc>
          <w:tcPr>
            <w:tcW w:w="4128"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成品库</w:t>
            </w:r>
          </w:p>
        </w:tc>
        <w:tc>
          <w:tcPr>
            <w:tcW w:w="842" w:type="dxa"/>
            <w:vAlign w:val="center"/>
          </w:tcPr>
          <w:p>
            <w:pPr>
              <w:pStyle w:val="64"/>
              <w:rPr>
                <w:rFonts w:hAnsi="宋体"/>
                <w:highlight w:val="none"/>
              </w:rPr>
            </w:pPr>
            <w:r>
              <w:rPr>
                <w:rFonts w:hAnsi="宋体"/>
                <w:highlight w:val="none"/>
              </w:rPr>
              <w:t>/</w:t>
            </w:r>
          </w:p>
        </w:tc>
        <w:tc>
          <w:tcPr>
            <w:tcW w:w="951" w:type="dxa"/>
            <w:vAlign w:val="center"/>
          </w:tcPr>
          <w:p>
            <w:pPr>
              <w:pStyle w:val="64"/>
              <w:rPr>
                <w:rFonts w:hAnsi="宋体"/>
                <w:szCs w:val="22"/>
                <w:highlight w:val="none"/>
              </w:rPr>
            </w:pPr>
            <w:r>
              <w:rPr>
                <w:rFonts w:hAnsi="宋体"/>
                <w:highlight w:val="none"/>
              </w:rPr>
              <w:t>0.0040</w:t>
            </w:r>
            <w:r>
              <w:rPr>
                <w:rFonts w:hint="eastAsia" w:hAnsi="宋体"/>
                <w:highlight w:val="none"/>
              </w:rPr>
              <w:t>3</w:t>
            </w:r>
          </w:p>
        </w:tc>
        <w:tc>
          <w:tcPr>
            <w:tcW w:w="834" w:type="dxa"/>
            <w:vAlign w:val="center"/>
          </w:tcPr>
          <w:p>
            <w:pPr>
              <w:pStyle w:val="64"/>
              <w:rPr>
                <w:rFonts w:hAnsi="宋体"/>
                <w:highlight w:val="none"/>
              </w:rPr>
            </w:pPr>
            <w:r>
              <w:rPr>
                <w:rFonts w:hAnsi="宋体"/>
                <w:highlight w:val="none"/>
              </w:rPr>
              <w:t>0.</w:t>
            </w:r>
            <w:r>
              <w:rPr>
                <w:rFonts w:hint="eastAsia" w:hAnsi="宋体"/>
                <w:highlight w:val="none"/>
              </w:rPr>
              <w:t>029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int="eastAsia" w:hAnsi="宋体"/>
                <w:highlight w:val="none"/>
              </w:rPr>
              <w:t>尾矿库</w:t>
            </w:r>
          </w:p>
        </w:tc>
        <w:tc>
          <w:tcPr>
            <w:tcW w:w="999" w:type="dxa"/>
            <w:vAlign w:val="center"/>
          </w:tcPr>
          <w:p>
            <w:pPr>
              <w:pStyle w:val="64"/>
              <w:rPr>
                <w:rFonts w:hAnsi="宋体"/>
                <w:highlight w:val="none"/>
              </w:rPr>
            </w:pP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szCs w:val="22"/>
                <w:highlight w:val="none"/>
              </w:rPr>
            </w:pPr>
            <w:r>
              <w:rPr>
                <w:rFonts w:hAnsi="宋体"/>
                <w:highlight w:val="none"/>
              </w:rPr>
              <w:t>0.040</w:t>
            </w:r>
            <w:r>
              <w:rPr>
                <w:rFonts w:hint="eastAsia" w:hAnsi="宋体"/>
                <w:highlight w:val="none"/>
              </w:rPr>
              <w:t>3</w:t>
            </w:r>
          </w:p>
        </w:tc>
        <w:tc>
          <w:tcPr>
            <w:tcW w:w="968" w:type="dxa"/>
            <w:vAlign w:val="center"/>
          </w:tcPr>
          <w:p>
            <w:pPr>
              <w:pStyle w:val="64"/>
              <w:rPr>
                <w:rFonts w:hAnsi="宋体"/>
                <w:highlight w:val="none"/>
              </w:rPr>
            </w:pPr>
            <w:r>
              <w:rPr>
                <w:rFonts w:hint="eastAsia" w:hAnsi="宋体"/>
                <w:highlight w:val="none"/>
              </w:rPr>
              <w:t>0.26</w:t>
            </w:r>
          </w:p>
        </w:tc>
        <w:tc>
          <w:tcPr>
            <w:tcW w:w="4128" w:type="dxa"/>
            <w:vAlign w:val="center"/>
          </w:tcPr>
          <w:p>
            <w:pPr>
              <w:pStyle w:val="64"/>
              <w:rPr>
                <w:rFonts w:hAnsi="宋体"/>
                <w:highlight w:val="none"/>
              </w:rPr>
            </w:pPr>
            <w:r>
              <w:rPr>
                <w:rFonts w:hAnsi="宋体"/>
                <w:spacing w:val="-1"/>
                <w:highlight w:val="none"/>
              </w:rPr>
              <w:t>洒</w:t>
            </w:r>
            <w:r>
              <w:rPr>
                <w:rFonts w:hAnsi="宋体"/>
                <w:spacing w:val="2"/>
                <w:highlight w:val="none"/>
              </w:rPr>
              <w:t>水</w:t>
            </w:r>
            <w:r>
              <w:rPr>
                <w:rFonts w:hAnsi="宋体"/>
                <w:highlight w:val="none"/>
              </w:rPr>
              <w:t>抑</w:t>
            </w:r>
            <w:r>
              <w:rPr>
                <w:rFonts w:hAnsi="宋体"/>
                <w:spacing w:val="1"/>
                <w:w w:val="95"/>
                <w:highlight w:val="none"/>
              </w:rPr>
              <w:t>尘</w:t>
            </w:r>
            <w:r>
              <w:rPr>
                <w:rFonts w:hAnsi="宋体"/>
                <w:spacing w:val="-1"/>
                <w:w w:val="95"/>
                <w:highlight w:val="none"/>
              </w:rPr>
              <w:t>及</w:t>
            </w:r>
            <w:r>
              <w:rPr>
                <w:rFonts w:hAnsi="宋体"/>
                <w:w w:val="95"/>
                <w:highlight w:val="none"/>
              </w:rPr>
              <w:t>时</w:t>
            </w:r>
            <w:r>
              <w:rPr>
                <w:rFonts w:hAnsi="宋体"/>
                <w:spacing w:val="-1"/>
                <w:highlight w:val="none"/>
              </w:rPr>
              <w:t>覆</w:t>
            </w:r>
            <w:r>
              <w:rPr>
                <w:rFonts w:hAnsi="宋体"/>
                <w:spacing w:val="2"/>
                <w:highlight w:val="none"/>
              </w:rPr>
              <w:t>土</w:t>
            </w:r>
            <w:r>
              <w:rPr>
                <w:rFonts w:hAnsi="宋体"/>
                <w:highlight w:val="none"/>
              </w:rPr>
              <w:t>压实</w:t>
            </w:r>
          </w:p>
        </w:tc>
        <w:tc>
          <w:tcPr>
            <w:tcW w:w="842" w:type="dxa"/>
            <w:vAlign w:val="center"/>
          </w:tcPr>
          <w:p>
            <w:pPr>
              <w:pStyle w:val="64"/>
              <w:rPr>
                <w:rFonts w:hAnsi="宋体"/>
                <w:highlight w:val="none"/>
              </w:rPr>
            </w:pPr>
            <w:r>
              <w:rPr>
                <w:rFonts w:hAnsi="宋体"/>
                <w:highlight w:val="none"/>
              </w:rPr>
              <w:t>/</w:t>
            </w:r>
          </w:p>
        </w:tc>
        <w:tc>
          <w:tcPr>
            <w:tcW w:w="951" w:type="dxa"/>
            <w:vAlign w:val="center"/>
          </w:tcPr>
          <w:p>
            <w:pPr>
              <w:pStyle w:val="64"/>
              <w:rPr>
                <w:rFonts w:hAnsi="宋体"/>
                <w:highlight w:val="none"/>
              </w:rPr>
            </w:pPr>
            <w:r>
              <w:rPr>
                <w:rFonts w:hAnsi="宋体"/>
                <w:highlight w:val="none"/>
              </w:rPr>
              <w:t>0.010</w:t>
            </w:r>
            <w:r>
              <w:rPr>
                <w:rFonts w:hint="eastAsia" w:hAnsi="宋体"/>
                <w:highlight w:val="none"/>
              </w:rPr>
              <w:t>83</w:t>
            </w:r>
          </w:p>
        </w:tc>
        <w:tc>
          <w:tcPr>
            <w:tcW w:w="834" w:type="dxa"/>
            <w:vAlign w:val="center"/>
          </w:tcPr>
          <w:p>
            <w:pPr>
              <w:pStyle w:val="64"/>
              <w:rPr>
                <w:rFonts w:hAnsi="宋体"/>
                <w:highlight w:val="none"/>
              </w:rPr>
            </w:pPr>
            <w:r>
              <w:rPr>
                <w:rFonts w:hint="eastAsia" w:hAnsi="宋体"/>
                <w:highlight w:val="none"/>
              </w:rPr>
              <w:t>0.078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破碎、干选</w:t>
            </w:r>
          </w:p>
        </w:tc>
        <w:tc>
          <w:tcPr>
            <w:tcW w:w="999" w:type="dxa"/>
            <w:vAlign w:val="center"/>
          </w:tcPr>
          <w:p>
            <w:pPr>
              <w:pStyle w:val="64"/>
              <w:rPr>
                <w:rFonts w:hAnsi="宋体"/>
                <w:highlight w:val="none"/>
              </w:rPr>
            </w:pPr>
            <w:r>
              <w:rPr>
                <w:rFonts w:hint="eastAsia" w:hAnsi="宋体"/>
                <w:highlight w:val="none"/>
              </w:rPr>
              <w:t>39</w:t>
            </w:r>
            <w:r>
              <w:rPr>
                <w:rFonts w:hAnsi="宋体"/>
                <w:highlight w:val="none"/>
              </w:rPr>
              <w:t>000</w:t>
            </w: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int="eastAsia" w:hAnsi="宋体"/>
                <w:highlight w:val="none"/>
              </w:rPr>
              <w:t>1096.2</w:t>
            </w:r>
          </w:p>
        </w:tc>
        <w:tc>
          <w:tcPr>
            <w:tcW w:w="846" w:type="dxa"/>
            <w:vAlign w:val="center"/>
          </w:tcPr>
          <w:p>
            <w:pPr>
              <w:pStyle w:val="64"/>
              <w:rPr>
                <w:rFonts w:hAnsi="宋体"/>
                <w:highlight w:val="none"/>
              </w:rPr>
            </w:pPr>
            <w:r>
              <w:rPr>
                <w:rFonts w:hint="eastAsia" w:hAnsi="宋体"/>
                <w:highlight w:val="none"/>
              </w:rPr>
              <w:t>42.75</w:t>
            </w:r>
          </w:p>
        </w:tc>
        <w:tc>
          <w:tcPr>
            <w:tcW w:w="968" w:type="dxa"/>
            <w:vAlign w:val="center"/>
          </w:tcPr>
          <w:p>
            <w:pPr>
              <w:pStyle w:val="64"/>
              <w:rPr>
                <w:rFonts w:hAnsi="宋体"/>
                <w:highlight w:val="none"/>
              </w:rPr>
            </w:pPr>
            <w:r>
              <w:rPr>
                <w:rFonts w:hint="eastAsia" w:hAnsi="宋体"/>
                <w:highlight w:val="none"/>
              </w:rPr>
              <w:t>307.8</w:t>
            </w:r>
          </w:p>
        </w:tc>
        <w:tc>
          <w:tcPr>
            <w:tcW w:w="4128" w:type="dxa"/>
            <w:vAlign w:val="center"/>
          </w:tcPr>
          <w:p>
            <w:pPr>
              <w:pStyle w:val="64"/>
              <w:rPr>
                <w:rFonts w:hAnsi="宋体"/>
                <w:highlight w:val="none"/>
              </w:rPr>
            </w:pPr>
            <w:r>
              <w:rPr>
                <w:rFonts w:hAnsi="宋体"/>
                <w:highlight w:val="none"/>
              </w:rPr>
              <w:t>产尘点及皮带机落料处分别集气+布袋除尘器，除尘效率99</w:t>
            </w:r>
            <w:r>
              <w:rPr>
                <w:rFonts w:hint="eastAsia" w:hAnsi="宋体"/>
                <w:highlight w:val="none"/>
              </w:rPr>
              <w:t>.2</w:t>
            </w:r>
            <w:r>
              <w:rPr>
                <w:rFonts w:hAnsi="宋体"/>
                <w:highlight w:val="none"/>
              </w:rPr>
              <w:t>%以上</w:t>
            </w:r>
          </w:p>
        </w:tc>
        <w:tc>
          <w:tcPr>
            <w:tcW w:w="842" w:type="dxa"/>
            <w:vAlign w:val="center"/>
          </w:tcPr>
          <w:p>
            <w:pPr>
              <w:pStyle w:val="64"/>
              <w:rPr>
                <w:rFonts w:hAnsi="宋体"/>
                <w:highlight w:val="none"/>
              </w:rPr>
            </w:pPr>
            <w:r>
              <w:rPr>
                <w:rFonts w:hAnsi="宋体"/>
                <w:highlight w:val="none"/>
              </w:rPr>
              <w:t>10</w:t>
            </w:r>
          </w:p>
        </w:tc>
        <w:tc>
          <w:tcPr>
            <w:tcW w:w="951" w:type="dxa"/>
            <w:vAlign w:val="center"/>
          </w:tcPr>
          <w:p>
            <w:pPr>
              <w:pStyle w:val="64"/>
              <w:rPr>
                <w:rFonts w:hAnsi="宋体"/>
                <w:highlight w:val="none"/>
              </w:rPr>
            </w:pPr>
            <w:r>
              <w:rPr>
                <w:rFonts w:hAnsi="宋体"/>
                <w:highlight w:val="none"/>
              </w:rPr>
              <w:t>0.</w:t>
            </w:r>
            <w:r>
              <w:rPr>
                <w:rFonts w:hint="eastAsia" w:hAnsi="宋体"/>
                <w:highlight w:val="none"/>
              </w:rPr>
              <w:t>39</w:t>
            </w:r>
          </w:p>
        </w:tc>
        <w:tc>
          <w:tcPr>
            <w:tcW w:w="834" w:type="dxa"/>
            <w:vAlign w:val="center"/>
          </w:tcPr>
          <w:p>
            <w:pPr>
              <w:pStyle w:val="64"/>
              <w:rPr>
                <w:rFonts w:hAnsi="宋体"/>
                <w:highlight w:val="none"/>
              </w:rPr>
            </w:pPr>
            <w:r>
              <w:rPr>
                <w:rFonts w:hint="eastAsia" w:hAnsi="宋体"/>
                <w:highlight w:val="none"/>
              </w:rPr>
              <w:t>2.808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输送转运</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w:t>
            </w:r>
          </w:p>
        </w:tc>
        <w:tc>
          <w:tcPr>
            <w:tcW w:w="4128" w:type="dxa"/>
            <w:vAlign w:val="center"/>
          </w:tcPr>
          <w:p>
            <w:pPr>
              <w:pStyle w:val="64"/>
              <w:rPr>
                <w:rFonts w:hAnsi="宋体"/>
                <w:highlight w:val="none"/>
              </w:rPr>
            </w:pPr>
            <w:r>
              <w:rPr>
                <w:rFonts w:hAnsi="宋体"/>
                <w:highlight w:val="none"/>
              </w:rPr>
              <w:t>全封闭皮带通廊、湿料</w:t>
            </w:r>
          </w:p>
        </w:tc>
        <w:tc>
          <w:tcPr>
            <w:tcW w:w="842" w:type="dxa"/>
            <w:vAlign w:val="center"/>
          </w:tcPr>
          <w:p>
            <w:pPr>
              <w:pStyle w:val="64"/>
              <w:rPr>
                <w:rFonts w:hAnsi="宋体"/>
                <w:highlight w:val="none"/>
              </w:rPr>
            </w:pPr>
            <w:r>
              <w:rPr>
                <w:rFonts w:hAnsi="宋体"/>
                <w:highlight w:val="none"/>
              </w:rPr>
              <w:t>/</w:t>
            </w:r>
          </w:p>
        </w:tc>
        <w:tc>
          <w:tcPr>
            <w:tcW w:w="951" w:type="dxa"/>
            <w:vAlign w:val="center"/>
          </w:tcPr>
          <w:p>
            <w:pPr>
              <w:pStyle w:val="64"/>
              <w:rPr>
                <w:rFonts w:hAnsi="宋体"/>
                <w:highlight w:val="none"/>
              </w:rPr>
            </w:pPr>
            <w:r>
              <w:rPr>
                <w:rFonts w:hAnsi="宋体"/>
                <w:highlight w:val="none"/>
              </w:rPr>
              <w:t>/</w:t>
            </w:r>
          </w:p>
        </w:tc>
        <w:tc>
          <w:tcPr>
            <w:tcW w:w="834" w:type="dxa"/>
            <w:vAlign w:val="center"/>
          </w:tcPr>
          <w:p>
            <w:pPr>
              <w:pStyle w:val="64"/>
              <w:rPr>
                <w:rFonts w:hAnsi="宋体"/>
                <w:highlight w:val="none"/>
              </w:rPr>
            </w:pP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运输扬尘</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颗粒物</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int="eastAsia" w:hAnsi="宋体"/>
                <w:highlight w:val="none"/>
              </w:rPr>
              <w:t>0.353</w:t>
            </w:r>
          </w:p>
        </w:tc>
        <w:tc>
          <w:tcPr>
            <w:tcW w:w="968" w:type="dxa"/>
            <w:vAlign w:val="center"/>
          </w:tcPr>
          <w:p>
            <w:pPr>
              <w:pStyle w:val="64"/>
              <w:rPr>
                <w:rFonts w:hAnsi="宋体"/>
                <w:highlight w:val="none"/>
              </w:rPr>
            </w:pPr>
            <w:r>
              <w:rPr>
                <w:rFonts w:hint="eastAsia" w:hAnsi="宋体"/>
                <w:highlight w:val="none"/>
              </w:rPr>
              <w:t>2.541</w:t>
            </w:r>
          </w:p>
        </w:tc>
        <w:tc>
          <w:tcPr>
            <w:tcW w:w="4128" w:type="dxa"/>
            <w:vAlign w:val="center"/>
          </w:tcPr>
          <w:p>
            <w:pPr>
              <w:pStyle w:val="64"/>
              <w:rPr>
                <w:rFonts w:hAnsi="宋体"/>
                <w:highlight w:val="none"/>
              </w:rPr>
            </w:pPr>
            <w:r>
              <w:rPr>
                <w:rFonts w:hAnsi="宋体"/>
                <w:highlight w:val="none"/>
              </w:rPr>
              <w:t>道路洒水、运输车辆遮盖严实，抑尘效率70%</w:t>
            </w:r>
          </w:p>
        </w:tc>
        <w:tc>
          <w:tcPr>
            <w:tcW w:w="842" w:type="dxa"/>
            <w:vAlign w:val="center"/>
          </w:tcPr>
          <w:p>
            <w:pPr>
              <w:pStyle w:val="64"/>
              <w:rPr>
                <w:rFonts w:hAnsi="宋体"/>
                <w:highlight w:val="none"/>
              </w:rPr>
            </w:pPr>
            <w:r>
              <w:rPr>
                <w:rFonts w:hAnsi="宋体"/>
                <w:highlight w:val="none"/>
              </w:rPr>
              <w:t>/</w:t>
            </w:r>
          </w:p>
        </w:tc>
        <w:tc>
          <w:tcPr>
            <w:tcW w:w="951" w:type="dxa"/>
            <w:vAlign w:val="center"/>
          </w:tcPr>
          <w:p>
            <w:pPr>
              <w:pStyle w:val="64"/>
              <w:rPr>
                <w:rFonts w:hAnsi="宋体"/>
                <w:highlight w:val="none"/>
              </w:rPr>
            </w:pPr>
            <w:r>
              <w:rPr>
                <w:rFonts w:hint="eastAsia" w:hAnsi="宋体"/>
                <w:highlight w:val="none"/>
              </w:rPr>
              <w:t>0.106</w:t>
            </w:r>
          </w:p>
        </w:tc>
        <w:tc>
          <w:tcPr>
            <w:tcW w:w="834" w:type="dxa"/>
            <w:vAlign w:val="center"/>
          </w:tcPr>
          <w:p>
            <w:pPr>
              <w:pStyle w:val="64"/>
              <w:rPr>
                <w:rFonts w:hAnsi="宋体"/>
                <w:highlight w:val="none"/>
              </w:rPr>
            </w:pPr>
            <w:r>
              <w:rPr>
                <w:rFonts w:hAnsi="宋体"/>
                <w:highlight w:val="none"/>
              </w:rPr>
              <w:t>0.</w:t>
            </w:r>
            <w:r>
              <w:rPr>
                <w:rFonts w:hint="eastAsia" w:hAnsi="宋体"/>
                <w:highlight w:val="none"/>
              </w:rPr>
              <w:t>762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restart"/>
            <w:vAlign w:val="center"/>
          </w:tcPr>
          <w:p>
            <w:pPr>
              <w:pStyle w:val="64"/>
              <w:rPr>
                <w:rFonts w:hAnsi="宋体"/>
                <w:highlight w:val="none"/>
              </w:rPr>
            </w:pPr>
            <w:r>
              <w:rPr>
                <w:rFonts w:hint="eastAsia" w:hAnsi="宋体"/>
                <w:highlight w:val="none"/>
              </w:rPr>
              <w:t>废水</w:t>
            </w:r>
          </w:p>
        </w:tc>
        <w:tc>
          <w:tcPr>
            <w:tcW w:w="1847" w:type="dxa"/>
            <w:gridSpan w:val="2"/>
            <w:vAlign w:val="center"/>
          </w:tcPr>
          <w:p>
            <w:pPr>
              <w:pStyle w:val="64"/>
              <w:rPr>
                <w:rFonts w:hAnsi="宋体"/>
                <w:highlight w:val="none"/>
              </w:rPr>
            </w:pPr>
            <w:r>
              <w:rPr>
                <w:rFonts w:hint="eastAsia" w:hAnsi="宋体"/>
                <w:highlight w:val="none"/>
              </w:rPr>
              <w:t>污染源</w:t>
            </w:r>
          </w:p>
        </w:tc>
        <w:tc>
          <w:tcPr>
            <w:tcW w:w="999" w:type="dxa"/>
            <w:vAlign w:val="center"/>
          </w:tcPr>
          <w:p>
            <w:pPr>
              <w:pStyle w:val="64"/>
              <w:rPr>
                <w:rFonts w:hAnsi="宋体"/>
                <w:highlight w:val="none"/>
              </w:rPr>
            </w:pPr>
            <w:r>
              <w:rPr>
                <w:rFonts w:hAnsi="宋体"/>
                <w:highlight w:val="none"/>
              </w:rPr>
              <w:t>m</w:t>
            </w:r>
            <w:r>
              <w:rPr>
                <w:rFonts w:hAnsi="宋体"/>
                <w:highlight w:val="none"/>
                <w:vertAlign w:val="superscript"/>
              </w:rPr>
              <w:t>3</w:t>
            </w:r>
            <w:r>
              <w:rPr>
                <w:rFonts w:hAnsi="宋体"/>
                <w:highlight w:val="none"/>
              </w:rPr>
              <w:t>/a</w:t>
            </w:r>
          </w:p>
        </w:tc>
        <w:tc>
          <w:tcPr>
            <w:tcW w:w="1094"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mg/L</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t/a</w:t>
            </w:r>
          </w:p>
        </w:tc>
        <w:tc>
          <w:tcPr>
            <w:tcW w:w="4128" w:type="dxa"/>
            <w:vAlign w:val="center"/>
          </w:tcPr>
          <w:p>
            <w:pPr>
              <w:pStyle w:val="64"/>
              <w:rPr>
                <w:rFonts w:hAnsi="宋体"/>
                <w:highlight w:val="none"/>
              </w:rPr>
            </w:pPr>
            <w:r>
              <w:rPr>
                <w:rFonts w:hAnsi="宋体"/>
                <w:highlight w:val="none"/>
              </w:rPr>
              <w:t>治理措施</w:t>
            </w:r>
          </w:p>
        </w:tc>
        <w:tc>
          <w:tcPr>
            <w:tcW w:w="842" w:type="dxa"/>
            <w:vAlign w:val="center"/>
          </w:tcPr>
          <w:p>
            <w:pPr>
              <w:pStyle w:val="64"/>
              <w:rPr>
                <w:rFonts w:hAnsi="宋体"/>
                <w:highlight w:val="none"/>
              </w:rPr>
            </w:pPr>
            <w:r>
              <w:rPr>
                <w:rFonts w:hAnsi="宋体"/>
                <w:highlight w:val="none"/>
              </w:rPr>
              <w:t>mg/L</w:t>
            </w:r>
          </w:p>
        </w:tc>
        <w:tc>
          <w:tcPr>
            <w:tcW w:w="951" w:type="dxa"/>
            <w:vAlign w:val="center"/>
          </w:tcPr>
          <w:p>
            <w:pPr>
              <w:pStyle w:val="64"/>
              <w:rPr>
                <w:rFonts w:hAnsi="宋体"/>
                <w:highlight w:val="none"/>
              </w:rPr>
            </w:pPr>
            <w:r>
              <w:rPr>
                <w:rFonts w:hAnsi="宋体"/>
                <w:highlight w:val="none"/>
              </w:rPr>
              <w:t>/</w:t>
            </w:r>
          </w:p>
        </w:tc>
        <w:tc>
          <w:tcPr>
            <w:tcW w:w="834" w:type="dxa"/>
            <w:vAlign w:val="center"/>
          </w:tcPr>
          <w:p>
            <w:pPr>
              <w:pStyle w:val="64"/>
              <w:rPr>
                <w:rFonts w:hAnsi="宋体"/>
                <w:highlight w:val="none"/>
              </w:rPr>
            </w:pPr>
            <w:r>
              <w:rPr>
                <w:rFonts w:hAnsi="宋体"/>
                <w:highlight w:val="none"/>
              </w:rPr>
              <w:t>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生活污水</w:t>
            </w:r>
          </w:p>
        </w:tc>
        <w:tc>
          <w:tcPr>
            <w:tcW w:w="999" w:type="dxa"/>
            <w:vAlign w:val="center"/>
          </w:tcPr>
          <w:p>
            <w:pPr>
              <w:pStyle w:val="64"/>
              <w:rPr>
                <w:rFonts w:hAnsi="宋体"/>
                <w:highlight w:val="none"/>
              </w:rPr>
            </w:pPr>
            <w:r>
              <w:rPr>
                <w:rFonts w:hint="eastAsia" w:hAnsi="宋体"/>
                <w:highlight w:val="none"/>
              </w:rPr>
              <w:t>216</w:t>
            </w:r>
          </w:p>
        </w:tc>
        <w:tc>
          <w:tcPr>
            <w:tcW w:w="1094" w:type="dxa"/>
            <w:vAlign w:val="center"/>
          </w:tcPr>
          <w:p>
            <w:pPr>
              <w:pStyle w:val="64"/>
              <w:rPr>
                <w:rFonts w:hAnsi="宋体"/>
                <w:highlight w:val="none"/>
              </w:rPr>
            </w:pPr>
            <w:r>
              <w:rPr>
                <w:rFonts w:hAnsi="宋体"/>
                <w:highlight w:val="none"/>
              </w:rPr>
              <w:t>COD、BOD</w:t>
            </w:r>
            <w:r>
              <w:rPr>
                <w:rFonts w:hAnsi="宋体"/>
                <w:highlight w:val="none"/>
                <w:vertAlign w:val="subscript"/>
              </w:rPr>
              <w:t>5</w:t>
            </w:r>
            <w:r>
              <w:rPr>
                <w:rFonts w:hAnsi="宋体"/>
                <w:highlight w:val="none"/>
              </w:rPr>
              <w:t>、SS</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w:t>
            </w:r>
          </w:p>
        </w:tc>
        <w:tc>
          <w:tcPr>
            <w:tcW w:w="4128" w:type="dxa"/>
            <w:vAlign w:val="center"/>
          </w:tcPr>
          <w:p>
            <w:pPr>
              <w:pStyle w:val="64"/>
              <w:rPr>
                <w:rFonts w:hAnsi="宋体" w:cs="宋体"/>
                <w:szCs w:val="21"/>
                <w:highlight w:val="none"/>
              </w:rPr>
            </w:pPr>
            <w:r>
              <w:rPr>
                <w:rFonts w:hint="eastAsia" w:hAnsi="宋体"/>
                <w:szCs w:val="20"/>
                <w:highlight w:val="none"/>
              </w:rPr>
              <w:t>本项目生活污水、食堂废水经隔油池后排入1座2m</w:t>
            </w:r>
            <w:r>
              <w:rPr>
                <w:rFonts w:hint="eastAsia" w:hAnsi="宋体"/>
                <w:szCs w:val="20"/>
                <w:highlight w:val="none"/>
                <w:vertAlign w:val="superscript"/>
              </w:rPr>
              <w:t>3</w:t>
            </w:r>
            <w:r>
              <w:rPr>
                <w:rFonts w:hint="eastAsia" w:hAnsi="宋体"/>
                <w:szCs w:val="20"/>
                <w:highlight w:val="none"/>
              </w:rPr>
              <w:t>的沉淀池，用于场地洒水或绿化。本项目使用旱厕，定期由附近农户清掏用作农肥。</w:t>
            </w:r>
          </w:p>
        </w:tc>
        <w:tc>
          <w:tcPr>
            <w:tcW w:w="2627" w:type="dxa"/>
            <w:gridSpan w:val="3"/>
            <w:vAlign w:val="center"/>
          </w:tcPr>
          <w:p>
            <w:pPr>
              <w:pStyle w:val="64"/>
              <w:rPr>
                <w:rFonts w:hAnsi="宋体"/>
                <w:highlight w:val="none"/>
              </w:rPr>
            </w:pPr>
            <w:r>
              <w:rPr>
                <w:rFonts w:hAnsi="宋体"/>
                <w:spacing w:val="-1"/>
                <w:highlight w:val="none"/>
              </w:rPr>
              <w:t>不</w:t>
            </w:r>
            <w:r>
              <w:rPr>
                <w:rFonts w:hAnsi="宋体"/>
                <w:highlight w:val="none"/>
              </w:rPr>
              <w:t>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cs="宋体"/>
                <w:spacing w:val="-1"/>
                <w:szCs w:val="21"/>
                <w:highlight w:val="none"/>
              </w:rPr>
              <w:t>初</w:t>
            </w:r>
            <w:r>
              <w:rPr>
                <w:rFonts w:hAnsi="宋体" w:cs="宋体"/>
                <w:spacing w:val="2"/>
                <w:szCs w:val="21"/>
                <w:highlight w:val="none"/>
              </w:rPr>
              <w:t>期</w:t>
            </w:r>
            <w:r>
              <w:rPr>
                <w:rFonts w:hAnsi="宋体" w:cs="宋体"/>
                <w:spacing w:val="-1"/>
                <w:szCs w:val="21"/>
                <w:highlight w:val="none"/>
              </w:rPr>
              <w:t>雨</w:t>
            </w:r>
            <w:r>
              <w:rPr>
                <w:rFonts w:hAnsi="宋体" w:cs="宋体"/>
                <w:szCs w:val="21"/>
                <w:highlight w:val="none"/>
              </w:rPr>
              <w:t>水</w:t>
            </w:r>
          </w:p>
        </w:tc>
        <w:tc>
          <w:tcPr>
            <w:tcW w:w="999" w:type="dxa"/>
            <w:vAlign w:val="center"/>
          </w:tcPr>
          <w:p>
            <w:pPr>
              <w:pStyle w:val="64"/>
              <w:rPr>
                <w:rFonts w:hAnsi="宋体"/>
                <w:highlight w:val="none"/>
              </w:rPr>
            </w:pPr>
            <w:r>
              <w:rPr>
                <w:rFonts w:hAnsi="宋体" w:cs="宋体"/>
                <w:spacing w:val="1"/>
                <w:szCs w:val="21"/>
                <w:highlight w:val="none"/>
              </w:rPr>
              <w:t>129.84</w:t>
            </w:r>
          </w:p>
        </w:tc>
        <w:tc>
          <w:tcPr>
            <w:tcW w:w="1094" w:type="dxa"/>
            <w:vAlign w:val="center"/>
          </w:tcPr>
          <w:p>
            <w:pPr>
              <w:pStyle w:val="64"/>
              <w:rPr>
                <w:rFonts w:hAnsi="宋体"/>
                <w:highlight w:val="none"/>
              </w:rPr>
            </w:pPr>
            <w:r>
              <w:rPr>
                <w:rFonts w:hAnsi="宋体"/>
                <w:highlight w:val="none"/>
              </w:rPr>
              <w:t>SS</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w:t>
            </w:r>
          </w:p>
        </w:tc>
        <w:tc>
          <w:tcPr>
            <w:tcW w:w="4128" w:type="dxa"/>
            <w:vAlign w:val="center"/>
          </w:tcPr>
          <w:p>
            <w:pPr>
              <w:pStyle w:val="64"/>
              <w:rPr>
                <w:rFonts w:hAnsi="宋体" w:cs="宋体"/>
                <w:szCs w:val="21"/>
                <w:highlight w:val="none"/>
              </w:rPr>
            </w:pPr>
            <w:r>
              <w:rPr>
                <w:rFonts w:hAnsi="宋体"/>
                <w:highlight w:val="none"/>
              </w:rPr>
              <w:t>厂区东北部较低处设</w:t>
            </w:r>
            <w:r>
              <w:rPr>
                <w:rFonts w:hAnsi="宋体" w:cs="hakuyoxingshu7000"/>
                <w:highlight w:val="none"/>
              </w:rPr>
              <w:t>1</w:t>
            </w:r>
            <w:r>
              <w:rPr>
                <w:rFonts w:hAnsi="宋体"/>
                <w:highlight w:val="none"/>
              </w:rPr>
              <w:t>座</w:t>
            </w:r>
            <w:r>
              <w:rPr>
                <w:rFonts w:hint="eastAsia" w:hAnsi="宋体" w:cs="hakuyoxingshu7000"/>
                <w:highlight w:val="none"/>
              </w:rPr>
              <w:t>160</w:t>
            </w:r>
            <w:r>
              <w:rPr>
                <w:rFonts w:hAnsi="宋体" w:cs="hakuyoxingshu7000"/>
                <w:highlight w:val="none"/>
              </w:rPr>
              <w:t>m</w:t>
            </w:r>
            <w:r>
              <w:rPr>
                <w:rFonts w:hAnsi="宋体" w:cs="hakuyoxingshu7000"/>
                <w:position w:val="8"/>
                <w:sz w:val="15"/>
                <w:szCs w:val="15"/>
                <w:highlight w:val="none"/>
              </w:rPr>
              <w:t>3</w:t>
            </w:r>
            <w:r>
              <w:rPr>
                <w:rFonts w:hAnsi="宋体"/>
                <w:highlight w:val="none"/>
              </w:rPr>
              <w:t>初期雨水收集</w:t>
            </w:r>
            <w:r>
              <w:rPr>
                <w:rFonts w:hAnsi="宋体"/>
                <w:spacing w:val="2"/>
                <w:highlight w:val="none"/>
              </w:rPr>
              <w:t>池</w:t>
            </w:r>
            <w:r>
              <w:rPr>
                <w:rFonts w:hAnsi="宋体"/>
                <w:spacing w:val="-51"/>
                <w:highlight w:val="none"/>
              </w:rPr>
              <w:t>，</w:t>
            </w:r>
            <w:r>
              <w:rPr>
                <w:rFonts w:hAnsi="宋体"/>
                <w:highlight w:val="none"/>
              </w:rPr>
              <w:t>收集后的雨水经沉淀</w:t>
            </w:r>
            <w:r>
              <w:rPr>
                <w:rFonts w:hAnsi="宋体"/>
                <w:spacing w:val="2"/>
                <w:highlight w:val="none"/>
              </w:rPr>
              <w:t>后</w:t>
            </w:r>
            <w:r>
              <w:rPr>
                <w:rFonts w:hAnsi="宋体"/>
                <w:spacing w:val="-51"/>
                <w:highlight w:val="none"/>
              </w:rPr>
              <w:t>，</w:t>
            </w:r>
            <w:r>
              <w:rPr>
                <w:rFonts w:hAnsi="宋体"/>
                <w:highlight w:val="none"/>
              </w:rPr>
              <w:t>可以用于</w:t>
            </w:r>
            <w:r>
              <w:rPr>
                <w:rFonts w:hint="eastAsia" w:hAnsi="宋体"/>
                <w:highlight w:val="none"/>
              </w:rPr>
              <w:t>原料库洒水抑尘</w:t>
            </w:r>
            <w:r>
              <w:rPr>
                <w:rFonts w:hAnsi="宋体"/>
                <w:highlight w:val="none"/>
              </w:rPr>
              <w:t>及道路降尘洒水。</w:t>
            </w:r>
          </w:p>
        </w:tc>
        <w:tc>
          <w:tcPr>
            <w:tcW w:w="2627" w:type="dxa"/>
            <w:gridSpan w:val="3"/>
            <w:vAlign w:val="center"/>
          </w:tcPr>
          <w:p>
            <w:pPr>
              <w:pStyle w:val="64"/>
              <w:rPr>
                <w:rFonts w:hAnsi="宋体"/>
                <w:spacing w:val="-1"/>
                <w:highlight w:val="none"/>
              </w:rPr>
            </w:pPr>
            <w:r>
              <w:rPr>
                <w:rFonts w:hAnsi="宋体"/>
                <w:spacing w:val="-1"/>
                <w:highlight w:val="none"/>
              </w:rPr>
              <w:t>不</w:t>
            </w:r>
            <w:r>
              <w:rPr>
                <w:rFonts w:hAnsi="宋体"/>
                <w:highlight w:val="none"/>
              </w:rPr>
              <w:t>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生产废水</w:t>
            </w:r>
          </w:p>
        </w:tc>
        <w:tc>
          <w:tcPr>
            <w:tcW w:w="999" w:type="dxa"/>
            <w:vAlign w:val="center"/>
          </w:tcPr>
          <w:p>
            <w:pPr>
              <w:pStyle w:val="64"/>
              <w:rPr>
                <w:rFonts w:hAnsi="宋体"/>
                <w:highlight w:val="none"/>
              </w:rPr>
            </w:pPr>
            <w:r>
              <w:rPr>
                <w:rFonts w:hint="eastAsia" w:hAnsi="宋体"/>
                <w:highlight w:val="none"/>
              </w:rPr>
              <w:t>26.7</w:t>
            </w:r>
            <w:r>
              <w:rPr>
                <w:rFonts w:hAnsi="宋体"/>
                <w:highlight w:val="none"/>
              </w:rPr>
              <w:t>万</w:t>
            </w:r>
          </w:p>
        </w:tc>
        <w:tc>
          <w:tcPr>
            <w:tcW w:w="1094" w:type="dxa"/>
            <w:vAlign w:val="center"/>
          </w:tcPr>
          <w:p>
            <w:pPr>
              <w:pStyle w:val="64"/>
              <w:rPr>
                <w:rFonts w:hAnsi="宋体"/>
                <w:highlight w:val="none"/>
              </w:rPr>
            </w:pPr>
            <w:r>
              <w:rPr>
                <w:rFonts w:hAnsi="宋体"/>
                <w:highlight w:val="none"/>
              </w:rPr>
              <w:t>SS</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w:t>
            </w:r>
          </w:p>
        </w:tc>
        <w:tc>
          <w:tcPr>
            <w:tcW w:w="4128" w:type="dxa"/>
            <w:vAlign w:val="center"/>
          </w:tcPr>
          <w:p>
            <w:pPr>
              <w:pStyle w:val="64"/>
              <w:rPr>
                <w:rFonts w:hAnsi="宋体" w:cs="宋体"/>
                <w:szCs w:val="21"/>
                <w:highlight w:val="none"/>
              </w:rPr>
            </w:pPr>
            <w:r>
              <w:rPr>
                <w:rFonts w:hint="eastAsia" w:hAnsi="宋体" w:cs="宋体"/>
                <w:spacing w:val="-1"/>
                <w:szCs w:val="21"/>
                <w:highlight w:val="none"/>
              </w:rPr>
              <w:t>尾矿浆经浓缩压滤后，泵入循环水池回用于生产。</w:t>
            </w:r>
          </w:p>
        </w:tc>
        <w:tc>
          <w:tcPr>
            <w:tcW w:w="2627" w:type="dxa"/>
            <w:gridSpan w:val="3"/>
            <w:vAlign w:val="center"/>
          </w:tcPr>
          <w:p>
            <w:pPr>
              <w:pStyle w:val="64"/>
              <w:rPr>
                <w:rFonts w:hAnsi="宋体"/>
                <w:highlight w:val="none"/>
              </w:rPr>
            </w:pPr>
            <w:r>
              <w:rPr>
                <w:rFonts w:hAnsi="宋体"/>
                <w:spacing w:val="-1"/>
                <w:highlight w:val="none"/>
              </w:rPr>
              <w:t>不</w:t>
            </w:r>
            <w:r>
              <w:rPr>
                <w:rFonts w:hAnsi="宋体"/>
                <w:highlight w:val="none"/>
              </w:rPr>
              <w:t>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洗车废水</w:t>
            </w:r>
          </w:p>
        </w:tc>
        <w:tc>
          <w:tcPr>
            <w:tcW w:w="999" w:type="dxa"/>
            <w:vAlign w:val="center"/>
          </w:tcPr>
          <w:p>
            <w:pPr>
              <w:pStyle w:val="64"/>
              <w:rPr>
                <w:rFonts w:hAnsi="宋体"/>
                <w:highlight w:val="none"/>
              </w:rPr>
            </w:pPr>
            <w:r>
              <w:rPr>
                <w:rFonts w:hint="eastAsia" w:hAnsi="宋体"/>
                <w:highlight w:val="none"/>
              </w:rPr>
              <w:t>6000</w:t>
            </w:r>
          </w:p>
        </w:tc>
        <w:tc>
          <w:tcPr>
            <w:tcW w:w="1094" w:type="dxa"/>
            <w:vAlign w:val="center"/>
          </w:tcPr>
          <w:p>
            <w:pPr>
              <w:pStyle w:val="64"/>
              <w:rPr>
                <w:rFonts w:hAnsi="宋体"/>
                <w:highlight w:val="none"/>
              </w:rPr>
            </w:pPr>
            <w:r>
              <w:rPr>
                <w:rFonts w:hAnsi="宋体"/>
                <w:highlight w:val="none"/>
              </w:rPr>
              <w:t>SS</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w:t>
            </w:r>
          </w:p>
        </w:tc>
        <w:tc>
          <w:tcPr>
            <w:tcW w:w="4128" w:type="dxa"/>
            <w:vAlign w:val="center"/>
          </w:tcPr>
          <w:p>
            <w:pPr>
              <w:pStyle w:val="64"/>
              <w:rPr>
                <w:rFonts w:hAnsi="宋体" w:cs="宋体"/>
                <w:szCs w:val="21"/>
                <w:highlight w:val="none"/>
              </w:rPr>
            </w:pPr>
            <w:r>
              <w:rPr>
                <w:rFonts w:hint="eastAsia" w:hAnsi="宋体" w:cs="宋体"/>
                <w:spacing w:val="-1"/>
                <w:szCs w:val="21"/>
                <w:highlight w:val="none"/>
              </w:rPr>
              <w:t>洗车废水经沉淀池沉淀后循环使用，不外排。</w:t>
            </w:r>
          </w:p>
        </w:tc>
        <w:tc>
          <w:tcPr>
            <w:tcW w:w="2627" w:type="dxa"/>
            <w:gridSpan w:val="3"/>
            <w:vAlign w:val="center"/>
          </w:tcPr>
          <w:p>
            <w:pPr>
              <w:pStyle w:val="64"/>
              <w:rPr>
                <w:rFonts w:hAnsi="宋体"/>
                <w:highlight w:val="none"/>
              </w:rPr>
            </w:pPr>
            <w:r>
              <w:rPr>
                <w:rFonts w:hAnsi="宋体"/>
                <w:highlight w:val="none"/>
              </w:rPr>
              <w:t>不外排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cs="宋体"/>
                <w:spacing w:val="-1"/>
                <w:szCs w:val="21"/>
                <w:highlight w:val="none"/>
              </w:rPr>
              <w:t>跑</w:t>
            </w:r>
            <w:r>
              <w:rPr>
                <w:rFonts w:hAnsi="宋体" w:cs="宋体"/>
                <w:spacing w:val="2"/>
                <w:szCs w:val="21"/>
                <w:highlight w:val="none"/>
              </w:rPr>
              <w:t>冒</w:t>
            </w:r>
            <w:r>
              <w:rPr>
                <w:rFonts w:hAnsi="宋体" w:cs="宋体"/>
                <w:szCs w:val="21"/>
                <w:highlight w:val="none"/>
              </w:rPr>
              <w:t>滴</w:t>
            </w:r>
            <w:r>
              <w:rPr>
                <w:rFonts w:hAnsi="宋体" w:cs="宋体"/>
                <w:spacing w:val="-1"/>
                <w:szCs w:val="21"/>
                <w:highlight w:val="none"/>
              </w:rPr>
              <w:t>漏</w:t>
            </w:r>
            <w:r>
              <w:rPr>
                <w:rFonts w:hint="eastAsia" w:hAnsi="宋体" w:cs="宋体"/>
                <w:szCs w:val="21"/>
                <w:highlight w:val="none"/>
              </w:rPr>
              <w:t>水</w:t>
            </w:r>
          </w:p>
        </w:tc>
        <w:tc>
          <w:tcPr>
            <w:tcW w:w="999" w:type="dxa"/>
            <w:vAlign w:val="center"/>
          </w:tcPr>
          <w:p>
            <w:pPr>
              <w:pStyle w:val="64"/>
              <w:rPr>
                <w:rFonts w:hAnsi="宋体"/>
                <w:highlight w:val="none"/>
              </w:rPr>
            </w:pPr>
            <w:r>
              <w:rPr>
                <w:rFonts w:hint="eastAsia" w:hAnsi="宋体"/>
                <w:highlight w:val="none"/>
              </w:rPr>
              <w:t>/</w:t>
            </w:r>
          </w:p>
        </w:tc>
        <w:tc>
          <w:tcPr>
            <w:tcW w:w="1094" w:type="dxa"/>
            <w:vAlign w:val="center"/>
          </w:tcPr>
          <w:p>
            <w:pPr>
              <w:pStyle w:val="64"/>
              <w:rPr>
                <w:rFonts w:hAnsi="宋体"/>
                <w:highlight w:val="none"/>
              </w:rPr>
            </w:pPr>
            <w:r>
              <w:rPr>
                <w:rFonts w:hAnsi="宋体"/>
                <w:highlight w:val="none"/>
              </w:rPr>
              <w:t>SS</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w:t>
            </w:r>
          </w:p>
        </w:tc>
        <w:tc>
          <w:tcPr>
            <w:tcW w:w="4128" w:type="dxa"/>
            <w:vAlign w:val="center"/>
          </w:tcPr>
          <w:p>
            <w:pPr>
              <w:pStyle w:val="64"/>
              <w:rPr>
                <w:rFonts w:hAnsi="宋体" w:cs="宋体"/>
                <w:spacing w:val="-1"/>
                <w:szCs w:val="21"/>
                <w:highlight w:val="none"/>
              </w:rPr>
            </w:pPr>
            <w:r>
              <w:rPr>
                <w:rFonts w:hint="eastAsia" w:hAnsi="宋体" w:cs="宋体"/>
                <w:spacing w:val="-1"/>
                <w:szCs w:val="21"/>
                <w:highlight w:val="none"/>
              </w:rPr>
              <w:t>将跑、冒、滴、漏、地板冲洗水等经收集后，进入生产系统，作为选矿补充水。</w:t>
            </w:r>
          </w:p>
        </w:tc>
        <w:tc>
          <w:tcPr>
            <w:tcW w:w="2627" w:type="dxa"/>
            <w:gridSpan w:val="3"/>
            <w:vAlign w:val="center"/>
          </w:tcPr>
          <w:p>
            <w:pPr>
              <w:pStyle w:val="64"/>
              <w:rPr>
                <w:rFonts w:hAnsi="宋体"/>
                <w:highlight w:val="none"/>
              </w:rPr>
            </w:pPr>
            <w:r>
              <w:rPr>
                <w:rFonts w:hAnsi="宋体"/>
                <w:highlight w:val="none"/>
              </w:rPr>
              <w:t>不外排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37" w:type="dxa"/>
            <w:vMerge w:val="restart"/>
            <w:vAlign w:val="center"/>
          </w:tcPr>
          <w:p>
            <w:pPr>
              <w:pStyle w:val="64"/>
              <w:rPr>
                <w:rFonts w:hAnsi="宋体"/>
                <w:highlight w:val="none"/>
              </w:rPr>
            </w:pPr>
            <w:r>
              <w:rPr>
                <w:rFonts w:hint="eastAsia" w:hAnsi="宋体"/>
                <w:highlight w:val="none"/>
              </w:rPr>
              <w:t>固废</w:t>
            </w:r>
          </w:p>
        </w:tc>
        <w:tc>
          <w:tcPr>
            <w:tcW w:w="1847" w:type="dxa"/>
            <w:gridSpan w:val="2"/>
            <w:vAlign w:val="center"/>
          </w:tcPr>
          <w:p>
            <w:pPr>
              <w:pStyle w:val="64"/>
              <w:rPr>
                <w:rFonts w:hAnsi="宋体"/>
                <w:highlight w:val="none"/>
              </w:rPr>
            </w:pPr>
            <w:r>
              <w:rPr>
                <w:rFonts w:hint="eastAsia" w:hAnsi="宋体"/>
                <w:highlight w:val="none"/>
              </w:rPr>
              <w:t>污染源</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int="eastAsia" w:hAnsi="宋体"/>
                <w:highlight w:val="none"/>
              </w:rPr>
              <w:t>特性</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t/a</w:t>
            </w:r>
          </w:p>
        </w:tc>
        <w:tc>
          <w:tcPr>
            <w:tcW w:w="4128" w:type="dxa"/>
            <w:vAlign w:val="center"/>
          </w:tcPr>
          <w:p>
            <w:pPr>
              <w:pStyle w:val="64"/>
              <w:rPr>
                <w:rFonts w:hAnsi="宋体"/>
                <w:highlight w:val="none"/>
              </w:rPr>
            </w:pPr>
            <w:r>
              <w:rPr>
                <w:rFonts w:hAnsi="宋体"/>
                <w:highlight w:val="none"/>
              </w:rPr>
              <w:t>治理措施</w:t>
            </w:r>
          </w:p>
        </w:tc>
        <w:tc>
          <w:tcPr>
            <w:tcW w:w="2627" w:type="dxa"/>
            <w:gridSpan w:val="3"/>
            <w:vAlign w:val="center"/>
          </w:tcPr>
          <w:p>
            <w:pPr>
              <w:pStyle w:val="64"/>
              <w:rPr>
                <w:rFonts w:hAnsi="宋体"/>
                <w:highlight w:val="none"/>
              </w:rPr>
            </w:pPr>
            <w:r>
              <w:rPr>
                <w:rFonts w:hAnsi="宋体"/>
                <w:highlight w:val="none"/>
              </w:rPr>
              <w:t>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890" w:type="dxa"/>
            <w:vMerge w:val="restart"/>
            <w:vAlign w:val="center"/>
          </w:tcPr>
          <w:p>
            <w:pPr>
              <w:pStyle w:val="64"/>
              <w:rPr>
                <w:rFonts w:hAnsi="宋体"/>
                <w:highlight w:val="none"/>
              </w:rPr>
            </w:pPr>
            <w:r>
              <w:rPr>
                <w:rFonts w:hAnsi="宋体"/>
                <w:highlight w:val="none"/>
              </w:rPr>
              <w:t>尾矿</w:t>
            </w:r>
          </w:p>
        </w:tc>
        <w:tc>
          <w:tcPr>
            <w:tcW w:w="957" w:type="dxa"/>
            <w:vAlign w:val="center"/>
          </w:tcPr>
          <w:p>
            <w:pPr>
              <w:pStyle w:val="64"/>
              <w:rPr>
                <w:rFonts w:hAnsi="宋体"/>
                <w:highlight w:val="none"/>
              </w:rPr>
            </w:pPr>
            <w:r>
              <w:rPr>
                <w:rFonts w:hint="eastAsia" w:hAnsi="宋体"/>
                <w:highlight w:val="none"/>
              </w:rPr>
              <w:t>废石</w:t>
            </w:r>
          </w:p>
        </w:tc>
        <w:tc>
          <w:tcPr>
            <w:tcW w:w="999" w:type="dxa"/>
            <w:vMerge w:val="restart"/>
            <w:vAlign w:val="center"/>
          </w:tcPr>
          <w:p>
            <w:pPr>
              <w:pStyle w:val="64"/>
              <w:rPr>
                <w:rFonts w:hAnsi="宋体"/>
                <w:highlight w:val="none"/>
              </w:rPr>
            </w:pPr>
            <w:r>
              <w:rPr>
                <w:rFonts w:hAnsi="宋体"/>
                <w:highlight w:val="none"/>
              </w:rPr>
              <w:t>/</w:t>
            </w:r>
          </w:p>
        </w:tc>
        <w:tc>
          <w:tcPr>
            <w:tcW w:w="1094" w:type="dxa"/>
            <w:vMerge w:val="restart"/>
            <w:vAlign w:val="center"/>
          </w:tcPr>
          <w:p>
            <w:pPr>
              <w:pStyle w:val="64"/>
              <w:rPr>
                <w:rFonts w:hAnsi="宋体"/>
                <w:highlight w:val="none"/>
              </w:rPr>
            </w:pPr>
            <w:r>
              <w:rPr>
                <w:rFonts w:hAnsi="宋体"/>
                <w:highlight w:val="none"/>
              </w:rPr>
              <w:t>一般固废</w:t>
            </w:r>
          </w:p>
        </w:tc>
        <w:tc>
          <w:tcPr>
            <w:tcW w:w="846" w:type="dxa"/>
            <w:vMerge w:val="restart"/>
            <w:vAlign w:val="center"/>
          </w:tcPr>
          <w:p>
            <w:pPr>
              <w:pStyle w:val="64"/>
              <w:rPr>
                <w:rFonts w:hAnsi="宋体"/>
                <w:highlight w:val="none"/>
              </w:rPr>
            </w:pPr>
            <w:r>
              <w:rPr>
                <w:rFonts w:hAnsi="宋体"/>
                <w:highlight w:val="none"/>
              </w:rPr>
              <w:t>/</w:t>
            </w:r>
          </w:p>
        </w:tc>
        <w:tc>
          <w:tcPr>
            <w:tcW w:w="846" w:type="dxa"/>
            <w:vMerge w:val="restart"/>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int="eastAsia" w:hAnsi="宋体"/>
                <w:highlight w:val="none"/>
              </w:rPr>
              <w:t>19.8</w:t>
            </w:r>
            <w:r>
              <w:rPr>
                <w:rFonts w:hAnsi="宋体"/>
                <w:highlight w:val="none"/>
              </w:rPr>
              <w:t>万</w:t>
            </w:r>
          </w:p>
        </w:tc>
        <w:tc>
          <w:tcPr>
            <w:tcW w:w="4128" w:type="dxa"/>
            <w:vMerge w:val="restart"/>
            <w:vAlign w:val="center"/>
          </w:tcPr>
          <w:p>
            <w:pPr>
              <w:pStyle w:val="64"/>
              <w:rPr>
                <w:rFonts w:hAnsi="宋体"/>
                <w:highlight w:val="none"/>
              </w:rPr>
            </w:pPr>
            <w:r>
              <w:rPr>
                <w:rFonts w:hint="eastAsia" w:hAnsi="宋体"/>
                <w:highlight w:val="none"/>
              </w:rPr>
              <w:t>在废石库内暂存后，</w:t>
            </w:r>
            <w:r>
              <w:rPr>
                <w:rFonts w:hAnsi="宋体"/>
                <w:highlight w:val="none"/>
              </w:rPr>
              <w:t>外售综合利用，销路不畅时送选厂</w:t>
            </w:r>
            <w:r>
              <w:rPr>
                <w:rFonts w:hint="eastAsia" w:hAnsi="宋体"/>
                <w:highlight w:val="none"/>
              </w:rPr>
              <w:t>东</w:t>
            </w:r>
            <w:r>
              <w:rPr>
                <w:rFonts w:hAnsi="宋体"/>
                <w:highlight w:val="none"/>
              </w:rPr>
              <w:t>侧尾矿库堆存</w:t>
            </w:r>
          </w:p>
        </w:tc>
        <w:tc>
          <w:tcPr>
            <w:tcW w:w="2627" w:type="dxa"/>
            <w:gridSpan w:val="3"/>
            <w:vMerge w:val="restart"/>
            <w:vAlign w:val="center"/>
          </w:tcPr>
          <w:p>
            <w:pPr>
              <w:pStyle w:val="64"/>
              <w:rPr>
                <w:rFonts w:hAnsi="宋体"/>
                <w:highlight w:val="none"/>
              </w:rPr>
            </w:pPr>
            <w:r>
              <w:rPr>
                <w:rFonts w:hint="eastAsia" w:hAnsi="宋体"/>
                <w:highlight w:val="none"/>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890" w:type="dxa"/>
            <w:vMerge w:val="continue"/>
            <w:vAlign w:val="center"/>
          </w:tcPr>
          <w:p>
            <w:pPr>
              <w:pStyle w:val="64"/>
              <w:rPr>
                <w:rFonts w:hAnsi="宋体"/>
                <w:highlight w:val="none"/>
              </w:rPr>
            </w:pPr>
          </w:p>
        </w:tc>
        <w:tc>
          <w:tcPr>
            <w:tcW w:w="957" w:type="dxa"/>
            <w:vAlign w:val="center"/>
          </w:tcPr>
          <w:p>
            <w:pPr>
              <w:pStyle w:val="64"/>
              <w:rPr>
                <w:rFonts w:hAnsi="宋体"/>
                <w:highlight w:val="none"/>
              </w:rPr>
            </w:pPr>
            <w:r>
              <w:rPr>
                <w:rFonts w:hAnsi="宋体"/>
                <w:highlight w:val="none"/>
              </w:rPr>
              <w:t>粗砂</w:t>
            </w:r>
          </w:p>
        </w:tc>
        <w:tc>
          <w:tcPr>
            <w:tcW w:w="999" w:type="dxa"/>
            <w:vMerge w:val="continue"/>
            <w:vAlign w:val="center"/>
          </w:tcPr>
          <w:p>
            <w:pPr>
              <w:pStyle w:val="64"/>
              <w:rPr>
                <w:rFonts w:hAnsi="宋体"/>
                <w:highlight w:val="none"/>
              </w:rPr>
            </w:pPr>
          </w:p>
        </w:tc>
        <w:tc>
          <w:tcPr>
            <w:tcW w:w="1094" w:type="dxa"/>
            <w:vMerge w:val="continue"/>
            <w:vAlign w:val="center"/>
          </w:tcPr>
          <w:p>
            <w:pPr>
              <w:pStyle w:val="64"/>
              <w:rPr>
                <w:rFonts w:hAnsi="宋体"/>
                <w:highlight w:val="none"/>
              </w:rPr>
            </w:pPr>
          </w:p>
        </w:tc>
        <w:tc>
          <w:tcPr>
            <w:tcW w:w="846" w:type="dxa"/>
            <w:vMerge w:val="continue"/>
            <w:vAlign w:val="center"/>
          </w:tcPr>
          <w:p>
            <w:pPr>
              <w:pStyle w:val="64"/>
              <w:rPr>
                <w:rFonts w:hAnsi="宋体"/>
                <w:highlight w:val="none"/>
              </w:rPr>
            </w:pPr>
          </w:p>
        </w:tc>
        <w:tc>
          <w:tcPr>
            <w:tcW w:w="846" w:type="dxa"/>
            <w:vMerge w:val="continue"/>
            <w:vAlign w:val="center"/>
          </w:tcPr>
          <w:p>
            <w:pPr>
              <w:pStyle w:val="64"/>
              <w:rPr>
                <w:rFonts w:hAnsi="宋体"/>
                <w:highlight w:val="none"/>
              </w:rPr>
            </w:pPr>
          </w:p>
        </w:tc>
        <w:tc>
          <w:tcPr>
            <w:tcW w:w="968" w:type="dxa"/>
            <w:vAlign w:val="center"/>
          </w:tcPr>
          <w:p>
            <w:pPr>
              <w:pStyle w:val="64"/>
              <w:rPr>
                <w:rFonts w:hAnsi="宋体"/>
                <w:highlight w:val="none"/>
              </w:rPr>
            </w:pPr>
            <w:r>
              <w:rPr>
                <w:rFonts w:hint="eastAsia" w:hAnsi="宋体"/>
                <w:highlight w:val="none"/>
              </w:rPr>
              <w:t>1.11</w:t>
            </w:r>
            <w:r>
              <w:rPr>
                <w:rFonts w:hAnsi="宋体"/>
                <w:highlight w:val="none"/>
              </w:rPr>
              <w:t>万</w:t>
            </w:r>
          </w:p>
        </w:tc>
        <w:tc>
          <w:tcPr>
            <w:tcW w:w="4128" w:type="dxa"/>
            <w:vMerge w:val="continue"/>
            <w:vAlign w:val="center"/>
          </w:tcPr>
          <w:p>
            <w:pPr>
              <w:pStyle w:val="64"/>
              <w:rPr>
                <w:rFonts w:hAnsi="宋体"/>
                <w:highlight w:val="none"/>
              </w:rPr>
            </w:pPr>
          </w:p>
        </w:tc>
        <w:tc>
          <w:tcPr>
            <w:tcW w:w="2627" w:type="dxa"/>
            <w:gridSpan w:val="3"/>
            <w:vMerge w:val="continue"/>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890" w:type="dxa"/>
            <w:vMerge w:val="continue"/>
            <w:vAlign w:val="center"/>
          </w:tcPr>
          <w:p>
            <w:pPr>
              <w:pStyle w:val="64"/>
              <w:rPr>
                <w:rFonts w:hAnsi="宋体"/>
                <w:highlight w:val="none"/>
              </w:rPr>
            </w:pPr>
          </w:p>
        </w:tc>
        <w:tc>
          <w:tcPr>
            <w:tcW w:w="957" w:type="dxa"/>
            <w:vAlign w:val="center"/>
          </w:tcPr>
          <w:p>
            <w:pPr>
              <w:pStyle w:val="64"/>
              <w:rPr>
                <w:rFonts w:hAnsi="宋体"/>
                <w:highlight w:val="none"/>
              </w:rPr>
            </w:pPr>
            <w:r>
              <w:rPr>
                <w:rFonts w:hAnsi="宋体"/>
                <w:highlight w:val="none"/>
              </w:rPr>
              <w:t>尾砂</w:t>
            </w:r>
          </w:p>
        </w:tc>
        <w:tc>
          <w:tcPr>
            <w:tcW w:w="999" w:type="dxa"/>
            <w:vMerge w:val="continue"/>
            <w:vAlign w:val="center"/>
          </w:tcPr>
          <w:p>
            <w:pPr>
              <w:pStyle w:val="64"/>
              <w:rPr>
                <w:rFonts w:hAnsi="宋体"/>
                <w:highlight w:val="none"/>
              </w:rPr>
            </w:pPr>
          </w:p>
        </w:tc>
        <w:tc>
          <w:tcPr>
            <w:tcW w:w="1094" w:type="dxa"/>
            <w:vMerge w:val="continue"/>
            <w:vAlign w:val="center"/>
          </w:tcPr>
          <w:p>
            <w:pPr>
              <w:pStyle w:val="64"/>
              <w:rPr>
                <w:rFonts w:hAnsi="宋体"/>
                <w:highlight w:val="none"/>
              </w:rPr>
            </w:pPr>
          </w:p>
        </w:tc>
        <w:tc>
          <w:tcPr>
            <w:tcW w:w="846" w:type="dxa"/>
            <w:vMerge w:val="continue"/>
            <w:vAlign w:val="center"/>
          </w:tcPr>
          <w:p>
            <w:pPr>
              <w:pStyle w:val="64"/>
              <w:rPr>
                <w:rFonts w:hAnsi="宋体"/>
                <w:highlight w:val="none"/>
              </w:rPr>
            </w:pPr>
          </w:p>
        </w:tc>
        <w:tc>
          <w:tcPr>
            <w:tcW w:w="846" w:type="dxa"/>
            <w:vMerge w:val="continue"/>
            <w:vAlign w:val="center"/>
          </w:tcPr>
          <w:p>
            <w:pPr>
              <w:pStyle w:val="64"/>
              <w:rPr>
                <w:rFonts w:hAnsi="宋体"/>
                <w:highlight w:val="none"/>
              </w:rPr>
            </w:pPr>
          </w:p>
        </w:tc>
        <w:tc>
          <w:tcPr>
            <w:tcW w:w="968" w:type="dxa"/>
            <w:vAlign w:val="center"/>
          </w:tcPr>
          <w:p>
            <w:pPr>
              <w:pStyle w:val="64"/>
              <w:rPr>
                <w:rFonts w:hAnsi="宋体"/>
                <w:highlight w:val="none"/>
              </w:rPr>
            </w:pPr>
            <w:r>
              <w:rPr>
                <w:rFonts w:hint="eastAsia" w:hAnsi="宋体"/>
                <w:highlight w:val="none"/>
              </w:rPr>
              <w:t>0.3</w:t>
            </w:r>
            <w:r>
              <w:rPr>
                <w:rFonts w:hAnsi="宋体"/>
                <w:highlight w:val="none"/>
              </w:rPr>
              <w:t>万</w:t>
            </w:r>
          </w:p>
        </w:tc>
        <w:tc>
          <w:tcPr>
            <w:tcW w:w="4128" w:type="dxa"/>
            <w:vAlign w:val="center"/>
          </w:tcPr>
          <w:p>
            <w:pPr>
              <w:pStyle w:val="64"/>
              <w:rPr>
                <w:rFonts w:hAnsi="宋体"/>
                <w:highlight w:val="none"/>
              </w:rPr>
            </w:pPr>
            <w:r>
              <w:rPr>
                <w:rFonts w:hAnsi="宋体"/>
                <w:highlight w:val="none"/>
              </w:rPr>
              <w:t>于</w:t>
            </w:r>
            <w:r>
              <w:rPr>
                <w:rFonts w:hint="eastAsia" w:hAnsi="宋体"/>
                <w:highlight w:val="none"/>
              </w:rPr>
              <w:t>东</w:t>
            </w:r>
            <w:r>
              <w:rPr>
                <w:rFonts w:hAnsi="宋体"/>
                <w:highlight w:val="none"/>
              </w:rPr>
              <w:t>侧尾矿库合理堆存</w:t>
            </w:r>
          </w:p>
        </w:tc>
        <w:tc>
          <w:tcPr>
            <w:tcW w:w="2627" w:type="dxa"/>
            <w:gridSpan w:val="3"/>
            <w:vAlign w:val="center"/>
          </w:tcPr>
          <w:p>
            <w:pPr>
              <w:pStyle w:val="64"/>
              <w:rPr>
                <w:rFonts w:hAnsi="宋体"/>
                <w:highlight w:val="none"/>
              </w:rPr>
            </w:pPr>
            <w:r>
              <w:rPr>
                <w:rFonts w:hint="eastAsia" w:hAnsi="宋体"/>
                <w:highlight w:val="none"/>
              </w:rPr>
              <w:t>0.3万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除尘器收集的粉尘</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一般固废</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307.8</w:t>
            </w:r>
          </w:p>
        </w:tc>
        <w:tc>
          <w:tcPr>
            <w:tcW w:w="4128" w:type="dxa"/>
            <w:vAlign w:val="center"/>
          </w:tcPr>
          <w:p>
            <w:pPr>
              <w:pStyle w:val="64"/>
              <w:rPr>
                <w:rFonts w:hAnsi="宋体"/>
                <w:highlight w:val="none"/>
              </w:rPr>
            </w:pPr>
            <w:r>
              <w:rPr>
                <w:rFonts w:hAnsi="宋体"/>
                <w:highlight w:val="none"/>
              </w:rPr>
              <w:t>作为原料回用于生产</w:t>
            </w:r>
          </w:p>
        </w:tc>
        <w:tc>
          <w:tcPr>
            <w:tcW w:w="2627" w:type="dxa"/>
            <w:gridSpan w:val="3"/>
            <w:vAlign w:val="center"/>
          </w:tcPr>
          <w:p>
            <w:pPr>
              <w:pStyle w:val="64"/>
              <w:rPr>
                <w:rFonts w:hAnsi="宋体"/>
                <w:highlight w:val="none"/>
              </w:rPr>
            </w:pPr>
            <w:r>
              <w:rPr>
                <w:rFonts w:hint="eastAsia" w:hAnsi="宋体"/>
                <w:highlight w:val="none"/>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生活垃圾</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生活垃圾</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2.25</w:t>
            </w:r>
          </w:p>
        </w:tc>
        <w:tc>
          <w:tcPr>
            <w:tcW w:w="4128" w:type="dxa"/>
            <w:vAlign w:val="center"/>
          </w:tcPr>
          <w:p>
            <w:pPr>
              <w:pStyle w:val="64"/>
              <w:rPr>
                <w:rFonts w:hAnsi="宋体"/>
                <w:highlight w:val="none"/>
              </w:rPr>
            </w:pPr>
            <w:r>
              <w:rPr>
                <w:rFonts w:hAnsi="宋体"/>
                <w:highlight w:val="none"/>
              </w:rPr>
              <w:t>厂内收集后，交当地环卫部门定期清运</w:t>
            </w:r>
          </w:p>
        </w:tc>
        <w:tc>
          <w:tcPr>
            <w:tcW w:w="2627" w:type="dxa"/>
            <w:gridSpan w:val="3"/>
            <w:vAlign w:val="center"/>
          </w:tcPr>
          <w:p>
            <w:pPr>
              <w:pStyle w:val="64"/>
              <w:rPr>
                <w:rFonts w:hAnsi="宋体"/>
                <w:highlight w:val="none"/>
              </w:rPr>
            </w:pPr>
            <w:r>
              <w:rPr>
                <w:rFonts w:hint="eastAsia" w:hAnsi="宋体"/>
                <w:highlight w:val="none"/>
              </w:rPr>
              <w:t>2.25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Merge w:val="continue"/>
            <w:vAlign w:val="center"/>
          </w:tcPr>
          <w:p>
            <w:pPr>
              <w:pStyle w:val="64"/>
              <w:rPr>
                <w:rFonts w:hAnsi="宋体"/>
                <w:highlight w:val="none"/>
              </w:rPr>
            </w:pPr>
          </w:p>
        </w:tc>
        <w:tc>
          <w:tcPr>
            <w:tcW w:w="1847" w:type="dxa"/>
            <w:gridSpan w:val="2"/>
            <w:vAlign w:val="center"/>
          </w:tcPr>
          <w:p>
            <w:pPr>
              <w:pStyle w:val="64"/>
              <w:rPr>
                <w:rFonts w:hAnsi="宋体"/>
                <w:highlight w:val="none"/>
              </w:rPr>
            </w:pPr>
            <w:r>
              <w:rPr>
                <w:rFonts w:hAnsi="宋体"/>
                <w:highlight w:val="none"/>
              </w:rPr>
              <w:t>废机油</w:t>
            </w:r>
          </w:p>
        </w:tc>
        <w:tc>
          <w:tcPr>
            <w:tcW w:w="999" w:type="dxa"/>
            <w:vAlign w:val="center"/>
          </w:tcPr>
          <w:p>
            <w:pPr>
              <w:pStyle w:val="64"/>
              <w:rPr>
                <w:rFonts w:hAnsi="宋体"/>
                <w:highlight w:val="none"/>
              </w:rPr>
            </w:pPr>
            <w:r>
              <w:rPr>
                <w:rFonts w:hAnsi="宋体"/>
                <w:highlight w:val="none"/>
              </w:rPr>
              <w:t>/</w:t>
            </w:r>
          </w:p>
        </w:tc>
        <w:tc>
          <w:tcPr>
            <w:tcW w:w="1094" w:type="dxa"/>
            <w:vAlign w:val="center"/>
          </w:tcPr>
          <w:p>
            <w:pPr>
              <w:pStyle w:val="64"/>
              <w:rPr>
                <w:rFonts w:hAnsi="宋体"/>
                <w:highlight w:val="none"/>
              </w:rPr>
            </w:pPr>
            <w:r>
              <w:rPr>
                <w:rFonts w:hAnsi="宋体"/>
                <w:highlight w:val="none"/>
              </w:rPr>
              <w:t>危废</w:t>
            </w:r>
          </w:p>
        </w:tc>
        <w:tc>
          <w:tcPr>
            <w:tcW w:w="846" w:type="dxa"/>
            <w:vAlign w:val="center"/>
          </w:tcPr>
          <w:p>
            <w:pPr>
              <w:pStyle w:val="64"/>
              <w:rPr>
                <w:rFonts w:hAnsi="宋体"/>
                <w:highlight w:val="none"/>
              </w:rPr>
            </w:pPr>
            <w:r>
              <w:rPr>
                <w:rFonts w:hAnsi="宋体"/>
                <w:highlight w:val="none"/>
              </w:rPr>
              <w:t>/</w:t>
            </w:r>
          </w:p>
        </w:tc>
        <w:tc>
          <w:tcPr>
            <w:tcW w:w="846" w:type="dxa"/>
            <w:vAlign w:val="center"/>
          </w:tcPr>
          <w:p>
            <w:pPr>
              <w:pStyle w:val="64"/>
              <w:rPr>
                <w:rFonts w:hAnsi="宋体"/>
                <w:highlight w:val="none"/>
              </w:rPr>
            </w:pPr>
            <w:r>
              <w:rPr>
                <w:rFonts w:hAnsi="宋体"/>
                <w:highlight w:val="none"/>
              </w:rPr>
              <w:t>/</w:t>
            </w:r>
          </w:p>
        </w:tc>
        <w:tc>
          <w:tcPr>
            <w:tcW w:w="968" w:type="dxa"/>
            <w:vAlign w:val="center"/>
          </w:tcPr>
          <w:p>
            <w:pPr>
              <w:pStyle w:val="64"/>
              <w:rPr>
                <w:rFonts w:hAnsi="宋体"/>
                <w:highlight w:val="none"/>
              </w:rPr>
            </w:pPr>
            <w:r>
              <w:rPr>
                <w:rFonts w:hAnsi="宋体"/>
                <w:highlight w:val="none"/>
              </w:rPr>
              <w:t>0.15</w:t>
            </w:r>
          </w:p>
        </w:tc>
        <w:tc>
          <w:tcPr>
            <w:tcW w:w="4128" w:type="dxa"/>
            <w:vAlign w:val="center"/>
          </w:tcPr>
          <w:p>
            <w:pPr>
              <w:pStyle w:val="64"/>
              <w:rPr>
                <w:rFonts w:hAnsi="宋体"/>
                <w:highlight w:val="none"/>
              </w:rPr>
            </w:pPr>
            <w:r>
              <w:rPr>
                <w:rFonts w:hAnsi="宋体"/>
                <w:highlight w:val="none"/>
              </w:rPr>
              <w:t>危废暂存间暂存，委托有危险废物处理资质的单位处置</w:t>
            </w:r>
          </w:p>
        </w:tc>
        <w:tc>
          <w:tcPr>
            <w:tcW w:w="2627" w:type="dxa"/>
            <w:gridSpan w:val="3"/>
            <w:vAlign w:val="center"/>
          </w:tcPr>
          <w:p>
            <w:pPr>
              <w:pStyle w:val="64"/>
              <w:rPr>
                <w:rFonts w:hAnsi="宋体"/>
                <w:highlight w:val="none"/>
              </w:rPr>
            </w:pPr>
            <w:r>
              <w:rPr>
                <w:rFonts w:hint="eastAsia" w:hAnsi="宋体"/>
                <w:highlight w:val="none"/>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37" w:type="dxa"/>
            <w:vAlign w:val="center"/>
          </w:tcPr>
          <w:p>
            <w:pPr>
              <w:pStyle w:val="64"/>
              <w:rPr>
                <w:rFonts w:hAnsi="宋体"/>
                <w:highlight w:val="none"/>
              </w:rPr>
            </w:pPr>
            <w:r>
              <w:rPr>
                <w:rFonts w:hint="eastAsia" w:hAnsi="宋体"/>
                <w:highlight w:val="none"/>
              </w:rPr>
              <w:t>噪声</w:t>
            </w:r>
          </w:p>
        </w:tc>
        <w:tc>
          <w:tcPr>
            <w:tcW w:w="1847" w:type="dxa"/>
            <w:gridSpan w:val="2"/>
            <w:vAlign w:val="center"/>
          </w:tcPr>
          <w:p>
            <w:pPr>
              <w:pStyle w:val="64"/>
              <w:rPr>
                <w:rFonts w:hAnsi="宋体"/>
                <w:highlight w:val="none"/>
              </w:rPr>
            </w:pPr>
            <w:r>
              <w:rPr>
                <w:rFonts w:hint="eastAsia" w:hAnsi="宋体"/>
                <w:highlight w:val="none"/>
              </w:rPr>
              <w:t>设备</w:t>
            </w:r>
            <w:r>
              <w:rPr>
                <w:rFonts w:hAnsi="宋体"/>
                <w:highlight w:val="none"/>
              </w:rPr>
              <w:t>噪声</w:t>
            </w:r>
          </w:p>
        </w:tc>
        <w:tc>
          <w:tcPr>
            <w:tcW w:w="11508" w:type="dxa"/>
            <w:gridSpan w:val="9"/>
            <w:vAlign w:val="center"/>
          </w:tcPr>
          <w:p>
            <w:pPr>
              <w:pStyle w:val="64"/>
              <w:rPr>
                <w:rFonts w:hAnsi="宋体"/>
                <w:highlight w:val="none"/>
              </w:rPr>
            </w:pPr>
            <w:r>
              <w:rPr>
                <w:rFonts w:hAnsi="宋体"/>
                <w:highlight w:val="none"/>
              </w:rPr>
              <w:t>主要为破碎机、球磨机、磁选机等设备运行时产生的噪声，经隔声、减振、距离衰减后场界满足《工业企业厂界环境噪声排放标准》（GB12348-2008）2类标准的要求。</w:t>
            </w:r>
          </w:p>
        </w:tc>
      </w:tr>
    </w:tbl>
    <w:p>
      <w:pPr>
        <w:widowControl/>
        <w:ind w:firstLine="480"/>
        <w:jc w:val="left"/>
        <w:rPr>
          <w:rFonts w:ascii="宋体" w:hAnsi="宋体"/>
          <w:highlight w:val="none"/>
        </w:rPr>
      </w:pPr>
    </w:p>
    <w:p>
      <w:pPr>
        <w:widowControl/>
        <w:ind w:firstLine="480"/>
        <w:jc w:val="left"/>
        <w:rPr>
          <w:rFonts w:ascii="宋体" w:hAnsi="宋体"/>
          <w:highlight w:val="none"/>
        </w:rPr>
        <w:sectPr>
          <w:pgSz w:w="16838" w:h="11906" w:orient="landscape"/>
          <w:pgMar w:top="1588" w:right="1588" w:bottom="1588" w:left="1474" w:header="850" w:footer="850" w:gutter="0"/>
          <w:pgBorders>
            <w:top w:val="none" w:sz="0" w:space="0"/>
            <w:left w:val="none" w:sz="0" w:space="0"/>
            <w:bottom w:val="none" w:sz="0" w:space="0"/>
            <w:right w:val="none" w:sz="0" w:space="0"/>
          </w:pgBorders>
          <w:cols w:space="720" w:num="1"/>
          <w:docGrid w:linePitch="326" w:charSpace="0"/>
        </w:sectPr>
      </w:pPr>
    </w:p>
    <w:bookmarkEnd w:id="118"/>
    <w:bookmarkEnd w:id="119"/>
    <w:p>
      <w:pPr>
        <w:pStyle w:val="2"/>
        <w:ind w:firstLine="883"/>
        <w:rPr>
          <w:highlight w:val="none"/>
        </w:rPr>
      </w:pPr>
      <w:bookmarkStart w:id="131" w:name="_Toc70201023"/>
      <w:bookmarkStart w:id="132" w:name="_Toc4678437"/>
      <w:bookmarkStart w:id="133" w:name="_Toc474767043"/>
      <w:bookmarkStart w:id="134" w:name="_Toc1460927"/>
      <w:bookmarkStart w:id="135" w:name="_Toc487302093"/>
      <w:r>
        <w:rPr>
          <w:highlight w:val="none"/>
        </w:rPr>
        <w:t>第四章</w:t>
      </w:r>
      <w:r>
        <w:rPr>
          <w:rFonts w:hint="eastAsia"/>
          <w:highlight w:val="none"/>
        </w:rPr>
        <w:t xml:space="preserve">  </w:t>
      </w:r>
      <w:r>
        <w:rPr>
          <w:highlight w:val="none"/>
        </w:rPr>
        <w:t>环境现状调查与评价</w:t>
      </w:r>
      <w:bookmarkEnd w:id="131"/>
      <w:bookmarkEnd w:id="132"/>
    </w:p>
    <w:p>
      <w:pPr>
        <w:pStyle w:val="3"/>
        <w:ind w:firstLine="643"/>
        <w:rPr>
          <w:rFonts w:hAnsi="宋体"/>
          <w:highlight w:val="none"/>
        </w:rPr>
      </w:pPr>
      <w:bookmarkStart w:id="136" w:name="_Toc70201024"/>
      <w:bookmarkStart w:id="137" w:name="_Toc4678443"/>
      <w:r>
        <w:rPr>
          <w:rFonts w:hAnsi="宋体"/>
          <w:highlight w:val="none"/>
        </w:rPr>
        <w:t>4.1项目地理位置</w:t>
      </w:r>
      <w:bookmarkEnd w:id="136"/>
    </w:p>
    <w:p>
      <w:pPr>
        <w:pStyle w:val="62"/>
        <w:ind w:firstLine="480"/>
        <w:rPr>
          <w:rFonts w:hAnsi="宋体"/>
          <w:highlight w:val="none"/>
        </w:rPr>
      </w:pPr>
      <w:r>
        <w:rPr>
          <w:rFonts w:hint="eastAsia" w:hAnsi="宋体"/>
          <w:highlight w:val="none"/>
        </w:rPr>
        <w:t>繁峙县地处山西省东北部，忻州地区东部，东与河北阜平及山西灵丘相邻，西与代县接壤，南与五台交界，北与应县、浑源毗连，县城位于县域西部，滹沱河两岸。地理坐标东经</w:t>
      </w:r>
      <w:r>
        <w:rPr>
          <w:rFonts w:hAnsi="宋体"/>
          <w:highlight w:val="none"/>
        </w:rPr>
        <w:t>113</w:t>
      </w:r>
      <w:r>
        <w:rPr>
          <w:rFonts w:hint="eastAsia" w:hAnsi="宋体"/>
          <w:highlight w:val="none"/>
        </w:rPr>
        <w:t>°</w:t>
      </w:r>
      <w:r>
        <w:rPr>
          <w:rFonts w:hAnsi="宋体"/>
          <w:highlight w:val="none"/>
        </w:rPr>
        <w:t>9</w:t>
      </w:r>
      <w:r>
        <w:rPr>
          <w:rFonts w:hint="eastAsia" w:hAnsi="宋体"/>
          <w:highlight w:val="none"/>
        </w:rPr>
        <w:t>′</w:t>
      </w:r>
      <w:r>
        <w:rPr>
          <w:rFonts w:hAnsi="宋体"/>
          <w:highlight w:val="none"/>
        </w:rPr>
        <w:t>-113</w:t>
      </w:r>
      <w:r>
        <w:rPr>
          <w:rFonts w:hint="eastAsia" w:hAnsi="宋体"/>
          <w:highlight w:val="none"/>
        </w:rPr>
        <w:t>°</w:t>
      </w:r>
      <w:r>
        <w:rPr>
          <w:rFonts w:hAnsi="宋体"/>
          <w:highlight w:val="none"/>
        </w:rPr>
        <w:t>58</w:t>
      </w:r>
      <w:r>
        <w:rPr>
          <w:rFonts w:hint="eastAsia" w:hAnsi="宋体"/>
          <w:highlight w:val="none"/>
        </w:rPr>
        <w:t>′，北纬</w:t>
      </w:r>
      <w:r>
        <w:rPr>
          <w:rFonts w:hAnsi="宋体"/>
          <w:highlight w:val="none"/>
        </w:rPr>
        <w:t>38</w:t>
      </w:r>
      <w:r>
        <w:rPr>
          <w:rFonts w:hint="eastAsia" w:hAnsi="宋体"/>
          <w:highlight w:val="none"/>
        </w:rPr>
        <w:t>°</w:t>
      </w:r>
      <w:r>
        <w:rPr>
          <w:rFonts w:hAnsi="宋体"/>
          <w:highlight w:val="none"/>
        </w:rPr>
        <w:t>58</w:t>
      </w:r>
      <w:r>
        <w:rPr>
          <w:rFonts w:hint="eastAsia" w:hAnsi="宋体"/>
          <w:highlight w:val="none"/>
        </w:rPr>
        <w:t>′</w:t>
      </w:r>
      <w:r>
        <w:rPr>
          <w:rFonts w:hAnsi="宋体"/>
          <w:highlight w:val="none"/>
        </w:rPr>
        <w:t>-39</w:t>
      </w:r>
      <w:r>
        <w:rPr>
          <w:rFonts w:hint="eastAsia" w:hAnsi="宋体"/>
          <w:highlight w:val="none"/>
        </w:rPr>
        <w:t>°</w:t>
      </w:r>
      <w:r>
        <w:rPr>
          <w:rFonts w:hAnsi="宋体"/>
          <w:highlight w:val="none"/>
        </w:rPr>
        <w:t>27</w:t>
      </w:r>
      <w:r>
        <w:rPr>
          <w:rFonts w:hint="eastAsia" w:hAnsi="宋体"/>
          <w:highlight w:val="none"/>
        </w:rPr>
        <w:t>′。县域东西长</w:t>
      </w:r>
      <w:r>
        <w:rPr>
          <w:rFonts w:hAnsi="宋体"/>
          <w:highlight w:val="none"/>
        </w:rPr>
        <w:t>68km</w:t>
      </w:r>
      <w:r>
        <w:rPr>
          <w:rFonts w:hint="eastAsia" w:hAnsi="宋体"/>
          <w:highlight w:val="none"/>
        </w:rPr>
        <w:t>，南北宽</w:t>
      </w:r>
      <w:r>
        <w:rPr>
          <w:rFonts w:hAnsi="宋体"/>
          <w:highlight w:val="none"/>
        </w:rPr>
        <w:t>35km</w:t>
      </w:r>
      <w:r>
        <w:rPr>
          <w:rFonts w:hint="eastAsia" w:hAnsi="宋体"/>
          <w:highlight w:val="none"/>
        </w:rPr>
        <w:t>，总面积</w:t>
      </w:r>
      <w:r>
        <w:rPr>
          <w:rFonts w:hAnsi="宋体"/>
          <w:highlight w:val="none"/>
        </w:rPr>
        <w:t>2368km</w:t>
      </w:r>
      <w:r>
        <w:rPr>
          <w:rFonts w:hAnsi="宋体"/>
          <w:highlight w:val="none"/>
          <w:vertAlign w:val="superscript"/>
        </w:rPr>
        <w:t>2</w:t>
      </w:r>
      <w:r>
        <w:rPr>
          <w:rFonts w:hint="eastAsia" w:hAnsi="宋体"/>
          <w:highlight w:val="none"/>
        </w:rPr>
        <w:t>。</w:t>
      </w:r>
    </w:p>
    <w:p>
      <w:pPr>
        <w:pStyle w:val="62"/>
        <w:ind w:firstLine="480"/>
        <w:rPr>
          <w:rFonts w:hAnsi="宋体"/>
          <w:highlight w:val="none"/>
        </w:rPr>
      </w:pPr>
      <w:r>
        <w:rPr>
          <w:rFonts w:hint="eastAsia" w:hAnsi="宋体"/>
          <w:highlight w:val="none"/>
        </w:rPr>
        <w:t>本项目厂址位于繁峙县光裕堡乡富家庄村东南1.52km处，租赁荒地，厂址中心地理坐标为经度E113.455757°，纬度N39.207388°。</w:t>
      </w:r>
    </w:p>
    <w:p>
      <w:pPr>
        <w:pStyle w:val="62"/>
        <w:ind w:firstLine="480"/>
        <w:rPr>
          <w:rFonts w:hAnsi="宋体"/>
          <w:highlight w:val="none"/>
        </w:rPr>
      </w:pPr>
      <w:r>
        <w:rPr>
          <w:rFonts w:hint="eastAsia" w:hAnsi="宋体"/>
          <w:highlight w:val="none"/>
        </w:rPr>
        <w:t>项目地理位置图见附图4-1，区域位置图见附图4-2，四邻关系图见附图4-3。</w:t>
      </w:r>
    </w:p>
    <w:p>
      <w:pPr>
        <w:pStyle w:val="3"/>
        <w:ind w:firstLine="643"/>
        <w:rPr>
          <w:rFonts w:hAnsi="宋体"/>
          <w:highlight w:val="none"/>
        </w:rPr>
      </w:pPr>
      <w:bookmarkStart w:id="138" w:name="_Toc70201025"/>
      <w:r>
        <w:rPr>
          <w:rFonts w:hAnsi="宋体"/>
          <w:highlight w:val="none"/>
        </w:rPr>
        <w:t>4.2自然环境现状调查与评价</w:t>
      </w:r>
      <w:bookmarkEnd w:id="137"/>
      <w:bookmarkEnd w:id="138"/>
    </w:p>
    <w:p>
      <w:pPr>
        <w:pStyle w:val="4"/>
        <w:ind w:firstLine="562"/>
        <w:rPr>
          <w:rFonts w:hAnsi="宋体"/>
          <w:highlight w:val="none"/>
        </w:rPr>
      </w:pPr>
      <w:r>
        <w:rPr>
          <w:rFonts w:hint="eastAsia" w:hAnsi="宋体"/>
          <w:highlight w:val="none"/>
        </w:rPr>
        <w:t>4.2.1地形地貌</w:t>
      </w:r>
    </w:p>
    <w:p>
      <w:pPr>
        <w:pStyle w:val="62"/>
        <w:ind w:firstLine="480"/>
        <w:rPr>
          <w:rFonts w:hAnsi="宋体"/>
          <w:highlight w:val="none"/>
        </w:rPr>
      </w:pPr>
      <w:r>
        <w:rPr>
          <w:rFonts w:hint="eastAsia" w:hAnsi="宋体"/>
          <w:highlight w:val="none"/>
        </w:rPr>
        <w:t>繁峙县地处黄土高原，沟壑纵横，地形较为复杂。县境山区约占总面积二分之一，是典型的山区县。县境由东北向西南倾斜，东、南、北三面环山，并覆盖大片森林，西和中部低洼，中间是狭长的滹沱河谷地，构成平川、丘陵、石山区三种类型。地势总的趋势北、东、南为中高山，主要分属五台山和恒山山脉，中部地势低，为滹沱河断陷盆地。五台山和恒山呈北东向展布，最大海拔3061.1m，与处于当地侵蚀基准面的滹沱河形成1000m的高差。发育于周边山地的一系列河流均汇入滹沱河。山区基岩露裸，风化作用强烈，形成大量基岩碎屑物，给水流搬运提供了充足的物质来源。河流在山区比降大，夹带运移能力强，河流出山口后，在周边山前形成一系列洪积扇群区，构成滹沱河北、东、南至山边，坡度大，地面开阔的冲洪积倾斜平原。</w:t>
      </w:r>
    </w:p>
    <w:p>
      <w:pPr>
        <w:pStyle w:val="62"/>
        <w:ind w:firstLine="480"/>
        <w:rPr>
          <w:rFonts w:hAnsi="宋体"/>
          <w:highlight w:val="none"/>
        </w:rPr>
      </w:pPr>
      <w:r>
        <w:rPr>
          <w:rFonts w:hint="eastAsia" w:hAnsi="宋体"/>
          <w:highlight w:val="none"/>
        </w:rPr>
        <w:t>本项目拟选厂址位于繁峙县光裕堡乡富家庄村东南1.52km处，地势较为平坦。</w:t>
      </w:r>
    </w:p>
    <w:p>
      <w:pPr>
        <w:pStyle w:val="4"/>
        <w:ind w:firstLine="562"/>
        <w:rPr>
          <w:rFonts w:hAnsi="宋体"/>
          <w:highlight w:val="none"/>
        </w:rPr>
      </w:pPr>
      <w:r>
        <w:rPr>
          <w:rFonts w:hint="eastAsia" w:hAnsi="宋体"/>
          <w:highlight w:val="none"/>
        </w:rPr>
        <w:t>4.2.2气候</w:t>
      </w:r>
    </w:p>
    <w:p>
      <w:pPr>
        <w:pStyle w:val="62"/>
        <w:ind w:firstLine="480"/>
        <w:rPr>
          <w:rFonts w:hAnsi="宋体"/>
          <w:highlight w:val="none"/>
        </w:rPr>
      </w:pPr>
      <w:r>
        <w:rPr>
          <w:rFonts w:hint="eastAsia" w:hAnsi="宋体"/>
          <w:highlight w:val="none"/>
        </w:rPr>
        <w:t>繁峙县由于地形特殊，因此形成了特殊气候：温度低，雨量少，风力大。五台山东西走向，横亘南部，使来自西冷空气受阻于平川，而南来的暖湿空气亦受影响。</w:t>
      </w:r>
    </w:p>
    <w:p>
      <w:pPr>
        <w:pStyle w:val="62"/>
        <w:ind w:firstLine="480"/>
        <w:rPr>
          <w:rFonts w:hAnsi="宋体"/>
          <w:highlight w:val="none"/>
        </w:rPr>
      </w:pPr>
      <w:r>
        <w:rPr>
          <w:rFonts w:hint="eastAsia" w:hAnsi="宋体"/>
          <w:highlight w:val="none"/>
        </w:rPr>
        <w:t>繁峙属温带大陆性气候，一年四季分明。但平川、丘陵区冬长夏短，多数山区则冬长无夏，春秋相连。各季的气候特点是：冬季寒冷少雪，春季干旱多风，夏季雨量集中，秋季凉爽宜人。</w:t>
      </w:r>
    </w:p>
    <w:p>
      <w:pPr>
        <w:pStyle w:val="62"/>
        <w:ind w:firstLine="480"/>
        <w:rPr>
          <w:rFonts w:hAnsi="宋体"/>
          <w:highlight w:val="none"/>
        </w:rPr>
      </w:pPr>
      <w:r>
        <w:rPr>
          <w:rFonts w:hint="eastAsia" w:hAnsi="宋体"/>
          <w:highlight w:val="none"/>
        </w:rPr>
        <w:t>平川区由西向东气温逐渐降低，年平均气温在5℃～8℃之间。丘陵区年平均气温在5℃～7℃之间。山区较复杂，县境东南神堂堡、庄旺一带，为狭窄的山间河谷地带，气候温和，是全县最暖的地区。年平均气温在7℃～10℃之间。最冷的1月份，平均气温-5℃左右；7月份最热，平均气温在22℃～25℃之间。</w:t>
      </w:r>
    </w:p>
    <w:p>
      <w:pPr>
        <w:pStyle w:val="62"/>
        <w:ind w:firstLine="480"/>
        <w:rPr>
          <w:rFonts w:hAnsi="宋体"/>
          <w:highlight w:val="none"/>
        </w:rPr>
      </w:pPr>
      <w:r>
        <w:rPr>
          <w:rFonts w:hint="eastAsia" w:hAnsi="宋体"/>
          <w:highlight w:val="none"/>
        </w:rPr>
        <w:t>全县年平均气温为6.3℃，年平均最高气温为13.9℃，年平均最低气温为-0.3℃，年极端最高气温在7月份，平川区为37.2℃，年极端最低气温在1月份，高山区为-28.5℃。</w:t>
      </w:r>
    </w:p>
    <w:p>
      <w:pPr>
        <w:pStyle w:val="62"/>
        <w:ind w:firstLine="480"/>
        <w:rPr>
          <w:rFonts w:hAnsi="宋体"/>
          <w:highlight w:val="none"/>
        </w:rPr>
      </w:pPr>
      <w:r>
        <w:rPr>
          <w:rFonts w:hint="eastAsia" w:hAnsi="宋体"/>
          <w:highlight w:val="none"/>
        </w:rPr>
        <w:t>繁峙多年平均降水量在350-1000mm，其中有两个多雨区：一是伯强沟东西两侧及以南的五台山区，年平均降水量350-1000mm；另一个恒山部分山区，年降水量为500mm左右。平川中东部为少雨区，年降水量在400mm以下；其余丘陵区在400-500mm之间。其分布特点是：降水量一般随海拔高度的增高而增加。</w:t>
      </w:r>
    </w:p>
    <w:p>
      <w:pPr>
        <w:pStyle w:val="62"/>
        <w:ind w:firstLine="480"/>
        <w:rPr>
          <w:rFonts w:hAnsi="宋体"/>
          <w:highlight w:val="none"/>
        </w:rPr>
      </w:pPr>
      <w:r>
        <w:rPr>
          <w:rFonts w:hint="eastAsia" w:hAnsi="宋体"/>
          <w:highlight w:val="none"/>
        </w:rPr>
        <w:t>繁峙降水量的年、月际变化很大。各季降水量的分配很不均匀。各种性质的降水日数以小雨为最多。年蒸发量是降水量的2倍。</w:t>
      </w:r>
    </w:p>
    <w:p>
      <w:pPr>
        <w:pStyle w:val="62"/>
        <w:ind w:firstLine="480"/>
        <w:rPr>
          <w:rFonts w:hAnsi="宋体"/>
          <w:highlight w:val="none"/>
        </w:rPr>
      </w:pPr>
      <w:r>
        <w:rPr>
          <w:rFonts w:hint="eastAsia" w:hAnsi="宋体"/>
          <w:highlight w:val="none"/>
        </w:rPr>
        <w:t>繁峙县每年10月份封冻，翌年5月冰融，霜冻期自每年9月中下旬至次年4月上旬，无霜期90~120天，最大冻土深度0.5~1.0m。</w:t>
      </w:r>
    </w:p>
    <w:p>
      <w:pPr>
        <w:pStyle w:val="4"/>
        <w:ind w:firstLine="562"/>
        <w:rPr>
          <w:rFonts w:hAnsi="宋体"/>
          <w:highlight w:val="none"/>
        </w:rPr>
      </w:pPr>
      <w:r>
        <w:rPr>
          <w:rFonts w:hint="eastAsia" w:hAnsi="宋体"/>
          <w:highlight w:val="none"/>
        </w:rPr>
        <w:t>4.2.3地表水</w:t>
      </w:r>
    </w:p>
    <w:p>
      <w:pPr>
        <w:pStyle w:val="62"/>
        <w:ind w:firstLine="480"/>
        <w:rPr>
          <w:rFonts w:hAnsi="宋体"/>
          <w:highlight w:val="none"/>
        </w:rPr>
      </w:pPr>
      <w:r>
        <w:rPr>
          <w:rFonts w:hint="eastAsia" w:hAnsi="宋体"/>
          <w:highlight w:val="none"/>
        </w:rPr>
        <w:t>繁峙境内有滹沱河、青羊河两大干流。滹沱河的主要支流有15条，主要有马峪河、赵庄河、峨河、羊眼河等。</w:t>
      </w:r>
    </w:p>
    <w:p>
      <w:pPr>
        <w:pStyle w:val="62"/>
        <w:ind w:firstLine="480"/>
        <w:rPr>
          <w:rFonts w:hAnsi="宋体"/>
          <w:highlight w:val="none"/>
        </w:rPr>
      </w:pPr>
      <w:r>
        <w:rPr>
          <w:rFonts w:hint="eastAsia" w:hAnsi="宋体"/>
          <w:highlight w:val="none"/>
        </w:rPr>
        <w:t>滹沱河源于东南泰戏山脚下桥儿沟的青龙泉，河流至上浪涧郝家湾即潜入地下，而再出于永兴东，暗流20余km。西流15km，至笔峰村出县境入代县，境内全长80km。</w:t>
      </w:r>
    </w:p>
    <w:p>
      <w:pPr>
        <w:pStyle w:val="62"/>
        <w:ind w:firstLine="480"/>
        <w:rPr>
          <w:rFonts w:hAnsi="宋体"/>
          <w:highlight w:val="none"/>
        </w:rPr>
      </w:pPr>
      <w:r>
        <w:rPr>
          <w:rFonts w:hint="eastAsia" w:hAnsi="宋体"/>
          <w:highlight w:val="none"/>
        </w:rPr>
        <w:t>峨河：是滹沱河一级支流，发源于繁峙县五台山北台西侧的大东沟，流经宽滩、岩头等56个行政村，于代县南留属旧村入滹沱河。峨河主河道全长47km，流域面积400.31km</w:t>
      </w:r>
      <w:r>
        <w:rPr>
          <w:rFonts w:hint="eastAsia" w:hAnsi="宋体"/>
          <w:highlight w:val="none"/>
          <w:vertAlign w:val="superscript"/>
        </w:rPr>
        <w:t>2</w:t>
      </w:r>
      <w:r>
        <w:rPr>
          <w:rFonts w:hint="eastAsia" w:hAnsi="宋体"/>
          <w:highlight w:val="none"/>
        </w:rPr>
        <w:t>，多年平均径流量6342万m</w:t>
      </w:r>
      <w:r>
        <w:rPr>
          <w:rFonts w:hint="eastAsia" w:hAnsi="宋体"/>
          <w:highlight w:val="none"/>
          <w:vertAlign w:val="superscript"/>
        </w:rPr>
        <w:t>3</w:t>
      </w:r>
      <w:r>
        <w:rPr>
          <w:rFonts w:hint="eastAsia" w:hAnsi="宋体"/>
          <w:highlight w:val="none"/>
        </w:rPr>
        <w:t>，一般流量1.1-5.0m</w:t>
      </w:r>
      <w:r>
        <w:rPr>
          <w:rFonts w:hint="eastAsia" w:hAnsi="宋体"/>
          <w:highlight w:val="none"/>
          <w:vertAlign w:val="superscript"/>
        </w:rPr>
        <w:t>3</w:t>
      </w:r>
      <w:r>
        <w:rPr>
          <w:rFonts w:hint="eastAsia" w:hAnsi="宋体"/>
          <w:highlight w:val="none"/>
        </w:rPr>
        <w:t>/s，洪水期最大流量69.5m</w:t>
      </w:r>
      <w:r>
        <w:rPr>
          <w:rFonts w:hint="eastAsia" w:hAnsi="宋体"/>
          <w:highlight w:val="none"/>
          <w:vertAlign w:val="superscript"/>
        </w:rPr>
        <w:t>3</w:t>
      </w:r>
      <w:r>
        <w:rPr>
          <w:rFonts w:hint="eastAsia" w:hAnsi="宋体"/>
          <w:highlight w:val="none"/>
        </w:rPr>
        <w:t>/s。</w:t>
      </w:r>
    </w:p>
    <w:p>
      <w:pPr>
        <w:pStyle w:val="62"/>
        <w:ind w:firstLine="480"/>
        <w:rPr>
          <w:rFonts w:hAnsi="宋体"/>
          <w:highlight w:val="none"/>
        </w:rPr>
      </w:pPr>
      <w:r>
        <w:rPr>
          <w:rFonts w:hint="eastAsia" w:hAnsi="宋体"/>
          <w:highlight w:val="none"/>
        </w:rPr>
        <w:t>青羊河亦称大砂河，是海河流域大青河水系最上游的支流之一。发源于东台顶下的古华岩村，经神堂堡、至茨沟营出境，入河北省阜平县，归于大青河，境内全长30km。</w:t>
      </w:r>
    </w:p>
    <w:p>
      <w:pPr>
        <w:pStyle w:val="62"/>
        <w:ind w:firstLine="480"/>
        <w:rPr>
          <w:rFonts w:hAnsi="宋体"/>
          <w:highlight w:val="none"/>
        </w:rPr>
      </w:pPr>
      <w:r>
        <w:rPr>
          <w:rFonts w:hint="eastAsia" w:hAnsi="宋体"/>
          <w:highlight w:val="none"/>
        </w:rPr>
        <w:t>距离本项目最近的河流为滹沱河，位于本项目西北侧1.59km。本项目厂区雨水首先向东出厂，然后顺着厂区东侧冲沟向西北流经1.59km排入滹沱河。</w:t>
      </w:r>
    </w:p>
    <w:p>
      <w:pPr>
        <w:pStyle w:val="62"/>
        <w:ind w:firstLine="480"/>
        <w:rPr>
          <w:rFonts w:hAnsi="宋体"/>
          <w:highlight w:val="none"/>
        </w:rPr>
      </w:pPr>
      <w:r>
        <w:rPr>
          <w:rFonts w:hint="eastAsia" w:hAnsi="宋体"/>
          <w:highlight w:val="none"/>
        </w:rPr>
        <w:t>本项目与繁峙县河流水系相对位置图见附图4-4。</w:t>
      </w:r>
    </w:p>
    <w:p>
      <w:pPr>
        <w:pStyle w:val="4"/>
        <w:ind w:firstLine="562"/>
        <w:rPr>
          <w:rFonts w:hAnsi="宋体"/>
          <w:highlight w:val="none"/>
        </w:rPr>
      </w:pPr>
      <w:r>
        <w:rPr>
          <w:rFonts w:hint="eastAsia" w:hAnsi="宋体"/>
          <w:highlight w:val="none"/>
        </w:rPr>
        <w:t>4.2.4地下水</w:t>
      </w:r>
    </w:p>
    <w:p>
      <w:pPr>
        <w:pStyle w:val="62"/>
        <w:ind w:firstLine="480"/>
        <w:rPr>
          <w:rFonts w:hAnsi="宋体"/>
          <w:highlight w:val="none"/>
        </w:rPr>
      </w:pPr>
      <w:r>
        <w:rPr>
          <w:rFonts w:hint="eastAsia" w:hAnsi="宋体"/>
          <w:highlight w:val="none"/>
        </w:rPr>
        <w:t>繁峙县周围地下水埋藏较为丰富，滹沱河北岸以承压水为主，南岸以潜水为主，局部地区分布有承压水。地下水流向北岸由东南流向滹沱河，南岸由东北流向滹沱河，平均水力坡度5‰。</w:t>
      </w:r>
    </w:p>
    <w:p>
      <w:pPr>
        <w:pStyle w:val="62"/>
        <w:ind w:firstLine="480"/>
        <w:rPr>
          <w:rFonts w:hAnsi="宋体"/>
          <w:highlight w:val="none"/>
        </w:rPr>
      </w:pPr>
      <w:r>
        <w:rPr>
          <w:rFonts w:hint="eastAsia" w:hAnsi="宋体"/>
          <w:highlight w:val="none"/>
        </w:rPr>
        <w:t>根据山西省水利局编印的《地下水储量计算资料》记载，全县地下水储量25.79亿吨/年，调节储量1.08亿吨/年，动储量3.12亿吨/年，可采储量4.2亿吨/年。青羊河山区地下水为变质岩裂隙含水岩系，地下水主要赋存于风化裂隙及构造裂隙之中，水质类型多为HCO</w:t>
      </w:r>
      <w:r>
        <w:rPr>
          <w:rFonts w:hint="eastAsia" w:hAnsi="宋体"/>
          <w:highlight w:val="none"/>
          <w:vertAlign w:val="subscript"/>
        </w:rPr>
        <w:t>3</w:t>
      </w:r>
      <w:r>
        <w:rPr>
          <w:rFonts w:hint="eastAsia" w:hAnsi="宋体"/>
          <w:highlight w:val="none"/>
        </w:rPr>
        <w:t>-Ca•Mg型，矿化度小于0.5g/L，PH值7.3～8.9；该区地下水补给来源主要为大气降水，此外还有地表水的补给，地下水排泄方向大致与地表水一致；</w:t>
      </w:r>
    </w:p>
    <w:p>
      <w:pPr>
        <w:pStyle w:val="62"/>
        <w:ind w:firstLine="480"/>
        <w:rPr>
          <w:rFonts w:hAnsi="宋体"/>
          <w:highlight w:val="none"/>
        </w:rPr>
      </w:pPr>
      <w:r>
        <w:rPr>
          <w:rFonts w:hint="eastAsia" w:hAnsi="宋体"/>
          <w:highlight w:val="none"/>
        </w:rPr>
        <w:t>该区含水岩系为一般山丘区，接受大气降水补给之后，主要沿石英岩、夹千枚岩和白云岩裂隙直接向沟谷排泄，或以泉的形式排泄于沟谷低处，从上游至下游水量逐渐加大，常以清水流量和侧向排泄的形式排至外区；按水文地质条件分为一般山丘区，地下水动态属降水入渗补给型，地下水多年动态稳定。滹沱河山区地下水类型按水介质和水动力特征可划分为：变质岩基岩类裂隙水、碳酸盐岩类裂隙岩溶水和松散眼裂孔隙水等三类。</w:t>
      </w:r>
    </w:p>
    <w:p>
      <w:pPr>
        <w:pStyle w:val="62"/>
        <w:ind w:firstLine="480"/>
        <w:rPr>
          <w:rFonts w:hAnsi="宋体"/>
          <w:highlight w:val="none"/>
        </w:rPr>
      </w:pPr>
      <w:r>
        <w:rPr>
          <w:rFonts w:hint="eastAsia" w:hAnsi="宋体"/>
          <w:highlight w:val="none"/>
        </w:rPr>
        <w:t>繁峙县水文地质图见附图4-5。</w:t>
      </w:r>
    </w:p>
    <w:p>
      <w:pPr>
        <w:pStyle w:val="4"/>
        <w:ind w:firstLine="562"/>
        <w:rPr>
          <w:rFonts w:hAnsi="宋体"/>
          <w:highlight w:val="none"/>
        </w:rPr>
      </w:pPr>
      <w:r>
        <w:rPr>
          <w:rFonts w:hint="eastAsia" w:hAnsi="宋体"/>
          <w:highlight w:val="none"/>
        </w:rPr>
        <w:t>4.2.5水源地</w:t>
      </w:r>
    </w:p>
    <w:p>
      <w:pPr>
        <w:pStyle w:val="62"/>
        <w:ind w:firstLine="480"/>
        <w:rPr>
          <w:rFonts w:hAnsi="宋体"/>
          <w:highlight w:val="none"/>
        </w:rPr>
      </w:pPr>
    </w:p>
    <w:p>
      <w:pPr>
        <w:pStyle w:val="62"/>
        <w:ind w:firstLine="480"/>
        <w:rPr>
          <w:rFonts w:hint="eastAsia" w:hAnsi="宋体" w:eastAsia="宋体"/>
          <w:highlight w:val="none"/>
          <w:lang w:eastAsia="zh-CN"/>
        </w:rPr>
      </w:pPr>
      <w:r>
        <w:rPr>
          <w:rFonts w:hint="eastAsia" w:hAnsi="宋体"/>
          <w:highlight w:val="none"/>
          <w:lang w:eastAsia="zh-CN"/>
        </w:rPr>
        <w:t>略</w:t>
      </w:r>
    </w:p>
    <w:p>
      <w:pPr>
        <w:pStyle w:val="62"/>
        <w:ind w:firstLine="480"/>
        <w:rPr>
          <w:rFonts w:hAnsi="宋体"/>
          <w:highlight w:val="none"/>
        </w:rPr>
      </w:pPr>
    </w:p>
    <w:p>
      <w:pPr>
        <w:pStyle w:val="4"/>
        <w:ind w:firstLine="562"/>
        <w:rPr>
          <w:rFonts w:hAnsi="宋体"/>
          <w:highlight w:val="none"/>
        </w:rPr>
      </w:pPr>
      <w:r>
        <w:rPr>
          <w:rFonts w:hint="eastAsia" w:hAnsi="宋体"/>
          <w:highlight w:val="none"/>
        </w:rPr>
        <w:t>4.2.6地质</w:t>
      </w:r>
    </w:p>
    <w:p>
      <w:pPr>
        <w:pStyle w:val="62"/>
        <w:ind w:firstLine="480"/>
        <w:rPr>
          <w:rFonts w:hAnsi="宋体"/>
          <w:highlight w:val="none"/>
        </w:rPr>
      </w:pPr>
      <w:r>
        <w:rPr>
          <w:rFonts w:hint="eastAsia" w:hAnsi="宋体"/>
          <w:highlight w:val="none"/>
        </w:rPr>
        <w:t>本区大地构造处于中朝准地台山西断隆（Ⅱ2）五台山断拱（Ⅲ5）五台山凸起（Ⅳ8）中北部。区域上出露的地层以太古界五台超群石咀群庄旺组、文溪组、台怀亚群鸿门岩组地层为主，还分布有少量长城系高于庄组、古生界寒武系，新生界第四系地层（分布于区内山坡阴坡及沟谷中）。岩浆岩主要有五台期侵入形成的变质超基性岩（边山一带）、变质中酸性侵入岩体、吕梁期侵入的辉长辉绿岩（脉）、燕山期侵入形成的石英斑岩脉、流纹斑岩脉等。</w:t>
      </w:r>
    </w:p>
    <w:p>
      <w:pPr>
        <w:pStyle w:val="62"/>
        <w:ind w:firstLine="480"/>
        <w:rPr>
          <w:rFonts w:hAnsi="宋体"/>
          <w:highlight w:val="none"/>
        </w:rPr>
      </w:pPr>
      <w:r>
        <w:rPr>
          <w:rFonts w:hint="eastAsia" w:hAnsi="宋体"/>
          <w:highlight w:val="none"/>
        </w:rPr>
        <w:t>区域内太古界地层（岩石）经历了角闪岩相-高绿片岩相变质作用，其岩石至少反映了两次以上变质变形改造，岩石变形强烈，构造上形成复杂的重褶褶皱，地层多有倒转或同斜等特点。断裂构造主要为北东向和北西向，其中北西向断裂多为吕梁期辉绿岩贯入。</w:t>
      </w:r>
    </w:p>
    <w:p>
      <w:pPr>
        <w:pStyle w:val="4"/>
        <w:ind w:firstLine="562"/>
        <w:rPr>
          <w:rFonts w:hAnsi="宋体"/>
          <w:highlight w:val="none"/>
        </w:rPr>
      </w:pPr>
      <w:r>
        <w:rPr>
          <w:rFonts w:hint="eastAsia" w:hAnsi="宋体"/>
          <w:highlight w:val="none"/>
        </w:rPr>
        <w:t>4.2.7矿产资源</w:t>
      </w:r>
    </w:p>
    <w:p>
      <w:pPr>
        <w:pStyle w:val="62"/>
        <w:ind w:firstLine="480"/>
        <w:rPr>
          <w:rFonts w:hAnsi="宋体"/>
          <w:highlight w:val="none"/>
        </w:rPr>
      </w:pPr>
      <w:r>
        <w:rPr>
          <w:rFonts w:hint="eastAsia" w:hAnsi="宋体"/>
          <w:highlight w:val="none"/>
        </w:rPr>
        <w:t>繁峙县山多、坡广、滩大，土地资源、植物资源、矿产资源相当丰富。县内矿产资源品种多、储量大、品位高、分布广。现已初步探明的有金、银、铜、铁、铅、钼、锌、硫铁、石灰岩、云母、褐煤等27种，矿床点98处，钼矿探明储量61809t，占全省探明储量的85%，居全省首位；金矿储量亦居全省之首，初步探明义兴寨、辛庄、耿庄3个岩金矿床的纯金储量为20t；铁矿探明储量5亿吨，平均品位达32%。现已开采的矿种有铁、金、云母、褐煤、长石、硫等8种。</w:t>
      </w:r>
    </w:p>
    <w:p>
      <w:pPr>
        <w:pStyle w:val="62"/>
        <w:ind w:firstLine="480"/>
        <w:rPr>
          <w:rFonts w:hAnsi="宋体"/>
          <w:highlight w:val="none"/>
        </w:rPr>
      </w:pPr>
      <w:r>
        <w:rPr>
          <w:rFonts w:hint="eastAsia" w:hAnsi="宋体"/>
          <w:highlight w:val="none"/>
        </w:rPr>
        <w:t>铁矿：在县境南北两山均有分布，以磁铁矿和赤铁矿为主，已探明储量3.38亿吨。矿石品位-250目占90%以上，磁选铁精矿品位高达65％。</w:t>
      </w:r>
    </w:p>
    <w:p>
      <w:pPr>
        <w:pStyle w:val="4"/>
        <w:ind w:firstLine="562"/>
        <w:rPr>
          <w:rFonts w:hAnsi="宋体"/>
          <w:highlight w:val="none"/>
        </w:rPr>
      </w:pPr>
      <w:r>
        <w:rPr>
          <w:rFonts w:hint="eastAsia" w:hAnsi="宋体"/>
          <w:highlight w:val="none"/>
        </w:rPr>
        <w:t>4.2.8自然生态环境</w:t>
      </w:r>
    </w:p>
    <w:p>
      <w:pPr>
        <w:pStyle w:val="62"/>
        <w:ind w:firstLine="480"/>
        <w:rPr>
          <w:rFonts w:hAnsi="宋体"/>
          <w:highlight w:val="none"/>
        </w:rPr>
      </w:pPr>
      <w:r>
        <w:rPr>
          <w:rFonts w:hint="eastAsia" w:hAnsi="宋体"/>
          <w:highlight w:val="none"/>
        </w:rPr>
        <w:t>4.2.8.1土壤</w:t>
      </w:r>
    </w:p>
    <w:p>
      <w:pPr>
        <w:pStyle w:val="62"/>
        <w:ind w:firstLine="480"/>
        <w:rPr>
          <w:rFonts w:hAnsi="宋体"/>
          <w:highlight w:val="none"/>
        </w:rPr>
      </w:pPr>
      <w:r>
        <w:rPr>
          <w:rFonts w:hint="eastAsia" w:hAnsi="宋体"/>
          <w:highlight w:val="none"/>
        </w:rPr>
        <w:t>繁峙县境内土壤分褐土、山地栗钙土、山地棕壤、盐化草甸土等四大类。褐土分为淡褐土、淡褐土性土、山地褐土、山地淋溶褐土。</w:t>
      </w:r>
    </w:p>
    <w:p>
      <w:pPr>
        <w:pStyle w:val="62"/>
        <w:ind w:firstLine="480"/>
        <w:rPr>
          <w:rFonts w:hAnsi="宋体"/>
          <w:highlight w:val="none"/>
        </w:rPr>
      </w:pPr>
      <w:r>
        <w:rPr>
          <w:rFonts w:hint="eastAsia" w:hAnsi="宋体"/>
          <w:highlight w:val="none"/>
        </w:rPr>
        <w:t>淡褐土：占地379.5km</w:t>
      </w:r>
      <w:r>
        <w:rPr>
          <w:rFonts w:hint="eastAsia" w:hAnsi="宋体"/>
          <w:highlight w:val="none"/>
          <w:vertAlign w:val="superscript"/>
        </w:rPr>
        <w:t>2</w:t>
      </w:r>
      <w:r>
        <w:rPr>
          <w:rFonts w:hint="eastAsia" w:hAnsi="宋体"/>
          <w:highlight w:val="none"/>
        </w:rPr>
        <w:t>，占褐土总面积的17.63%；主要分布在县城南部、下茹越南部、集义庄的北部、南部、砂河镇的南部、柏家庄的南部、大营镇的西部、金山铺的北部、东南部、杏园的北部、光峪堡的北部，此外东山的北部也有少许分布。</w:t>
      </w:r>
    </w:p>
    <w:p>
      <w:pPr>
        <w:pStyle w:val="62"/>
        <w:ind w:firstLine="480"/>
        <w:rPr>
          <w:rFonts w:hAnsi="宋体"/>
          <w:highlight w:val="none"/>
        </w:rPr>
      </w:pPr>
      <w:r>
        <w:rPr>
          <w:rFonts w:hint="eastAsia" w:hAnsi="宋体"/>
          <w:highlight w:val="none"/>
        </w:rPr>
        <w:t>淡褐土性土：广泛分布在丘陵区，包括洪积扇中上部，海拔1100～1500m，占地520.3km2，占褐土总面积的24.17%；主要分布在县城的中南部、下茹越中部、砂河镇的中部、柏家庄的南部、东北角、大营镇的东北部、南部、横洞的西部、中部、杏园的中部、光峪堡的中北部，此外东山的北部、金山铺的中部、集义庄的南部、岩头的西北角还有少量分布。</w:t>
      </w:r>
    </w:p>
    <w:p>
      <w:pPr>
        <w:pStyle w:val="62"/>
        <w:ind w:firstLine="480"/>
        <w:rPr>
          <w:rFonts w:hAnsi="宋体"/>
          <w:highlight w:val="none"/>
        </w:rPr>
      </w:pPr>
      <w:r>
        <w:rPr>
          <w:rFonts w:hint="eastAsia" w:hAnsi="宋体"/>
          <w:highlight w:val="none"/>
        </w:rPr>
        <w:t>山地褐土：广泛分布在五台山低山区和恒山山区，海拔在1250～1800m范围，占地1093.7km</w:t>
      </w:r>
      <w:r>
        <w:rPr>
          <w:rFonts w:hint="eastAsia" w:hAnsi="宋体"/>
          <w:highlight w:val="none"/>
          <w:vertAlign w:val="superscript"/>
        </w:rPr>
        <w:t>2</w:t>
      </w:r>
      <w:r>
        <w:rPr>
          <w:rFonts w:hint="eastAsia" w:hAnsi="宋体"/>
          <w:highlight w:val="none"/>
        </w:rPr>
        <w:t>，占褐土总面积的50.8%；是在草灌植被下发育起来的土壤，地表有薄层草皮层及枯枝落叶层，主要有黄刺玫、榛子、蓝花棘豆、胡枝子、早熟禾、蒿类等自然植被；</w:t>
      </w:r>
    </w:p>
    <w:p>
      <w:pPr>
        <w:pStyle w:val="62"/>
        <w:ind w:firstLine="480"/>
        <w:rPr>
          <w:rFonts w:hAnsi="宋体"/>
          <w:highlight w:val="none"/>
        </w:rPr>
      </w:pPr>
      <w:r>
        <w:rPr>
          <w:rFonts w:hint="eastAsia" w:hAnsi="宋体"/>
          <w:highlight w:val="none"/>
        </w:rPr>
        <w:t>主要分布在县城北部、下茹越中北部、砂河镇西部、柏家庄北部、杏园东南部、岩头西部、光峪堡南部、东山中部大部分区域、金山铺南部、神堂堡大部分地区，此外大营镇东北部、横洞南部、东部有少量分布。</w:t>
      </w:r>
    </w:p>
    <w:p>
      <w:pPr>
        <w:pStyle w:val="62"/>
        <w:ind w:firstLine="480"/>
        <w:rPr>
          <w:rFonts w:hAnsi="宋体"/>
          <w:highlight w:val="none"/>
        </w:rPr>
      </w:pPr>
      <w:r>
        <w:rPr>
          <w:rFonts w:hint="eastAsia" w:hAnsi="宋体"/>
          <w:highlight w:val="none"/>
        </w:rPr>
        <w:t>山地淋溶褐土：占地159.5km</w:t>
      </w:r>
      <w:r>
        <w:rPr>
          <w:rFonts w:hint="eastAsia" w:hAnsi="宋体"/>
          <w:highlight w:val="none"/>
          <w:vertAlign w:val="superscript"/>
        </w:rPr>
        <w:t>2</w:t>
      </w:r>
      <w:r>
        <w:rPr>
          <w:rFonts w:hint="eastAsia" w:hAnsi="宋体"/>
          <w:highlight w:val="none"/>
        </w:rPr>
        <w:t>，占褐土总面积的7.41%；主要分布在岩头中部、南部，在县城北部、神堂堡南部还有极少分布。</w:t>
      </w:r>
    </w:p>
    <w:p>
      <w:pPr>
        <w:pStyle w:val="62"/>
        <w:ind w:firstLine="480"/>
        <w:rPr>
          <w:rFonts w:hAnsi="宋体"/>
          <w:highlight w:val="none"/>
        </w:rPr>
      </w:pPr>
      <w:r>
        <w:rPr>
          <w:rFonts w:hint="eastAsia" w:hAnsi="宋体"/>
          <w:highlight w:val="none"/>
        </w:rPr>
        <w:t>山地栗钙土：分布少，只有县城东北角、下茹越西北角有少量分布，占地面积11.4km</w:t>
      </w:r>
      <w:r>
        <w:rPr>
          <w:rFonts w:hint="eastAsia" w:hAnsi="宋体"/>
          <w:highlight w:val="none"/>
          <w:vertAlign w:val="superscript"/>
        </w:rPr>
        <w:t>2</w:t>
      </w:r>
      <w:r>
        <w:rPr>
          <w:rFonts w:hint="eastAsia" w:hAnsi="宋体"/>
          <w:highlight w:val="none"/>
        </w:rPr>
        <w:t>，只占总面积的0-5%。</w:t>
      </w:r>
    </w:p>
    <w:p>
      <w:pPr>
        <w:pStyle w:val="62"/>
        <w:ind w:firstLine="480"/>
        <w:rPr>
          <w:rFonts w:hAnsi="宋体"/>
          <w:highlight w:val="none"/>
        </w:rPr>
      </w:pPr>
      <w:r>
        <w:rPr>
          <w:rFonts w:hint="eastAsia" w:hAnsi="宋体"/>
          <w:highlight w:val="none"/>
        </w:rPr>
        <w:t>山地棕壤：分布在宽滩、伯强、庄旺等山区的次生林区，海拔在2000～2400m之间，是主要在云杉、华北落叶松、白桦等针阔叶林植被下发育起来的土壤，主要分布在岩头中部、东部、东山南部，占地176km</w:t>
      </w:r>
      <w:r>
        <w:rPr>
          <w:rFonts w:hint="eastAsia" w:hAnsi="宋体"/>
          <w:highlight w:val="none"/>
          <w:vertAlign w:val="superscript"/>
        </w:rPr>
        <w:t>2</w:t>
      </w:r>
      <w:r>
        <w:rPr>
          <w:rFonts w:hint="eastAsia" w:hAnsi="宋体"/>
          <w:highlight w:val="none"/>
        </w:rPr>
        <w:t>，占总面积的7.5%。</w:t>
      </w:r>
    </w:p>
    <w:p>
      <w:pPr>
        <w:pStyle w:val="62"/>
        <w:ind w:firstLine="480"/>
        <w:rPr>
          <w:rFonts w:hAnsi="宋体"/>
          <w:highlight w:val="none"/>
        </w:rPr>
      </w:pPr>
      <w:r>
        <w:rPr>
          <w:rFonts w:hint="eastAsia" w:hAnsi="宋体"/>
          <w:highlight w:val="none"/>
        </w:rPr>
        <w:t>盐化草甸土：分布在滹沱河两岸的河漫滩以及一级阶地上，海拔950～1100m，主要分布在金山铺中部，砂河镇东南角有少许分布，占地25.8km</w:t>
      </w:r>
      <w:r>
        <w:rPr>
          <w:rFonts w:hint="eastAsia" w:hAnsi="宋体"/>
          <w:highlight w:val="none"/>
          <w:vertAlign w:val="superscript"/>
        </w:rPr>
        <w:t>2</w:t>
      </w:r>
      <w:r>
        <w:rPr>
          <w:rFonts w:hint="eastAsia" w:hAnsi="宋体"/>
          <w:highlight w:val="none"/>
        </w:rPr>
        <w:t>，占总面积的1.1%。</w:t>
      </w:r>
    </w:p>
    <w:p>
      <w:pPr>
        <w:pStyle w:val="62"/>
        <w:ind w:firstLine="480"/>
        <w:rPr>
          <w:rFonts w:hAnsi="宋体"/>
          <w:highlight w:val="none"/>
        </w:rPr>
      </w:pPr>
      <w:r>
        <w:rPr>
          <w:rFonts w:hint="eastAsia" w:hAnsi="宋体"/>
          <w:highlight w:val="none"/>
        </w:rPr>
        <w:t>项目区土壤类型主要为山地褐土。项目区属低中山区，自然植被差，侵蚀严重表土大量流失，不少地方岩石裸露，土层薄，肥力低。</w:t>
      </w:r>
    </w:p>
    <w:p>
      <w:pPr>
        <w:pStyle w:val="62"/>
        <w:ind w:firstLine="480"/>
        <w:rPr>
          <w:rFonts w:hAnsi="宋体"/>
          <w:highlight w:val="none"/>
        </w:rPr>
      </w:pPr>
      <w:r>
        <w:rPr>
          <w:rFonts w:hint="eastAsia" w:hAnsi="宋体"/>
          <w:highlight w:val="none"/>
        </w:rPr>
        <w:t>4.2.8.2生物资源</w:t>
      </w:r>
    </w:p>
    <w:p>
      <w:pPr>
        <w:pStyle w:val="62"/>
        <w:ind w:firstLine="480"/>
        <w:rPr>
          <w:rFonts w:hAnsi="宋体"/>
          <w:highlight w:val="none"/>
        </w:rPr>
      </w:pPr>
      <w:r>
        <w:rPr>
          <w:rFonts w:hint="eastAsia" w:hAnsi="宋体"/>
          <w:highlight w:val="none"/>
        </w:rPr>
        <w:t>繁峙县山多、坡广、滩大，土地资源、植物资源、矿产资源相当丰富。有耕地面积76.9万亩，人均耕地3.3亩；有森林面积21.7万亩，天然牧坡140万亩。粮食作物主要有水稻、玉米、高粱、谷子、黍子、土豆等。经济作物有胡麻、黄芥、大麻、葵花、花生等。项目所在区位于繁峙县西南部，区内大部分为坡地，生产力水平较低，主要植物为灌丛，杂草类，植被覆盖率较低。据调查，评价区内未见国家重点保护植物分布。</w:t>
      </w:r>
    </w:p>
    <w:p>
      <w:pPr>
        <w:pStyle w:val="62"/>
        <w:ind w:firstLine="480"/>
        <w:rPr>
          <w:rFonts w:hAnsi="宋体"/>
          <w:highlight w:val="none"/>
        </w:rPr>
      </w:pPr>
      <w:r>
        <w:rPr>
          <w:rFonts w:hint="eastAsia" w:hAnsi="宋体"/>
          <w:highlight w:val="none"/>
        </w:rPr>
        <w:t>繁峙县境内动物种类主要有禽类（雀、野鸡、猫头鹰等）、兽类（野猪、野兔、野山羊、狍、獾、狐狸）、爬行类（蛇、麻蜥等）、昆虫等。据调查，由于人为活动的影响，本项目厂区及周边范围内未见国家重点保护物种分布。</w:t>
      </w:r>
    </w:p>
    <w:p>
      <w:pPr>
        <w:pStyle w:val="4"/>
        <w:ind w:firstLine="562"/>
        <w:rPr>
          <w:rFonts w:hAnsi="宋体"/>
          <w:highlight w:val="none"/>
        </w:rPr>
      </w:pPr>
      <w:r>
        <w:rPr>
          <w:rFonts w:hint="eastAsia" w:hAnsi="宋体"/>
          <w:highlight w:val="none"/>
        </w:rPr>
        <w:t>4.2.9山西省臭冷杉自然保护区</w:t>
      </w:r>
    </w:p>
    <w:p>
      <w:pPr>
        <w:pStyle w:val="62"/>
        <w:ind w:firstLine="480"/>
        <w:rPr>
          <w:rFonts w:hAnsi="宋体"/>
          <w:highlight w:val="none"/>
        </w:rPr>
      </w:pPr>
      <w:r>
        <w:rPr>
          <w:rFonts w:hint="eastAsia" w:hAnsi="宋体"/>
          <w:highlight w:val="none"/>
        </w:rPr>
        <w:t>山西省臭冷杉自然保护区总面积为25049.4公顷，是以保护臭冷杉森林生态系统和珍稀野生动物为主的综合性省级自然保护区。</w:t>
      </w:r>
    </w:p>
    <w:p>
      <w:pPr>
        <w:pStyle w:val="62"/>
        <w:ind w:firstLine="480"/>
        <w:rPr>
          <w:rFonts w:hAnsi="宋体"/>
          <w:highlight w:val="none"/>
        </w:rPr>
      </w:pPr>
      <w:r>
        <w:rPr>
          <w:rFonts w:hint="eastAsia" w:hAnsi="宋体"/>
          <w:highlight w:val="none"/>
        </w:rPr>
        <w:t>山西省臭冷杉自然保护区功能区划为核心区（9524.3公顷）、缓冲区（5270.4公顷）和实验区（10254.7公顷）等三个区。五台山风景名胜区总体规划592.88平方公里的规划界限内包含了山西省臭冷杉自然保护区9787.1公顷的范围（占保护区总面积的39.07%）。</w:t>
      </w:r>
    </w:p>
    <w:p>
      <w:pPr>
        <w:pStyle w:val="62"/>
        <w:ind w:firstLine="480"/>
        <w:rPr>
          <w:rFonts w:hAnsi="宋体"/>
          <w:highlight w:val="none"/>
        </w:rPr>
      </w:pPr>
      <w:r>
        <w:rPr>
          <w:rFonts w:hint="eastAsia" w:hAnsi="宋体"/>
          <w:highlight w:val="none"/>
        </w:rPr>
        <w:t>本项目距离山西省臭冷杉自然保护区实验区西边界5km，不在其保护区范围内。</w:t>
      </w:r>
    </w:p>
    <w:p>
      <w:pPr>
        <w:pStyle w:val="62"/>
        <w:ind w:firstLine="480"/>
        <w:rPr>
          <w:rFonts w:hAnsi="宋体"/>
          <w:highlight w:val="none"/>
        </w:rPr>
      </w:pPr>
      <w:r>
        <w:rPr>
          <w:rFonts w:hint="eastAsia" w:hAnsi="宋体"/>
          <w:highlight w:val="none"/>
        </w:rPr>
        <w:t>本项目与山西省臭冷杉自然保护区相对位置关系图见附图4-7。</w:t>
      </w:r>
    </w:p>
    <w:p>
      <w:pPr>
        <w:pStyle w:val="4"/>
        <w:ind w:firstLine="562"/>
        <w:rPr>
          <w:rFonts w:hAnsi="宋体"/>
          <w:highlight w:val="none"/>
        </w:rPr>
      </w:pPr>
      <w:r>
        <w:rPr>
          <w:rFonts w:hint="eastAsia" w:hAnsi="宋体"/>
          <w:highlight w:val="none"/>
        </w:rPr>
        <w:t>4.2.10五台山风景名胜区</w:t>
      </w:r>
    </w:p>
    <w:p>
      <w:pPr>
        <w:pStyle w:val="62"/>
        <w:ind w:firstLine="480"/>
        <w:rPr>
          <w:rFonts w:hAnsi="宋体"/>
          <w:highlight w:val="none"/>
        </w:rPr>
      </w:pPr>
      <w:r>
        <w:rPr>
          <w:rFonts w:hint="eastAsia" w:hAnsi="宋体"/>
          <w:highlight w:val="none"/>
        </w:rPr>
        <w:t>五台山风景名胜区是我国著名的四大佛教圣地之首，国家5A级景区。五台山</w:t>
      </w:r>
      <w:r>
        <w:rPr>
          <w:rFonts w:hint="eastAsia" w:hAnsi="宋体"/>
          <w:highlight w:val="none"/>
          <w:lang w:eastAsia="zh-CN"/>
        </w:rPr>
        <w:t>列入《世界遗产名录》</w:t>
      </w:r>
      <w:r>
        <w:rPr>
          <w:rFonts w:hint="eastAsia" w:hAnsi="宋体"/>
          <w:highlight w:val="none"/>
        </w:rPr>
        <w:t>。</w:t>
      </w:r>
    </w:p>
    <w:p>
      <w:pPr>
        <w:pStyle w:val="62"/>
        <w:ind w:firstLine="480"/>
        <w:rPr>
          <w:rFonts w:hAnsi="宋体"/>
          <w:highlight w:val="none"/>
        </w:rPr>
      </w:pPr>
      <w:r>
        <w:rPr>
          <w:rFonts w:hint="eastAsia" w:hAnsi="宋体"/>
          <w:highlight w:val="none"/>
        </w:rPr>
        <w:t>五台山风景名胜区地处五台山五台县北部，繁峙县南部，地理坐标在北纬38°50′～39°50′、东经113°29′～113°44′之间，向称“环基五百里”。五台山以其佛教圣地的历史地位，深邃的佛教文化传承，丰富的古建筑文物遗存，雄浑绚丽的自然风光，幽雅宜人的清凉环境以及中国革命史上著名的抗日革命根据地等，1982年被国务院首批公布为44处国家重点风景名胜区之一。</w:t>
      </w:r>
    </w:p>
    <w:p>
      <w:pPr>
        <w:pStyle w:val="62"/>
        <w:ind w:firstLine="480"/>
        <w:rPr>
          <w:rFonts w:hAnsi="宋体"/>
          <w:highlight w:val="none"/>
        </w:rPr>
      </w:pPr>
      <w:r>
        <w:rPr>
          <w:rFonts w:hint="eastAsia" w:hAnsi="宋体"/>
          <w:highlight w:val="none"/>
        </w:rPr>
        <w:t>风景区总体布局结构为一心、二轴、三区众星拱月环状综合型结构形态。</w:t>
      </w:r>
    </w:p>
    <w:p>
      <w:pPr>
        <w:pStyle w:val="62"/>
        <w:ind w:firstLine="480"/>
        <w:rPr>
          <w:rFonts w:hAnsi="宋体"/>
          <w:highlight w:val="none"/>
        </w:rPr>
      </w:pPr>
      <w:r>
        <w:rPr>
          <w:rFonts w:hint="eastAsia" w:hAnsi="宋体"/>
          <w:highlight w:val="none"/>
        </w:rPr>
        <w:t>以台怀寺庙群为“核心”。</w:t>
      </w:r>
    </w:p>
    <w:p>
      <w:pPr>
        <w:pStyle w:val="62"/>
        <w:ind w:firstLine="480"/>
        <w:rPr>
          <w:rFonts w:hAnsi="宋体"/>
          <w:highlight w:val="none"/>
        </w:rPr>
      </w:pPr>
      <w:r>
        <w:rPr>
          <w:rFonts w:hint="eastAsia" w:hAnsi="宋体"/>
          <w:highlight w:val="none"/>
        </w:rPr>
        <w:t>以清水河佛教文化游览轴和西线佛教文化游览轴组成两条风景区游览主轴线。</w:t>
      </w:r>
    </w:p>
    <w:p>
      <w:pPr>
        <w:pStyle w:val="62"/>
        <w:ind w:firstLine="480"/>
        <w:rPr>
          <w:rFonts w:hAnsi="宋体"/>
          <w:highlight w:val="none"/>
        </w:rPr>
      </w:pPr>
      <w:r>
        <w:rPr>
          <w:rFonts w:hint="eastAsia" w:hAnsi="宋体"/>
          <w:highlight w:val="none"/>
        </w:rPr>
        <w:t>以佛教文化古建艺术游览区、台顶自然风光文化探源游览区和南梁沟自然山水生态休闲游览区等组成风景区三大游览区。</w:t>
      </w:r>
    </w:p>
    <w:p>
      <w:pPr>
        <w:pStyle w:val="62"/>
        <w:ind w:firstLine="480"/>
        <w:rPr>
          <w:rFonts w:hAnsi="宋体"/>
          <w:highlight w:val="none"/>
        </w:rPr>
      </w:pPr>
      <w:r>
        <w:rPr>
          <w:rFonts w:hint="eastAsia" w:hAnsi="宋体"/>
          <w:highlight w:val="none"/>
        </w:rPr>
        <w:t>以台怀寺庙群为核心、呈众星拱月环状结构形成的风景区十个游览景区。由风景游赏、旅游设施、居民社会等三个职能系统组成的综合型结构，并且从点、线、面三个层次反映了风景区保护与利用的关系。</w:t>
      </w:r>
    </w:p>
    <w:p>
      <w:pPr>
        <w:pStyle w:val="62"/>
        <w:ind w:firstLine="480"/>
        <w:rPr>
          <w:rFonts w:hAnsi="宋体"/>
          <w:highlight w:val="none"/>
        </w:rPr>
      </w:pPr>
      <w:r>
        <w:rPr>
          <w:rFonts w:hint="eastAsia" w:hAnsi="宋体"/>
          <w:highlight w:val="none"/>
        </w:rPr>
        <w:t>根据《五台山风景名胜区总体规划》（2017-2030年），五台山风景名胜区主要分为台怀片区（592.88km</w:t>
      </w:r>
      <w:r>
        <w:rPr>
          <w:rFonts w:hint="eastAsia" w:hAnsi="宋体"/>
          <w:highlight w:val="none"/>
          <w:vertAlign w:val="superscript"/>
        </w:rPr>
        <w:t>2</w:t>
      </w:r>
      <w:r>
        <w:rPr>
          <w:rFonts w:hint="eastAsia" w:hAnsi="宋体"/>
          <w:highlight w:val="none"/>
        </w:rPr>
        <w:t>）和佛光寺片区（14.44km</w:t>
      </w:r>
      <w:r>
        <w:rPr>
          <w:rFonts w:hint="eastAsia" w:hAnsi="宋体"/>
          <w:highlight w:val="none"/>
          <w:vertAlign w:val="superscript"/>
        </w:rPr>
        <w:t>2</w:t>
      </w:r>
      <w:r>
        <w:rPr>
          <w:rFonts w:hint="eastAsia" w:hAnsi="宋体"/>
          <w:highlight w:val="none"/>
        </w:rPr>
        <w:t>），又分为一级保护区、二级保护区根据《五台山风景名胜区总体规划》（2017-2030年），核心景区包含了五台山世界遗产地全部范围，在风景区界线划定上与遗产地缓冲区界线一致；台怀片区包含了五台山国家地质公园五台园区414.86km</w:t>
      </w:r>
      <w:r>
        <w:rPr>
          <w:rFonts w:hint="eastAsia" w:hAnsi="宋体"/>
          <w:highlight w:val="none"/>
          <w:vertAlign w:val="superscript"/>
        </w:rPr>
        <w:t>2</w:t>
      </w:r>
      <w:r>
        <w:rPr>
          <w:rFonts w:hint="eastAsia" w:hAnsi="宋体"/>
          <w:highlight w:val="none"/>
        </w:rPr>
        <w:t>范围；包含了五台山国家森林公园191.38km</w:t>
      </w:r>
      <w:r>
        <w:rPr>
          <w:rFonts w:hint="eastAsia" w:hAnsi="宋体"/>
          <w:highlight w:val="none"/>
          <w:vertAlign w:val="superscript"/>
        </w:rPr>
        <w:t>2</w:t>
      </w:r>
      <w:r>
        <w:rPr>
          <w:rFonts w:hint="eastAsia" w:hAnsi="宋体"/>
          <w:highlight w:val="none"/>
        </w:rPr>
        <w:t>范围；包含了五台山山地草甸自然保护区3400公顷全部范围。</w:t>
      </w:r>
    </w:p>
    <w:p>
      <w:pPr>
        <w:pStyle w:val="62"/>
        <w:ind w:firstLine="480"/>
        <w:rPr>
          <w:rFonts w:hAnsi="宋体"/>
          <w:highlight w:val="none"/>
        </w:rPr>
      </w:pPr>
      <w:r>
        <w:rPr>
          <w:rFonts w:hint="eastAsia" w:hAnsi="宋体"/>
          <w:highlight w:val="none"/>
        </w:rPr>
        <w:t>根据五台山风景名胜区规划总图，台怀片区靠近本项目西北侧，一级保护区与二级保护区边界重合。</w:t>
      </w:r>
    </w:p>
    <w:p>
      <w:pPr>
        <w:pStyle w:val="62"/>
        <w:ind w:firstLine="480"/>
        <w:rPr>
          <w:rFonts w:hAnsi="宋体"/>
          <w:highlight w:val="none"/>
        </w:rPr>
      </w:pPr>
      <w:r>
        <w:rPr>
          <w:rFonts w:hint="eastAsia" w:hAnsi="宋体"/>
          <w:highlight w:val="none"/>
        </w:rPr>
        <w:t>本项目厂址不在五台山风景名胜区规划总图范围内，距离五台山风景名胜区台怀片区约7km，佛光寺片区约21km。</w:t>
      </w:r>
    </w:p>
    <w:p>
      <w:pPr>
        <w:pStyle w:val="62"/>
        <w:ind w:firstLine="480"/>
        <w:rPr>
          <w:rFonts w:hAnsi="宋体"/>
          <w:highlight w:val="none"/>
        </w:rPr>
      </w:pPr>
      <w:r>
        <w:rPr>
          <w:rFonts w:hint="eastAsia" w:hAnsi="宋体"/>
          <w:highlight w:val="none"/>
        </w:rPr>
        <w:t>本项目与五台山风景名胜区相对位置关系图见附图4-8。</w:t>
      </w:r>
    </w:p>
    <w:p>
      <w:pPr>
        <w:pStyle w:val="4"/>
        <w:ind w:firstLine="562"/>
        <w:rPr>
          <w:rFonts w:hAnsi="宋体"/>
          <w:highlight w:val="none"/>
        </w:rPr>
      </w:pPr>
      <w:r>
        <w:rPr>
          <w:rFonts w:hint="eastAsia" w:hAnsi="宋体"/>
          <w:highlight w:val="none"/>
        </w:rPr>
        <w:t>4.2.11五台山国家地质公园</w:t>
      </w:r>
    </w:p>
    <w:p>
      <w:pPr>
        <w:pStyle w:val="62"/>
        <w:ind w:firstLine="480"/>
        <w:rPr>
          <w:rFonts w:hAnsi="宋体"/>
          <w:highlight w:val="none"/>
        </w:rPr>
      </w:pPr>
      <w:r>
        <w:rPr>
          <w:rFonts w:hint="eastAsia" w:hAnsi="宋体"/>
          <w:highlight w:val="none"/>
        </w:rPr>
        <w:t>五台山国家地质公园是2005年批准建立的国家地质公园。五台山国家地质公园位于山西省境忻州市五台县境内，分为2个园区7个景区，五台园区总面积417km</w:t>
      </w:r>
      <w:r>
        <w:rPr>
          <w:rFonts w:hint="eastAsia" w:hAnsi="宋体"/>
          <w:highlight w:val="none"/>
          <w:vertAlign w:val="superscript"/>
        </w:rPr>
        <w:t>2</w:t>
      </w:r>
      <w:r>
        <w:rPr>
          <w:rFonts w:hint="eastAsia" w:hAnsi="宋体"/>
          <w:highlight w:val="none"/>
        </w:rPr>
        <w:t>，包括北台景区、东台景区、台怀景区、中西台景区、南台景区、金岗库景区；灵境景区总面积49km</w:t>
      </w:r>
      <w:r>
        <w:rPr>
          <w:rFonts w:hint="eastAsia" w:hAnsi="宋体"/>
          <w:highlight w:val="none"/>
          <w:vertAlign w:val="superscript"/>
        </w:rPr>
        <w:t>2</w:t>
      </w:r>
      <w:r>
        <w:rPr>
          <w:rFonts w:hint="eastAsia" w:hAnsi="宋体"/>
          <w:highlight w:val="none"/>
        </w:rPr>
        <w:t>，包括灵境1个景区。五台山国家地质公园总面积466km</w:t>
      </w:r>
      <w:r>
        <w:rPr>
          <w:rFonts w:hint="eastAsia" w:hAnsi="宋体"/>
          <w:highlight w:val="none"/>
          <w:vertAlign w:val="superscript"/>
        </w:rPr>
        <w:t>2</w:t>
      </w:r>
      <w:r>
        <w:rPr>
          <w:rFonts w:hint="eastAsia" w:hAnsi="宋体"/>
          <w:highlight w:val="none"/>
        </w:rPr>
        <w:t>。</w:t>
      </w:r>
    </w:p>
    <w:p>
      <w:pPr>
        <w:pStyle w:val="62"/>
        <w:ind w:firstLine="480"/>
        <w:rPr>
          <w:rFonts w:hAnsi="宋体"/>
          <w:highlight w:val="none"/>
        </w:rPr>
      </w:pPr>
      <w:r>
        <w:rPr>
          <w:rFonts w:hint="eastAsia" w:hAnsi="宋体"/>
          <w:highlight w:val="none"/>
        </w:rPr>
        <w:t>本项目厂址不在五台山国家地质公园规划范围内，距其边界最近距离约5.0km。</w:t>
      </w:r>
    </w:p>
    <w:p>
      <w:pPr>
        <w:pStyle w:val="4"/>
        <w:ind w:firstLine="562"/>
        <w:rPr>
          <w:rFonts w:hAnsi="宋体"/>
          <w:highlight w:val="none"/>
        </w:rPr>
      </w:pPr>
      <w:r>
        <w:rPr>
          <w:rFonts w:hint="eastAsia" w:hAnsi="宋体"/>
          <w:highlight w:val="none"/>
        </w:rPr>
        <w:t>4.2.12五台山世界自然文化遗产</w:t>
      </w:r>
    </w:p>
    <w:p>
      <w:pPr>
        <w:pStyle w:val="62"/>
        <w:ind w:firstLine="480"/>
        <w:rPr>
          <w:rFonts w:hAnsi="宋体"/>
          <w:highlight w:val="none"/>
        </w:rPr>
      </w:pPr>
      <w:r>
        <w:rPr>
          <w:rFonts w:hint="eastAsia" w:hAnsi="宋体"/>
          <w:highlight w:val="none"/>
        </w:rPr>
        <w:t>五台山世界自然文化遗产地位于山西省东北部忻州市五台县境内。于2009年6月26日在西班牙塞维利亚举行的第33届世界遗产大会上，经联合国教科文组织世界遗产委员会批准，被正式列入《世界遗产名录》。</w:t>
      </w:r>
    </w:p>
    <w:p>
      <w:pPr>
        <w:pStyle w:val="62"/>
        <w:ind w:firstLine="480"/>
        <w:rPr>
          <w:rFonts w:hAnsi="宋体"/>
          <w:highlight w:val="none"/>
        </w:rPr>
      </w:pPr>
      <w:r>
        <w:rPr>
          <w:rFonts w:hint="eastAsia" w:hAnsi="宋体"/>
          <w:highlight w:val="none"/>
        </w:rPr>
        <w:t>五台山拥有独特而完整的地球早期地质构造、地层剖面、古生物化石遗址、新生代夷平面及冰缘地貌，完整记录了地球新太古代晚期-古元古代地质演化历史，具有世界性地质构造和年代地层划界意义和对比价值，是开展全球性地壳演化、古环境、生物演化对比研究的典型例证。</w:t>
      </w:r>
    </w:p>
    <w:p>
      <w:pPr>
        <w:pStyle w:val="62"/>
        <w:ind w:firstLine="480"/>
        <w:rPr>
          <w:rFonts w:hAnsi="宋体"/>
          <w:highlight w:val="none"/>
        </w:rPr>
      </w:pPr>
      <w:r>
        <w:rPr>
          <w:rFonts w:hint="eastAsia" w:hAnsi="宋体"/>
          <w:highlight w:val="none"/>
        </w:rPr>
        <w:t>五台山世界文化遗产分为核心区和缓冲区，总面积60727ha。核心区由台怀核心区和佛光寺核心区2部分组成，总面积18415ha。台怀核心区指由台怀镇寺庙群及五个台顶构成的区域，西南以山脊西南侧2000~2100m海拔高度为界；北部以山脊线北侧2400m-2600m海拔高度为界，并结合部分公路线设定范围；东北部以石大公路西边缘为界；东南部以黛螺顶所在主山脉山脊线为界。佛光寺核心区指由佛光寺及其北部地质剖面构成的区域，其西部、北部以山脊线两侧1400m-1500m海拔高度为界；东部、南部以山脊两侧1300m-1500m海拔高度为界。</w:t>
      </w:r>
    </w:p>
    <w:p>
      <w:pPr>
        <w:pStyle w:val="62"/>
        <w:ind w:firstLine="480"/>
        <w:rPr>
          <w:rFonts w:hAnsi="宋体"/>
          <w:highlight w:val="none"/>
        </w:rPr>
      </w:pPr>
      <w:r>
        <w:rPr>
          <w:rFonts w:hint="eastAsia" w:hAnsi="宋体"/>
          <w:highlight w:val="none"/>
        </w:rPr>
        <w:t>缓冲区范围由2部分构成：台怀核心区的缓冲区和佛光寺核心区的缓冲区。台怀核心区的缓冲区即为上述核心区以外的五台山风景名胜区规划范围，面积为41337ha。风景名胜区界线以乡镇界和村界为准，以便于风景名胜区的管理。宽滩乡的大东沟村、东山乡的射香村（部分）、正沟村（部分），伯强乡的化塔村、沟南村和狮子坪村等村庄北界为风景名胜区的北界；庄旺乡的老汉坪村、古花岩村，金岗库乡的南梁村，石咀乡的铜西沟村、蒿地堂村、后坪村、前坪村、射虎川村等村庄东界为风景名胜区东界；石咀乡的新路口村、西沟村，金岗库乡的安家沟村、麻地沟村、小插箭村，台怀镇的石佛村，刘定寺乡的窑坡村、小草坪村、大坪村等村庄南界为风景名胜区南界；刘定寺乡的阎家岭村、堾坪村，柳院乡的东瓦厂、香峪村，茶铺乡的大明烟村、化桥村、庄子村、兴胜村，宽滩乡的龙宿沟村、马家峪村、二茄兰村、麻黄沟村、大东沟村等村庄西界为风景名胜区西界。佛光寺核心区的缓冲区指佛光寺核心区以外150-1500m的范围，以道路和自然地形的等高线、山脊为界，面积975ha。</w:t>
      </w:r>
    </w:p>
    <w:p>
      <w:pPr>
        <w:pStyle w:val="62"/>
        <w:ind w:firstLine="480"/>
        <w:rPr>
          <w:rFonts w:hAnsi="宋体"/>
          <w:highlight w:val="none"/>
        </w:rPr>
      </w:pPr>
      <w:r>
        <w:rPr>
          <w:rFonts w:hint="eastAsia" w:hAnsi="宋体"/>
          <w:highlight w:val="none"/>
        </w:rPr>
        <w:t>本项目厂址不在五台山世界自然文化遗产规划范围内，距其边界最近距离约11.7km。</w:t>
      </w:r>
    </w:p>
    <w:p>
      <w:pPr>
        <w:pStyle w:val="62"/>
        <w:ind w:firstLine="480"/>
        <w:rPr>
          <w:rFonts w:hAnsi="宋体"/>
          <w:highlight w:val="none"/>
        </w:rPr>
      </w:pPr>
      <w:r>
        <w:rPr>
          <w:rFonts w:hint="eastAsia" w:hAnsi="宋体"/>
          <w:highlight w:val="none"/>
        </w:rPr>
        <w:t>本项目与五台山世界自然文化遗产相对位置关系图见附图4-9。</w:t>
      </w:r>
    </w:p>
    <w:p>
      <w:pPr>
        <w:pStyle w:val="4"/>
        <w:ind w:firstLine="562"/>
        <w:rPr>
          <w:rFonts w:hAnsi="宋体"/>
          <w:highlight w:val="none"/>
        </w:rPr>
      </w:pPr>
      <w:r>
        <w:rPr>
          <w:rFonts w:hAnsi="宋体"/>
          <w:highlight w:val="none"/>
        </w:rPr>
        <w:t>4.2.13</w:t>
      </w:r>
      <w:r>
        <w:rPr>
          <w:rFonts w:hint="eastAsia" w:hAnsi="宋体"/>
          <w:highlight w:val="none"/>
        </w:rPr>
        <w:t>五台山山地草甸自然保护区</w:t>
      </w:r>
    </w:p>
    <w:p>
      <w:pPr>
        <w:pStyle w:val="62"/>
        <w:ind w:firstLine="480"/>
        <w:rPr>
          <w:rFonts w:hAnsi="宋体"/>
          <w:highlight w:val="none"/>
        </w:rPr>
      </w:pPr>
      <w:r>
        <w:rPr>
          <w:rFonts w:hint="eastAsia" w:hAnsi="宋体"/>
          <w:highlight w:val="none"/>
        </w:rPr>
        <w:t>五台山山地草甸自然保护区设立于1993年1月，总面积为3333公顷，占五台山山地草甸总面积的16.1%，海拔2400～3058米之间，保护区区划为核心区（547公顷）和缓冲区（2786公顷）。</w:t>
      </w:r>
    </w:p>
    <w:p>
      <w:pPr>
        <w:pStyle w:val="62"/>
        <w:ind w:firstLine="480"/>
        <w:rPr>
          <w:rFonts w:hAnsi="宋体"/>
          <w:highlight w:val="none"/>
        </w:rPr>
      </w:pPr>
      <w:r>
        <w:rPr>
          <w:rFonts w:hint="eastAsia" w:hAnsi="宋体"/>
          <w:highlight w:val="none"/>
        </w:rPr>
        <w:t>五台山山地草甸自然保护区是以保护高山、亚高山草甸植物群落为主要对象的省级自然保护区。五台山风景名胜区总体规划592.88km</w:t>
      </w:r>
      <w:r>
        <w:rPr>
          <w:rFonts w:hint="eastAsia" w:hAnsi="宋体"/>
          <w:highlight w:val="none"/>
          <w:vertAlign w:val="superscript"/>
        </w:rPr>
        <w:t>2</w:t>
      </w:r>
      <w:r>
        <w:rPr>
          <w:rFonts w:hint="eastAsia" w:hAnsi="宋体"/>
          <w:highlight w:val="none"/>
        </w:rPr>
        <w:t>的规划界限内全部包含了五台山山地草甸自然保护区3333公顷的保护范围。</w:t>
      </w:r>
    </w:p>
    <w:p>
      <w:pPr>
        <w:pStyle w:val="62"/>
        <w:ind w:firstLine="480"/>
        <w:rPr>
          <w:rFonts w:hAnsi="宋体"/>
          <w:highlight w:val="none"/>
        </w:rPr>
      </w:pPr>
      <w:r>
        <w:rPr>
          <w:rFonts w:hint="eastAsia" w:hAnsi="宋体"/>
          <w:highlight w:val="none"/>
        </w:rPr>
        <w:t>本项目厂址不在五台山山地草甸自然保护区范围内，距其边界最近距离约7.4km。</w:t>
      </w:r>
    </w:p>
    <w:p>
      <w:pPr>
        <w:pStyle w:val="62"/>
        <w:ind w:firstLine="480"/>
        <w:rPr>
          <w:rFonts w:hAnsi="宋体"/>
          <w:highlight w:val="none"/>
        </w:rPr>
      </w:pPr>
      <w:r>
        <w:rPr>
          <w:rFonts w:hint="eastAsia" w:hAnsi="宋体"/>
          <w:highlight w:val="none"/>
        </w:rPr>
        <w:t>本项目与五台山山地草甸自然保护区相对位置关系图见附图4-10。</w:t>
      </w:r>
    </w:p>
    <w:p>
      <w:pPr>
        <w:pStyle w:val="4"/>
        <w:ind w:firstLine="562"/>
        <w:rPr>
          <w:rFonts w:hAnsi="宋体"/>
          <w:highlight w:val="none"/>
        </w:rPr>
      </w:pPr>
      <w:r>
        <w:rPr>
          <w:rFonts w:hint="eastAsia" w:hAnsi="宋体"/>
          <w:highlight w:val="none"/>
        </w:rPr>
        <w:t>4.2.14京津风沙源治理工程区</w:t>
      </w:r>
    </w:p>
    <w:p>
      <w:pPr>
        <w:pStyle w:val="62"/>
        <w:ind w:firstLine="480"/>
        <w:rPr>
          <w:rFonts w:hAnsi="宋体"/>
          <w:highlight w:val="none"/>
        </w:rPr>
      </w:pPr>
      <w:r>
        <w:rPr>
          <w:rFonts w:hint="eastAsia" w:hAnsi="宋体"/>
          <w:highlight w:val="none"/>
        </w:rPr>
        <w:t>京津风沙源治理工程西起内蒙古的达茂旗，东至内蒙古的阿鲁科尔沁旗，南起山西的代县，北至内蒙古的东乌珠穆沁旗，涉及北京、天津、河北、山西及内蒙古等五省(区、市)的75个县(旗)。工程区总人口1958万人，总面积45.8×10</w:t>
      </w:r>
      <w:r>
        <w:rPr>
          <w:rFonts w:hint="eastAsia" w:hAnsi="宋体"/>
          <w:highlight w:val="none"/>
          <w:vertAlign w:val="superscript"/>
        </w:rPr>
        <w:t>4</w:t>
      </w:r>
      <w:r>
        <w:rPr>
          <w:rFonts w:hint="eastAsia" w:hAnsi="宋体"/>
          <w:highlight w:val="none"/>
        </w:rPr>
        <w:t>km</w:t>
      </w:r>
      <w:r>
        <w:rPr>
          <w:rFonts w:hint="eastAsia" w:hAnsi="宋体"/>
          <w:highlight w:val="none"/>
          <w:vertAlign w:val="superscript"/>
        </w:rPr>
        <w:t>2</w:t>
      </w:r>
      <w:r>
        <w:rPr>
          <w:rFonts w:hint="eastAsia" w:hAnsi="宋体"/>
          <w:highlight w:val="none"/>
        </w:rPr>
        <w:t>，沙化土地面积10.12×10</w:t>
      </w:r>
      <w:r>
        <w:rPr>
          <w:rFonts w:hint="eastAsia" w:hAnsi="宋体"/>
          <w:highlight w:val="none"/>
          <w:vertAlign w:val="superscript"/>
        </w:rPr>
        <w:t>4</w:t>
      </w:r>
      <w:r>
        <w:rPr>
          <w:rFonts w:hint="eastAsia" w:hAnsi="宋体"/>
          <w:highlight w:val="none"/>
        </w:rPr>
        <w:t>km</w:t>
      </w:r>
      <w:r>
        <w:rPr>
          <w:rFonts w:hint="eastAsia" w:hAnsi="宋体"/>
          <w:highlight w:val="none"/>
          <w:vertAlign w:val="superscript"/>
        </w:rPr>
        <w:t>2</w:t>
      </w:r>
      <w:r>
        <w:rPr>
          <w:rFonts w:hint="eastAsia" w:hAnsi="宋体"/>
          <w:highlight w:val="none"/>
        </w:rPr>
        <w:t>。一期工程区分为四个治理区，即北部干旱草原沙化治理区、浑善达克沙地治理区、农牧交错地带沙化土地治理区和燕山丘陵山地水源保护区，治理总任务为222292万亩，初步匡算投资558亿元。</w:t>
      </w:r>
    </w:p>
    <w:p>
      <w:pPr>
        <w:pStyle w:val="62"/>
        <w:ind w:firstLine="480"/>
        <w:rPr>
          <w:rFonts w:hAnsi="宋体"/>
          <w:highlight w:val="none"/>
        </w:rPr>
      </w:pPr>
      <w:r>
        <w:rPr>
          <w:rFonts w:hint="eastAsia" w:hAnsi="宋体"/>
          <w:highlight w:val="none"/>
        </w:rPr>
        <w:t>本项目所在区域位于京津风沙源治理工程区。</w:t>
      </w:r>
    </w:p>
    <w:p>
      <w:pPr>
        <w:pStyle w:val="3"/>
        <w:ind w:firstLine="643"/>
        <w:rPr>
          <w:rFonts w:hAnsi="宋体"/>
          <w:highlight w:val="none"/>
        </w:rPr>
      </w:pPr>
      <w:bookmarkStart w:id="139" w:name="_Toc70201026"/>
      <w:bookmarkStart w:id="140" w:name="_Toc4678456"/>
      <w:r>
        <w:rPr>
          <w:rFonts w:hAnsi="宋体"/>
          <w:highlight w:val="none"/>
        </w:rPr>
        <w:t>4.3环境质量现状调查与评价</w:t>
      </w:r>
      <w:bookmarkEnd w:id="139"/>
      <w:bookmarkEnd w:id="140"/>
    </w:p>
    <w:p>
      <w:pPr>
        <w:pStyle w:val="4"/>
        <w:ind w:firstLine="562"/>
        <w:rPr>
          <w:rFonts w:hAnsi="宋体"/>
          <w:highlight w:val="none"/>
        </w:rPr>
      </w:pPr>
      <w:bookmarkStart w:id="141" w:name="_Toc4678457"/>
      <w:r>
        <w:rPr>
          <w:rFonts w:hAnsi="宋体"/>
          <w:highlight w:val="none"/>
        </w:rPr>
        <w:t>4.3.1环境空气质量现状评价</w:t>
      </w:r>
      <w:bookmarkEnd w:id="141"/>
      <w:bookmarkStart w:id="142" w:name="_Toc4678438"/>
    </w:p>
    <w:bookmarkEnd w:id="142"/>
    <w:p>
      <w:pPr>
        <w:pStyle w:val="62"/>
        <w:ind w:firstLine="480"/>
        <w:rPr>
          <w:rFonts w:hAnsi="宋体"/>
          <w:highlight w:val="none"/>
        </w:rPr>
      </w:pPr>
      <w:r>
        <w:rPr>
          <w:rFonts w:hAnsi="宋体"/>
          <w:highlight w:val="none"/>
        </w:rPr>
        <w:t>4.3.1.1例行监测数据</w:t>
      </w:r>
    </w:p>
    <w:p>
      <w:pPr>
        <w:pStyle w:val="62"/>
        <w:ind w:firstLine="480"/>
        <w:rPr>
          <w:rFonts w:hAnsi="宋体"/>
          <w:highlight w:val="none"/>
        </w:rPr>
      </w:pPr>
      <w:r>
        <w:rPr>
          <w:rFonts w:hint="eastAsia"/>
          <w:highlight w:val="none"/>
        </w:rPr>
        <w:t>本项目环境空气质量例行监测资料引用忻州市</w:t>
      </w:r>
      <w:r>
        <w:rPr>
          <w:highlight w:val="none"/>
        </w:rPr>
        <w:t>2021年1月1日-2021年12月31日环境空气质量主要污染物浓度分析表</w:t>
      </w:r>
      <w:r>
        <w:rPr>
          <w:rFonts w:hint="eastAsia" w:hAnsi="宋体"/>
          <w:highlight w:val="none"/>
        </w:rPr>
        <w:t>。</w:t>
      </w:r>
      <w:r>
        <w:rPr>
          <w:rFonts w:hAnsi="宋体"/>
          <w:highlight w:val="none"/>
        </w:rPr>
        <w:t>环境空气质量现状监测结果见表4.3-1。</w:t>
      </w:r>
    </w:p>
    <w:p>
      <w:pPr>
        <w:ind w:firstLine="480"/>
        <w:rPr>
          <w:rFonts w:ascii="宋体" w:hAnsi="宋体"/>
          <w:highlight w:val="none"/>
          <w:vertAlign w:val="superscript"/>
        </w:rPr>
      </w:pPr>
      <w:r>
        <w:rPr>
          <w:rFonts w:ascii="宋体" w:hAnsi="宋体"/>
          <w:highlight w:val="none"/>
        </w:rPr>
        <w:t>表4.3-1</w:t>
      </w:r>
      <w:r>
        <w:rPr>
          <w:rFonts w:hint="eastAsia" w:ascii="宋体" w:hAnsi="宋体"/>
          <w:highlight w:val="none"/>
        </w:rPr>
        <w:t xml:space="preserve">  </w:t>
      </w:r>
      <w:r>
        <w:rPr>
          <w:rFonts w:ascii="宋体" w:hAnsi="宋体"/>
          <w:highlight w:val="none"/>
        </w:rPr>
        <w:t>繁峙县20</w:t>
      </w:r>
      <w:r>
        <w:rPr>
          <w:rFonts w:hint="eastAsia" w:ascii="宋体" w:hAnsi="宋体"/>
          <w:highlight w:val="none"/>
        </w:rPr>
        <w:t>2</w:t>
      </w:r>
      <w:r>
        <w:rPr>
          <w:rFonts w:hint="eastAsia" w:ascii="宋体" w:hAnsi="宋体"/>
          <w:highlight w:val="none"/>
          <w:lang w:val="en-US" w:eastAsia="zh-CN"/>
        </w:rPr>
        <w:t>1</w:t>
      </w:r>
      <w:r>
        <w:rPr>
          <w:rFonts w:ascii="宋体" w:hAnsi="宋体"/>
          <w:highlight w:val="none"/>
        </w:rPr>
        <w:t>年环境空气例行监测点统计结果单位：μg/m</w:t>
      </w:r>
      <w:r>
        <w:rPr>
          <w:rFonts w:ascii="宋体" w:hAnsi="宋体"/>
          <w:highlight w:val="none"/>
          <w:vertAlign w:val="superscript"/>
        </w:rPr>
        <w:t>3</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121"/>
        <w:gridCol w:w="1118"/>
        <w:gridCol w:w="1118"/>
        <w:gridCol w:w="1120"/>
        <w:gridCol w:w="1116"/>
        <w:gridCol w:w="1116"/>
        <w:gridCol w:w="11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19" w:type="dxa"/>
            <w:vAlign w:val="center"/>
          </w:tcPr>
          <w:p>
            <w:pPr>
              <w:pStyle w:val="64"/>
              <w:rPr>
                <w:rFonts w:hAnsi="宋体"/>
                <w:highlight w:val="none"/>
                <w:lang w:val="zh-CN"/>
              </w:rPr>
            </w:pPr>
            <w:r>
              <w:rPr>
                <w:rFonts w:hAnsi="宋体"/>
                <w:highlight w:val="none"/>
                <w:lang w:val="zh-CN"/>
              </w:rPr>
              <w:t>城市</w:t>
            </w:r>
          </w:p>
        </w:tc>
        <w:tc>
          <w:tcPr>
            <w:tcW w:w="1121" w:type="dxa"/>
            <w:vAlign w:val="center"/>
          </w:tcPr>
          <w:p>
            <w:pPr>
              <w:pStyle w:val="64"/>
              <w:rPr>
                <w:rFonts w:hAnsi="宋体"/>
                <w:highlight w:val="none"/>
                <w:lang w:val="zh-CN"/>
              </w:rPr>
            </w:pPr>
            <w:r>
              <w:rPr>
                <w:rFonts w:hAnsi="宋体"/>
                <w:highlight w:val="none"/>
                <w:lang w:val="zh-CN"/>
              </w:rPr>
              <w:t>县区</w:t>
            </w:r>
          </w:p>
        </w:tc>
        <w:tc>
          <w:tcPr>
            <w:tcW w:w="1118" w:type="dxa"/>
            <w:vAlign w:val="center"/>
          </w:tcPr>
          <w:p>
            <w:pPr>
              <w:pStyle w:val="64"/>
              <w:rPr>
                <w:rFonts w:hAnsi="宋体"/>
                <w:highlight w:val="none"/>
                <w:lang w:val="zh-CN"/>
              </w:rPr>
            </w:pPr>
            <w:r>
              <w:rPr>
                <w:rFonts w:hAnsi="宋体"/>
                <w:highlight w:val="none"/>
                <w:lang w:val="zh-CN"/>
              </w:rPr>
              <w:t>SO</w:t>
            </w:r>
            <w:r>
              <w:rPr>
                <w:rFonts w:hAnsi="宋体"/>
                <w:highlight w:val="none"/>
                <w:vertAlign w:val="subscript"/>
                <w:lang w:val="zh-CN"/>
              </w:rPr>
              <w:t>2</w:t>
            </w:r>
            <w:r>
              <w:rPr>
                <w:rFonts w:hAnsi="宋体"/>
                <w:highlight w:val="none"/>
                <w:lang w:val="zh-CN"/>
              </w:rPr>
              <w:t>浓度均值</w:t>
            </w:r>
          </w:p>
        </w:tc>
        <w:tc>
          <w:tcPr>
            <w:tcW w:w="1118" w:type="dxa"/>
            <w:vAlign w:val="center"/>
          </w:tcPr>
          <w:p>
            <w:pPr>
              <w:pStyle w:val="64"/>
              <w:rPr>
                <w:rFonts w:hAnsi="宋体"/>
                <w:highlight w:val="none"/>
                <w:lang w:val="zh-CN"/>
              </w:rPr>
            </w:pPr>
            <w:r>
              <w:rPr>
                <w:rFonts w:hAnsi="宋体"/>
                <w:highlight w:val="none"/>
                <w:lang w:val="zh-CN"/>
              </w:rPr>
              <w:t>NO</w:t>
            </w:r>
            <w:r>
              <w:rPr>
                <w:rFonts w:hAnsi="宋体"/>
                <w:highlight w:val="none"/>
                <w:vertAlign w:val="subscript"/>
                <w:lang w:val="zh-CN"/>
              </w:rPr>
              <w:t>2</w:t>
            </w:r>
            <w:r>
              <w:rPr>
                <w:rFonts w:hAnsi="宋体"/>
                <w:highlight w:val="none"/>
                <w:lang w:val="zh-CN"/>
              </w:rPr>
              <w:t>浓度均值</w:t>
            </w:r>
          </w:p>
        </w:tc>
        <w:tc>
          <w:tcPr>
            <w:tcW w:w="1120" w:type="dxa"/>
            <w:vAlign w:val="center"/>
          </w:tcPr>
          <w:p>
            <w:pPr>
              <w:pStyle w:val="64"/>
              <w:rPr>
                <w:rFonts w:hAnsi="宋体"/>
                <w:highlight w:val="none"/>
                <w:lang w:val="zh-CN"/>
              </w:rPr>
            </w:pPr>
            <w:r>
              <w:rPr>
                <w:rFonts w:hAnsi="宋体"/>
                <w:highlight w:val="none"/>
                <w:lang w:val="zh-CN"/>
              </w:rPr>
              <w:t>PM</w:t>
            </w:r>
            <w:r>
              <w:rPr>
                <w:rFonts w:hAnsi="宋体"/>
                <w:highlight w:val="none"/>
                <w:vertAlign w:val="subscript"/>
                <w:lang w:val="zh-CN"/>
              </w:rPr>
              <w:t>10</w:t>
            </w:r>
            <w:r>
              <w:rPr>
                <w:rFonts w:hAnsi="宋体"/>
                <w:highlight w:val="none"/>
                <w:lang w:val="zh-CN"/>
              </w:rPr>
              <w:t>浓度均值</w:t>
            </w:r>
          </w:p>
        </w:tc>
        <w:tc>
          <w:tcPr>
            <w:tcW w:w="1116" w:type="dxa"/>
            <w:vAlign w:val="center"/>
          </w:tcPr>
          <w:p>
            <w:pPr>
              <w:pStyle w:val="64"/>
              <w:rPr>
                <w:rFonts w:hAnsi="宋体"/>
                <w:highlight w:val="none"/>
                <w:lang w:val="zh-CN"/>
              </w:rPr>
            </w:pPr>
            <w:r>
              <w:rPr>
                <w:rFonts w:hAnsi="宋体"/>
                <w:highlight w:val="none"/>
                <w:lang w:val="zh-CN"/>
              </w:rPr>
              <w:t>PM</w:t>
            </w:r>
            <w:r>
              <w:rPr>
                <w:rFonts w:hAnsi="宋体"/>
                <w:highlight w:val="none"/>
                <w:vertAlign w:val="subscript"/>
                <w:lang w:val="zh-CN"/>
              </w:rPr>
              <w:t>2.5</w:t>
            </w:r>
            <w:r>
              <w:rPr>
                <w:rFonts w:hAnsi="宋体"/>
                <w:highlight w:val="none"/>
                <w:lang w:val="zh-CN"/>
              </w:rPr>
              <w:t>浓度均值</w:t>
            </w:r>
          </w:p>
        </w:tc>
        <w:tc>
          <w:tcPr>
            <w:tcW w:w="1116" w:type="dxa"/>
            <w:vAlign w:val="center"/>
          </w:tcPr>
          <w:p>
            <w:pPr>
              <w:pStyle w:val="64"/>
              <w:rPr>
                <w:rFonts w:hAnsi="宋体"/>
                <w:highlight w:val="none"/>
                <w:lang w:val="zh-CN"/>
              </w:rPr>
            </w:pPr>
            <w:r>
              <w:rPr>
                <w:rFonts w:hAnsi="宋体"/>
                <w:highlight w:val="none"/>
                <w:lang w:val="zh-CN"/>
              </w:rPr>
              <w:t>CO百分位数</w:t>
            </w:r>
          </w:p>
        </w:tc>
        <w:tc>
          <w:tcPr>
            <w:tcW w:w="1118" w:type="dxa"/>
            <w:vAlign w:val="center"/>
          </w:tcPr>
          <w:p>
            <w:pPr>
              <w:pStyle w:val="64"/>
              <w:rPr>
                <w:rFonts w:hAnsi="宋体"/>
                <w:highlight w:val="none"/>
                <w:lang w:val="zh-CN"/>
              </w:rPr>
            </w:pPr>
            <w:r>
              <w:rPr>
                <w:rFonts w:hAnsi="宋体"/>
                <w:highlight w:val="none"/>
                <w:lang w:val="zh-CN"/>
              </w:rPr>
              <w:t>O</w:t>
            </w:r>
            <w:r>
              <w:rPr>
                <w:rFonts w:hAnsi="宋体"/>
                <w:highlight w:val="none"/>
                <w:vertAlign w:val="subscript"/>
                <w:lang w:val="zh-CN"/>
              </w:rPr>
              <w:t>3—</w:t>
            </w:r>
            <w:r>
              <w:rPr>
                <w:rFonts w:hAnsi="宋体"/>
                <w:highlight w:val="none"/>
                <w:lang w:val="zh-CN"/>
              </w:rPr>
              <w:t>8h百分位数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19" w:type="dxa"/>
            <w:vAlign w:val="center"/>
          </w:tcPr>
          <w:p>
            <w:pPr>
              <w:pStyle w:val="64"/>
              <w:rPr>
                <w:rFonts w:hAnsi="宋体"/>
                <w:highlight w:val="none"/>
                <w:lang w:val="zh-CN"/>
              </w:rPr>
            </w:pPr>
            <w:r>
              <w:rPr>
                <w:rFonts w:hAnsi="宋体"/>
                <w:highlight w:val="none"/>
                <w:lang w:val="zh-CN"/>
              </w:rPr>
              <w:t>忻州</w:t>
            </w:r>
          </w:p>
        </w:tc>
        <w:tc>
          <w:tcPr>
            <w:tcW w:w="1121" w:type="dxa"/>
            <w:vAlign w:val="center"/>
          </w:tcPr>
          <w:p>
            <w:pPr>
              <w:pStyle w:val="64"/>
              <w:rPr>
                <w:rFonts w:hAnsi="宋体"/>
                <w:highlight w:val="none"/>
                <w:lang w:val="zh-CN"/>
              </w:rPr>
            </w:pPr>
            <w:r>
              <w:rPr>
                <w:rFonts w:hAnsi="宋体"/>
                <w:highlight w:val="none"/>
                <w:lang w:val="zh-CN"/>
              </w:rPr>
              <w:t>繁峙县</w:t>
            </w:r>
          </w:p>
        </w:tc>
        <w:tc>
          <w:tcPr>
            <w:tcW w:w="1118" w:type="dxa"/>
            <w:vAlign w:val="center"/>
          </w:tcPr>
          <w:p>
            <w:pPr>
              <w:pStyle w:val="64"/>
              <w:rPr>
                <w:rFonts w:hint="eastAsia" w:hAnsi="宋体" w:eastAsia="宋体"/>
                <w:highlight w:val="none"/>
                <w:lang w:val="en-US" w:eastAsia="zh-CN"/>
              </w:rPr>
            </w:pPr>
          </w:p>
        </w:tc>
        <w:tc>
          <w:tcPr>
            <w:tcW w:w="1118" w:type="dxa"/>
            <w:vAlign w:val="center"/>
          </w:tcPr>
          <w:p>
            <w:pPr>
              <w:pStyle w:val="64"/>
              <w:rPr>
                <w:rFonts w:hint="eastAsia" w:hAnsi="宋体" w:eastAsia="宋体"/>
                <w:highlight w:val="none"/>
                <w:lang w:val="en-US" w:eastAsia="zh-CN"/>
              </w:rPr>
            </w:pPr>
          </w:p>
        </w:tc>
        <w:tc>
          <w:tcPr>
            <w:tcW w:w="1120" w:type="dxa"/>
            <w:vAlign w:val="center"/>
          </w:tcPr>
          <w:p>
            <w:pPr>
              <w:pStyle w:val="64"/>
              <w:rPr>
                <w:rFonts w:hint="eastAsia" w:hAnsi="宋体" w:eastAsia="宋体"/>
                <w:highlight w:val="none"/>
                <w:lang w:val="en-US" w:eastAsia="zh-CN"/>
              </w:rPr>
            </w:pPr>
          </w:p>
        </w:tc>
        <w:tc>
          <w:tcPr>
            <w:tcW w:w="1116" w:type="dxa"/>
            <w:vAlign w:val="center"/>
          </w:tcPr>
          <w:p>
            <w:pPr>
              <w:pStyle w:val="64"/>
              <w:rPr>
                <w:rFonts w:hint="eastAsia" w:hAnsi="宋体" w:eastAsia="宋体"/>
                <w:highlight w:val="none"/>
                <w:lang w:val="en-US" w:eastAsia="zh-CN"/>
              </w:rPr>
            </w:pPr>
          </w:p>
        </w:tc>
        <w:tc>
          <w:tcPr>
            <w:tcW w:w="1116" w:type="dxa"/>
            <w:vAlign w:val="center"/>
          </w:tcPr>
          <w:p>
            <w:pPr>
              <w:pStyle w:val="64"/>
              <w:rPr>
                <w:rFonts w:hint="eastAsia" w:hAnsi="宋体" w:eastAsia="宋体"/>
                <w:highlight w:val="none"/>
                <w:lang w:val="zh-CN" w:eastAsia="zh-CN"/>
              </w:rPr>
            </w:pPr>
          </w:p>
        </w:tc>
        <w:tc>
          <w:tcPr>
            <w:tcW w:w="1118" w:type="dxa"/>
            <w:vAlign w:val="center"/>
          </w:tcPr>
          <w:p>
            <w:pPr>
              <w:pStyle w:val="64"/>
              <w:rPr>
                <w:rFonts w:hint="eastAsia" w:hAnsi="宋体" w:eastAsia="宋体"/>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40" w:type="dxa"/>
            <w:gridSpan w:val="2"/>
            <w:vAlign w:val="center"/>
          </w:tcPr>
          <w:p>
            <w:pPr>
              <w:pStyle w:val="64"/>
              <w:rPr>
                <w:rFonts w:hAnsi="宋体"/>
                <w:highlight w:val="none"/>
                <w:lang w:val="zh-CN"/>
              </w:rPr>
            </w:pPr>
            <w:r>
              <w:rPr>
                <w:rFonts w:hAnsi="宋体"/>
                <w:highlight w:val="none"/>
                <w:lang w:val="zh-CN"/>
              </w:rPr>
              <w:t>年均值标准限值</w:t>
            </w:r>
          </w:p>
        </w:tc>
        <w:tc>
          <w:tcPr>
            <w:tcW w:w="1118" w:type="dxa"/>
            <w:vAlign w:val="center"/>
          </w:tcPr>
          <w:p>
            <w:pPr>
              <w:pStyle w:val="64"/>
              <w:rPr>
                <w:rFonts w:hAnsi="宋体"/>
                <w:highlight w:val="none"/>
                <w:lang w:val="zh-CN"/>
              </w:rPr>
            </w:pPr>
          </w:p>
        </w:tc>
        <w:tc>
          <w:tcPr>
            <w:tcW w:w="1118" w:type="dxa"/>
            <w:vAlign w:val="center"/>
          </w:tcPr>
          <w:p>
            <w:pPr>
              <w:pStyle w:val="64"/>
              <w:rPr>
                <w:rFonts w:hAnsi="宋体"/>
                <w:highlight w:val="none"/>
                <w:lang w:val="zh-CN"/>
              </w:rPr>
            </w:pPr>
          </w:p>
        </w:tc>
        <w:tc>
          <w:tcPr>
            <w:tcW w:w="1120" w:type="dxa"/>
            <w:vAlign w:val="center"/>
          </w:tcPr>
          <w:p>
            <w:pPr>
              <w:pStyle w:val="64"/>
              <w:rPr>
                <w:rFonts w:hAnsi="宋体"/>
                <w:highlight w:val="none"/>
                <w:lang w:val="zh-CN"/>
              </w:rPr>
            </w:pPr>
          </w:p>
        </w:tc>
        <w:tc>
          <w:tcPr>
            <w:tcW w:w="1116" w:type="dxa"/>
            <w:vAlign w:val="center"/>
          </w:tcPr>
          <w:p>
            <w:pPr>
              <w:pStyle w:val="64"/>
              <w:rPr>
                <w:rFonts w:hAnsi="宋体"/>
                <w:highlight w:val="none"/>
                <w:lang w:val="zh-CN"/>
              </w:rPr>
            </w:pPr>
          </w:p>
        </w:tc>
        <w:tc>
          <w:tcPr>
            <w:tcW w:w="1116" w:type="dxa"/>
            <w:vAlign w:val="center"/>
          </w:tcPr>
          <w:p>
            <w:pPr>
              <w:pStyle w:val="64"/>
              <w:rPr>
                <w:rFonts w:hAnsi="宋体"/>
                <w:highlight w:val="none"/>
                <w:lang w:val="zh-CN"/>
              </w:rPr>
            </w:pPr>
          </w:p>
        </w:tc>
        <w:tc>
          <w:tcPr>
            <w:tcW w:w="1118" w:type="dxa"/>
            <w:vAlign w:val="center"/>
          </w:tcPr>
          <w:p>
            <w:pPr>
              <w:pStyle w:val="64"/>
              <w:rPr>
                <w:rFonts w:hAnsi="宋体"/>
                <w:highlight w:val="none"/>
                <w:lang w:val="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40" w:type="dxa"/>
            <w:gridSpan w:val="2"/>
            <w:vMerge w:val="restart"/>
            <w:vAlign w:val="center"/>
          </w:tcPr>
          <w:p>
            <w:pPr>
              <w:pStyle w:val="64"/>
              <w:rPr>
                <w:rFonts w:hAnsi="宋体"/>
                <w:highlight w:val="none"/>
                <w:lang w:val="zh-CN"/>
              </w:rPr>
            </w:pPr>
            <w:r>
              <w:rPr>
                <w:rFonts w:hAnsi="宋体"/>
                <w:highlight w:val="none"/>
                <w:lang w:val="zh-CN"/>
              </w:rPr>
              <w:t>达标分析</w:t>
            </w:r>
          </w:p>
        </w:tc>
        <w:tc>
          <w:tcPr>
            <w:tcW w:w="1118" w:type="dxa"/>
            <w:vAlign w:val="center"/>
          </w:tcPr>
          <w:p>
            <w:pPr>
              <w:pStyle w:val="64"/>
              <w:rPr>
                <w:rFonts w:hAnsi="宋体"/>
                <w:highlight w:val="none"/>
                <w:lang w:val="zh-CN"/>
              </w:rPr>
            </w:pPr>
          </w:p>
        </w:tc>
        <w:tc>
          <w:tcPr>
            <w:tcW w:w="1118" w:type="dxa"/>
            <w:vAlign w:val="center"/>
          </w:tcPr>
          <w:p>
            <w:pPr>
              <w:pStyle w:val="64"/>
              <w:rPr>
                <w:rFonts w:hAnsi="宋体"/>
                <w:highlight w:val="none"/>
                <w:lang w:val="zh-CN"/>
              </w:rPr>
            </w:pPr>
          </w:p>
        </w:tc>
        <w:tc>
          <w:tcPr>
            <w:tcW w:w="1120" w:type="dxa"/>
            <w:vAlign w:val="center"/>
          </w:tcPr>
          <w:p>
            <w:pPr>
              <w:pStyle w:val="64"/>
              <w:rPr>
                <w:rFonts w:hAnsi="宋体"/>
                <w:highlight w:val="none"/>
                <w:lang w:val="zh-CN"/>
              </w:rPr>
            </w:pPr>
          </w:p>
        </w:tc>
        <w:tc>
          <w:tcPr>
            <w:tcW w:w="1116" w:type="dxa"/>
            <w:vAlign w:val="center"/>
          </w:tcPr>
          <w:p>
            <w:pPr>
              <w:pStyle w:val="64"/>
              <w:rPr>
                <w:rFonts w:hint="eastAsia" w:hAnsi="宋体" w:eastAsia="宋体"/>
                <w:highlight w:val="none"/>
                <w:lang w:val="en-US" w:eastAsia="zh-CN"/>
              </w:rPr>
            </w:pPr>
          </w:p>
        </w:tc>
        <w:tc>
          <w:tcPr>
            <w:tcW w:w="1116" w:type="dxa"/>
            <w:vAlign w:val="center"/>
          </w:tcPr>
          <w:p>
            <w:pPr>
              <w:pStyle w:val="64"/>
              <w:rPr>
                <w:rFonts w:hint="eastAsia" w:hAnsi="宋体" w:eastAsia="宋体"/>
                <w:highlight w:val="none"/>
                <w:lang w:val="en-US" w:eastAsia="zh-CN"/>
              </w:rPr>
            </w:pPr>
          </w:p>
        </w:tc>
        <w:tc>
          <w:tcPr>
            <w:tcW w:w="1118" w:type="dxa"/>
            <w:vAlign w:val="center"/>
          </w:tcPr>
          <w:p>
            <w:pPr>
              <w:pStyle w:val="64"/>
              <w:rPr>
                <w:rFonts w:hint="eastAsia" w:hAnsi="宋体" w:eastAsia="宋体"/>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40" w:type="dxa"/>
            <w:gridSpan w:val="2"/>
            <w:vMerge w:val="continue"/>
            <w:vAlign w:val="center"/>
          </w:tcPr>
          <w:p>
            <w:pPr>
              <w:pStyle w:val="64"/>
              <w:rPr>
                <w:rFonts w:hAnsi="宋体"/>
                <w:highlight w:val="none"/>
                <w:lang w:val="zh-CN"/>
              </w:rPr>
            </w:pPr>
          </w:p>
        </w:tc>
        <w:tc>
          <w:tcPr>
            <w:tcW w:w="1118" w:type="dxa"/>
            <w:vAlign w:val="center"/>
          </w:tcPr>
          <w:p>
            <w:pPr>
              <w:pStyle w:val="64"/>
              <w:rPr>
                <w:rFonts w:hAnsi="宋体"/>
                <w:highlight w:val="none"/>
                <w:lang w:val="zh-CN"/>
              </w:rPr>
            </w:pPr>
            <w:r>
              <w:rPr>
                <w:rFonts w:hAnsi="宋体"/>
                <w:highlight w:val="none"/>
                <w:lang w:val="zh-CN"/>
              </w:rPr>
              <w:t>达标</w:t>
            </w:r>
          </w:p>
        </w:tc>
        <w:tc>
          <w:tcPr>
            <w:tcW w:w="1118" w:type="dxa"/>
            <w:vAlign w:val="center"/>
          </w:tcPr>
          <w:p>
            <w:pPr>
              <w:pStyle w:val="64"/>
              <w:rPr>
                <w:rFonts w:hAnsi="宋体"/>
                <w:highlight w:val="none"/>
                <w:lang w:val="zh-CN"/>
              </w:rPr>
            </w:pPr>
            <w:r>
              <w:rPr>
                <w:rFonts w:hAnsi="宋体"/>
                <w:highlight w:val="none"/>
                <w:lang w:val="zh-CN"/>
              </w:rPr>
              <w:t>达标</w:t>
            </w:r>
          </w:p>
        </w:tc>
        <w:tc>
          <w:tcPr>
            <w:tcW w:w="1120" w:type="dxa"/>
            <w:vAlign w:val="center"/>
          </w:tcPr>
          <w:p>
            <w:pPr>
              <w:pStyle w:val="64"/>
              <w:rPr>
                <w:rFonts w:hAnsi="宋体"/>
                <w:highlight w:val="none"/>
                <w:lang w:val="zh-CN"/>
              </w:rPr>
            </w:pPr>
            <w:r>
              <w:rPr>
                <w:rFonts w:hAnsi="宋体"/>
                <w:highlight w:val="none"/>
                <w:lang w:val="zh-CN"/>
              </w:rPr>
              <w:t>不达标</w:t>
            </w:r>
          </w:p>
        </w:tc>
        <w:tc>
          <w:tcPr>
            <w:tcW w:w="1116" w:type="dxa"/>
            <w:vAlign w:val="center"/>
          </w:tcPr>
          <w:p>
            <w:pPr>
              <w:pStyle w:val="64"/>
              <w:rPr>
                <w:rFonts w:hAnsi="宋体"/>
                <w:highlight w:val="none"/>
                <w:lang w:val="zh-CN"/>
              </w:rPr>
            </w:pPr>
            <w:r>
              <w:rPr>
                <w:rFonts w:hAnsi="宋体"/>
                <w:highlight w:val="none"/>
                <w:lang w:val="zh-CN"/>
              </w:rPr>
              <w:t>达标</w:t>
            </w:r>
          </w:p>
        </w:tc>
        <w:tc>
          <w:tcPr>
            <w:tcW w:w="1116" w:type="dxa"/>
            <w:vAlign w:val="center"/>
          </w:tcPr>
          <w:p>
            <w:pPr>
              <w:pStyle w:val="64"/>
              <w:rPr>
                <w:rFonts w:hAnsi="宋体"/>
                <w:highlight w:val="none"/>
                <w:lang w:val="zh-CN"/>
              </w:rPr>
            </w:pPr>
            <w:r>
              <w:rPr>
                <w:rFonts w:hAnsi="宋体"/>
                <w:highlight w:val="none"/>
                <w:lang w:val="zh-CN"/>
              </w:rPr>
              <w:t>达标</w:t>
            </w:r>
          </w:p>
        </w:tc>
        <w:tc>
          <w:tcPr>
            <w:tcW w:w="1118" w:type="dxa"/>
            <w:vAlign w:val="center"/>
          </w:tcPr>
          <w:p>
            <w:pPr>
              <w:pStyle w:val="64"/>
              <w:rPr>
                <w:rFonts w:hAnsi="宋体"/>
                <w:highlight w:val="none"/>
                <w:lang w:val="zh-CN"/>
              </w:rPr>
            </w:pPr>
            <w:r>
              <w:rPr>
                <w:rFonts w:hAnsi="宋体"/>
                <w:highlight w:val="none"/>
                <w:lang w:val="zh-CN"/>
              </w:rPr>
              <w:t>达标</w:t>
            </w:r>
          </w:p>
        </w:tc>
      </w:tr>
    </w:tbl>
    <w:p>
      <w:pPr>
        <w:autoSpaceDE w:val="0"/>
        <w:autoSpaceDN w:val="0"/>
        <w:adjustRightInd w:val="0"/>
        <w:ind w:firstLine="480"/>
        <w:rPr>
          <w:rFonts w:ascii="宋体" w:hAnsi="宋体" w:cstheme="minorBidi"/>
          <w:bCs/>
          <w:highlight w:val="none"/>
        </w:rPr>
      </w:pPr>
      <w:r>
        <w:rPr>
          <w:rFonts w:ascii="宋体" w:hAnsi="宋体"/>
          <w:snapToGrid w:val="0"/>
          <w:kern w:val="0"/>
          <w:highlight w:val="none"/>
        </w:rPr>
        <w:t>由监测数据可以看出，繁峙县20</w:t>
      </w:r>
      <w:r>
        <w:rPr>
          <w:rFonts w:hint="eastAsia" w:ascii="宋体" w:hAnsi="宋体"/>
          <w:snapToGrid w:val="0"/>
          <w:kern w:val="0"/>
          <w:highlight w:val="none"/>
        </w:rPr>
        <w:t>2</w:t>
      </w:r>
      <w:r>
        <w:rPr>
          <w:rFonts w:hint="eastAsia" w:ascii="宋体" w:hAnsi="宋体"/>
          <w:snapToGrid w:val="0"/>
          <w:kern w:val="0"/>
          <w:highlight w:val="none"/>
          <w:lang w:val="en-US" w:eastAsia="zh-CN"/>
        </w:rPr>
        <w:t>1</w:t>
      </w:r>
      <w:r>
        <w:rPr>
          <w:rFonts w:ascii="宋体" w:hAnsi="宋体"/>
          <w:snapToGrid w:val="0"/>
          <w:kern w:val="0"/>
          <w:highlight w:val="none"/>
        </w:rPr>
        <w:t>年全年环境空气</w:t>
      </w:r>
      <w:r>
        <w:rPr>
          <w:rFonts w:ascii="宋体" w:hAnsi="宋体" w:cstheme="minorBidi"/>
          <w:bCs/>
          <w:highlight w:val="none"/>
        </w:rPr>
        <w:t>例行监测因子NO</w:t>
      </w:r>
      <w:r>
        <w:rPr>
          <w:rFonts w:ascii="宋体" w:hAnsi="宋体" w:cstheme="minorBidi"/>
          <w:bCs/>
          <w:highlight w:val="none"/>
          <w:vertAlign w:val="subscript"/>
        </w:rPr>
        <w:t>2</w:t>
      </w:r>
      <w:r>
        <w:rPr>
          <w:rFonts w:ascii="宋体" w:hAnsi="宋体" w:cstheme="minorBidi"/>
          <w:bCs/>
          <w:highlight w:val="none"/>
        </w:rPr>
        <w:t>、CO、PM</w:t>
      </w:r>
      <w:r>
        <w:rPr>
          <w:rFonts w:ascii="宋体" w:hAnsi="宋体" w:cstheme="minorBidi"/>
          <w:bCs/>
          <w:highlight w:val="none"/>
          <w:vertAlign w:val="subscript"/>
        </w:rPr>
        <w:t>2.5</w:t>
      </w:r>
      <w:r>
        <w:rPr>
          <w:rFonts w:ascii="宋体" w:hAnsi="宋体" w:cstheme="minorBidi"/>
          <w:bCs/>
          <w:highlight w:val="none"/>
        </w:rPr>
        <w:t>、SO</w:t>
      </w:r>
      <w:r>
        <w:rPr>
          <w:rFonts w:ascii="宋体" w:hAnsi="宋体" w:cstheme="minorBidi"/>
          <w:bCs/>
          <w:highlight w:val="none"/>
          <w:vertAlign w:val="subscript"/>
        </w:rPr>
        <w:t>2</w:t>
      </w:r>
      <w:r>
        <w:rPr>
          <w:rFonts w:ascii="宋体" w:hAnsi="宋体" w:cstheme="minorBidi"/>
          <w:bCs/>
          <w:highlight w:val="none"/>
        </w:rPr>
        <w:t>、O</w:t>
      </w:r>
      <w:r>
        <w:rPr>
          <w:rFonts w:ascii="宋体" w:hAnsi="宋体" w:cstheme="minorBidi"/>
          <w:bCs/>
          <w:highlight w:val="none"/>
          <w:vertAlign w:val="subscript"/>
        </w:rPr>
        <w:t>3</w:t>
      </w:r>
      <w:r>
        <w:rPr>
          <w:rFonts w:ascii="宋体" w:hAnsi="宋体" w:cstheme="minorBidi"/>
          <w:bCs/>
          <w:highlight w:val="none"/>
        </w:rPr>
        <w:t>年均值</w:t>
      </w:r>
      <w:r>
        <w:rPr>
          <w:rFonts w:hint="eastAsia" w:ascii="宋体" w:hAnsi="宋体" w:cstheme="minorBidi"/>
          <w:bCs/>
          <w:highlight w:val="none"/>
          <w:lang w:val="en-US" w:eastAsia="zh-CN"/>
        </w:rPr>
        <w:t>未</w:t>
      </w:r>
      <w:r>
        <w:rPr>
          <w:rFonts w:ascii="宋体" w:hAnsi="宋体" w:cstheme="minorBidi"/>
          <w:bCs/>
          <w:highlight w:val="none"/>
        </w:rPr>
        <w:t>超过《环境空气质量标准》中的二级标准，PM</w:t>
      </w:r>
      <w:r>
        <w:rPr>
          <w:rFonts w:ascii="宋体" w:hAnsi="宋体" w:cstheme="minorBidi"/>
          <w:bCs/>
          <w:highlight w:val="none"/>
          <w:vertAlign w:val="subscript"/>
        </w:rPr>
        <w:t>10</w:t>
      </w:r>
      <w:r>
        <w:rPr>
          <w:rFonts w:ascii="宋体" w:hAnsi="宋体" w:cstheme="minorBidi"/>
          <w:bCs/>
          <w:highlight w:val="none"/>
        </w:rPr>
        <w:t>年均值超过《环境空气质量标准》中的二级标准，监测结果表明，项目所在地为不达标区。</w:t>
      </w:r>
    </w:p>
    <w:p>
      <w:pPr>
        <w:pStyle w:val="62"/>
        <w:ind w:firstLine="480"/>
        <w:rPr>
          <w:rFonts w:hAnsi="宋体"/>
          <w:highlight w:val="none"/>
        </w:rPr>
      </w:pPr>
      <w:r>
        <w:rPr>
          <w:rFonts w:hAnsi="宋体"/>
          <w:highlight w:val="none"/>
        </w:rPr>
        <w:t>4.3.1.2补充监测</w:t>
      </w:r>
    </w:p>
    <w:p>
      <w:pPr>
        <w:ind w:firstLine="480"/>
        <w:rPr>
          <w:rFonts w:ascii="宋体" w:hAnsi="宋体"/>
          <w:bCs/>
          <w:highlight w:val="none"/>
        </w:rPr>
      </w:pPr>
      <w:r>
        <w:rPr>
          <w:rFonts w:ascii="宋体" w:hAnsi="宋体"/>
          <w:bCs/>
          <w:highlight w:val="none"/>
        </w:rPr>
        <w:t>为了了解环境现状，建设单位委托北京京畿分析测试中心有限公司于2020年</w:t>
      </w:r>
      <w:r>
        <w:rPr>
          <w:rFonts w:hint="eastAsia" w:ascii="宋体" w:hAnsi="宋体"/>
          <w:bCs/>
          <w:highlight w:val="none"/>
        </w:rPr>
        <w:t>3</w:t>
      </w:r>
      <w:r>
        <w:rPr>
          <w:rFonts w:ascii="宋体" w:hAnsi="宋体"/>
          <w:bCs/>
          <w:highlight w:val="none"/>
        </w:rPr>
        <w:t>月</w:t>
      </w:r>
      <w:r>
        <w:rPr>
          <w:rFonts w:hint="eastAsia" w:ascii="宋体" w:hAnsi="宋体"/>
          <w:bCs/>
          <w:highlight w:val="none"/>
        </w:rPr>
        <w:t>21</w:t>
      </w:r>
      <w:r>
        <w:rPr>
          <w:rFonts w:ascii="宋体" w:hAnsi="宋体"/>
          <w:bCs/>
          <w:highlight w:val="none"/>
        </w:rPr>
        <w:t>日至</w:t>
      </w:r>
      <w:r>
        <w:rPr>
          <w:rFonts w:hint="eastAsia" w:ascii="宋体" w:hAnsi="宋体"/>
          <w:bCs/>
          <w:highlight w:val="none"/>
        </w:rPr>
        <w:t>3</w:t>
      </w:r>
      <w:r>
        <w:rPr>
          <w:rFonts w:ascii="宋体" w:hAnsi="宋体"/>
          <w:bCs/>
          <w:highlight w:val="none"/>
        </w:rPr>
        <w:t>月</w:t>
      </w:r>
      <w:r>
        <w:rPr>
          <w:rFonts w:hint="eastAsia" w:ascii="宋体" w:hAnsi="宋体"/>
          <w:bCs/>
          <w:highlight w:val="none"/>
        </w:rPr>
        <w:t>27</w:t>
      </w:r>
      <w:r>
        <w:rPr>
          <w:rFonts w:ascii="宋体" w:hAnsi="宋体"/>
          <w:bCs/>
          <w:highlight w:val="none"/>
        </w:rPr>
        <w:t>日对项目的特征污染物TSP进行了现状监测。</w:t>
      </w:r>
    </w:p>
    <w:p>
      <w:pPr>
        <w:ind w:firstLine="480"/>
        <w:rPr>
          <w:rFonts w:ascii="宋体" w:hAnsi="宋体"/>
          <w:bCs/>
          <w:highlight w:val="none"/>
        </w:rPr>
      </w:pPr>
      <w:r>
        <w:rPr>
          <w:rFonts w:ascii="宋体" w:hAnsi="宋体"/>
          <w:bCs/>
          <w:highlight w:val="none"/>
        </w:rPr>
        <w:t>1、监测布点</w:t>
      </w:r>
    </w:p>
    <w:p>
      <w:pPr>
        <w:ind w:firstLine="480"/>
        <w:rPr>
          <w:rFonts w:ascii="宋体" w:hAnsi="宋体"/>
          <w:bCs/>
          <w:highlight w:val="none"/>
        </w:rPr>
      </w:pPr>
      <w:r>
        <w:rPr>
          <w:rFonts w:ascii="宋体" w:hAnsi="宋体"/>
          <w:bCs/>
          <w:highlight w:val="none"/>
        </w:rPr>
        <w:t>本项目环境质量现状监测在矿区范围内和主导风下风向各布设了1个监测点。监测内容见表4.3-2，本项目环境质量现状监测布点图见附图4-</w:t>
      </w:r>
      <w:r>
        <w:rPr>
          <w:rFonts w:hint="eastAsia" w:ascii="宋体" w:hAnsi="宋体"/>
          <w:bCs/>
          <w:highlight w:val="none"/>
        </w:rPr>
        <w:t>11</w:t>
      </w:r>
      <w:r>
        <w:rPr>
          <w:rFonts w:ascii="宋体" w:hAnsi="宋体"/>
          <w:bCs/>
          <w:highlight w:val="none"/>
        </w:rPr>
        <w:t>。</w:t>
      </w:r>
    </w:p>
    <w:p>
      <w:pPr>
        <w:pStyle w:val="62"/>
        <w:ind w:firstLine="480"/>
        <w:jc w:val="center"/>
        <w:rPr>
          <w:rFonts w:hAnsi="宋体"/>
          <w:highlight w:val="none"/>
        </w:rPr>
      </w:pPr>
      <w:r>
        <w:rPr>
          <w:rFonts w:hAnsi="宋体"/>
          <w:highlight w:val="none"/>
        </w:rPr>
        <w:t>表4.3-2</w:t>
      </w:r>
      <w:r>
        <w:rPr>
          <w:rFonts w:hint="eastAsia" w:hAnsi="宋体"/>
          <w:highlight w:val="none"/>
        </w:rPr>
        <w:t xml:space="preserve">  </w:t>
      </w:r>
      <w:r>
        <w:rPr>
          <w:rFonts w:hAnsi="宋体"/>
          <w:highlight w:val="none"/>
        </w:rPr>
        <w:t>监测内容一览表</w:t>
      </w:r>
    </w:p>
    <w:tbl>
      <w:tblPr>
        <w:tblStyle w:val="44"/>
        <w:tblW w:w="894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3"/>
        <w:gridCol w:w="2263"/>
        <w:gridCol w:w="2724"/>
        <w:gridCol w:w="30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43" w:type="dxa"/>
            <w:vAlign w:val="center"/>
          </w:tcPr>
          <w:p>
            <w:pPr>
              <w:pStyle w:val="64"/>
              <w:rPr>
                <w:rFonts w:hAnsi="宋体"/>
                <w:snapToGrid w:val="0"/>
                <w:highlight w:val="none"/>
              </w:rPr>
            </w:pPr>
            <w:r>
              <w:rPr>
                <w:rFonts w:hAnsi="宋体"/>
                <w:snapToGrid w:val="0"/>
                <w:highlight w:val="none"/>
              </w:rPr>
              <w:t>编号</w:t>
            </w:r>
          </w:p>
        </w:tc>
        <w:tc>
          <w:tcPr>
            <w:tcW w:w="2263" w:type="dxa"/>
            <w:vAlign w:val="center"/>
          </w:tcPr>
          <w:p>
            <w:pPr>
              <w:pStyle w:val="64"/>
              <w:rPr>
                <w:rFonts w:hAnsi="宋体"/>
                <w:snapToGrid w:val="0"/>
                <w:highlight w:val="none"/>
              </w:rPr>
            </w:pPr>
            <w:r>
              <w:rPr>
                <w:rFonts w:hAnsi="宋体"/>
                <w:snapToGrid w:val="0"/>
                <w:highlight w:val="none"/>
              </w:rPr>
              <w:t>监测点名称</w:t>
            </w:r>
          </w:p>
        </w:tc>
        <w:tc>
          <w:tcPr>
            <w:tcW w:w="2724" w:type="dxa"/>
            <w:vAlign w:val="center"/>
          </w:tcPr>
          <w:p>
            <w:pPr>
              <w:pStyle w:val="64"/>
              <w:rPr>
                <w:rFonts w:hAnsi="宋体"/>
                <w:snapToGrid w:val="0"/>
                <w:highlight w:val="none"/>
              </w:rPr>
            </w:pPr>
            <w:r>
              <w:rPr>
                <w:rFonts w:hAnsi="宋体"/>
                <w:snapToGrid w:val="0"/>
                <w:highlight w:val="none"/>
              </w:rPr>
              <w:t>与厂区距离（km）</w:t>
            </w:r>
          </w:p>
        </w:tc>
        <w:tc>
          <w:tcPr>
            <w:tcW w:w="3012" w:type="dxa"/>
            <w:vAlign w:val="center"/>
          </w:tcPr>
          <w:p>
            <w:pPr>
              <w:pStyle w:val="64"/>
              <w:rPr>
                <w:rFonts w:hAnsi="宋体"/>
                <w:snapToGrid w:val="0"/>
                <w:highlight w:val="none"/>
              </w:rPr>
            </w:pPr>
            <w:r>
              <w:rPr>
                <w:rFonts w:hAnsi="宋体"/>
                <w:snapToGrid w:val="0"/>
                <w:highlight w:val="none"/>
              </w:rPr>
              <w:t>布点原则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43" w:type="dxa"/>
            <w:vAlign w:val="center"/>
          </w:tcPr>
          <w:p>
            <w:pPr>
              <w:pStyle w:val="64"/>
              <w:rPr>
                <w:rFonts w:hAnsi="宋体"/>
                <w:snapToGrid w:val="0"/>
                <w:highlight w:val="none"/>
              </w:rPr>
            </w:pPr>
            <w:r>
              <w:rPr>
                <w:rFonts w:hAnsi="宋体"/>
                <w:snapToGrid w:val="0"/>
                <w:highlight w:val="none"/>
              </w:rPr>
              <w:t>1#</w:t>
            </w:r>
          </w:p>
        </w:tc>
        <w:tc>
          <w:tcPr>
            <w:tcW w:w="2263" w:type="dxa"/>
            <w:vAlign w:val="center"/>
          </w:tcPr>
          <w:p>
            <w:pPr>
              <w:pStyle w:val="64"/>
              <w:rPr>
                <w:rFonts w:hAnsi="宋体"/>
                <w:snapToGrid w:val="0"/>
                <w:highlight w:val="none"/>
              </w:rPr>
            </w:pPr>
            <w:r>
              <w:rPr>
                <w:rFonts w:hint="eastAsia" w:hAnsi="宋体"/>
                <w:highlight w:val="none"/>
                <w:lang w:bidi="ar"/>
              </w:rPr>
              <w:t>光裕堡村</w:t>
            </w:r>
          </w:p>
        </w:tc>
        <w:tc>
          <w:tcPr>
            <w:tcW w:w="2724" w:type="dxa"/>
            <w:vAlign w:val="center"/>
          </w:tcPr>
          <w:p>
            <w:pPr>
              <w:pStyle w:val="64"/>
              <w:rPr>
                <w:rFonts w:hAnsi="宋体"/>
                <w:snapToGrid w:val="0"/>
                <w:highlight w:val="none"/>
              </w:rPr>
            </w:pPr>
            <w:r>
              <w:rPr>
                <w:rFonts w:hint="eastAsia" w:hAnsi="宋体"/>
                <w:snapToGrid w:val="0"/>
                <w:highlight w:val="none"/>
              </w:rPr>
              <w:t>西南</w:t>
            </w:r>
            <w:r>
              <w:rPr>
                <w:rFonts w:hAnsi="宋体"/>
                <w:snapToGrid w:val="0"/>
                <w:highlight w:val="none"/>
              </w:rPr>
              <w:t>，</w:t>
            </w:r>
            <w:r>
              <w:rPr>
                <w:rFonts w:hint="eastAsia" w:hAnsi="宋体"/>
                <w:snapToGrid w:val="0"/>
                <w:highlight w:val="none"/>
              </w:rPr>
              <w:t>3.5</w:t>
            </w:r>
            <w:r>
              <w:rPr>
                <w:rFonts w:hAnsi="宋体"/>
                <w:snapToGrid w:val="0"/>
                <w:highlight w:val="none"/>
              </w:rPr>
              <w:t>km</w:t>
            </w:r>
          </w:p>
        </w:tc>
        <w:tc>
          <w:tcPr>
            <w:tcW w:w="3012" w:type="dxa"/>
            <w:vAlign w:val="center"/>
          </w:tcPr>
          <w:p>
            <w:pPr>
              <w:pStyle w:val="64"/>
              <w:rPr>
                <w:rFonts w:hAnsi="宋体"/>
                <w:snapToGrid w:val="0"/>
                <w:highlight w:val="none"/>
              </w:rPr>
            </w:pPr>
            <w:r>
              <w:rPr>
                <w:rFonts w:hAnsi="宋体"/>
                <w:snapToGrid w:val="0"/>
                <w:highlight w:val="none"/>
              </w:rPr>
              <w:t>下风向关心点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43" w:type="dxa"/>
            <w:vAlign w:val="center"/>
          </w:tcPr>
          <w:p>
            <w:pPr>
              <w:pStyle w:val="64"/>
              <w:rPr>
                <w:rFonts w:hAnsi="宋体"/>
                <w:snapToGrid w:val="0"/>
                <w:highlight w:val="none"/>
              </w:rPr>
            </w:pPr>
            <w:r>
              <w:rPr>
                <w:rFonts w:hAnsi="宋体"/>
                <w:snapToGrid w:val="0"/>
                <w:highlight w:val="none"/>
              </w:rPr>
              <w:t>2#</w:t>
            </w:r>
          </w:p>
        </w:tc>
        <w:tc>
          <w:tcPr>
            <w:tcW w:w="2263" w:type="dxa"/>
            <w:vAlign w:val="center"/>
          </w:tcPr>
          <w:p>
            <w:pPr>
              <w:pStyle w:val="64"/>
              <w:rPr>
                <w:rFonts w:hAnsi="宋体"/>
                <w:snapToGrid w:val="0"/>
                <w:highlight w:val="none"/>
              </w:rPr>
            </w:pPr>
            <w:r>
              <w:rPr>
                <w:rFonts w:hAnsi="宋体"/>
                <w:snapToGrid w:val="0"/>
                <w:highlight w:val="none"/>
              </w:rPr>
              <w:t>厂址</w:t>
            </w:r>
          </w:p>
        </w:tc>
        <w:tc>
          <w:tcPr>
            <w:tcW w:w="2724" w:type="dxa"/>
            <w:vAlign w:val="center"/>
          </w:tcPr>
          <w:p>
            <w:pPr>
              <w:pStyle w:val="64"/>
              <w:rPr>
                <w:rFonts w:hAnsi="宋体"/>
                <w:snapToGrid w:val="0"/>
                <w:highlight w:val="none"/>
              </w:rPr>
            </w:pPr>
            <w:r>
              <w:rPr>
                <w:rFonts w:hAnsi="宋体"/>
                <w:snapToGrid w:val="0"/>
                <w:highlight w:val="none"/>
              </w:rPr>
              <w:t>-</w:t>
            </w:r>
          </w:p>
        </w:tc>
        <w:tc>
          <w:tcPr>
            <w:tcW w:w="3012" w:type="dxa"/>
            <w:vAlign w:val="center"/>
          </w:tcPr>
          <w:p>
            <w:pPr>
              <w:pStyle w:val="64"/>
              <w:rPr>
                <w:rFonts w:hAnsi="宋体"/>
                <w:snapToGrid w:val="0"/>
                <w:highlight w:val="none"/>
              </w:rPr>
            </w:pPr>
            <w:r>
              <w:rPr>
                <w:rFonts w:hAnsi="宋体"/>
                <w:snapToGrid w:val="0"/>
                <w:highlight w:val="none"/>
              </w:rPr>
              <w:t>厂区背景值</w:t>
            </w:r>
          </w:p>
        </w:tc>
      </w:tr>
    </w:tbl>
    <w:p>
      <w:pPr>
        <w:ind w:firstLine="480"/>
        <w:jc w:val="left"/>
        <w:rPr>
          <w:rFonts w:ascii="宋体" w:hAnsi="宋体"/>
          <w:highlight w:val="none"/>
        </w:rPr>
      </w:pPr>
      <w:r>
        <w:rPr>
          <w:rFonts w:ascii="宋体" w:hAnsi="宋体"/>
          <w:highlight w:val="none"/>
        </w:rPr>
        <w:t>2、监测项目</w:t>
      </w:r>
    </w:p>
    <w:p>
      <w:pPr>
        <w:ind w:firstLine="480"/>
        <w:jc w:val="left"/>
        <w:rPr>
          <w:rFonts w:ascii="宋体" w:hAnsi="宋体"/>
          <w:highlight w:val="none"/>
        </w:rPr>
      </w:pPr>
      <w:r>
        <w:rPr>
          <w:rFonts w:ascii="宋体" w:hAnsi="宋体"/>
          <w:highlight w:val="none"/>
        </w:rPr>
        <w:t>监测项目：TSP。</w:t>
      </w:r>
    </w:p>
    <w:p>
      <w:pPr>
        <w:ind w:firstLine="480"/>
        <w:jc w:val="left"/>
        <w:rPr>
          <w:rFonts w:ascii="宋体" w:hAnsi="宋体"/>
          <w:highlight w:val="none"/>
        </w:rPr>
      </w:pPr>
      <w:r>
        <w:rPr>
          <w:rFonts w:ascii="宋体" w:hAnsi="宋体"/>
          <w:highlight w:val="none"/>
        </w:rPr>
        <w:t>3、采样时间及频率</w:t>
      </w:r>
    </w:p>
    <w:p>
      <w:pPr>
        <w:ind w:firstLine="480"/>
        <w:jc w:val="left"/>
        <w:rPr>
          <w:rFonts w:ascii="宋体" w:hAnsi="宋体"/>
          <w:highlight w:val="none"/>
        </w:rPr>
      </w:pPr>
      <w:r>
        <w:rPr>
          <w:rFonts w:ascii="宋体" w:hAnsi="宋体"/>
          <w:highlight w:val="none"/>
        </w:rPr>
        <w:t>连续7天，每天采样不少于24小时，同时记录监测时段的风速、风向、气温、气压和天气状况等气象条件。</w:t>
      </w:r>
    </w:p>
    <w:p>
      <w:pPr>
        <w:ind w:firstLine="480"/>
        <w:jc w:val="left"/>
        <w:rPr>
          <w:rFonts w:ascii="宋体" w:hAnsi="宋体"/>
          <w:highlight w:val="none"/>
        </w:rPr>
      </w:pPr>
      <w:r>
        <w:rPr>
          <w:rFonts w:ascii="宋体" w:hAnsi="宋体"/>
          <w:highlight w:val="none"/>
        </w:rPr>
        <w:t>4、采样及分析方法</w:t>
      </w:r>
    </w:p>
    <w:p>
      <w:pPr>
        <w:ind w:firstLine="480"/>
        <w:jc w:val="left"/>
        <w:rPr>
          <w:rFonts w:ascii="宋体" w:hAnsi="宋体"/>
          <w:highlight w:val="none"/>
        </w:rPr>
      </w:pPr>
      <w:r>
        <w:rPr>
          <w:rFonts w:ascii="宋体" w:hAnsi="宋体"/>
          <w:highlight w:val="none"/>
        </w:rPr>
        <w:t>样品的采集、保存及分析方法按国家有关规定进行。</w:t>
      </w:r>
    </w:p>
    <w:p>
      <w:pPr>
        <w:ind w:firstLine="480"/>
        <w:rPr>
          <w:rFonts w:ascii="宋体" w:hAnsi="宋体"/>
          <w:highlight w:val="none"/>
        </w:rPr>
      </w:pPr>
      <w:r>
        <w:rPr>
          <w:rFonts w:ascii="宋体" w:hAnsi="宋体"/>
          <w:highlight w:val="none"/>
        </w:rPr>
        <w:t>5、评价标准</w:t>
      </w:r>
    </w:p>
    <w:p>
      <w:pPr>
        <w:ind w:firstLine="480"/>
        <w:rPr>
          <w:rFonts w:ascii="宋体" w:hAnsi="宋体"/>
          <w:highlight w:val="none"/>
        </w:rPr>
      </w:pPr>
      <w:r>
        <w:rPr>
          <w:rFonts w:ascii="宋体" w:hAnsi="宋体"/>
          <w:highlight w:val="none"/>
        </w:rPr>
        <w:t>本项目场址所在区域环境空气属于二类区，标准限值详见表4.3-3。</w:t>
      </w:r>
    </w:p>
    <w:p>
      <w:pPr>
        <w:pStyle w:val="62"/>
        <w:ind w:firstLine="480"/>
        <w:jc w:val="center"/>
        <w:rPr>
          <w:rFonts w:hAnsi="宋体"/>
          <w:highlight w:val="none"/>
          <w:vertAlign w:val="superscript"/>
        </w:rPr>
      </w:pPr>
      <w:r>
        <w:rPr>
          <w:rFonts w:hAnsi="宋体"/>
          <w:highlight w:val="none"/>
        </w:rPr>
        <w:t>表4.3-3</w:t>
      </w:r>
      <w:r>
        <w:rPr>
          <w:rFonts w:hint="eastAsia" w:hAnsi="宋体"/>
          <w:highlight w:val="none"/>
        </w:rPr>
        <w:t xml:space="preserve">  </w:t>
      </w:r>
      <w:r>
        <w:rPr>
          <w:rFonts w:hAnsi="宋体"/>
          <w:highlight w:val="none"/>
        </w:rPr>
        <w:t>环境空气质量标准单位：</w:t>
      </w:r>
      <w:r>
        <w:rPr>
          <w:rFonts w:hAnsi="宋体"/>
          <w:kern w:val="21"/>
          <w:highlight w:val="none"/>
          <w:lang w:val="de-DE"/>
        </w:rPr>
        <w:t>μg</w:t>
      </w:r>
      <w:r>
        <w:rPr>
          <w:rFonts w:hAnsi="宋体"/>
          <w:highlight w:val="none"/>
        </w:rPr>
        <w:t>/Nm</w:t>
      </w:r>
      <w:r>
        <w:rPr>
          <w:rFonts w:hAnsi="宋体"/>
          <w:highlight w:val="none"/>
          <w:vertAlign w:val="superscript"/>
        </w:rPr>
        <w:t>3</w:t>
      </w:r>
    </w:p>
    <w:tbl>
      <w:tblPr>
        <w:tblStyle w:val="44"/>
        <w:tblW w:w="894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41"/>
        <w:gridCol w:w="1182"/>
        <w:gridCol w:w="1955"/>
        <w:gridCol w:w="466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41" w:type="dxa"/>
            <w:vAlign w:val="center"/>
          </w:tcPr>
          <w:p>
            <w:pPr>
              <w:pStyle w:val="64"/>
              <w:rPr>
                <w:rFonts w:hAnsi="宋体"/>
                <w:highlight w:val="none"/>
              </w:rPr>
            </w:pPr>
            <w:r>
              <w:rPr>
                <w:rFonts w:hAnsi="宋体"/>
                <w:highlight w:val="none"/>
              </w:rPr>
              <w:t>项目</w:t>
            </w:r>
          </w:p>
        </w:tc>
        <w:tc>
          <w:tcPr>
            <w:tcW w:w="1182" w:type="dxa"/>
            <w:vAlign w:val="center"/>
          </w:tcPr>
          <w:p>
            <w:pPr>
              <w:pStyle w:val="64"/>
              <w:rPr>
                <w:rFonts w:hAnsi="宋体"/>
                <w:highlight w:val="none"/>
              </w:rPr>
            </w:pPr>
            <w:r>
              <w:rPr>
                <w:rFonts w:hAnsi="宋体"/>
                <w:highlight w:val="none"/>
              </w:rPr>
              <w:t>年平均</w:t>
            </w:r>
          </w:p>
        </w:tc>
        <w:tc>
          <w:tcPr>
            <w:tcW w:w="1955" w:type="dxa"/>
            <w:vAlign w:val="center"/>
          </w:tcPr>
          <w:p>
            <w:pPr>
              <w:pStyle w:val="64"/>
              <w:rPr>
                <w:rFonts w:hAnsi="宋体"/>
                <w:highlight w:val="none"/>
              </w:rPr>
            </w:pPr>
            <w:r>
              <w:rPr>
                <w:rFonts w:hAnsi="宋体"/>
                <w:highlight w:val="none"/>
              </w:rPr>
              <w:t>24小时平均</w:t>
            </w:r>
          </w:p>
        </w:tc>
        <w:tc>
          <w:tcPr>
            <w:tcW w:w="4664" w:type="dxa"/>
            <w:vAlign w:val="center"/>
          </w:tcPr>
          <w:p>
            <w:pPr>
              <w:pStyle w:val="64"/>
              <w:rPr>
                <w:rFonts w:hAnsi="宋体"/>
                <w:highlight w:val="none"/>
              </w:rPr>
            </w:pPr>
            <w:r>
              <w:rPr>
                <w:rFonts w:hAnsi="宋体"/>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41" w:type="dxa"/>
            <w:vAlign w:val="center"/>
          </w:tcPr>
          <w:p>
            <w:pPr>
              <w:pStyle w:val="64"/>
              <w:rPr>
                <w:rFonts w:hAnsi="宋体"/>
                <w:highlight w:val="none"/>
              </w:rPr>
            </w:pPr>
            <w:r>
              <w:rPr>
                <w:rFonts w:hAnsi="宋体"/>
                <w:highlight w:val="none"/>
              </w:rPr>
              <w:t>TSP</w:t>
            </w:r>
          </w:p>
        </w:tc>
        <w:tc>
          <w:tcPr>
            <w:tcW w:w="1182" w:type="dxa"/>
            <w:vAlign w:val="center"/>
          </w:tcPr>
          <w:p>
            <w:pPr>
              <w:pStyle w:val="64"/>
              <w:rPr>
                <w:rFonts w:hAnsi="宋体"/>
                <w:highlight w:val="none"/>
              </w:rPr>
            </w:pPr>
            <w:r>
              <w:rPr>
                <w:rFonts w:hAnsi="宋体"/>
                <w:highlight w:val="none"/>
              </w:rPr>
              <w:t>200</w:t>
            </w:r>
          </w:p>
        </w:tc>
        <w:tc>
          <w:tcPr>
            <w:tcW w:w="1955" w:type="dxa"/>
            <w:vAlign w:val="center"/>
          </w:tcPr>
          <w:p>
            <w:pPr>
              <w:pStyle w:val="64"/>
              <w:rPr>
                <w:rFonts w:hAnsi="宋体"/>
                <w:highlight w:val="none"/>
              </w:rPr>
            </w:pPr>
            <w:r>
              <w:rPr>
                <w:rFonts w:hAnsi="宋体"/>
                <w:highlight w:val="none"/>
              </w:rPr>
              <w:t>300</w:t>
            </w:r>
          </w:p>
        </w:tc>
        <w:tc>
          <w:tcPr>
            <w:tcW w:w="4664" w:type="dxa"/>
            <w:vAlign w:val="center"/>
          </w:tcPr>
          <w:p>
            <w:pPr>
              <w:pStyle w:val="64"/>
              <w:rPr>
                <w:rFonts w:hAnsi="宋体"/>
                <w:highlight w:val="none"/>
              </w:rPr>
            </w:pPr>
            <w:r>
              <w:rPr>
                <w:rFonts w:hAnsi="宋体"/>
                <w:highlight w:val="none"/>
              </w:rPr>
              <w:t>《环境空气质量标准》（GB3095-2012）</w:t>
            </w:r>
          </w:p>
        </w:tc>
      </w:tr>
    </w:tbl>
    <w:p>
      <w:pPr>
        <w:ind w:firstLine="480"/>
        <w:jc w:val="left"/>
        <w:rPr>
          <w:rFonts w:ascii="宋体" w:hAnsi="宋体"/>
          <w:highlight w:val="none"/>
        </w:rPr>
      </w:pPr>
      <w:r>
        <w:rPr>
          <w:rFonts w:ascii="宋体" w:hAnsi="宋体"/>
          <w:highlight w:val="none"/>
        </w:rPr>
        <w:t>6、监测及评价结果</w:t>
      </w:r>
    </w:p>
    <w:p>
      <w:pPr>
        <w:widowControl/>
        <w:adjustRightInd w:val="0"/>
        <w:snapToGrid w:val="0"/>
        <w:spacing w:line="520" w:lineRule="exact"/>
        <w:ind w:firstLine="480"/>
        <w:rPr>
          <w:rFonts w:ascii="宋体" w:hAnsi="宋体"/>
          <w:kern w:val="0"/>
          <w:szCs w:val="20"/>
          <w:highlight w:val="none"/>
          <w:lang w:val="de-DE"/>
        </w:rPr>
      </w:pPr>
      <w:r>
        <w:rPr>
          <w:rFonts w:hint="eastAsia" w:ascii="宋体" w:hAnsi="宋体"/>
          <w:kern w:val="0"/>
          <w:szCs w:val="20"/>
          <w:highlight w:val="none"/>
          <w:lang w:val="de-DE"/>
        </w:rPr>
        <w:t>环境空气现状监测结果表见表4.3-4。</w:t>
      </w:r>
    </w:p>
    <w:p>
      <w:pPr>
        <w:ind w:firstLine="0" w:firstLineChars="0"/>
        <w:jc w:val="center"/>
        <w:rPr>
          <w:rFonts w:ascii="宋体" w:hAnsi="宋体"/>
          <w:kern w:val="0"/>
          <w:highlight w:val="none"/>
          <w:lang w:val="de-DE"/>
        </w:rPr>
      </w:pPr>
      <w:r>
        <w:rPr>
          <w:rFonts w:hint="eastAsia" w:ascii="宋体" w:hAnsi="宋体"/>
          <w:kern w:val="0"/>
          <w:highlight w:val="none"/>
          <w:lang w:val="de-DE"/>
        </w:rPr>
        <w:t>表</w:t>
      </w:r>
      <w:r>
        <w:rPr>
          <w:rFonts w:ascii="宋体" w:hAnsi="宋体"/>
          <w:kern w:val="0"/>
          <w:highlight w:val="none"/>
          <w:lang w:val="de-DE"/>
        </w:rPr>
        <w:t>4.3-</w:t>
      </w:r>
      <w:r>
        <w:rPr>
          <w:rFonts w:hint="eastAsia" w:ascii="宋体" w:hAnsi="宋体"/>
          <w:kern w:val="0"/>
          <w:highlight w:val="none"/>
          <w:lang w:val="de-DE"/>
        </w:rPr>
        <w:t>4  项目场址现状监测结果</w:t>
      </w:r>
      <w:r>
        <w:rPr>
          <w:rFonts w:ascii="宋体" w:hAnsi="宋体"/>
          <w:kern w:val="0"/>
          <w:highlight w:val="none"/>
          <w:lang w:val="de-DE"/>
        </w:rPr>
        <w:t>(mg/m</w:t>
      </w:r>
      <w:r>
        <w:rPr>
          <w:rFonts w:ascii="宋体" w:hAnsi="宋体"/>
          <w:kern w:val="0"/>
          <w:highlight w:val="none"/>
          <w:vertAlign w:val="superscript"/>
          <w:lang w:val="de-DE"/>
        </w:rPr>
        <w:t>3</w:t>
      </w:r>
      <w:r>
        <w:rPr>
          <w:rFonts w:ascii="宋体" w:hAnsi="宋体"/>
          <w:kern w:val="0"/>
          <w:highlight w:val="none"/>
          <w:lang w:val="de-DE"/>
        </w:rPr>
        <w:t>)</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24"/>
        <w:gridCol w:w="3360"/>
        <w:gridCol w:w="336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highlight w:val="none"/>
              </w:rPr>
            </w:pPr>
            <w:r>
              <w:rPr>
                <w:rFonts w:hint="eastAsia" w:hAnsi="宋体"/>
                <w:highlight w:val="none"/>
                <w:lang w:bidi="ar"/>
              </w:rPr>
              <w:t>检测项目</w:t>
            </w:r>
          </w:p>
        </w:tc>
        <w:tc>
          <w:tcPr>
            <w:tcW w:w="6722" w:type="dxa"/>
            <w:gridSpan w:val="2"/>
            <w:vAlign w:val="center"/>
          </w:tcPr>
          <w:p>
            <w:pPr>
              <w:pStyle w:val="64"/>
              <w:rPr>
                <w:rFonts w:hAnsi="宋体"/>
                <w:highlight w:val="none"/>
                <w:lang w:bidi="ar"/>
              </w:rPr>
            </w:pPr>
            <w:r>
              <w:rPr>
                <w:rFonts w:hint="eastAsia" w:hAnsi="宋体"/>
                <w:highlight w:val="none"/>
                <w:lang w:bidi="ar"/>
              </w:rPr>
              <w:t>总悬浮颗粒物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Merge w:val="restart"/>
            <w:vAlign w:val="center"/>
          </w:tcPr>
          <w:p>
            <w:pPr>
              <w:pStyle w:val="64"/>
              <w:rPr>
                <w:rFonts w:hAnsi="宋体"/>
                <w:highlight w:val="none"/>
              </w:rPr>
            </w:pPr>
            <w:r>
              <w:rPr>
                <w:rFonts w:hint="eastAsia" w:hAnsi="宋体"/>
                <w:highlight w:val="none"/>
                <w:lang w:bidi="ar"/>
              </w:rPr>
              <w:t>采样日期</w:t>
            </w:r>
          </w:p>
        </w:tc>
        <w:tc>
          <w:tcPr>
            <w:tcW w:w="6722" w:type="dxa"/>
            <w:gridSpan w:val="2"/>
            <w:vAlign w:val="center"/>
          </w:tcPr>
          <w:p>
            <w:pPr>
              <w:pStyle w:val="64"/>
              <w:rPr>
                <w:rFonts w:hAnsi="宋体"/>
                <w:highlight w:val="none"/>
              </w:rPr>
            </w:pPr>
            <w:r>
              <w:rPr>
                <w:rFonts w:hint="eastAsia" w:hAnsi="宋体"/>
                <w:highlight w:val="none"/>
                <w:lang w:bidi="ar"/>
              </w:rPr>
              <w:t>检测结果（</w:t>
            </w:r>
            <w:r>
              <w:rPr>
                <w:rFonts w:hAnsi="宋体"/>
                <w:highlight w:val="none"/>
                <w:lang w:bidi="ar"/>
              </w:rPr>
              <w:t>μg/m</w:t>
            </w:r>
            <w:r>
              <w:rPr>
                <w:rFonts w:hAnsi="宋体"/>
                <w:highlight w:val="none"/>
                <w:vertAlign w:val="superscript"/>
                <w:lang w:bidi="ar"/>
              </w:rPr>
              <w:t>3</w:t>
            </w:r>
            <w:r>
              <w:rPr>
                <w:rFonts w:hint="eastAsia" w:hAnsi="宋体"/>
                <w:highlight w:val="none"/>
                <w:lang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Merge w:val="continue"/>
            <w:vAlign w:val="center"/>
          </w:tcPr>
          <w:p>
            <w:pPr>
              <w:pStyle w:val="64"/>
              <w:rPr>
                <w:rFonts w:hAnsi="宋体"/>
                <w:sz w:val="20"/>
                <w:szCs w:val="20"/>
                <w:highlight w:val="none"/>
              </w:rPr>
            </w:pPr>
          </w:p>
        </w:tc>
        <w:tc>
          <w:tcPr>
            <w:tcW w:w="3360" w:type="dxa"/>
            <w:vAlign w:val="center"/>
          </w:tcPr>
          <w:p>
            <w:pPr>
              <w:pStyle w:val="64"/>
              <w:rPr>
                <w:rFonts w:hAnsi="宋体"/>
                <w:highlight w:val="none"/>
                <w:lang w:bidi="ar"/>
              </w:rPr>
            </w:pPr>
            <w:r>
              <w:rPr>
                <w:rFonts w:hint="eastAsia" w:hAnsi="宋体"/>
                <w:highlight w:val="none"/>
                <w:lang w:bidi="ar"/>
              </w:rPr>
              <w:t>光裕堡村</w:t>
            </w:r>
          </w:p>
        </w:tc>
        <w:tc>
          <w:tcPr>
            <w:tcW w:w="3362" w:type="dxa"/>
            <w:vAlign w:val="center"/>
          </w:tcPr>
          <w:p>
            <w:pPr>
              <w:pStyle w:val="64"/>
              <w:rPr>
                <w:rFonts w:hAnsi="宋体"/>
                <w:highlight w:val="none"/>
                <w:lang w:bidi="ar"/>
              </w:rPr>
            </w:pPr>
            <w:r>
              <w:rPr>
                <w:rFonts w:hint="eastAsia" w:hAnsi="宋体"/>
                <w:highlight w:val="none"/>
                <w:lang w:bidi="ar"/>
              </w:rPr>
              <w:t>厂址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.21</w:t>
            </w:r>
          </w:p>
        </w:tc>
        <w:tc>
          <w:tcPr>
            <w:tcW w:w="3360" w:type="dxa"/>
          </w:tcPr>
          <w:p>
            <w:pPr>
              <w:pStyle w:val="64"/>
              <w:rPr>
                <w:rFonts w:hAnsi="宋体"/>
                <w:highlight w:val="none"/>
              </w:rPr>
            </w:pPr>
          </w:p>
        </w:tc>
        <w:tc>
          <w:tcPr>
            <w:tcW w:w="3362"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.22</w:t>
            </w:r>
          </w:p>
        </w:tc>
        <w:tc>
          <w:tcPr>
            <w:tcW w:w="3360" w:type="dxa"/>
          </w:tcPr>
          <w:p>
            <w:pPr>
              <w:pStyle w:val="64"/>
              <w:rPr>
                <w:rFonts w:hAnsi="宋体"/>
                <w:highlight w:val="none"/>
              </w:rPr>
            </w:pPr>
          </w:p>
        </w:tc>
        <w:tc>
          <w:tcPr>
            <w:tcW w:w="3362"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.23</w:t>
            </w:r>
          </w:p>
        </w:tc>
        <w:tc>
          <w:tcPr>
            <w:tcW w:w="3360" w:type="dxa"/>
          </w:tcPr>
          <w:p>
            <w:pPr>
              <w:pStyle w:val="64"/>
              <w:rPr>
                <w:rFonts w:hAnsi="宋体"/>
                <w:highlight w:val="none"/>
              </w:rPr>
            </w:pPr>
          </w:p>
        </w:tc>
        <w:tc>
          <w:tcPr>
            <w:tcW w:w="3362"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.24</w:t>
            </w:r>
          </w:p>
        </w:tc>
        <w:tc>
          <w:tcPr>
            <w:tcW w:w="3360" w:type="dxa"/>
          </w:tcPr>
          <w:p>
            <w:pPr>
              <w:pStyle w:val="64"/>
              <w:rPr>
                <w:rFonts w:hAnsi="宋体"/>
                <w:highlight w:val="none"/>
              </w:rPr>
            </w:pPr>
          </w:p>
        </w:tc>
        <w:tc>
          <w:tcPr>
            <w:tcW w:w="3362"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.25</w:t>
            </w:r>
          </w:p>
        </w:tc>
        <w:tc>
          <w:tcPr>
            <w:tcW w:w="3360" w:type="dxa"/>
          </w:tcPr>
          <w:p>
            <w:pPr>
              <w:pStyle w:val="64"/>
              <w:rPr>
                <w:rFonts w:hAnsi="宋体"/>
                <w:highlight w:val="none"/>
              </w:rPr>
            </w:pPr>
          </w:p>
        </w:tc>
        <w:tc>
          <w:tcPr>
            <w:tcW w:w="3362"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.26</w:t>
            </w:r>
          </w:p>
        </w:tc>
        <w:tc>
          <w:tcPr>
            <w:tcW w:w="3360" w:type="dxa"/>
          </w:tcPr>
          <w:p>
            <w:pPr>
              <w:pStyle w:val="64"/>
              <w:rPr>
                <w:rFonts w:hAnsi="宋体"/>
                <w:highlight w:val="none"/>
              </w:rPr>
            </w:pPr>
          </w:p>
        </w:tc>
        <w:tc>
          <w:tcPr>
            <w:tcW w:w="3362" w:type="dxa"/>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224" w:type="dxa"/>
            <w:vAlign w:val="center"/>
          </w:tcPr>
          <w:p>
            <w:pPr>
              <w:pStyle w:val="64"/>
              <w:rPr>
                <w:rFonts w:hAnsi="宋体"/>
                <w:sz w:val="20"/>
                <w:szCs w:val="20"/>
                <w:highlight w:val="none"/>
              </w:rPr>
            </w:pPr>
            <w:r>
              <w:rPr>
                <w:rFonts w:hAnsi="宋体"/>
                <w:highlight w:val="none"/>
              </w:rPr>
              <w:t>2021.0</w:t>
            </w:r>
            <w:r>
              <w:rPr>
                <w:rFonts w:hint="eastAsia" w:hAnsi="宋体"/>
                <w:highlight w:val="none"/>
              </w:rPr>
              <w:t>3</w:t>
            </w:r>
            <w:r>
              <w:rPr>
                <w:rFonts w:hAnsi="宋体"/>
                <w:highlight w:val="none"/>
              </w:rPr>
              <w:t>.27</w:t>
            </w:r>
          </w:p>
        </w:tc>
        <w:tc>
          <w:tcPr>
            <w:tcW w:w="3360" w:type="dxa"/>
          </w:tcPr>
          <w:p>
            <w:pPr>
              <w:pStyle w:val="64"/>
              <w:rPr>
                <w:rFonts w:hAnsi="宋体"/>
                <w:highlight w:val="none"/>
              </w:rPr>
            </w:pPr>
          </w:p>
        </w:tc>
        <w:tc>
          <w:tcPr>
            <w:tcW w:w="3362" w:type="dxa"/>
          </w:tcPr>
          <w:p>
            <w:pPr>
              <w:pStyle w:val="64"/>
              <w:rPr>
                <w:rFonts w:hAnsi="宋体"/>
                <w:highlight w:val="none"/>
              </w:rPr>
            </w:pPr>
          </w:p>
        </w:tc>
      </w:tr>
    </w:tbl>
    <w:p>
      <w:pPr>
        <w:autoSpaceDE w:val="0"/>
        <w:autoSpaceDN w:val="0"/>
        <w:ind w:firstLine="480"/>
        <w:rPr>
          <w:rFonts w:ascii="宋体" w:hAnsi="宋体" w:cs="宋体"/>
          <w:snapToGrid w:val="0"/>
          <w:kern w:val="0"/>
          <w:szCs w:val="20"/>
          <w:highlight w:val="none"/>
          <w:lang w:val="zh-CN" w:bidi="zh-CN"/>
        </w:rPr>
      </w:pPr>
      <w:r>
        <w:rPr>
          <w:rFonts w:hint="eastAsia" w:ascii="宋体" w:hAnsi="宋体" w:cs="宋体"/>
          <w:snapToGrid w:val="0"/>
          <w:kern w:val="0"/>
          <w:szCs w:val="20"/>
          <w:highlight w:val="none"/>
          <w:lang w:val="zh-CN" w:bidi="zh-CN"/>
        </w:rPr>
        <w:t>特征污染物</w:t>
      </w:r>
      <w:r>
        <w:rPr>
          <w:rFonts w:hint="eastAsia" w:ascii="宋体" w:hAnsi="宋体" w:cs="宋体"/>
          <w:bCs/>
          <w:snapToGrid w:val="0"/>
          <w:kern w:val="0"/>
          <w:szCs w:val="20"/>
          <w:highlight w:val="none"/>
          <w:lang w:val="zh-CN" w:bidi="zh-CN"/>
        </w:rPr>
        <w:t>现状监测数据</w:t>
      </w:r>
      <w:r>
        <w:rPr>
          <w:rFonts w:hint="eastAsia" w:ascii="宋体" w:hAnsi="宋体" w:cs="宋体"/>
          <w:snapToGrid w:val="0"/>
          <w:kern w:val="0"/>
          <w:szCs w:val="20"/>
          <w:highlight w:val="none"/>
          <w:lang w:val="zh-CN" w:bidi="zh-CN"/>
        </w:rPr>
        <w:t>统计结果见表</w:t>
      </w:r>
      <w:r>
        <w:rPr>
          <w:rFonts w:ascii="宋体" w:hAnsi="宋体" w:cs="宋体"/>
          <w:spacing w:val="4"/>
          <w:kern w:val="0"/>
          <w:szCs w:val="20"/>
          <w:highlight w:val="none"/>
          <w:lang w:val="zh-CN" w:bidi="zh-CN"/>
        </w:rPr>
        <w:t>4.3-</w:t>
      </w:r>
      <w:r>
        <w:rPr>
          <w:rFonts w:hint="eastAsia" w:ascii="宋体" w:hAnsi="宋体" w:cs="宋体"/>
          <w:spacing w:val="4"/>
          <w:kern w:val="0"/>
          <w:szCs w:val="20"/>
          <w:highlight w:val="none"/>
          <w:lang w:val="zh-CN" w:bidi="zh-CN"/>
        </w:rPr>
        <w:t>5</w:t>
      </w:r>
      <w:r>
        <w:rPr>
          <w:rFonts w:hint="eastAsia" w:ascii="宋体" w:hAnsi="宋体" w:cs="宋体"/>
          <w:snapToGrid w:val="0"/>
          <w:kern w:val="0"/>
          <w:szCs w:val="20"/>
          <w:highlight w:val="none"/>
          <w:lang w:val="zh-CN" w:bidi="zh-CN"/>
        </w:rPr>
        <w:t>。</w:t>
      </w:r>
    </w:p>
    <w:p>
      <w:pPr>
        <w:autoSpaceDE w:val="0"/>
        <w:autoSpaceDN w:val="0"/>
        <w:spacing w:line="420" w:lineRule="atLeast"/>
        <w:ind w:firstLine="0" w:firstLineChars="0"/>
        <w:jc w:val="center"/>
        <w:rPr>
          <w:rFonts w:ascii="宋体" w:hAnsi="宋体" w:cs="宋体"/>
          <w:snapToGrid w:val="0"/>
          <w:kern w:val="0"/>
          <w:szCs w:val="21"/>
          <w:highlight w:val="none"/>
          <w:vertAlign w:val="superscript"/>
          <w:lang w:val="zh-CN" w:bidi="zh-CN"/>
        </w:rPr>
      </w:pPr>
      <w:r>
        <w:rPr>
          <w:rFonts w:hint="eastAsia" w:ascii="宋体" w:hAnsi="宋体" w:cs="宋体"/>
          <w:snapToGrid w:val="0"/>
          <w:kern w:val="0"/>
          <w:szCs w:val="22"/>
          <w:highlight w:val="none"/>
          <w:lang w:val="zh-CN" w:bidi="zh-CN"/>
        </w:rPr>
        <w:t>表</w:t>
      </w:r>
      <w:r>
        <w:rPr>
          <w:rFonts w:ascii="宋体" w:hAnsi="宋体" w:cs="宋体"/>
          <w:spacing w:val="4"/>
          <w:kern w:val="0"/>
          <w:szCs w:val="22"/>
          <w:highlight w:val="none"/>
          <w:lang w:val="zh-CN" w:bidi="zh-CN"/>
        </w:rPr>
        <w:t>4.3-</w:t>
      </w:r>
      <w:r>
        <w:rPr>
          <w:rFonts w:hint="eastAsia" w:ascii="宋体" w:hAnsi="宋体" w:cs="宋体"/>
          <w:spacing w:val="4"/>
          <w:kern w:val="0"/>
          <w:szCs w:val="22"/>
          <w:highlight w:val="none"/>
          <w:lang w:val="zh-CN" w:bidi="zh-CN"/>
        </w:rPr>
        <w:t xml:space="preserve">5  </w:t>
      </w:r>
      <w:r>
        <w:rPr>
          <w:rFonts w:hint="eastAsia" w:ascii="宋体" w:hAnsi="宋体" w:cs="宋体"/>
          <w:snapToGrid w:val="0"/>
          <w:kern w:val="0"/>
          <w:szCs w:val="22"/>
          <w:highlight w:val="none"/>
          <w:lang w:val="zh-CN" w:bidi="zh-CN"/>
        </w:rPr>
        <w:t>特征污染物现状监测结果统计表</w:t>
      </w:r>
    </w:p>
    <w:tbl>
      <w:tblPr>
        <w:tblStyle w:val="44"/>
        <w:tblW w:w="89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193"/>
        <w:gridCol w:w="1669"/>
        <w:gridCol w:w="1320"/>
        <w:gridCol w:w="1553"/>
        <w:gridCol w:w="1285"/>
        <w:gridCol w:w="124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677" w:type="dxa"/>
            <w:vAlign w:val="center"/>
          </w:tcPr>
          <w:p>
            <w:pPr>
              <w:pStyle w:val="64"/>
              <w:rPr>
                <w:rFonts w:hAnsi="宋体"/>
                <w:highlight w:val="none"/>
              </w:rPr>
            </w:pPr>
            <w:r>
              <w:rPr>
                <w:rFonts w:hAnsi="宋体"/>
                <w:highlight w:val="none"/>
              </w:rPr>
              <w:t>序号</w:t>
            </w:r>
          </w:p>
        </w:tc>
        <w:tc>
          <w:tcPr>
            <w:tcW w:w="1193" w:type="dxa"/>
            <w:vAlign w:val="center"/>
          </w:tcPr>
          <w:p>
            <w:pPr>
              <w:pStyle w:val="64"/>
              <w:rPr>
                <w:rFonts w:hAnsi="宋体"/>
                <w:highlight w:val="none"/>
              </w:rPr>
            </w:pPr>
            <w:r>
              <w:rPr>
                <w:rFonts w:hAnsi="宋体"/>
                <w:highlight w:val="none"/>
              </w:rPr>
              <w:t>监测点位</w:t>
            </w:r>
          </w:p>
        </w:tc>
        <w:tc>
          <w:tcPr>
            <w:tcW w:w="1669" w:type="dxa"/>
            <w:vAlign w:val="center"/>
          </w:tcPr>
          <w:p>
            <w:pPr>
              <w:pStyle w:val="64"/>
              <w:rPr>
                <w:rFonts w:hAnsi="宋体"/>
                <w:highlight w:val="none"/>
              </w:rPr>
            </w:pPr>
            <w:r>
              <w:rPr>
                <w:rFonts w:hAnsi="宋体"/>
                <w:highlight w:val="none"/>
              </w:rPr>
              <w:t>监测结果</w:t>
            </w:r>
          </w:p>
          <w:p>
            <w:pPr>
              <w:pStyle w:val="64"/>
              <w:rPr>
                <w:rFonts w:hAnsi="宋体"/>
                <w:highlight w:val="none"/>
              </w:rPr>
            </w:pPr>
            <w:r>
              <w:rPr>
                <w:rFonts w:hAnsi="宋体"/>
                <w:highlight w:val="none"/>
              </w:rPr>
              <w:t>（mg/m</w:t>
            </w:r>
            <w:r>
              <w:rPr>
                <w:rFonts w:hAnsi="宋体"/>
                <w:highlight w:val="none"/>
                <w:vertAlign w:val="superscript"/>
              </w:rPr>
              <w:t>3</w:t>
            </w:r>
            <w:r>
              <w:rPr>
                <w:rFonts w:hAnsi="宋体"/>
                <w:highlight w:val="none"/>
              </w:rPr>
              <w:t>）</w:t>
            </w:r>
          </w:p>
        </w:tc>
        <w:tc>
          <w:tcPr>
            <w:tcW w:w="1320" w:type="dxa"/>
            <w:vAlign w:val="center"/>
          </w:tcPr>
          <w:p>
            <w:pPr>
              <w:pStyle w:val="64"/>
              <w:rPr>
                <w:rFonts w:hAnsi="宋体"/>
                <w:highlight w:val="none"/>
              </w:rPr>
            </w:pPr>
            <w:r>
              <w:rPr>
                <w:rFonts w:hAnsi="宋体"/>
                <w:highlight w:val="none"/>
              </w:rPr>
              <w:t>标准</w:t>
            </w:r>
          </w:p>
          <w:p>
            <w:pPr>
              <w:pStyle w:val="64"/>
              <w:rPr>
                <w:rFonts w:hAnsi="宋体"/>
                <w:highlight w:val="none"/>
              </w:rPr>
            </w:pPr>
            <w:r>
              <w:rPr>
                <w:rFonts w:hAnsi="宋体"/>
                <w:highlight w:val="none"/>
              </w:rPr>
              <w:t>（mg/m</w:t>
            </w:r>
            <w:r>
              <w:rPr>
                <w:rFonts w:hAnsi="宋体"/>
                <w:highlight w:val="none"/>
                <w:vertAlign w:val="superscript"/>
              </w:rPr>
              <w:t>3</w:t>
            </w:r>
            <w:r>
              <w:rPr>
                <w:rFonts w:hAnsi="宋体"/>
                <w:highlight w:val="none"/>
              </w:rPr>
              <w:t>）</w:t>
            </w:r>
          </w:p>
        </w:tc>
        <w:tc>
          <w:tcPr>
            <w:tcW w:w="1553" w:type="dxa"/>
            <w:vAlign w:val="center"/>
          </w:tcPr>
          <w:p>
            <w:pPr>
              <w:pStyle w:val="64"/>
              <w:rPr>
                <w:rFonts w:hAnsi="宋体"/>
                <w:highlight w:val="none"/>
              </w:rPr>
            </w:pPr>
            <w:r>
              <w:rPr>
                <w:rFonts w:hAnsi="宋体"/>
                <w:highlight w:val="none"/>
              </w:rPr>
              <w:t>最大浓度占标率（%）</w:t>
            </w:r>
          </w:p>
        </w:tc>
        <w:tc>
          <w:tcPr>
            <w:tcW w:w="1285" w:type="dxa"/>
            <w:vAlign w:val="center"/>
          </w:tcPr>
          <w:p>
            <w:pPr>
              <w:pStyle w:val="64"/>
              <w:rPr>
                <w:rFonts w:hAnsi="宋体"/>
                <w:highlight w:val="none"/>
              </w:rPr>
            </w:pPr>
            <w:r>
              <w:rPr>
                <w:rFonts w:hAnsi="宋体"/>
                <w:highlight w:val="none"/>
              </w:rPr>
              <w:t>超标倍数</w:t>
            </w:r>
          </w:p>
        </w:tc>
        <w:tc>
          <w:tcPr>
            <w:tcW w:w="1249" w:type="dxa"/>
            <w:vAlign w:val="center"/>
          </w:tcPr>
          <w:p>
            <w:pPr>
              <w:pStyle w:val="64"/>
              <w:rPr>
                <w:rFonts w:hAnsi="宋体"/>
                <w:highlight w:val="none"/>
              </w:rPr>
            </w:pPr>
            <w:r>
              <w:rPr>
                <w:rFonts w:hAnsi="宋体"/>
                <w:highlight w:val="none"/>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pPr>
              <w:pStyle w:val="64"/>
              <w:rPr>
                <w:rFonts w:hAnsi="宋体"/>
                <w:highlight w:val="none"/>
              </w:rPr>
            </w:pPr>
            <w:r>
              <w:rPr>
                <w:rFonts w:hAnsi="宋体"/>
                <w:highlight w:val="none"/>
              </w:rPr>
              <w:t>1</w:t>
            </w:r>
          </w:p>
        </w:tc>
        <w:tc>
          <w:tcPr>
            <w:tcW w:w="1193" w:type="dxa"/>
            <w:vAlign w:val="center"/>
          </w:tcPr>
          <w:p>
            <w:pPr>
              <w:pStyle w:val="64"/>
              <w:rPr>
                <w:rFonts w:hAnsi="宋体"/>
                <w:highlight w:val="none"/>
              </w:rPr>
            </w:pPr>
            <w:r>
              <w:rPr>
                <w:rFonts w:hint="eastAsia" w:hAnsi="宋体"/>
                <w:highlight w:val="none"/>
              </w:rPr>
              <w:t>光裕堡村</w:t>
            </w:r>
          </w:p>
        </w:tc>
        <w:tc>
          <w:tcPr>
            <w:tcW w:w="1669" w:type="dxa"/>
            <w:vAlign w:val="center"/>
          </w:tcPr>
          <w:p>
            <w:pPr>
              <w:pStyle w:val="64"/>
              <w:rPr>
                <w:rFonts w:hAnsi="宋体"/>
                <w:highlight w:val="none"/>
              </w:rPr>
            </w:pPr>
          </w:p>
        </w:tc>
        <w:tc>
          <w:tcPr>
            <w:tcW w:w="1320" w:type="dxa"/>
            <w:vAlign w:val="center"/>
          </w:tcPr>
          <w:p>
            <w:pPr>
              <w:pStyle w:val="64"/>
              <w:rPr>
                <w:rFonts w:hAnsi="宋体"/>
                <w:highlight w:val="none"/>
              </w:rPr>
            </w:pPr>
          </w:p>
        </w:tc>
        <w:tc>
          <w:tcPr>
            <w:tcW w:w="1553" w:type="dxa"/>
            <w:vAlign w:val="center"/>
          </w:tcPr>
          <w:p>
            <w:pPr>
              <w:pStyle w:val="64"/>
              <w:rPr>
                <w:rFonts w:hAnsi="宋体"/>
                <w:highlight w:val="none"/>
              </w:rPr>
            </w:pPr>
          </w:p>
        </w:tc>
        <w:tc>
          <w:tcPr>
            <w:tcW w:w="1285" w:type="dxa"/>
            <w:vAlign w:val="center"/>
          </w:tcPr>
          <w:p>
            <w:pPr>
              <w:pStyle w:val="64"/>
              <w:rPr>
                <w:rFonts w:hAnsi="宋体"/>
                <w:highlight w:val="none"/>
              </w:rPr>
            </w:pPr>
          </w:p>
        </w:tc>
        <w:tc>
          <w:tcPr>
            <w:tcW w:w="1249" w:type="dxa"/>
            <w:vAlign w:val="center"/>
          </w:tcPr>
          <w:p>
            <w:pPr>
              <w:pStyle w:val="64"/>
              <w:rPr>
                <w:rFonts w:hAnsi="宋体"/>
                <w:highlight w:val="none"/>
              </w:rPr>
            </w:pPr>
            <w:r>
              <w:rPr>
                <w:rFonts w:hAnsi="宋体"/>
                <w:highlight w:val="none"/>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pPr>
              <w:pStyle w:val="64"/>
              <w:rPr>
                <w:rFonts w:hAnsi="宋体"/>
                <w:highlight w:val="none"/>
              </w:rPr>
            </w:pPr>
            <w:r>
              <w:rPr>
                <w:rFonts w:hAnsi="宋体"/>
                <w:highlight w:val="none"/>
              </w:rPr>
              <w:t>2</w:t>
            </w:r>
          </w:p>
        </w:tc>
        <w:tc>
          <w:tcPr>
            <w:tcW w:w="1193" w:type="dxa"/>
            <w:vAlign w:val="center"/>
          </w:tcPr>
          <w:p>
            <w:pPr>
              <w:pStyle w:val="64"/>
              <w:rPr>
                <w:rFonts w:hAnsi="宋体"/>
                <w:highlight w:val="none"/>
              </w:rPr>
            </w:pPr>
            <w:r>
              <w:rPr>
                <w:rFonts w:hAnsi="宋体"/>
                <w:highlight w:val="none"/>
              </w:rPr>
              <w:t>厂址</w:t>
            </w:r>
          </w:p>
        </w:tc>
        <w:tc>
          <w:tcPr>
            <w:tcW w:w="1669" w:type="dxa"/>
            <w:vAlign w:val="center"/>
          </w:tcPr>
          <w:p>
            <w:pPr>
              <w:pStyle w:val="64"/>
              <w:rPr>
                <w:rFonts w:hAnsi="宋体"/>
                <w:highlight w:val="none"/>
              </w:rPr>
            </w:pPr>
          </w:p>
        </w:tc>
        <w:tc>
          <w:tcPr>
            <w:tcW w:w="1320" w:type="dxa"/>
            <w:vAlign w:val="center"/>
          </w:tcPr>
          <w:p>
            <w:pPr>
              <w:pStyle w:val="64"/>
              <w:rPr>
                <w:rFonts w:hAnsi="宋体"/>
                <w:highlight w:val="none"/>
              </w:rPr>
            </w:pPr>
          </w:p>
        </w:tc>
        <w:tc>
          <w:tcPr>
            <w:tcW w:w="1553" w:type="dxa"/>
            <w:vAlign w:val="center"/>
          </w:tcPr>
          <w:p>
            <w:pPr>
              <w:pStyle w:val="64"/>
              <w:rPr>
                <w:rFonts w:hAnsi="宋体"/>
                <w:highlight w:val="none"/>
              </w:rPr>
            </w:pPr>
          </w:p>
        </w:tc>
        <w:tc>
          <w:tcPr>
            <w:tcW w:w="1285" w:type="dxa"/>
            <w:vAlign w:val="center"/>
          </w:tcPr>
          <w:p>
            <w:pPr>
              <w:pStyle w:val="64"/>
              <w:rPr>
                <w:rFonts w:hAnsi="宋体"/>
                <w:highlight w:val="none"/>
              </w:rPr>
            </w:pPr>
          </w:p>
        </w:tc>
        <w:tc>
          <w:tcPr>
            <w:tcW w:w="1249" w:type="dxa"/>
            <w:vAlign w:val="center"/>
          </w:tcPr>
          <w:p>
            <w:pPr>
              <w:pStyle w:val="64"/>
              <w:rPr>
                <w:rFonts w:hAnsi="宋体"/>
                <w:highlight w:val="none"/>
              </w:rPr>
            </w:pPr>
            <w:r>
              <w:rPr>
                <w:rFonts w:hAnsi="宋体"/>
                <w:highlight w:val="none"/>
              </w:rPr>
              <w:t>达标</w:t>
            </w:r>
          </w:p>
        </w:tc>
      </w:tr>
    </w:tbl>
    <w:p>
      <w:pPr>
        <w:pStyle w:val="62"/>
        <w:ind w:firstLine="480"/>
        <w:rPr>
          <w:rFonts w:hAnsi="宋体"/>
          <w:highlight w:val="none"/>
        </w:rPr>
      </w:pPr>
      <w:r>
        <w:rPr>
          <w:rFonts w:hAnsi="宋体"/>
          <w:highlight w:val="none"/>
        </w:rPr>
        <w:t>由监测结果看出，项目厂址和</w:t>
      </w:r>
      <w:r>
        <w:rPr>
          <w:rFonts w:hint="eastAsia" w:hAnsi="宋体"/>
          <w:highlight w:val="none"/>
        </w:rPr>
        <w:t>光裕堡村</w:t>
      </w:r>
      <w:r>
        <w:rPr>
          <w:rFonts w:hAnsi="宋体"/>
          <w:highlight w:val="none"/>
        </w:rPr>
        <w:t>两个监测点位处TSP的24h平均浓度值均达到《环境空气质量标准》（GB3095-2012）中二级标准限值。</w:t>
      </w:r>
    </w:p>
    <w:p>
      <w:pPr>
        <w:pStyle w:val="4"/>
        <w:ind w:firstLine="562"/>
        <w:rPr>
          <w:rFonts w:hAnsi="宋体"/>
          <w:highlight w:val="none"/>
        </w:rPr>
      </w:pPr>
      <w:bookmarkStart w:id="143" w:name="_Toc4678458"/>
      <w:r>
        <w:rPr>
          <w:rFonts w:hAnsi="宋体"/>
          <w:highlight w:val="none"/>
        </w:rPr>
        <w:t>4.3.2地下水环境质量现状监测与评价</w:t>
      </w:r>
      <w:bookmarkEnd w:id="143"/>
    </w:p>
    <w:p>
      <w:pPr>
        <w:pStyle w:val="62"/>
        <w:ind w:firstLine="480"/>
        <w:rPr>
          <w:rFonts w:hAnsi="宋体"/>
          <w:highlight w:val="none"/>
        </w:rPr>
      </w:pPr>
      <w:r>
        <w:rPr>
          <w:rFonts w:hAnsi="宋体"/>
          <w:highlight w:val="none"/>
        </w:rPr>
        <w:t>4.3.2.1地下水现状监测</w:t>
      </w:r>
    </w:p>
    <w:p>
      <w:pPr>
        <w:ind w:firstLine="480"/>
        <w:rPr>
          <w:rFonts w:ascii="宋体" w:hAnsi="宋体"/>
          <w:bCs/>
          <w:kern w:val="0"/>
          <w:highlight w:val="none"/>
        </w:rPr>
      </w:pPr>
      <w:r>
        <w:rPr>
          <w:rFonts w:ascii="宋体" w:hAnsi="宋体"/>
          <w:bCs/>
          <w:kern w:val="0"/>
          <w:highlight w:val="none"/>
        </w:rPr>
        <w:t>1、监测点的布设</w:t>
      </w:r>
    </w:p>
    <w:p>
      <w:pPr>
        <w:ind w:firstLine="480"/>
        <w:rPr>
          <w:rFonts w:ascii="宋体" w:hAnsi="宋体"/>
          <w:bCs/>
          <w:kern w:val="0"/>
          <w:highlight w:val="none"/>
        </w:rPr>
      </w:pPr>
      <w:r>
        <w:rPr>
          <w:rFonts w:hint="eastAsia" w:ascii="宋体" w:hAnsi="宋体"/>
          <w:bCs/>
          <w:kern w:val="0"/>
          <w:highlight w:val="none"/>
        </w:rPr>
        <w:t>本项目位于洪积高台地区，地下水评价等级为一级，根据《导则》要求，一级评价项目潜水含水层的水质监测点不少于7个。本项目</w:t>
      </w:r>
      <w:r>
        <w:rPr>
          <w:rFonts w:ascii="宋体" w:hAnsi="宋体"/>
          <w:bCs/>
          <w:kern w:val="0"/>
          <w:highlight w:val="none"/>
        </w:rPr>
        <w:t>地下水环境质量现状监测布设7个水质监测点、14个水位监测点，</w:t>
      </w:r>
      <w:r>
        <w:rPr>
          <w:rFonts w:hint="eastAsia" w:ascii="宋体" w:hAnsi="宋体"/>
          <w:bCs/>
          <w:kern w:val="0"/>
          <w:highlight w:val="none"/>
        </w:rPr>
        <w:t>满足导则要求。</w:t>
      </w:r>
      <w:r>
        <w:rPr>
          <w:rFonts w:ascii="宋体" w:hAnsi="宋体"/>
          <w:bCs/>
          <w:kern w:val="0"/>
          <w:highlight w:val="none"/>
        </w:rPr>
        <w:t>监测井与项目相对位置关系见表4.3-5和</w:t>
      </w:r>
      <w:r>
        <w:rPr>
          <w:rFonts w:hint="eastAsia" w:ascii="宋体" w:hAnsi="宋体"/>
          <w:bCs/>
          <w:kern w:val="0"/>
          <w:highlight w:val="none"/>
        </w:rPr>
        <w:t>附</w:t>
      </w:r>
      <w:r>
        <w:rPr>
          <w:rFonts w:ascii="宋体" w:hAnsi="宋体"/>
          <w:bCs/>
          <w:kern w:val="0"/>
          <w:highlight w:val="none"/>
        </w:rPr>
        <w:t>图4-</w:t>
      </w:r>
      <w:r>
        <w:rPr>
          <w:rFonts w:hint="eastAsia" w:ascii="宋体" w:hAnsi="宋体"/>
          <w:bCs/>
          <w:kern w:val="0"/>
          <w:highlight w:val="none"/>
        </w:rPr>
        <w:t>12</w:t>
      </w:r>
      <w:r>
        <w:rPr>
          <w:rFonts w:ascii="宋体" w:hAnsi="宋体"/>
          <w:bCs/>
          <w:kern w:val="0"/>
          <w:highlight w:val="none"/>
        </w:rPr>
        <w:t>。</w:t>
      </w:r>
    </w:p>
    <w:p>
      <w:pPr>
        <w:pStyle w:val="65"/>
        <w:rPr>
          <w:rFonts w:hAnsi="宋体"/>
          <w:highlight w:val="none"/>
        </w:rPr>
      </w:pPr>
      <w:r>
        <w:rPr>
          <w:rFonts w:hAnsi="宋体"/>
          <w:highlight w:val="none"/>
        </w:rPr>
        <w:t>表4.3-6</w:t>
      </w:r>
      <w:r>
        <w:rPr>
          <w:rFonts w:hint="eastAsia" w:hAnsi="宋体"/>
          <w:highlight w:val="none"/>
        </w:rPr>
        <w:t xml:space="preserve">  </w:t>
      </w:r>
      <w:r>
        <w:rPr>
          <w:rFonts w:hAnsi="宋体"/>
          <w:highlight w:val="none"/>
        </w:rPr>
        <w:t>地下水环境现状监测点位布置</w:t>
      </w:r>
    </w:p>
    <w:tbl>
      <w:tblPr>
        <w:tblStyle w:val="44"/>
        <w:tblW w:w="89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25"/>
        <w:gridCol w:w="675"/>
        <w:gridCol w:w="709"/>
        <w:gridCol w:w="1088"/>
        <w:gridCol w:w="1161"/>
        <w:gridCol w:w="1161"/>
        <w:gridCol w:w="1125"/>
        <w:gridCol w:w="709"/>
        <w:gridCol w:w="714"/>
        <w:gridCol w:w="11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 w:val="18"/>
                <w:szCs w:val="18"/>
                <w:highlight w:val="none"/>
              </w:rPr>
            </w:pPr>
            <w:r>
              <w:rPr>
                <w:rFonts w:hAnsi="宋体"/>
                <w:sz w:val="18"/>
                <w:szCs w:val="18"/>
                <w:highlight w:val="none"/>
              </w:rPr>
              <w:t>序号</w:t>
            </w:r>
          </w:p>
        </w:tc>
        <w:tc>
          <w:tcPr>
            <w:tcW w:w="675" w:type="dxa"/>
            <w:shd w:val="clear" w:color="auto" w:fill="auto"/>
            <w:vAlign w:val="center"/>
          </w:tcPr>
          <w:p>
            <w:pPr>
              <w:pStyle w:val="64"/>
              <w:rPr>
                <w:rFonts w:hAnsi="宋体"/>
                <w:sz w:val="18"/>
                <w:szCs w:val="18"/>
                <w:highlight w:val="none"/>
              </w:rPr>
            </w:pPr>
            <w:r>
              <w:rPr>
                <w:rFonts w:hAnsi="宋体"/>
                <w:sz w:val="18"/>
                <w:szCs w:val="18"/>
                <w:highlight w:val="none"/>
              </w:rPr>
              <w:t>点位</w:t>
            </w:r>
          </w:p>
        </w:tc>
        <w:tc>
          <w:tcPr>
            <w:tcW w:w="709" w:type="dxa"/>
            <w:shd w:val="clear" w:color="auto" w:fill="auto"/>
            <w:vAlign w:val="center"/>
          </w:tcPr>
          <w:p>
            <w:pPr>
              <w:pStyle w:val="64"/>
              <w:rPr>
                <w:rFonts w:hAnsi="宋体"/>
                <w:sz w:val="18"/>
                <w:szCs w:val="18"/>
                <w:highlight w:val="none"/>
              </w:rPr>
            </w:pPr>
            <w:r>
              <w:rPr>
                <w:rFonts w:hAnsi="宋体"/>
                <w:sz w:val="18"/>
                <w:szCs w:val="18"/>
                <w:highlight w:val="none"/>
              </w:rPr>
              <w:t>井深</w:t>
            </w:r>
          </w:p>
          <w:p>
            <w:pPr>
              <w:pStyle w:val="64"/>
              <w:rPr>
                <w:rFonts w:hAnsi="宋体"/>
                <w:sz w:val="18"/>
                <w:szCs w:val="18"/>
                <w:highlight w:val="none"/>
              </w:rPr>
            </w:pPr>
            <w:r>
              <w:rPr>
                <w:rFonts w:hAnsi="宋体"/>
                <w:sz w:val="18"/>
                <w:szCs w:val="18"/>
                <w:highlight w:val="none"/>
              </w:rPr>
              <w:t>（m）</w:t>
            </w:r>
          </w:p>
        </w:tc>
        <w:tc>
          <w:tcPr>
            <w:tcW w:w="1088" w:type="dxa"/>
            <w:shd w:val="clear" w:color="auto" w:fill="auto"/>
            <w:vAlign w:val="center"/>
          </w:tcPr>
          <w:p>
            <w:pPr>
              <w:pStyle w:val="64"/>
              <w:rPr>
                <w:rFonts w:hAnsi="宋体"/>
                <w:sz w:val="18"/>
                <w:szCs w:val="18"/>
                <w:highlight w:val="none"/>
              </w:rPr>
            </w:pPr>
            <w:r>
              <w:rPr>
                <w:rFonts w:hAnsi="宋体"/>
                <w:sz w:val="18"/>
                <w:szCs w:val="18"/>
                <w:highlight w:val="none"/>
              </w:rPr>
              <w:t>水位埋深（m）2021.3.21</w:t>
            </w:r>
          </w:p>
        </w:tc>
        <w:tc>
          <w:tcPr>
            <w:tcW w:w="1161" w:type="dxa"/>
            <w:vAlign w:val="center"/>
          </w:tcPr>
          <w:p>
            <w:pPr>
              <w:pStyle w:val="64"/>
              <w:rPr>
                <w:rFonts w:hAnsi="宋体"/>
                <w:sz w:val="18"/>
                <w:szCs w:val="18"/>
                <w:highlight w:val="none"/>
              </w:rPr>
            </w:pPr>
            <w:r>
              <w:rPr>
                <w:rFonts w:hAnsi="宋体"/>
                <w:sz w:val="18"/>
                <w:szCs w:val="18"/>
                <w:highlight w:val="none"/>
              </w:rPr>
              <w:t>水位埋深（m）</w:t>
            </w:r>
          </w:p>
          <w:p>
            <w:pPr>
              <w:pStyle w:val="64"/>
              <w:rPr>
                <w:rFonts w:hAnsi="宋体"/>
                <w:sz w:val="18"/>
                <w:szCs w:val="18"/>
                <w:highlight w:val="none"/>
              </w:rPr>
            </w:pPr>
            <w:r>
              <w:rPr>
                <w:rFonts w:hAnsi="宋体"/>
                <w:sz w:val="18"/>
                <w:szCs w:val="18"/>
                <w:highlight w:val="none"/>
              </w:rPr>
              <w:t>2021.5.23</w:t>
            </w:r>
          </w:p>
        </w:tc>
        <w:tc>
          <w:tcPr>
            <w:tcW w:w="1161" w:type="dxa"/>
            <w:shd w:val="clear" w:color="auto" w:fill="auto"/>
            <w:vAlign w:val="center"/>
          </w:tcPr>
          <w:p>
            <w:pPr>
              <w:pStyle w:val="64"/>
              <w:rPr>
                <w:rFonts w:hAnsi="宋体"/>
                <w:sz w:val="18"/>
                <w:szCs w:val="18"/>
                <w:highlight w:val="none"/>
              </w:rPr>
            </w:pPr>
            <w:r>
              <w:rPr>
                <w:rFonts w:hAnsi="宋体"/>
                <w:sz w:val="18"/>
                <w:szCs w:val="18"/>
                <w:highlight w:val="none"/>
              </w:rPr>
              <w:t>水位埋深（m）</w:t>
            </w:r>
          </w:p>
          <w:p>
            <w:pPr>
              <w:pStyle w:val="64"/>
              <w:rPr>
                <w:rFonts w:hAnsi="宋体"/>
                <w:sz w:val="18"/>
                <w:szCs w:val="18"/>
                <w:highlight w:val="none"/>
              </w:rPr>
            </w:pPr>
            <w:r>
              <w:rPr>
                <w:rFonts w:hAnsi="宋体"/>
                <w:sz w:val="18"/>
                <w:szCs w:val="18"/>
                <w:highlight w:val="none"/>
              </w:rPr>
              <w:t>2021.7.16</w:t>
            </w:r>
          </w:p>
        </w:tc>
        <w:tc>
          <w:tcPr>
            <w:tcW w:w="1125" w:type="dxa"/>
            <w:shd w:val="clear" w:color="auto" w:fill="auto"/>
            <w:vAlign w:val="center"/>
          </w:tcPr>
          <w:p>
            <w:pPr>
              <w:pStyle w:val="64"/>
              <w:rPr>
                <w:rFonts w:hAnsi="宋体"/>
                <w:sz w:val="18"/>
                <w:szCs w:val="18"/>
                <w:highlight w:val="none"/>
              </w:rPr>
            </w:pPr>
            <w:r>
              <w:rPr>
                <w:rFonts w:hAnsi="宋体"/>
                <w:sz w:val="18"/>
                <w:szCs w:val="18"/>
                <w:highlight w:val="none"/>
              </w:rPr>
              <w:t>取水含水层类型</w:t>
            </w:r>
          </w:p>
        </w:tc>
        <w:tc>
          <w:tcPr>
            <w:tcW w:w="709" w:type="dxa"/>
            <w:vAlign w:val="center"/>
          </w:tcPr>
          <w:p>
            <w:pPr>
              <w:pStyle w:val="64"/>
              <w:rPr>
                <w:rFonts w:hAnsi="宋体"/>
                <w:sz w:val="18"/>
                <w:szCs w:val="18"/>
                <w:highlight w:val="none"/>
              </w:rPr>
            </w:pPr>
            <w:r>
              <w:rPr>
                <w:rFonts w:hint="eastAsia" w:hAnsi="宋体"/>
                <w:sz w:val="18"/>
                <w:szCs w:val="18"/>
                <w:highlight w:val="none"/>
              </w:rPr>
              <w:t>供水人口</w:t>
            </w:r>
          </w:p>
        </w:tc>
        <w:tc>
          <w:tcPr>
            <w:tcW w:w="714" w:type="dxa"/>
            <w:shd w:val="clear" w:color="auto" w:fill="auto"/>
            <w:vAlign w:val="center"/>
          </w:tcPr>
          <w:p>
            <w:pPr>
              <w:pStyle w:val="64"/>
              <w:rPr>
                <w:rFonts w:hAnsi="宋体"/>
                <w:sz w:val="18"/>
                <w:szCs w:val="18"/>
                <w:highlight w:val="none"/>
              </w:rPr>
            </w:pPr>
            <w:r>
              <w:rPr>
                <w:rFonts w:hAnsi="宋体"/>
                <w:sz w:val="18"/>
                <w:szCs w:val="18"/>
                <w:highlight w:val="none"/>
              </w:rPr>
              <w:t>用途</w:t>
            </w:r>
          </w:p>
        </w:tc>
        <w:tc>
          <w:tcPr>
            <w:tcW w:w="1179" w:type="dxa"/>
            <w:shd w:val="clear" w:color="auto" w:fill="auto"/>
            <w:vAlign w:val="center"/>
          </w:tcPr>
          <w:p>
            <w:pPr>
              <w:pStyle w:val="64"/>
              <w:rPr>
                <w:rFonts w:hAnsi="宋体"/>
                <w:sz w:val="18"/>
                <w:szCs w:val="18"/>
                <w:highlight w:val="none"/>
              </w:rPr>
            </w:pPr>
            <w:r>
              <w:rPr>
                <w:rFonts w:hAnsi="宋体"/>
                <w:sz w:val="18"/>
                <w:szCs w:val="18"/>
                <w:highlight w:val="none"/>
              </w:rPr>
              <w:t>监测项目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1</w:t>
            </w:r>
          </w:p>
        </w:tc>
        <w:tc>
          <w:tcPr>
            <w:tcW w:w="675" w:type="dxa"/>
            <w:shd w:val="clear" w:color="auto" w:fill="auto"/>
            <w:vAlign w:val="center"/>
          </w:tcPr>
          <w:p>
            <w:pPr>
              <w:pStyle w:val="64"/>
              <w:rPr>
                <w:rFonts w:hAnsi="宋体"/>
                <w:szCs w:val="21"/>
                <w:highlight w:val="none"/>
              </w:rPr>
            </w:pPr>
            <w:r>
              <w:rPr>
                <w:rFonts w:hAnsi="宋体"/>
                <w:szCs w:val="21"/>
                <w:highlight w:val="none"/>
              </w:rPr>
              <w:t>大宋峪</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2</w:t>
            </w:r>
          </w:p>
        </w:tc>
        <w:tc>
          <w:tcPr>
            <w:tcW w:w="675" w:type="dxa"/>
            <w:shd w:val="clear" w:color="auto" w:fill="auto"/>
            <w:vAlign w:val="center"/>
          </w:tcPr>
          <w:p>
            <w:pPr>
              <w:pStyle w:val="64"/>
              <w:rPr>
                <w:rFonts w:hAnsi="宋体"/>
                <w:szCs w:val="21"/>
                <w:highlight w:val="none"/>
              </w:rPr>
            </w:pPr>
            <w:r>
              <w:rPr>
                <w:rFonts w:hAnsi="宋体"/>
                <w:szCs w:val="21"/>
                <w:highlight w:val="none"/>
              </w:rPr>
              <w:t>白石头</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3</w:t>
            </w:r>
          </w:p>
        </w:tc>
        <w:tc>
          <w:tcPr>
            <w:tcW w:w="675" w:type="dxa"/>
            <w:shd w:val="clear" w:color="auto" w:fill="auto"/>
            <w:vAlign w:val="center"/>
          </w:tcPr>
          <w:p>
            <w:pPr>
              <w:pStyle w:val="64"/>
              <w:rPr>
                <w:rFonts w:hAnsi="宋体"/>
                <w:szCs w:val="21"/>
                <w:highlight w:val="none"/>
              </w:rPr>
            </w:pPr>
            <w:r>
              <w:rPr>
                <w:rFonts w:hAnsi="宋体"/>
                <w:szCs w:val="21"/>
                <w:highlight w:val="none"/>
              </w:rPr>
              <w:t>西坡头</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4</w:t>
            </w:r>
          </w:p>
        </w:tc>
        <w:tc>
          <w:tcPr>
            <w:tcW w:w="675" w:type="dxa"/>
            <w:shd w:val="clear" w:color="auto" w:fill="auto"/>
            <w:vAlign w:val="center"/>
          </w:tcPr>
          <w:p>
            <w:pPr>
              <w:pStyle w:val="64"/>
              <w:rPr>
                <w:rFonts w:hAnsi="宋体"/>
                <w:szCs w:val="21"/>
                <w:highlight w:val="none"/>
              </w:rPr>
            </w:pPr>
            <w:r>
              <w:rPr>
                <w:rFonts w:hAnsi="宋体"/>
                <w:szCs w:val="21"/>
                <w:highlight w:val="none"/>
              </w:rPr>
              <w:t>东堡</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5</w:t>
            </w:r>
          </w:p>
        </w:tc>
        <w:tc>
          <w:tcPr>
            <w:tcW w:w="675" w:type="dxa"/>
            <w:shd w:val="clear" w:color="auto" w:fill="auto"/>
            <w:vAlign w:val="center"/>
          </w:tcPr>
          <w:p>
            <w:pPr>
              <w:pStyle w:val="64"/>
              <w:rPr>
                <w:rFonts w:hAnsi="宋体"/>
                <w:szCs w:val="21"/>
                <w:highlight w:val="none"/>
              </w:rPr>
            </w:pPr>
            <w:r>
              <w:rPr>
                <w:rFonts w:hAnsi="宋体"/>
                <w:szCs w:val="21"/>
                <w:highlight w:val="none"/>
              </w:rPr>
              <w:t>富家庄</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6</w:t>
            </w:r>
          </w:p>
        </w:tc>
        <w:tc>
          <w:tcPr>
            <w:tcW w:w="675" w:type="dxa"/>
            <w:shd w:val="clear" w:color="auto" w:fill="auto"/>
            <w:vAlign w:val="center"/>
          </w:tcPr>
          <w:p>
            <w:pPr>
              <w:pStyle w:val="64"/>
              <w:rPr>
                <w:rFonts w:hAnsi="宋体"/>
                <w:szCs w:val="21"/>
                <w:highlight w:val="none"/>
              </w:rPr>
            </w:pPr>
            <w:r>
              <w:rPr>
                <w:rFonts w:hAnsi="宋体"/>
                <w:szCs w:val="21"/>
                <w:highlight w:val="none"/>
              </w:rPr>
              <w:t>小李牛</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7</w:t>
            </w:r>
          </w:p>
        </w:tc>
        <w:tc>
          <w:tcPr>
            <w:tcW w:w="675" w:type="dxa"/>
            <w:shd w:val="clear" w:color="auto" w:fill="auto"/>
            <w:vAlign w:val="center"/>
          </w:tcPr>
          <w:p>
            <w:pPr>
              <w:pStyle w:val="64"/>
              <w:rPr>
                <w:rFonts w:hAnsi="宋体"/>
                <w:szCs w:val="21"/>
                <w:highlight w:val="none"/>
              </w:rPr>
            </w:pPr>
            <w:r>
              <w:rPr>
                <w:rFonts w:hAnsi="宋体"/>
                <w:szCs w:val="21"/>
                <w:highlight w:val="none"/>
              </w:rPr>
              <w:t>大木瓜</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8</w:t>
            </w:r>
          </w:p>
        </w:tc>
        <w:tc>
          <w:tcPr>
            <w:tcW w:w="675" w:type="dxa"/>
            <w:shd w:val="clear" w:color="auto" w:fill="auto"/>
            <w:vAlign w:val="center"/>
          </w:tcPr>
          <w:p>
            <w:pPr>
              <w:pStyle w:val="64"/>
              <w:rPr>
                <w:rFonts w:hAnsi="宋体"/>
                <w:szCs w:val="21"/>
                <w:highlight w:val="none"/>
              </w:rPr>
            </w:pPr>
            <w:r>
              <w:rPr>
                <w:rFonts w:hAnsi="宋体"/>
                <w:szCs w:val="21"/>
                <w:highlight w:val="none"/>
              </w:rPr>
              <w:t>小木瓜</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9</w:t>
            </w:r>
          </w:p>
        </w:tc>
        <w:tc>
          <w:tcPr>
            <w:tcW w:w="675" w:type="dxa"/>
            <w:shd w:val="clear" w:color="auto" w:fill="auto"/>
            <w:vAlign w:val="center"/>
          </w:tcPr>
          <w:p>
            <w:pPr>
              <w:pStyle w:val="64"/>
              <w:rPr>
                <w:rFonts w:hAnsi="宋体"/>
                <w:szCs w:val="21"/>
                <w:highlight w:val="none"/>
              </w:rPr>
            </w:pPr>
            <w:r>
              <w:rPr>
                <w:rFonts w:hAnsi="宋体"/>
                <w:szCs w:val="21"/>
                <w:highlight w:val="none"/>
              </w:rPr>
              <w:t>小宋峪</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10</w:t>
            </w:r>
          </w:p>
        </w:tc>
        <w:tc>
          <w:tcPr>
            <w:tcW w:w="675" w:type="dxa"/>
            <w:shd w:val="clear" w:color="auto" w:fill="auto"/>
            <w:vAlign w:val="center"/>
          </w:tcPr>
          <w:p>
            <w:pPr>
              <w:pStyle w:val="64"/>
              <w:rPr>
                <w:rFonts w:hAnsi="宋体"/>
                <w:szCs w:val="21"/>
                <w:highlight w:val="none"/>
              </w:rPr>
            </w:pPr>
            <w:r>
              <w:rPr>
                <w:rFonts w:hAnsi="宋体"/>
                <w:szCs w:val="21"/>
                <w:highlight w:val="none"/>
              </w:rPr>
              <w:t>苏家口</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11</w:t>
            </w:r>
          </w:p>
        </w:tc>
        <w:tc>
          <w:tcPr>
            <w:tcW w:w="675" w:type="dxa"/>
            <w:shd w:val="clear" w:color="auto" w:fill="auto"/>
            <w:vAlign w:val="center"/>
          </w:tcPr>
          <w:p>
            <w:pPr>
              <w:pStyle w:val="64"/>
              <w:rPr>
                <w:rFonts w:hAnsi="宋体"/>
                <w:szCs w:val="21"/>
                <w:highlight w:val="none"/>
              </w:rPr>
            </w:pPr>
            <w:r>
              <w:rPr>
                <w:rFonts w:hAnsi="宋体"/>
                <w:szCs w:val="21"/>
                <w:highlight w:val="none"/>
              </w:rPr>
              <w:t>果园</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12</w:t>
            </w:r>
          </w:p>
        </w:tc>
        <w:tc>
          <w:tcPr>
            <w:tcW w:w="675" w:type="dxa"/>
            <w:shd w:val="clear" w:color="auto" w:fill="auto"/>
            <w:vAlign w:val="center"/>
          </w:tcPr>
          <w:p>
            <w:pPr>
              <w:pStyle w:val="64"/>
              <w:rPr>
                <w:rFonts w:hAnsi="宋体"/>
                <w:szCs w:val="21"/>
                <w:highlight w:val="none"/>
              </w:rPr>
            </w:pPr>
            <w:r>
              <w:rPr>
                <w:rFonts w:hAnsi="宋体"/>
                <w:szCs w:val="21"/>
                <w:highlight w:val="none"/>
              </w:rPr>
              <w:t>东坡头</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13</w:t>
            </w:r>
          </w:p>
        </w:tc>
        <w:tc>
          <w:tcPr>
            <w:tcW w:w="675" w:type="dxa"/>
            <w:shd w:val="clear" w:color="auto" w:fill="auto"/>
            <w:vAlign w:val="center"/>
          </w:tcPr>
          <w:p>
            <w:pPr>
              <w:pStyle w:val="64"/>
              <w:rPr>
                <w:rFonts w:hAnsi="宋体"/>
                <w:szCs w:val="21"/>
                <w:highlight w:val="none"/>
              </w:rPr>
            </w:pPr>
            <w:r>
              <w:rPr>
                <w:rFonts w:hAnsi="宋体"/>
                <w:szCs w:val="21"/>
                <w:highlight w:val="none"/>
              </w:rPr>
              <w:t>梁家庄</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 w:type="dxa"/>
            <w:shd w:val="clear" w:color="auto" w:fill="auto"/>
            <w:vAlign w:val="center"/>
          </w:tcPr>
          <w:p>
            <w:pPr>
              <w:pStyle w:val="64"/>
              <w:rPr>
                <w:rFonts w:hAnsi="宋体"/>
                <w:szCs w:val="21"/>
                <w:highlight w:val="none"/>
              </w:rPr>
            </w:pPr>
            <w:r>
              <w:rPr>
                <w:rFonts w:hAnsi="宋体"/>
                <w:szCs w:val="21"/>
                <w:highlight w:val="none"/>
              </w:rPr>
              <w:t>14</w:t>
            </w:r>
          </w:p>
        </w:tc>
        <w:tc>
          <w:tcPr>
            <w:tcW w:w="675" w:type="dxa"/>
            <w:shd w:val="clear" w:color="auto" w:fill="auto"/>
            <w:vAlign w:val="center"/>
          </w:tcPr>
          <w:p>
            <w:pPr>
              <w:pStyle w:val="64"/>
              <w:rPr>
                <w:rFonts w:hAnsi="宋体"/>
                <w:szCs w:val="21"/>
                <w:highlight w:val="none"/>
              </w:rPr>
            </w:pPr>
            <w:r>
              <w:rPr>
                <w:rFonts w:hAnsi="宋体"/>
                <w:szCs w:val="21"/>
                <w:highlight w:val="none"/>
              </w:rPr>
              <w:t>光裕堡</w:t>
            </w:r>
          </w:p>
        </w:tc>
        <w:tc>
          <w:tcPr>
            <w:tcW w:w="709" w:type="dxa"/>
            <w:shd w:val="clear" w:color="auto" w:fill="auto"/>
            <w:vAlign w:val="center"/>
          </w:tcPr>
          <w:p>
            <w:pPr>
              <w:pStyle w:val="64"/>
              <w:rPr>
                <w:rFonts w:hAnsi="宋体"/>
                <w:szCs w:val="21"/>
                <w:highlight w:val="none"/>
              </w:rPr>
            </w:pPr>
          </w:p>
        </w:tc>
        <w:tc>
          <w:tcPr>
            <w:tcW w:w="1088" w:type="dxa"/>
            <w:shd w:val="clear" w:color="auto" w:fill="auto"/>
            <w:vAlign w:val="center"/>
          </w:tcPr>
          <w:p>
            <w:pPr>
              <w:pStyle w:val="64"/>
              <w:rPr>
                <w:rFonts w:hAnsi="宋体"/>
                <w:szCs w:val="21"/>
                <w:highlight w:val="none"/>
              </w:rPr>
            </w:pPr>
          </w:p>
        </w:tc>
        <w:tc>
          <w:tcPr>
            <w:tcW w:w="1161" w:type="dxa"/>
            <w:vAlign w:val="center"/>
          </w:tcPr>
          <w:p>
            <w:pPr>
              <w:pStyle w:val="64"/>
              <w:rPr>
                <w:rFonts w:hAnsi="宋体"/>
                <w:szCs w:val="21"/>
                <w:highlight w:val="none"/>
              </w:rPr>
            </w:pPr>
          </w:p>
        </w:tc>
        <w:tc>
          <w:tcPr>
            <w:tcW w:w="1161" w:type="dxa"/>
            <w:shd w:val="clear" w:color="auto" w:fill="auto"/>
            <w:vAlign w:val="center"/>
          </w:tcPr>
          <w:p>
            <w:pPr>
              <w:pStyle w:val="64"/>
              <w:rPr>
                <w:rFonts w:hAnsi="宋体"/>
                <w:szCs w:val="21"/>
                <w:highlight w:val="none"/>
              </w:rPr>
            </w:pPr>
          </w:p>
        </w:tc>
        <w:tc>
          <w:tcPr>
            <w:tcW w:w="1125" w:type="dxa"/>
            <w:shd w:val="clear" w:color="auto" w:fill="auto"/>
            <w:vAlign w:val="center"/>
          </w:tcPr>
          <w:p>
            <w:pPr>
              <w:pStyle w:val="64"/>
              <w:rPr>
                <w:rFonts w:hAnsi="宋体"/>
                <w:szCs w:val="21"/>
                <w:highlight w:val="none"/>
              </w:rPr>
            </w:pPr>
          </w:p>
        </w:tc>
        <w:tc>
          <w:tcPr>
            <w:tcW w:w="709" w:type="dxa"/>
            <w:vAlign w:val="center"/>
          </w:tcPr>
          <w:p>
            <w:pPr>
              <w:pStyle w:val="64"/>
              <w:rPr>
                <w:rFonts w:hAnsi="宋体"/>
                <w:szCs w:val="21"/>
                <w:highlight w:val="none"/>
              </w:rPr>
            </w:pPr>
          </w:p>
        </w:tc>
        <w:tc>
          <w:tcPr>
            <w:tcW w:w="714" w:type="dxa"/>
            <w:shd w:val="clear" w:color="auto" w:fill="auto"/>
            <w:vAlign w:val="center"/>
          </w:tcPr>
          <w:p>
            <w:pPr>
              <w:pStyle w:val="64"/>
              <w:rPr>
                <w:rFonts w:hAnsi="宋体"/>
                <w:szCs w:val="21"/>
                <w:highlight w:val="none"/>
              </w:rPr>
            </w:pPr>
          </w:p>
        </w:tc>
        <w:tc>
          <w:tcPr>
            <w:tcW w:w="1179" w:type="dxa"/>
            <w:shd w:val="clear" w:color="auto" w:fill="auto"/>
            <w:vAlign w:val="center"/>
          </w:tcPr>
          <w:p>
            <w:pPr>
              <w:pStyle w:val="64"/>
              <w:rPr>
                <w:rFonts w:hAnsi="宋体"/>
                <w:szCs w:val="21"/>
                <w:highlight w:val="none"/>
              </w:rPr>
            </w:pPr>
          </w:p>
        </w:tc>
      </w:tr>
    </w:tbl>
    <w:p>
      <w:pPr>
        <w:ind w:firstLine="480"/>
        <w:rPr>
          <w:rFonts w:ascii="宋体" w:hAnsi="宋体"/>
          <w:bCs/>
          <w:kern w:val="0"/>
          <w:highlight w:val="none"/>
        </w:rPr>
      </w:pPr>
      <w:r>
        <w:rPr>
          <w:rFonts w:ascii="宋体" w:hAnsi="宋体"/>
          <w:bCs/>
          <w:kern w:val="0"/>
          <w:highlight w:val="none"/>
        </w:rPr>
        <w:t>（2）监测项目</w:t>
      </w:r>
    </w:p>
    <w:p>
      <w:pPr>
        <w:pStyle w:val="62"/>
        <w:ind w:firstLine="480"/>
        <w:rPr>
          <w:highlight w:val="none"/>
          <w:lang w:val="en-US"/>
        </w:rPr>
      </w:pPr>
      <w:r>
        <w:rPr>
          <w:rFonts w:hint="eastAsia"/>
          <w:highlight w:val="none"/>
          <w:lang w:val="en-US"/>
        </w:rPr>
        <w:t>①K</w:t>
      </w:r>
      <w:r>
        <w:rPr>
          <w:rFonts w:hint="eastAsia"/>
          <w:highlight w:val="none"/>
          <w:vertAlign w:val="superscript"/>
          <w:lang w:val="en-US"/>
        </w:rPr>
        <w:t>+</w:t>
      </w:r>
      <w:r>
        <w:rPr>
          <w:rFonts w:hint="eastAsia"/>
          <w:highlight w:val="none"/>
          <w:lang w:val="en-US"/>
        </w:rPr>
        <w:t>+Na</w:t>
      </w:r>
      <w:r>
        <w:rPr>
          <w:rFonts w:hint="eastAsia"/>
          <w:highlight w:val="none"/>
          <w:vertAlign w:val="superscript"/>
          <w:lang w:val="en-US"/>
        </w:rPr>
        <w:t>+</w:t>
      </w:r>
      <w:r>
        <w:rPr>
          <w:rFonts w:hint="eastAsia"/>
          <w:highlight w:val="none"/>
        </w:rPr>
        <w:t>、</w:t>
      </w:r>
      <w:r>
        <w:rPr>
          <w:rFonts w:hint="eastAsia"/>
          <w:highlight w:val="none"/>
          <w:lang w:val="en-US"/>
        </w:rPr>
        <w:t>Ca</w:t>
      </w:r>
      <w:r>
        <w:rPr>
          <w:rFonts w:hint="eastAsia"/>
          <w:highlight w:val="none"/>
          <w:vertAlign w:val="superscript"/>
          <w:lang w:val="en-US"/>
        </w:rPr>
        <w:t>2+</w:t>
      </w:r>
      <w:r>
        <w:rPr>
          <w:rFonts w:hint="eastAsia"/>
          <w:highlight w:val="none"/>
        </w:rPr>
        <w:t>、</w:t>
      </w:r>
      <w:r>
        <w:rPr>
          <w:rFonts w:hint="eastAsia"/>
          <w:highlight w:val="none"/>
          <w:lang w:val="en-US"/>
        </w:rPr>
        <w:t>Mg</w:t>
      </w:r>
      <w:r>
        <w:rPr>
          <w:rFonts w:hint="eastAsia"/>
          <w:highlight w:val="none"/>
          <w:vertAlign w:val="superscript"/>
          <w:lang w:val="en-US"/>
        </w:rPr>
        <w:t>2+</w:t>
      </w:r>
      <w:r>
        <w:rPr>
          <w:rFonts w:hint="eastAsia"/>
          <w:highlight w:val="none"/>
        </w:rPr>
        <w:t>、</w:t>
      </w:r>
      <w:r>
        <w:rPr>
          <w:rFonts w:hint="eastAsia"/>
          <w:highlight w:val="none"/>
          <w:lang w:val="en-US"/>
        </w:rPr>
        <w:t>CO</w:t>
      </w:r>
      <w:r>
        <w:rPr>
          <w:rFonts w:hint="eastAsia"/>
          <w:highlight w:val="none"/>
          <w:vertAlign w:val="subscript"/>
          <w:lang w:val="en-US"/>
        </w:rPr>
        <w:t>3</w:t>
      </w:r>
      <w:r>
        <w:rPr>
          <w:rFonts w:hint="eastAsia"/>
          <w:highlight w:val="none"/>
          <w:vertAlign w:val="superscript"/>
          <w:lang w:val="en-US"/>
        </w:rPr>
        <w:t>2-</w:t>
      </w:r>
      <w:r>
        <w:rPr>
          <w:rFonts w:hint="eastAsia"/>
          <w:highlight w:val="none"/>
        </w:rPr>
        <w:t>、</w:t>
      </w:r>
      <w:r>
        <w:rPr>
          <w:rFonts w:hint="eastAsia"/>
          <w:highlight w:val="none"/>
          <w:lang w:val="en-US"/>
        </w:rPr>
        <w:t>HCO</w:t>
      </w:r>
      <w:r>
        <w:rPr>
          <w:rFonts w:hint="eastAsia"/>
          <w:highlight w:val="none"/>
          <w:vertAlign w:val="subscript"/>
          <w:lang w:val="en-US"/>
        </w:rPr>
        <w:t>3</w:t>
      </w:r>
      <w:r>
        <w:rPr>
          <w:rFonts w:hint="eastAsia"/>
          <w:highlight w:val="none"/>
          <w:vertAlign w:val="superscript"/>
          <w:lang w:val="en-US"/>
        </w:rPr>
        <w:t>-</w:t>
      </w:r>
      <w:r>
        <w:rPr>
          <w:rFonts w:hint="eastAsia"/>
          <w:highlight w:val="none"/>
        </w:rPr>
        <w:t>、</w:t>
      </w:r>
      <w:r>
        <w:rPr>
          <w:rFonts w:hint="eastAsia"/>
          <w:highlight w:val="none"/>
          <w:lang w:val="en-US"/>
        </w:rPr>
        <w:t>Cl</w:t>
      </w:r>
      <w:r>
        <w:rPr>
          <w:rFonts w:hint="eastAsia"/>
          <w:highlight w:val="none"/>
          <w:vertAlign w:val="superscript"/>
          <w:lang w:val="en-US"/>
        </w:rPr>
        <w:t>-</w:t>
      </w:r>
      <w:r>
        <w:rPr>
          <w:rFonts w:hint="eastAsia"/>
          <w:highlight w:val="none"/>
        </w:rPr>
        <w:t>、</w:t>
      </w:r>
      <w:r>
        <w:rPr>
          <w:rFonts w:hint="eastAsia"/>
          <w:highlight w:val="none"/>
          <w:lang w:val="en-US"/>
        </w:rPr>
        <w:t>SO</w:t>
      </w:r>
      <w:r>
        <w:rPr>
          <w:rFonts w:hint="eastAsia"/>
          <w:highlight w:val="none"/>
          <w:vertAlign w:val="subscript"/>
          <w:lang w:val="en-US"/>
        </w:rPr>
        <w:t>4</w:t>
      </w:r>
      <w:r>
        <w:rPr>
          <w:rFonts w:hint="eastAsia"/>
          <w:highlight w:val="none"/>
          <w:vertAlign w:val="superscript"/>
          <w:lang w:val="en-US"/>
        </w:rPr>
        <w:t>2-</w:t>
      </w:r>
      <w:r>
        <w:rPr>
          <w:rFonts w:hint="eastAsia"/>
          <w:highlight w:val="none"/>
        </w:rPr>
        <w:t>共</w:t>
      </w:r>
      <w:r>
        <w:rPr>
          <w:rFonts w:hint="eastAsia"/>
          <w:highlight w:val="none"/>
          <w:lang w:val="en-US"/>
        </w:rPr>
        <w:t>7</w:t>
      </w:r>
      <w:r>
        <w:rPr>
          <w:rFonts w:hint="eastAsia"/>
          <w:highlight w:val="none"/>
        </w:rPr>
        <w:t>种离子的浓度</w:t>
      </w:r>
      <w:r>
        <w:rPr>
          <w:rFonts w:hint="eastAsia"/>
          <w:highlight w:val="none"/>
          <w:lang w:val="en-US"/>
        </w:rPr>
        <w:t>；</w:t>
      </w:r>
    </w:p>
    <w:p>
      <w:pPr>
        <w:pStyle w:val="62"/>
        <w:ind w:firstLine="480"/>
        <w:rPr>
          <w:highlight w:val="none"/>
        </w:rPr>
      </w:pPr>
      <w:r>
        <w:rPr>
          <w:rFonts w:hint="eastAsia"/>
          <w:highlight w:val="none"/>
        </w:rPr>
        <w:t>②pH、氨氮、硝酸盐、亚硝酸盐、挥发酚、氰化物、砷、汞、六价铬、总硬度、铅、氟化物、镉、铁、锰、铜、锌、溶解性总固体、耗氧量、硫酸盐、氯化物、总大肠菌群、菌落总数、石油类共24项。并记录井深、水位、水温。</w:t>
      </w:r>
    </w:p>
    <w:p>
      <w:pPr>
        <w:pStyle w:val="62"/>
        <w:ind w:firstLine="480"/>
        <w:rPr>
          <w:highlight w:val="none"/>
        </w:rPr>
      </w:pPr>
      <w:r>
        <w:rPr>
          <w:rFonts w:hint="eastAsia"/>
          <w:highlight w:val="none"/>
        </w:rPr>
        <w:t>③特征因子：铜、锌、铅、石油类。</w:t>
      </w:r>
    </w:p>
    <w:p>
      <w:pPr>
        <w:ind w:firstLine="480"/>
        <w:rPr>
          <w:rFonts w:ascii="宋体" w:hAnsi="宋体"/>
          <w:bCs/>
          <w:kern w:val="0"/>
          <w:highlight w:val="none"/>
        </w:rPr>
      </w:pPr>
      <w:r>
        <w:rPr>
          <w:rFonts w:ascii="宋体" w:hAnsi="宋体"/>
          <w:bCs/>
          <w:kern w:val="0"/>
          <w:highlight w:val="none"/>
        </w:rPr>
        <w:t>（3）采样时间及频率</w:t>
      </w:r>
    </w:p>
    <w:p>
      <w:pPr>
        <w:ind w:firstLine="480"/>
        <w:rPr>
          <w:rFonts w:ascii="宋体" w:hAnsi="宋体"/>
          <w:bCs/>
          <w:kern w:val="0"/>
          <w:highlight w:val="none"/>
        </w:rPr>
      </w:pPr>
      <w:r>
        <w:rPr>
          <w:rFonts w:ascii="宋体" w:hAnsi="宋体"/>
          <w:bCs/>
          <w:kern w:val="0"/>
          <w:highlight w:val="none"/>
        </w:rPr>
        <w:t>北京京畿分析测试中心有限公司于2020年</w:t>
      </w:r>
      <w:r>
        <w:rPr>
          <w:rFonts w:hint="eastAsia" w:ascii="宋体" w:hAnsi="宋体"/>
          <w:bCs/>
          <w:kern w:val="0"/>
          <w:highlight w:val="none"/>
        </w:rPr>
        <w:t>3月和</w:t>
      </w:r>
      <w:r>
        <w:rPr>
          <w:rFonts w:ascii="宋体" w:hAnsi="宋体"/>
          <w:bCs/>
          <w:kern w:val="0"/>
          <w:highlight w:val="none"/>
        </w:rPr>
        <w:t>5月对项目区周围地下水水质进行监测，监测1天，每天1次。</w:t>
      </w:r>
      <w:r>
        <w:rPr>
          <w:rFonts w:hint="eastAsia" w:ascii="宋体" w:hAnsi="宋体"/>
          <w:bCs/>
          <w:kern w:val="0"/>
          <w:highlight w:val="none"/>
        </w:rPr>
        <w:t>水质：2021年3月21日、2021年5月23日进行两期监测，每期监测一天，每个点位每天采样一次。</w:t>
      </w:r>
    </w:p>
    <w:p>
      <w:pPr>
        <w:ind w:firstLine="480"/>
        <w:rPr>
          <w:rFonts w:ascii="宋体" w:hAnsi="宋体"/>
          <w:bCs/>
          <w:kern w:val="0"/>
          <w:highlight w:val="none"/>
        </w:rPr>
      </w:pPr>
      <w:r>
        <w:rPr>
          <w:rFonts w:hint="eastAsia" w:ascii="宋体" w:hAnsi="宋体"/>
          <w:bCs/>
          <w:kern w:val="0"/>
          <w:highlight w:val="none"/>
        </w:rPr>
        <w:t>水位：2021年3月21日、2021年5月23日、2021年7月16日进行三期监测，每期监测一天，每个点位每天采样一次。</w:t>
      </w:r>
    </w:p>
    <w:p>
      <w:pPr>
        <w:ind w:firstLine="480"/>
        <w:rPr>
          <w:rFonts w:ascii="宋体" w:hAnsi="宋体"/>
          <w:bCs/>
          <w:kern w:val="0"/>
          <w:highlight w:val="none"/>
        </w:rPr>
      </w:pPr>
      <w:r>
        <w:rPr>
          <w:rFonts w:ascii="宋体" w:hAnsi="宋体"/>
          <w:bCs/>
          <w:kern w:val="0"/>
          <w:highlight w:val="none"/>
        </w:rPr>
        <w:t>（4）监测分析方法</w:t>
      </w:r>
    </w:p>
    <w:p>
      <w:pPr>
        <w:ind w:firstLine="480"/>
        <w:rPr>
          <w:rFonts w:ascii="宋体" w:hAnsi="宋体"/>
          <w:bCs/>
          <w:kern w:val="0"/>
          <w:highlight w:val="none"/>
        </w:rPr>
      </w:pPr>
      <w:r>
        <w:rPr>
          <w:rFonts w:ascii="宋体" w:hAnsi="宋体"/>
          <w:bCs/>
          <w:kern w:val="0"/>
          <w:highlight w:val="none"/>
        </w:rPr>
        <w:t>监测分析方法参照《地下水质量标准》（GB/T14848-2017）相关规定执行。地下水环境质量现状监测采样方法见表4.3-7。</w:t>
      </w:r>
    </w:p>
    <w:p>
      <w:pPr>
        <w:pStyle w:val="65"/>
        <w:rPr>
          <w:highlight w:val="none"/>
        </w:rPr>
      </w:pPr>
      <w:r>
        <w:rPr>
          <w:highlight w:val="none"/>
        </w:rPr>
        <w:t>表4.3-7</w:t>
      </w:r>
      <w:r>
        <w:rPr>
          <w:rFonts w:hint="eastAsia"/>
          <w:highlight w:val="none"/>
        </w:rPr>
        <w:t xml:space="preserve">  </w:t>
      </w:r>
      <w:r>
        <w:rPr>
          <w:highlight w:val="none"/>
        </w:rPr>
        <w:t>地下水环境质量现状监测分析方法</w:t>
      </w:r>
    </w:p>
    <w:tbl>
      <w:tblPr>
        <w:tblStyle w:val="44"/>
        <w:tblW w:w="87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696"/>
        <w:gridCol w:w="1363"/>
        <w:gridCol w:w="5315"/>
        <w:gridCol w:w="137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Align w:val="center"/>
          </w:tcPr>
          <w:p>
            <w:pPr>
              <w:pStyle w:val="64"/>
              <w:rPr>
                <w:rFonts w:hAnsi="宋体"/>
                <w:highlight w:val="none"/>
              </w:rPr>
            </w:pPr>
            <w:r>
              <w:rPr>
                <w:rFonts w:hAnsi="宋体"/>
                <w:highlight w:val="none"/>
              </w:rPr>
              <w:t>类别</w:t>
            </w:r>
          </w:p>
        </w:tc>
        <w:tc>
          <w:tcPr>
            <w:tcW w:w="1363" w:type="dxa"/>
            <w:vAlign w:val="center"/>
          </w:tcPr>
          <w:p>
            <w:pPr>
              <w:pStyle w:val="64"/>
              <w:rPr>
                <w:rFonts w:hAnsi="宋体"/>
                <w:highlight w:val="none"/>
              </w:rPr>
            </w:pPr>
            <w:r>
              <w:rPr>
                <w:rFonts w:hAnsi="宋体"/>
                <w:highlight w:val="none"/>
              </w:rPr>
              <w:t>项目</w:t>
            </w:r>
          </w:p>
        </w:tc>
        <w:tc>
          <w:tcPr>
            <w:tcW w:w="5315" w:type="dxa"/>
            <w:vAlign w:val="center"/>
          </w:tcPr>
          <w:p>
            <w:pPr>
              <w:pStyle w:val="64"/>
              <w:rPr>
                <w:rFonts w:hAnsi="宋体"/>
                <w:highlight w:val="none"/>
              </w:rPr>
            </w:pPr>
            <w:r>
              <w:rPr>
                <w:rFonts w:hAnsi="宋体"/>
                <w:highlight w:val="none"/>
              </w:rPr>
              <w:t>监测分析方法</w:t>
            </w:r>
          </w:p>
        </w:tc>
        <w:tc>
          <w:tcPr>
            <w:tcW w:w="1376" w:type="dxa"/>
            <w:vAlign w:val="center"/>
          </w:tcPr>
          <w:p>
            <w:pPr>
              <w:pStyle w:val="64"/>
              <w:rPr>
                <w:rFonts w:hAnsi="宋体"/>
                <w:highlight w:val="none"/>
              </w:rPr>
            </w:pPr>
            <w:r>
              <w:rPr>
                <w:rFonts w:hAnsi="宋体"/>
                <w:highlight w:val="none"/>
              </w:rPr>
              <w:t>检出限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restart"/>
            <w:vAlign w:val="center"/>
          </w:tcPr>
          <w:p>
            <w:pPr>
              <w:pStyle w:val="64"/>
              <w:rPr>
                <w:rFonts w:hAnsi="宋体"/>
                <w:highlight w:val="none"/>
              </w:rPr>
            </w:pPr>
          </w:p>
          <w:p>
            <w:pPr>
              <w:ind w:firstLine="480"/>
              <w:rPr>
                <w:highlight w:val="none"/>
              </w:rPr>
            </w:pPr>
          </w:p>
          <w:p>
            <w:pPr>
              <w:pStyle w:val="64"/>
              <w:rPr>
                <w:rFonts w:hAnsi="宋体"/>
                <w:highlight w:val="none"/>
              </w:rPr>
            </w:pPr>
            <w:r>
              <w:rPr>
                <w:rFonts w:hAnsi="宋体"/>
                <w:highlight w:val="none"/>
              </w:rPr>
              <w:t>地</w:t>
            </w:r>
          </w:p>
          <w:p>
            <w:pPr>
              <w:pStyle w:val="64"/>
              <w:rPr>
                <w:rFonts w:hAnsi="宋体"/>
                <w:highlight w:val="none"/>
              </w:rPr>
            </w:pPr>
            <w:r>
              <w:rPr>
                <w:rFonts w:hAnsi="宋体"/>
                <w:highlight w:val="none"/>
              </w:rPr>
              <w:t>下</w:t>
            </w:r>
          </w:p>
          <w:p>
            <w:pPr>
              <w:pStyle w:val="64"/>
              <w:rPr>
                <w:rFonts w:hAnsi="宋体"/>
                <w:highlight w:val="none"/>
              </w:rPr>
            </w:pPr>
            <w:r>
              <w:rPr>
                <w:rFonts w:hAnsi="宋体"/>
                <w:highlight w:val="none"/>
              </w:rPr>
              <w:t>水</w:t>
            </w:r>
          </w:p>
        </w:tc>
        <w:tc>
          <w:tcPr>
            <w:tcW w:w="1363" w:type="dxa"/>
            <w:vAlign w:val="center"/>
          </w:tcPr>
          <w:p>
            <w:pPr>
              <w:pStyle w:val="64"/>
              <w:rPr>
                <w:rFonts w:hAnsi="宋体"/>
                <w:highlight w:val="none"/>
              </w:rPr>
            </w:pPr>
            <w:r>
              <w:rPr>
                <w:rFonts w:hAnsi="宋体"/>
                <w:highlight w:val="none"/>
              </w:rPr>
              <w:t>pH值</w:t>
            </w:r>
          </w:p>
        </w:tc>
        <w:tc>
          <w:tcPr>
            <w:tcW w:w="5315" w:type="dxa"/>
            <w:vAlign w:val="center"/>
          </w:tcPr>
          <w:p>
            <w:pPr>
              <w:pStyle w:val="64"/>
              <w:rPr>
                <w:rFonts w:hAnsi="宋体"/>
                <w:highlight w:val="none"/>
              </w:rPr>
            </w:pPr>
            <w:r>
              <w:rPr>
                <w:rFonts w:hAnsi="宋体"/>
                <w:highlight w:val="none"/>
              </w:rPr>
              <w:t>玻璃电极法GB/T5750.4-2006</w:t>
            </w:r>
          </w:p>
        </w:tc>
        <w:tc>
          <w:tcPr>
            <w:tcW w:w="1376" w:type="dxa"/>
            <w:vAlign w:val="center"/>
          </w:tcPr>
          <w:p>
            <w:pPr>
              <w:pStyle w:val="64"/>
              <w:rPr>
                <w:rFonts w:hAnsi="宋体"/>
                <w:highlight w:val="none"/>
              </w:rPr>
            </w:pPr>
            <w:r>
              <w:rPr>
                <w:rFonts w:hAnsi="宋体"/>
                <w:highlight w:val="none"/>
              </w:rPr>
              <w:t>0.01(pH)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耗氧量</w:t>
            </w:r>
          </w:p>
        </w:tc>
        <w:tc>
          <w:tcPr>
            <w:tcW w:w="5315" w:type="dxa"/>
            <w:vAlign w:val="center"/>
          </w:tcPr>
          <w:p>
            <w:pPr>
              <w:pStyle w:val="64"/>
              <w:rPr>
                <w:rFonts w:hAnsi="宋体"/>
                <w:highlight w:val="none"/>
              </w:rPr>
            </w:pPr>
            <w:r>
              <w:rPr>
                <w:rFonts w:hAnsi="宋体"/>
                <w:highlight w:val="none"/>
              </w:rPr>
              <w:t>高锰酸钾滴定法GB/T5750.7-2006</w:t>
            </w:r>
          </w:p>
        </w:tc>
        <w:tc>
          <w:tcPr>
            <w:tcW w:w="1376" w:type="dxa"/>
            <w:vAlign w:val="center"/>
          </w:tcPr>
          <w:p>
            <w:pPr>
              <w:pStyle w:val="64"/>
              <w:rPr>
                <w:rFonts w:hAnsi="宋体"/>
                <w:highlight w:val="none"/>
              </w:rPr>
            </w:pPr>
            <w:r>
              <w:rPr>
                <w:rFonts w:hAnsi="宋体"/>
                <w:highlight w:val="none"/>
              </w:rPr>
              <w:t>0.5mg/L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总硬度</w:t>
            </w:r>
          </w:p>
        </w:tc>
        <w:tc>
          <w:tcPr>
            <w:tcW w:w="5315" w:type="dxa"/>
            <w:vAlign w:val="center"/>
          </w:tcPr>
          <w:p>
            <w:pPr>
              <w:pStyle w:val="64"/>
              <w:rPr>
                <w:rFonts w:hAnsi="宋体"/>
                <w:highlight w:val="none"/>
              </w:rPr>
            </w:pPr>
            <w:r>
              <w:rPr>
                <w:rFonts w:hAnsi="宋体"/>
                <w:highlight w:val="none"/>
              </w:rPr>
              <w:t>乙二胺四乙酸二钠滴定法GB/T5750.4-2006</w:t>
            </w:r>
          </w:p>
        </w:tc>
        <w:tc>
          <w:tcPr>
            <w:tcW w:w="1376" w:type="dxa"/>
            <w:vAlign w:val="center"/>
          </w:tcPr>
          <w:p>
            <w:pPr>
              <w:pStyle w:val="64"/>
              <w:rPr>
                <w:rFonts w:hAnsi="宋体"/>
                <w:highlight w:val="none"/>
              </w:rPr>
            </w:pPr>
            <w:r>
              <w:rPr>
                <w:rFonts w:hAnsi="宋体"/>
                <w:highlight w:val="none"/>
              </w:rPr>
              <w:t>1.0mg/L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硫酸盐</w:t>
            </w:r>
          </w:p>
        </w:tc>
        <w:tc>
          <w:tcPr>
            <w:tcW w:w="5315" w:type="dxa"/>
            <w:vAlign w:val="center"/>
          </w:tcPr>
          <w:p>
            <w:pPr>
              <w:pStyle w:val="64"/>
              <w:rPr>
                <w:rFonts w:hAnsi="宋体"/>
                <w:highlight w:val="none"/>
              </w:rPr>
            </w:pPr>
            <w:r>
              <w:rPr>
                <w:rFonts w:hAnsi="宋体"/>
                <w:highlight w:val="none"/>
              </w:rPr>
              <w:t>离子色谱法HJ84-2016</w:t>
            </w:r>
          </w:p>
        </w:tc>
        <w:tc>
          <w:tcPr>
            <w:tcW w:w="1376" w:type="dxa"/>
            <w:vAlign w:val="center"/>
          </w:tcPr>
          <w:p>
            <w:pPr>
              <w:pStyle w:val="64"/>
              <w:rPr>
                <w:rFonts w:hAnsi="宋体"/>
                <w:highlight w:val="none"/>
              </w:rPr>
            </w:pPr>
            <w:r>
              <w:rPr>
                <w:rFonts w:hAnsi="宋体"/>
                <w:highlight w:val="none"/>
              </w:rPr>
              <w:t>5mg/L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氨氮</w:t>
            </w:r>
          </w:p>
        </w:tc>
        <w:tc>
          <w:tcPr>
            <w:tcW w:w="5315" w:type="dxa"/>
            <w:vAlign w:val="center"/>
          </w:tcPr>
          <w:p>
            <w:pPr>
              <w:pStyle w:val="64"/>
              <w:rPr>
                <w:rFonts w:hAnsi="宋体"/>
                <w:highlight w:val="none"/>
              </w:rPr>
            </w:pPr>
            <w:r>
              <w:rPr>
                <w:rFonts w:hAnsi="宋体"/>
                <w:highlight w:val="none"/>
              </w:rPr>
              <w:t>纳氏试剂光度法GB/T5750.5-2006</w:t>
            </w:r>
          </w:p>
        </w:tc>
        <w:tc>
          <w:tcPr>
            <w:tcW w:w="1376" w:type="dxa"/>
            <w:vAlign w:val="center"/>
          </w:tcPr>
          <w:p>
            <w:pPr>
              <w:pStyle w:val="64"/>
              <w:rPr>
                <w:rFonts w:hAnsi="宋体"/>
                <w:highlight w:val="none"/>
              </w:rPr>
            </w:pPr>
            <w:r>
              <w:rPr>
                <w:rFonts w:hAnsi="宋体"/>
                <w:highlight w:val="none"/>
              </w:rPr>
              <w:t>0.02mg/L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硝酸盐氮</w:t>
            </w:r>
          </w:p>
        </w:tc>
        <w:tc>
          <w:tcPr>
            <w:tcW w:w="5315" w:type="dxa"/>
            <w:vAlign w:val="center"/>
          </w:tcPr>
          <w:p>
            <w:pPr>
              <w:pStyle w:val="64"/>
              <w:rPr>
                <w:rFonts w:hAnsi="宋体"/>
                <w:highlight w:val="none"/>
              </w:rPr>
            </w:pPr>
            <w:r>
              <w:rPr>
                <w:rFonts w:hAnsi="宋体"/>
                <w:highlight w:val="none"/>
              </w:rPr>
              <w:t>离子色谱法GB/T5750-2006</w:t>
            </w:r>
          </w:p>
        </w:tc>
        <w:tc>
          <w:tcPr>
            <w:tcW w:w="1376" w:type="dxa"/>
            <w:vAlign w:val="center"/>
          </w:tcPr>
          <w:p>
            <w:pPr>
              <w:pStyle w:val="64"/>
              <w:rPr>
                <w:rFonts w:hAnsi="宋体"/>
                <w:highlight w:val="none"/>
              </w:rPr>
            </w:pPr>
            <w:r>
              <w:rPr>
                <w:rFonts w:hAnsi="宋体"/>
                <w:highlight w:val="none"/>
              </w:rPr>
              <w:t>0.016mg/L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亚硝酸盐氮</w:t>
            </w:r>
          </w:p>
        </w:tc>
        <w:tc>
          <w:tcPr>
            <w:tcW w:w="5315" w:type="dxa"/>
            <w:vAlign w:val="center"/>
          </w:tcPr>
          <w:p>
            <w:pPr>
              <w:pStyle w:val="64"/>
              <w:rPr>
                <w:rFonts w:hAnsi="宋体"/>
                <w:highlight w:val="none"/>
              </w:rPr>
            </w:pPr>
            <w:r>
              <w:rPr>
                <w:rFonts w:hAnsi="宋体"/>
                <w:highlight w:val="none"/>
              </w:rPr>
              <w:t>重氮偶合分光光度GB/T5750.5-2006</w:t>
            </w:r>
          </w:p>
        </w:tc>
        <w:tc>
          <w:tcPr>
            <w:tcW w:w="1376" w:type="dxa"/>
            <w:vAlign w:val="center"/>
          </w:tcPr>
          <w:p>
            <w:pPr>
              <w:pStyle w:val="64"/>
              <w:rPr>
                <w:rFonts w:hAnsi="宋体"/>
                <w:highlight w:val="none"/>
              </w:rPr>
            </w:pPr>
            <w:r>
              <w:rPr>
                <w:rFonts w:hAnsi="宋体"/>
                <w:highlight w:val="none"/>
              </w:rPr>
              <w:t>0.001mg/L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砷</w:t>
            </w:r>
          </w:p>
        </w:tc>
        <w:tc>
          <w:tcPr>
            <w:tcW w:w="5315" w:type="dxa"/>
            <w:vAlign w:val="center"/>
          </w:tcPr>
          <w:p>
            <w:pPr>
              <w:pStyle w:val="64"/>
              <w:rPr>
                <w:rFonts w:hAnsi="宋体"/>
                <w:highlight w:val="none"/>
              </w:rPr>
            </w:pPr>
            <w:r>
              <w:rPr>
                <w:rFonts w:hAnsi="宋体"/>
                <w:highlight w:val="none"/>
              </w:rPr>
              <w:t>氢化物原子荧光法GB/T5750.6-2006</w:t>
            </w:r>
          </w:p>
        </w:tc>
        <w:tc>
          <w:tcPr>
            <w:tcW w:w="1376" w:type="dxa"/>
            <w:vAlign w:val="center"/>
          </w:tcPr>
          <w:p>
            <w:pPr>
              <w:pStyle w:val="64"/>
              <w:rPr>
                <w:rFonts w:hAnsi="宋体"/>
                <w:highlight w:val="none"/>
              </w:rPr>
            </w:pPr>
            <w:r>
              <w:rPr>
                <w:rFonts w:hAnsi="宋体"/>
                <w:highlight w:val="none"/>
              </w:rPr>
              <w:t>0.3μg/L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汞</w:t>
            </w:r>
          </w:p>
        </w:tc>
        <w:tc>
          <w:tcPr>
            <w:tcW w:w="5315" w:type="dxa"/>
            <w:vAlign w:val="center"/>
          </w:tcPr>
          <w:p>
            <w:pPr>
              <w:pStyle w:val="64"/>
              <w:rPr>
                <w:rFonts w:hAnsi="宋体"/>
                <w:highlight w:val="none"/>
              </w:rPr>
            </w:pPr>
            <w:r>
              <w:rPr>
                <w:rFonts w:hAnsi="宋体"/>
                <w:highlight w:val="none"/>
              </w:rPr>
              <w:t>原子荧光法GB/T5750.6-2006</w:t>
            </w:r>
          </w:p>
        </w:tc>
        <w:tc>
          <w:tcPr>
            <w:tcW w:w="1376" w:type="dxa"/>
            <w:vAlign w:val="center"/>
          </w:tcPr>
          <w:p>
            <w:pPr>
              <w:pStyle w:val="64"/>
              <w:rPr>
                <w:rFonts w:hAnsi="宋体"/>
                <w:highlight w:val="none"/>
              </w:rPr>
            </w:pPr>
            <w:r>
              <w:rPr>
                <w:rFonts w:hAnsi="宋体"/>
                <w:highlight w:val="none"/>
              </w:rPr>
              <w:t>0.04μg/L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氟化物</w:t>
            </w:r>
          </w:p>
        </w:tc>
        <w:tc>
          <w:tcPr>
            <w:tcW w:w="5315" w:type="dxa"/>
            <w:vAlign w:val="center"/>
          </w:tcPr>
          <w:p>
            <w:pPr>
              <w:pStyle w:val="64"/>
              <w:rPr>
                <w:rFonts w:hAnsi="宋体"/>
                <w:highlight w:val="none"/>
              </w:rPr>
            </w:pPr>
            <w:r>
              <w:rPr>
                <w:rFonts w:hAnsi="宋体"/>
                <w:highlight w:val="none"/>
              </w:rPr>
              <w:t>离子选择电极法GB/T7487-1987</w:t>
            </w:r>
          </w:p>
        </w:tc>
        <w:tc>
          <w:tcPr>
            <w:tcW w:w="1376" w:type="dxa"/>
            <w:vAlign w:val="center"/>
          </w:tcPr>
          <w:p>
            <w:pPr>
              <w:pStyle w:val="64"/>
              <w:rPr>
                <w:rFonts w:hAnsi="宋体"/>
                <w:highlight w:val="none"/>
              </w:rPr>
            </w:pPr>
            <w:r>
              <w:rPr>
                <w:rFonts w:hAnsi="宋体"/>
                <w:highlight w:val="none"/>
              </w:rPr>
              <w:t>0.05mg/L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氯化物</w:t>
            </w:r>
          </w:p>
        </w:tc>
        <w:tc>
          <w:tcPr>
            <w:tcW w:w="5315" w:type="dxa"/>
            <w:vAlign w:val="center"/>
          </w:tcPr>
          <w:p>
            <w:pPr>
              <w:pStyle w:val="64"/>
              <w:rPr>
                <w:rFonts w:hAnsi="宋体"/>
                <w:highlight w:val="none"/>
              </w:rPr>
            </w:pPr>
            <w:r>
              <w:rPr>
                <w:rFonts w:hAnsi="宋体"/>
                <w:highlight w:val="none"/>
              </w:rPr>
              <w:t>离子色谱法GB/T5750-2006</w:t>
            </w:r>
          </w:p>
        </w:tc>
        <w:tc>
          <w:tcPr>
            <w:tcW w:w="1376" w:type="dxa"/>
            <w:vAlign w:val="center"/>
          </w:tcPr>
          <w:p>
            <w:pPr>
              <w:pStyle w:val="64"/>
              <w:rPr>
                <w:rFonts w:hAnsi="宋体"/>
                <w:highlight w:val="none"/>
              </w:rPr>
            </w:pPr>
            <w:r>
              <w:rPr>
                <w:rFonts w:hAnsi="宋体"/>
                <w:highlight w:val="none"/>
              </w:rPr>
              <w:t>1.0mg/L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氰化物</w:t>
            </w:r>
          </w:p>
        </w:tc>
        <w:tc>
          <w:tcPr>
            <w:tcW w:w="5315" w:type="dxa"/>
            <w:vAlign w:val="center"/>
          </w:tcPr>
          <w:p>
            <w:pPr>
              <w:pStyle w:val="64"/>
              <w:rPr>
                <w:rFonts w:hAnsi="宋体"/>
                <w:highlight w:val="none"/>
              </w:rPr>
            </w:pPr>
            <w:r>
              <w:rPr>
                <w:rFonts w:hAnsi="宋体"/>
                <w:highlight w:val="none"/>
              </w:rPr>
              <w:t>异烟酸-吡唑啉酮分光光度法GB/T5750.5-2006</w:t>
            </w:r>
          </w:p>
        </w:tc>
        <w:tc>
          <w:tcPr>
            <w:tcW w:w="1376" w:type="dxa"/>
            <w:vAlign w:val="center"/>
          </w:tcPr>
          <w:p>
            <w:pPr>
              <w:pStyle w:val="64"/>
              <w:rPr>
                <w:rFonts w:hAnsi="宋体"/>
                <w:highlight w:val="none"/>
              </w:rPr>
            </w:pPr>
            <w:r>
              <w:rPr>
                <w:rFonts w:hAnsi="宋体"/>
                <w:highlight w:val="none"/>
              </w:rPr>
              <w:t>0.002mg/L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挥发酚</w:t>
            </w:r>
          </w:p>
        </w:tc>
        <w:tc>
          <w:tcPr>
            <w:tcW w:w="5315" w:type="dxa"/>
            <w:vAlign w:val="center"/>
          </w:tcPr>
          <w:p>
            <w:pPr>
              <w:pStyle w:val="64"/>
              <w:rPr>
                <w:rFonts w:hAnsi="宋体"/>
                <w:highlight w:val="none"/>
              </w:rPr>
            </w:pPr>
            <w:r>
              <w:rPr>
                <w:rFonts w:hAnsi="宋体"/>
                <w:highlight w:val="none"/>
              </w:rPr>
              <w:t>4-氨基安替比林分光光度法GB/T5750.4-2006</w:t>
            </w:r>
          </w:p>
        </w:tc>
        <w:tc>
          <w:tcPr>
            <w:tcW w:w="1376" w:type="dxa"/>
            <w:vAlign w:val="center"/>
          </w:tcPr>
          <w:p>
            <w:pPr>
              <w:pStyle w:val="64"/>
              <w:rPr>
                <w:rFonts w:hAnsi="宋体"/>
                <w:highlight w:val="none"/>
              </w:rPr>
            </w:pPr>
            <w:r>
              <w:rPr>
                <w:rFonts w:hAnsi="宋体"/>
                <w:highlight w:val="none"/>
              </w:rPr>
              <w:t>0.002mg/L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菌落总数</w:t>
            </w:r>
          </w:p>
        </w:tc>
        <w:tc>
          <w:tcPr>
            <w:tcW w:w="5315" w:type="dxa"/>
            <w:vAlign w:val="center"/>
          </w:tcPr>
          <w:p>
            <w:pPr>
              <w:pStyle w:val="64"/>
              <w:rPr>
                <w:rFonts w:hAnsi="宋体"/>
                <w:highlight w:val="none"/>
              </w:rPr>
            </w:pPr>
            <w:r>
              <w:rPr>
                <w:rFonts w:hAnsi="宋体"/>
                <w:highlight w:val="none"/>
              </w:rPr>
              <w:t>平皿计数法GB/T5750.12-2006</w:t>
            </w:r>
          </w:p>
        </w:tc>
        <w:tc>
          <w:tcPr>
            <w:tcW w:w="1376" w:type="dxa"/>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总大肠菌群</w:t>
            </w:r>
          </w:p>
        </w:tc>
        <w:tc>
          <w:tcPr>
            <w:tcW w:w="5315" w:type="dxa"/>
            <w:vAlign w:val="center"/>
          </w:tcPr>
          <w:p>
            <w:pPr>
              <w:pStyle w:val="64"/>
              <w:rPr>
                <w:rFonts w:hAnsi="宋体"/>
                <w:highlight w:val="none"/>
              </w:rPr>
            </w:pPr>
            <w:r>
              <w:rPr>
                <w:rFonts w:hAnsi="宋体"/>
                <w:highlight w:val="none"/>
              </w:rPr>
              <w:t>多管发酵法GB/T5750.12-2006</w:t>
            </w:r>
          </w:p>
        </w:tc>
        <w:tc>
          <w:tcPr>
            <w:tcW w:w="1376" w:type="dxa"/>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铅</w:t>
            </w:r>
          </w:p>
        </w:tc>
        <w:tc>
          <w:tcPr>
            <w:tcW w:w="5315" w:type="dxa"/>
            <w:vAlign w:val="center"/>
          </w:tcPr>
          <w:p>
            <w:pPr>
              <w:pStyle w:val="64"/>
              <w:rPr>
                <w:rFonts w:hAnsi="宋体"/>
                <w:highlight w:val="none"/>
              </w:rPr>
            </w:pPr>
            <w:r>
              <w:rPr>
                <w:rFonts w:hAnsi="宋体"/>
                <w:highlight w:val="none"/>
              </w:rPr>
              <w:t>原子吸收分光光度GB/T5750.6—2006</w:t>
            </w:r>
          </w:p>
        </w:tc>
        <w:tc>
          <w:tcPr>
            <w:tcW w:w="1376" w:type="dxa"/>
            <w:vAlign w:val="center"/>
          </w:tcPr>
          <w:p>
            <w:pPr>
              <w:pStyle w:val="64"/>
              <w:rPr>
                <w:rFonts w:hAnsi="宋体"/>
                <w:highlight w:val="none"/>
              </w:rPr>
            </w:pPr>
            <w:r>
              <w:rPr>
                <w:rFonts w:hAnsi="宋体"/>
                <w:highlight w:val="none"/>
              </w:rPr>
              <w:t>5μg/L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镉</w:t>
            </w:r>
          </w:p>
        </w:tc>
        <w:tc>
          <w:tcPr>
            <w:tcW w:w="5315" w:type="dxa"/>
            <w:vAlign w:val="center"/>
          </w:tcPr>
          <w:p>
            <w:pPr>
              <w:pStyle w:val="64"/>
              <w:rPr>
                <w:rFonts w:hAnsi="宋体"/>
                <w:highlight w:val="none"/>
              </w:rPr>
            </w:pPr>
            <w:r>
              <w:rPr>
                <w:rFonts w:hAnsi="宋体"/>
                <w:highlight w:val="none"/>
              </w:rPr>
              <w:t>原子吸收分光光度GB/T5750.6—2006</w:t>
            </w:r>
          </w:p>
        </w:tc>
        <w:tc>
          <w:tcPr>
            <w:tcW w:w="1376" w:type="dxa"/>
            <w:vAlign w:val="center"/>
          </w:tcPr>
          <w:p>
            <w:pPr>
              <w:pStyle w:val="64"/>
              <w:rPr>
                <w:rFonts w:hAnsi="宋体"/>
                <w:highlight w:val="none"/>
              </w:rPr>
            </w:pPr>
            <w:r>
              <w:rPr>
                <w:rFonts w:hAnsi="宋体"/>
                <w:highlight w:val="none"/>
              </w:rPr>
              <w:t>1μg/L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铁</w:t>
            </w:r>
          </w:p>
        </w:tc>
        <w:tc>
          <w:tcPr>
            <w:tcW w:w="5315" w:type="dxa"/>
            <w:vAlign w:val="center"/>
          </w:tcPr>
          <w:p>
            <w:pPr>
              <w:pStyle w:val="64"/>
              <w:rPr>
                <w:rFonts w:hAnsi="宋体"/>
                <w:highlight w:val="none"/>
              </w:rPr>
            </w:pPr>
            <w:r>
              <w:rPr>
                <w:rFonts w:hAnsi="宋体"/>
                <w:highlight w:val="none"/>
              </w:rPr>
              <w:t>原子吸收分光光度GB/T5750.6—2006</w:t>
            </w:r>
          </w:p>
        </w:tc>
        <w:tc>
          <w:tcPr>
            <w:tcW w:w="1376" w:type="dxa"/>
            <w:vAlign w:val="center"/>
          </w:tcPr>
          <w:p>
            <w:pPr>
              <w:pStyle w:val="64"/>
              <w:rPr>
                <w:rFonts w:hAnsi="宋体"/>
                <w:highlight w:val="none"/>
              </w:rPr>
            </w:pPr>
            <w:r>
              <w:rPr>
                <w:rFonts w:hAnsi="宋体"/>
                <w:highlight w:val="none"/>
              </w:rPr>
              <w:t>0.3mg/L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锰</w:t>
            </w:r>
          </w:p>
        </w:tc>
        <w:tc>
          <w:tcPr>
            <w:tcW w:w="5315" w:type="dxa"/>
            <w:vAlign w:val="center"/>
          </w:tcPr>
          <w:p>
            <w:pPr>
              <w:pStyle w:val="64"/>
              <w:rPr>
                <w:rFonts w:hAnsi="宋体"/>
                <w:highlight w:val="none"/>
              </w:rPr>
            </w:pPr>
            <w:r>
              <w:rPr>
                <w:rFonts w:hAnsi="宋体"/>
                <w:highlight w:val="none"/>
              </w:rPr>
              <w:t>原子吸收分光光度GB/T5750.6—2006</w:t>
            </w:r>
          </w:p>
        </w:tc>
        <w:tc>
          <w:tcPr>
            <w:tcW w:w="1376" w:type="dxa"/>
            <w:vAlign w:val="center"/>
          </w:tcPr>
          <w:p>
            <w:pPr>
              <w:pStyle w:val="64"/>
              <w:rPr>
                <w:rFonts w:hAnsi="宋体"/>
                <w:highlight w:val="none"/>
              </w:rPr>
            </w:pPr>
            <w:r>
              <w:rPr>
                <w:rFonts w:hAnsi="宋体"/>
                <w:highlight w:val="none"/>
              </w:rPr>
              <w:t>0.1mg/L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溶解性总固体</w:t>
            </w:r>
          </w:p>
        </w:tc>
        <w:tc>
          <w:tcPr>
            <w:tcW w:w="5315" w:type="dxa"/>
            <w:vAlign w:val="center"/>
          </w:tcPr>
          <w:p>
            <w:pPr>
              <w:pStyle w:val="64"/>
              <w:rPr>
                <w:rFonts w:hAnsi="宋体"/>
                <w:highlight w:val="none"/>
              </w:rPr>
            </w:pPr>
            <w:r>
              <w:rPr>
                <w:rFonts w:hAnsi="宋体"/>
                <w:highlight w:val="none"/>
              </w:rPr>
              <w:t>称量法GB/T5750.4—2006</w:t>
            </w:r>
          </w:p>
        </w:tc>
        <w:tc>
          <w:tcPr>
            <w:tcW w:w="1376" w:type="dxa"/>
            <w:vAlign w:val="center"/>
          </w:tcPr>
          <w:p>
            <w:pPr>
              <w:pStyle w:val="64"/>
              <w:rPr>
                <w:rFonts w:hAnsi="宋体"/>
                <w:highlight w:val="none"/>
              </w:rPr>
            </w:pPr>
            <w:r>
              <w:rPr>
                <w:rFonts w:hAnsi="宋体"/>
                <w:highlight w:val="none"/>
              </w:rPr>
              <w:t>4mg/L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六价铬</w:t>
            </w:r>
          </w:p>
        </w:tc>
        <w:tc>
          <w:tcPr>
            <w:tcW w:w="5315" w:type="dxa"/>
            <w:vAlign w:val="center"/>
          </w:tcPr>
          <w:p>
            <w:pPr>
              <w:pStyle w:val="64"/>
              <w:rPr>
                <w:rFonts w:hAnsi="宋体"/>
                <w:highlight w:val="none"/>
              </w:rPr>
            </w:pPr>
            <w:r>
              <w:rPr>
                <w:rFonts w:hAnsi="宋体"/>
                <w:highlight w:val="none"/>
              </w:rPr>
              <w:t>二苯碳酰二肼分光光度法GB/T5750.6—2006</w:t>
            </w:r>
          </w:p>
        </w:tc>
        <w:tc>
          <w:tcPr>
            <w:tcW w:w="1376" w:type="dxa"/>
            <w:vAlign w:val="center"/>
          </w:tcPr>
          <w:p>
            <w:pPr>
              <w:pStyle w:val="64"/>
              <w:rPr>
                <w:rFonts w:hAnsi="宋体"/>
                <w:highlight w:val="none"/>
              </w:rPr>
            </w:pPr>
            <w:r>
              <w:rPr>
                <w:rFonts w:hAnsi="宋体"/>
                <w:highlight w:val="none"/>
              </w:rPr>
              <w:t>0.004mg/L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bCs/>
                <w:highlight w:val="none"/>
              </w:rPr>
              <w:t>钾</w:t>
            </w:r>
          </w:p>
        </w:tc>
        <w:tc>
          <w:tcPr>
            <w:tcW w:w="5315" w:type="dxa"/>
            <w:vAlign w:val="center"/>
          </w:tcPr>
          <w:p>
            <w:pPr>
              <w:pStyle w:val="64"/>
              <w:rPr>
                <w:rFonts w:hAnsi="宋体"/>
                <w:bCs/>
                <w:highlight w:val="none"/>
              </w:rPr>
            </w:pPr>
            <w:r>
              <w:rPr>
                <w:rFonts w:hAnsi="宋体"/>
                <w:bCs/>
                <w:highlight w:val="none"/>
              </w:rPr>
              <w:t>水质可溶性阳离子的测定离子色谱法</w:t>
            </w:r>
            <w:r>
              <w:rPr>
                <w:rFonts w:hAnsi="宋体"/>
                <w:highlight w:val="none"/>
              </w:rPr>
              <w:t>HJ812-2016</w:t>
            </w:r>
          </w:p>
        </w:tc>
        <w:tc>
          <w:tcPr>
            <w:tcW w:w="1376" w:type="dxa"/>
            <w:vAlign w:val="center"/>
          </w:tcPr>
          <w:p>
            <w:pPr>
              <w:pStyle w:val="64"/>
              <w:rPr>
                <w:rFonts w:hAnsi="宋体"/>
                <w:highlight w:val="none"/>
              </w:rPr>
            </w:pPr>
            <w:r>
              <w:rPr>
                <w:rFonts w:hAnsi="宋体"/>
                <w:highlight w:val="none"/>
              </w:rPr>
              <w:t>0.03mg/L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bCs/>
                <w:highlight w:val="none"/>
              </w:rPr>
              <w:t>钠</w:t>
            </w:r>
          </w:p>
        </w:tc>
        <w:tc>
          <w:tcPr>
            <w:tcW w:w="5315" w:type="dxa"/>
            <w:vAlign w:val="center"/>
          </w:tcPr>
          <w:p>
            <w:pPr>
              <w:pStyle w:val="64"/>
              <w:rPr>
                <w:rFonts w:hAnsi="宋体"/>
                <w:highlight w:val="none"/>
              </w:rPr>
            </w:pPr>
            <w:r>
              <w:rPr>
                <w:rFonts w:hAnsi="宋体"/>
                <w:bCs/>
                <w:highlight w:val="none"/>
              </w:rPr>
              <w:t>水质可溶性阳离子的测定离子色谱法</w:t>
            </w:r>
            <w:r>
              <w:rPr>
                <w:rFonts w:hAnsi="宋体"/>
                <w:highlight w:val="none"/>
              </w:rPr>
              <w:t>HJ812-2016</w:t>
            </w:r>
          </w:p>
        </w:tc>
        <w:tc>
          <w:tcPr>
            <w:tcW w:w="1376" w:type="dxa"/>
            <w:vAlign w:val="center"/>
          </w:tcPr>
          <w:p>
            <w:pPr>
              <w:pStyle w:val="64"/>
              <w:rPr>
                <w:rFonts w:hAnsi="宋体"/>
                <w:highlight w:val="none"/>
              </w:rPr>
            </w:pPr>
            <w:r>
              <w:rPr>
                <w:rFonts w:hAnsi="宋体"/>
                <w:highlight w:val="none"/>
              </w:rPr>
              <w:t>0.010mg/L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钙</w:t>
            </w:r>
          </w:p>
        </w:tc>
        <w:tc>
          <w:tcPr>
            <w:tcW w:w="5315" w:type="dxa"/>
            <w:vAlign w:val="center"/>
          </w:tcPr>
          <w:p>
            <w:pPr>
              <w:pStyle w:val="64"/>
              <w:rPr>
                <w:rFonts w:hAnsi="宋体"/>
                <w:highlight w:val="none"/>
              </w:rPr>
            </w:pPr>
            <w:r>
              <w:rPr>
                <w:rFonts w:hAnsi="宋体"/>
                <w:bCs/>
                <w:highlight w:val="none"/>
              </w:rPr>
              <w:t>水质可溶性阳离子的测定离子色谱法</w:t>
            </w:r>
            <w:r>
              <w:rPr>
                <w:rFonts w:hAnsi="宋体"/>
                <w:highlight w:val="none"/>
              </w:rPr>
              <w:t>HJ812-2016</w:t>
            </w:r>
          </w:p>
        </w:tc>
        <w:tc>
          <w:tcPr>
            <w:tcW w:w="1376" w:type="dxa"/>
            <w:vAlign w:val="center"/>
          </w:tcPr>
          <w:p>
            <w:pPr>
              <w:pStyle w:val="64"/>
              <w:rPr>
                <w:rFonts w:hAnsi="宋体"/>
                <w:highlight w:val="none"/>
              </w:rPr>
            </w:pPr>
            <w:r>
              <w:rPr>
                <w:rFonts w:hAnsi="宋体"/>
                <w:highlight w:val="none"/>
              </w:rPr>
              <w:t>0.02mg/L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镁</w:t>
            </w:r>
          </w:p>
        </w:tc>
        <w:tc>
          <w:tcPr>
            <w:tcW w:w="5315" w:type="dxa"/>
            <w:vAlign w:val="center"/>
          </w:tcPr>
          <w:p>
            <w:pPr>
              <w:pStyle w:val="64"/>
              <w:rPr>
                <w:rFonts w:hAnsi="宋体"/>
                <w:highlight w:val="none"/>
              </w:rPr>
            </w:pPr>
            <w:r>
              <w:rPr>
                <w:rFonts w:hAnsi="宋体"/>
                <w:bCs/>
                <w:highlight w:val="none"/>
              </w:rPr>
              <w:t>水质可溶性阳离子的测定离子色谱法</w:t>
            </w:r>
            <w:r>
              <w:rPr>
                <w:rFonts w:hAnsi="宋体"/>
                <w:highlight w:val="none"/>
              </w:rPr>
              <w:t>HJ812-2016</w:t>
            </w:r>
          </w:p>
        </w:tc>
        <w:tc>
          <w:tcPr>
            <w:tcW w:w="1376" w:type="dxa"/>
            <w:vAlign w:val="center"/>
          </w:tcPr>
          <w:p>
            <w:pPr>
              <w:pStyle w:val="64"/>
              <w:rPr>
                <w:rFonts w:hAnsi="宋体"/>
                <w:highlight w:val="none"/>
              </w:rPr>
            </w:pPr>
            <w:r>
              <w:rPr>
                <w:rFonts w:hAnsi="宋体"/>
                <w:highlight w:val="none"/>
              </w:rPr>
              <w:t>0.002mg/L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碳酸根</w:t>
            </w:r>
          </w:p>
        </w:tc>
        <w:tc>
          <w:tcPr>
            <w:tcW w:w="5315" w:type="dxa"/>
            <w:vAlign w:val="center"/>
          </w:tcPr>
          <w:p>
            <w:pPr>
              <w:pStyle w:val="64"/>
              <w:rPr>
                <w:rFonts w:hAnsi="宋体"/>
                <w:highlight w:val="none"/>
              </w:rPr>
            </w:pPr>
            <w:r>
              <w:rPr>
                <w:rFonts w:hAnsi="宋体"/>
                <w:highlight w:val="none"/>
              </w:rPr>
              <w:t>《地下水质检测方法滴定法测定碳酸根、重碳酸根和氢氧根》（DZ/T0064.49-1993）</w:t>
            </w:r>
          </w:p>
        </w:tc>
        <w:tc>
          <w:tcPr>
            <w:tcW w:w="1376" w:type="dxa"/>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696" w:type="dxa"/>
            <w:vMerge w:val="continue"/>
            <w:vAlign w:val="center"/>
          </w:tcPr>
          <w:p>
            <w:pPr>
              <w:pStyle w:val="64"/>
              <w:rPr>
                <w:rFonts w:hAnsi="宋体"/>
                <w:highlight w:val="none"/>
              </w:rPr>
            </w:pPr>
          </w:p>
        </w:tc>
        <w:tc>
          <w:tcPr>
            <w:tcW w:w="1363" w:type="dxa"/>
            <w:vAlign w:val="center"/>
          </w:tcPr>
          <w:p>
            <w:pPr>
              <w:pStyle w:val="64"/>
              <w:rPr>
                <w:rFonts w:hAnsi="宋体"/>
                <w:highlight w:val="none"/>
              </w:rPr>
            </w:pPr>
            <w:r>
              <w:rPr>
                <w:rFonts w:hAnsi="宋体"/>
                <w:highlight w:val="none"/>
              </w:rPr>
              <w:t>碳酸氢根</w:t>
            </w:r>
          </w:p>
        </w:tc>
        <w:tc>
          <w:tcPr>
            <w:tcW w:w="5315" w:type="dxa"/>
            <w:vAlign w:val="center"/>
          </w:tcPr>
          <w:p>
            <w:pPr>
              <w:pStyle w:val="64"/>
              <w:rPr>
                <w:rFonts w:hAnsi="宋体"/>
                <w:highlight w:val="none"/>
              </w:rPr>
            </w:pPr>
            <w:r>
              <w:rPr>
                <w:rFonts w:hAnsi="宋体"/>
                <w:highlight w:val="none"/>
              </w:rPr>
              <w:t>《地下水质检测方法滴定法测定碳酸根、重碳酸根和氢氧根》（DZ/T0064.49-1993）</w:t>
            </w:r>
          </w:p>
        </w:tc>
        <w:tc>
          <w:tcPr>
            <w:tcW w:w="1376" w:type="dxa"/>
            <w:vAlign w:val="center"/>
          </w:tcPr>
          <w:p>
            <w:pPr>
              <w:pStyle w:val="64"/>
              <w:rPr>
                <w:rFonts w:hAnsi="宋体"/>
                <w:highlight w:val="none"/>
              </w:rPr>
            </w:pPr>
            <w:r>
              <w:rPr>
                <w:rFonts w:hAnsi="宋体"/>
                <w:highlight w:val="none"/>
              </w:rPr>
              <w:t>/</w:t>
            </w:r>
          </w:p>
        </w:tc>
      </w:tr>
    </w:tbl>
    <w:p>
      <w:pPr>
        <w:pStyle w:val="62"/>
        <w:ind w:firstLine="480"/>
        <w:rPr>
          <w:rFonts w:hAnsi="宋体"/>
          <w:highlight w:val="none"/>
        </w:rPr>
      </w:pPr>
      <w:r>
        <w:rPr>
          <w:rFonts w:hAnsi="宋体"/>
          <w:highlight w:val="none"/>
        </w:rPr>
        <w:t>4.3.2.2地下水环境质量现状评价</w:t>
      </w:r>
    </w:p>
    <w:p>
      <w:pPr>
        <w:ind w:firstLine="436" w:firstLineChars="182"/>
        <w:rPr>
          <w:rFonts w:ascii="宋体" w:hAnsi="宋体"/>
          <w:highlight w:val="none"/>
        </w:rPr>
      </w:pPr>
      <w:r>
        <w:rPr>
          <w:rFonts w:ascii="宋体" w:hAnsi="宋体"/>
          <w:highlight w:val="none"/>
        </w:rPr>
        <w:t>1、评价标准</w:t>
      </w:r>
    </w:p>
    <w:p>
      <w:pPr>
        <w:ind w:firstLine="480"/>
        <w:rPr>
          <w:rFonts w:ascii="宋体" w:hAnsi="宋体"/>
          <w:highlight w:val="none"/>
        </w:rPr>
      </w:pPr>
      <w:r>
        <w:rPr>
          <w:rFonts w:ascii="宋体" w:hAnsi="宋体"/>
          <w:highlight w:val="none"/>
        </w:rPr>
        <w:t>本项目所在区域地下水主要适用于生活饮用水及工农业用水，执行《地下水质量标准》（GB/T14848-2017）Ⅲ类标准，见表4.3-8。</w:t>
      </w:r>
    </w:p>
    <w:p>
      <w:pPr>
        <w:pStyle w:val="65"/>
        <w:rPr>
          <w:highlight w:val="none"/>
        </w:rPr>
      </w:pPr>
      <w:r>
        <w:rPr>
          <w:highlight w:val="none"/>
        </w:rPr>
        <w:t>表4.3-8</w:t>
      </w:r>
      <w:r>
        <w:rPr>
          <w:rFonts w:hint="eastAsia"/>
          <w:highlight w:val="none"/>
        </w:rPr>
        <w:t xml:space="preserve">  </w:t>
      </w:r>
      <w:r>
        <w:rPr>
          <w:highlight w:val="none"/>
        </w:rPr>
        <w:t>地下水质量标准单位：mg/L（PH及注明单位除外）</w:t>
      </w:r>
    </w:p>
    <w:tbl>
      <w:tblPr>
        <w:tblStyle w:val="44"/>
        <w:tblW w:w="894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80"/>
        <w:gridCol w:w="1336"/>
        <w:gridCol w:w="1609"/>
        <w:gridCol w:w="1625"/>
        <w:gridCol w:w="1482"/>
        <w:gridCol w:w="160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污染物</w:t>
            </w:r>
          </w:p>
        </w:tc>
        <w:tc>
          <w:tcPr>
            <w:tcW w:w="1336" w:type="dxa"/>
            <w:vAlign w:val="center"/>
          </w:tcPr>
          <w:p>
            <w:pPr>
              <w:pStyle w:val="64"/>
              <w:rPr>
                <w:rFonts w:hAnsi="宋体"/>
                <w:highlight w:val="none"/>
              </w:rPr>
            </w:pPr>
            <w:r>
              <w:rPr>
                <w:rFonts w:hAnsi="宋体"/>
                <w:highlight w:val="none"/>
              </w:rPr>
              <w:t>PH</w:t>
            </w:r>
          </w:p>
        </w:tc>
        <w:tc>
          <w:tcPr>
            <w:tcW w:w="1609" w:type="dxa"/>
            <w:vAlign w:val="center"/>
          </w:tcPr>
          <w:p>
            <w:pPr>
              <w:pStyle w:val="64"/>
              <w:rPr>
                <w:rFonts w:hAnsi="宋体"/>
                <w:highlight w:val="none"/>
                <w:vertAlign w:val="subscript"/>
              </w:rPr>
            </w:pPr>
            <w:r>
              <w:rPr>
                <w:rFonts w:hAnsi="宋体"/>
                <w:highlight w:val="none"/>
              </w:rPr>
              <w:t>总硬度</w:t>
            </w:r>
          </w:p>
        </w:tc>
        <w:tc>
          <w:tcPr>
            <w:tcW w:w="1625" w:type="dxa"/>
            <w:vAlign w:val="center"/>
          </w:tcPr>
          <w:p>
            <w:pPr>
              <w:pStyle w:val="64"/>
              <w:rPr>
                <w:rFonts w:hAnsi="宋体"/>
                <w:highlight w:val="none"/>
              </w:rPr>
            </w:pPr>
            <w:r>
              <w:rPr>
                <w:rFonts w:hAnsi="宋体"/>
                <w:highlight w:val="none"/>
              </w:rPr>
              <w:t>氟化物</w:t>
            </w:r>
          </w:p>
        </w:tc>
        <w:tc>
          <w:tcPr>
            <w:tcW w:w="1482" w:type="dxa"/>
            <w:vAlign w:val="center"/>
          </w:tcPr>
          <w:p>
            <w:pPr>
              <w:pStyle w:val="64"/>
              <w:rPr>
                <w:rFonts w:hAnsi="宋体"/>
                <w:highlight w:val="none"/>
              </w:rPr>
            </w:pPr>
            <w:r>
              <w:rPr>
                <w:rFonts w:hAnsi="宋体"/>
                <w:highlight w:val="none"/>
              </w:rPr>
              <w:t>氯化物</w:t>
            </w:r>
          </w:p>
        </w:tc>
        <w:tc>
          <w:tcPr>
            <w:tcW w:w="1609" w:type="dxa"/>
            <w:vAlign w:val="center"/>
          </w:tcPr>
          <w:p>
            <w:pPr>
              <w:pStyle w:val="64"/>
              <w:rPr>
                <w:rFonts w:hAnsi="宋体"/>
                <w:highlight w:val="none"/>
              </w:rPr>
            </w:pPr>
            <w:r>
              <w:rPr>
                <w:rFonts w:hAnsi="宋体"/>
                <w:highlight w:val="none"/>
              </w:rPr>
              <w:t>氨氮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标准值</w:t>
            </w:r>
          </w:p>
        </w:tc>
        <w:tc>
          <w:tcPr>
            <w:tcW w:w="1336" w:type="dxa"/>
            <w:vAlign w:val="center"/>
          </w:tcPr>
          <w:p>
            <w:pPr>
              <w:pStyle w:val="64"/>
              <w:rPr>
                <w:rFonts w:hAnsi="宋体"/>
                <w:highlight w:val="none"/>
              </w:rPr>
            </w:pPr>
            <w:r>
              <w:rPr>
                <w:rFonts w:hAnsi="宋体"/>
                <w:highlight w:val="none"/>
              </w:rPr>
              <w:t>6.5-8.5</w:t>
            </w:r>
          </w:p>
        </w:tc>
        <w:tc>
          <w:tcPr>
            <w:tcW w:w="1609" w:type="dxa"/>
            <w:vAlign w:val="center"/>
          </w:tcPr>
          <w:p>
            <w:pPr>
              <w:pStyle w:val="64"/>
              <w:rPr>
                <w:rFonts w:hAnsi="宋体"/>
                <w:highlight w:val="none"/>
              </w:rPr>
            </w:pPr>
            <w:r>
              <w:rPr>
                <w:rFonts w:hAnsi="宋体"/>
                <w:highlight w:val="none"/>
              </w:rPr>
              <w:t>≤450</w:t>
            </w:r>
          </w:p>
        </w:tc>
        <w:tc>
          <w:tcPr>
            <w:tcW w:w="1625" w:type="dxa"/>
            <w:vAlign w:val="center"/>
          </w:tcPr>
          <w:p>
            <w:pPr>
              <w:pStyle w:val="64"/>
              <w:rPr>
                <w:rFonts w:hAnsi="宋体"/>
                <w:highlight w:val="none"/>
              </w:rPr>
            </w:pPr>
            <w:r>
              <w:rPr>
                <w:rFonts w:hAnsi="宋体"/>
                <w:highlight w:val="none"/>
              </w:rPr>
              <w:t>≤1.0</w:t>
            </w:r>
          </w:p>
        </w:tc>
        <w:tc>
          <w:tcPr>
            <w:tcW w:w="1482" w:type="dxa"/>
            <w:vAlign w:val="center"/>
          </w:tcPr>
          <w:p>
            <w:pPr>
              <w:pStyle w:val="64"/>
              <w:rPr>
                <w:rFonts w:hAnsi="宋体"/>
                <w:highlight w:val="none"/>
              </w:rPr>
            </w:pPr>
            <w:r>
              <w:rPr>
                <w:rFonts w:hAnsi="宋体"/>
                <w:highlight w:val="none"/>
              </w:rPr>
              <w:t>≤250</w:t>
            </w:r>
          </w:p>
        </w:tc>
        <w:tc>
          <w:tcPr>
            <w:tcW w:w="1609" w:type="dxa"/>
            <w:vAlign w:val="center"/>
          </w:tcPr>
          <w:p>
            <w:pPr>
              <w:pStyle w:val="64"/>
              <w:rPr>
                <w:rFonts w:hAnsi="宋体"/>
                <w:highlight w:val="none"/>
              </w:rPr>
            </w:pPr>
            <w:r>
              <w:rPr>
                <w:rFonts w:hAnsi="宋体"/>
                <w:highlight w:val="none"/>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污染物</w:t>
            </w:r>
          </w:p>
        </w:tc>
        <w:tc>
          <w:tcPr>
            <w:tcW w:w="1336" w:type="dxa"/>
            <w:vAlign w:val="center"/>
          </w:tcPr>
          <w:p>
            <w:pPr>
              <w:pStyle w:val="64"/>
              <w:rPr>
                <w:rFonts w:hAnsi="宋体"/>
                <w:highlight w:val="none"/>
              </w:rPr>
            </w:pPr>
            <w:r>
              <w:rPr>
                <w:rFonts w:hAnsi="宋体"/>
                <w:highlight w:val="none"/>
              </w:rPr>
              <w:t>硝酸盐氮</w:t>
            </w:r>
          </w:p>
        </w:tc>
        <w:tc>
          <w:tcPr>
            <w:tcW w:w="1609" w:type="dxa"/>
            <w:vAlign w:val="center"/>
          </w:tcPr>
          <w:p>
            <w:pPr>
              <w:pStyle w:val="64"/>
              <w:rPr>
                <w:rFonts w:hAnsi="宋体"/>
                <w:highlight w:val="none"/>
              </w:rPr>
            </w:pPr>
            <w:r>
              <w:rPr>
                <w:rFonts w:hAnsi="宋体"/>
                <w:highlight w:val="none"/>
              </w:rPr>
              <w:t>亚硝酸盐氮</w:t>
            </w:r>
          </w:p>
        </w:tc>
        <w:tc>
          <w:tcPr>
            <w:tcW w:w="1625" w:type="dxa"/>
            <w:vAlign w:val="center"/>
          </w:tcPr>
          <w:p>
            <w:pPr>
              <w:pStyle w:val="64"/>
              <w:rPr>
                <w:rFonts w:hAnsi="宋体"/>
                <w:highlight w:val="none"/>
              </w:rPr>
            </w:pPr>
            <w:r>
              <w:rPr>
                <w:rFonts w:hAnsi="宋体"/>
                <w:highlight w:val="none"/>
              </w:rPr>
              <w:t>硫酸盐</w:t>
            </w:r>
          </w:p>
        </w:tc>
        <w:tc>
          <w:tcPr>
            <w:tcW w:w="1482" w:type="dxa"/>
            <w:vAlign w:val="center"/>
          </w:tcPr>
          <w:p>
            <w:pPr>
              <w:pStyle w:val="64"/>
              <w:rPr>
                <w:rFonts w:hAnsi="宋体"/>
                <w:highlight w:val="none"/>
              </w:rPr>
            </w:pPr>
            <w:r>
              <w:rPr>
                <w:rFonts w:hAnsi="宋体"/>
                <w:highlight w:val="none"/>
              </w:rPr>
              <w:t>细菌总数</w:t>
            </w:r>
          </w:p>
        </w:tc>
        <w:tc>
          <w:tcPr>
            <w:tcW w:w="1609" w:type="dxa"/>
            <w:vAlign w:val="center"/>
          </w:tcPr>
          <w:p>
            <w:pPr>
              <w:pStyle w:val="64"/>
              <w:rPr>
                <w:rFonts w:hAnsi="宋体"/>
                <w:highlight w:val="none"/>
              </w:rPr>
            </w:pPr>
            <w:r>
              <w:rPr>
                <w:rFonts w:hAnsi="宋体"/>
                <w:highlight w:val="none"/>
              </w:rPr>
              <w:t>总大肠菌群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标准值</w:t>
            </w:r>
          </w:p>
        </w:tc>
        <w:tc>
          <w:tcPr>
            <w:tcW w:w="1336" w:type="dxa"/>
            <w:vAlign w:val="center"/>
          </w:tcPr>
          <w:p>
            <w:pPr>
              <w:pStyle w:val="64"/>
              <w:rPr>
                <w:rFonts w:hAnsi="宋体"/>
                <w:highlight w:val="none"/>
              </w:rPr>
            </w:pPr>
            <w:r>
              <w:rPr>
                <w:rFonts w:hAnsi="宋体"/>
                <w:highlight w:val="none"/>
              </w:rPr>
              <w:t>≤20</w:t>
            </w:r>
          </w:p>
        </w:tc>
        <w:tc>
          <w:tcPr>
            <w:tcW w:w="1609" w:type="dxa"/>
            <w:vAlign w:val="center"/>
          </w:tcPr>
          <w:p>
            <w:pPr>
              <w:pStyle w:val="64"/>
              <w:rPr>
                <w:rFonts w:hAnsi="宋体"/>
                <w:highlight w:val="none"/>
              </w:rPr>
            </w:pPr>
            <w:r>
              <w:rPr>
                <w:rFonts w:hAnsi="宋体"/>
                <w:highlight w:val="none"/>
              </w:rPr>
              <w:t>≤1.0</w:t>
            </w:r>
          </w:p>
        </w:tc>
        <w:tc>
          <w:tcPr>
            <w:tcW w:w="1625" w:type="dxa"/>
            <w:vAlign w:val="center"/>
          </w:tcPr>
          <w:p>
            <w:pPr>
              <w:pStyle w:val="64"/>
              <w:rPr>
                <w:rFonts w:hAnsi="宋体"/>
                <w:highlight w:val="none"/>
              </w:rPr>
            </w:pPr>
            <w:r>
              <w:rPr>
                <w:rFonts w:hAnsi="宋体"/>
                <w:highlight w:val="none"/>
              </w:rPr>
              <w:t>≤250</w:t>
            </w:r>
          </w:p>
        </w:tc>
        <w:tc>
          <w:tcPr>
            <w:tcW w:w="1482" w:type="dxa"/>
            <w:vAlign w:val="center"/>
          </w:tcPr>
          <w:p>
            <w:pPr>
              <w:pStyle w:val="64"/>
              <w:rPr>
                <w:rFonts w:hAnsi="宋体"/>
                <w:highlight w:val="none"/>
              </w:rPr>
            </w:pPr>
            <w:r>
              <w:rPr>
                <w:rFonts w:hAnsi="宋体"/>
                <w:highlight w:val="none"/>
              </w:rPr>
              <w:t>≤100个/mL</w:t>
            </w:r>
          </w:p>
        </w:tc>
        <w:tc>
          <w:tcPr>
            <w:tcW w:w="1609" w:type="dxa"/>
            <w:vAlign w:val="center"/>
          </w:tcPr>
          <w:p>
            <w:pPr>
              <w:pStyle w:val="64"/>
              <w:rPr>
                <w:rFonts w:hAnsi="宋体"/>
                <w:highlight w:val="none"/>
              </w:rPr>
            </w:pPr>
            <w:r>
              <w:rPr>
                <w:rFonts w:hAnsi="宋体"/>
                <w:highlight w:val="none"/>
              </w:rPr>
              <w:t>≤3.0个/L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污染物</w:t>
            </w:r>
          </w:p>
        </w:tc>
        <w:tc>
          <w:tcPr>
            <w:tcW w:w="1336" w:type="dxa"/>
            <w:vAlign w:val="center"/>
          </w:tcPr>
          <w:p>
            <w:pPr>
              <w:pStyle w:val="64"/>
              <w:rPr>
                <w:rFonts w:hAnsi="宋体"/>
                <w:highlight w:val="none"/>
              </w:rPr>
            </w:pPr>
            <w:r>
              <w:rPr>
                <w:rFonts w:hAnsi="宋体"/>
                <w:highlight w:val="none"/>
              </w:rPr>
              <w:t>挥发性酚类</w:t>
            </w:r>
          </w:p>
        </w:tc>
        <w:tc>
          <w:tcPr>
            <w:tcW w:w="1609" w:type="dxa"/>
            <w:vAlign w:val="center"/>
          </w:tcPr>
          <w:p>
            <w:pPr>
              <w:pStyle w:val="64"/>
              <w:rPr>
                <w:rFonts w:hAnsi="宋体"/>
                <w:highlight w:val="none"/>
              </w:rPr>
            </w:pPr>
            <w:r>
              <w:rPr>
                <w:rFonts w:hAnsi="宋体"/>
                <w:highlight w:val="none"/>
              </w:rPr>
              <w:t>氰化物</w:t>
            </w:r>
          </w:p>
        </w:tc>
        <w:tc>
          <w:tcPr>
            <w:tcW w:w="1625" w:type="dxa"/>
            <w:vAlign w:val="center"/>
          </w:tcPr>
          <w:p>
            <w:pPr>
              <w:pStyle w:val="64"/>
              <w:rPr>
                <w:rFonts w:hAnsi="宋体"/>
                <w:highlight w:val="none"/>
              </w:rPr>
            </w:pPr>
            <w:r>
              <w:rPr>
                <w:rFonts w:hAnsi="宋体"/>
                <w:highlight w:val="none"/>
              </w:rPr>
              <w:t>汞</w:t>
            </w:r>
          </w:p>
        </w:tc>
        <w:tc>
          <w:tcPr>
            <w:tcW w:w="1482" w:type="dxa"/>
            <w:vAlign w:val="center"/>
          </w:tcPr>
          <w:p>
            <w:pPr>
              <w:pStyle w:val="64"/>
              <w:rPr>
                <w:rFonts w:hAnsi="宋体"/>
                <w:highlight w:val="none"/>
              </w:rPr>
            </w:pPr>
            <w:r>
              <w:rPr>
                <w:rFonts w:hAnsi="宋体"/>
                <w:highlight w:val="none"/>
              </w:rPr>
              <w:t>砷</w:t>
            </w:r>
          </w:p>
        </w:tc>
        <w:tc>
          <w:tcPr>
            <w:tcW w:w="1609" w:type="dxa"/>
            <w:vAlign w:val="center"/>
          </w:tcPr>
          <w:p>
            <w:pPr>
              <w:pStyle w:val="64"/>
              <w:rPr>
                <w:rFonts w:hAnsi="宋体"/>
                <w:highlight w:val="none"/>
              </w:rPr>
            </w:pPr>
            <w:r>
              <w:rPr>
                <w:rFonts w:hAnsi="宋体"/>
                <w:highlight w:val="none"/>
              </w:rPr>
              <w:t>铬(六价)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标准值</w:t>
            </w:r>
          </w:p>
        </w:tc>
        <w:tc>
          <w:tcPr>
            <w:tcW w:w="1336" w:type="dxa"/>
            <w:vAlign w:val="center"/>
          </w:tcPr>
          <w:p>
            <w:pPr>
              <w:pStyle w:val="64"/>
              <w:rPr>
                <w:rFonts w:hAnsi="宋体"/>
                <w:highlight w:val="none"/>
              </w:rPr>
            </w:pPr>
            <w:r>
              <w:rPr>
                <w:rFonts w:hAnsi="宋体"/>
                <w:highlight w:val="none"/>
              </w:rPr>
              <w:t>≤0.002</w:t>
            </w:r>
          </w:p>
        </w:tc>
        <w:tc>
          <w:tcPr>
            <w:tcW w:w="1609" w:type="dxa"/>
            <w:vAlign w:val="center"/>
          </w:tcPr>
          <w:p>
            <w:pPr>
              <w:pStyle w:val="64"/>
              <w:rPr>
                <w:rFonts w:hAnsi="宋体"/>
                <w:highlight w:val="none"/>
              </w:rPr>
            </w:pPr>
            <w:r>
              <w:rPr>
                <w:rFonts w:hAnsi="宋体"/>
                <w:highlight w:val="none"/>
              </w:rPr>
              <w:t>≤0.05</w:t>
            </w:r>
          </w:p>
        </w:tc>
        <w:tc>
          <w:tcPr>
            <w:tcW w:w="1625" w:type="dxa"/>
            <w:vAlign w:val="center"/>
          </w:tcPr>
          <w:p>
            <w:pPr>
              <w:pStyle w:val="64"/>
              <w:rPr>
                <w:rFonts w:hAnsi="宋体"/>
                <w:highlight w:val="none"/>
              </w:rPr>
            </w:pPr>
            <w:r>
              <w:rPr>
                <w:rFonts w:hAnsi="宋体"/>
                <w:highlight w:val="none"/>
              </w:rPr>
              <w:t>≤0.001</w:t>
            </w:r>
          </w:p>
        </w:tc>
        <w:tc>
          <w:tcPr>
            <w:tcW w:w="1482" w:type="dxa"/>
            <w:vAlign w:val="center"/>
          </w:tcPr>
          <w:p>
            <w:pPr>
              <w:pStyle w:val="64"/>
              <w:rPr>
                <w:rFonts w:hAnsi="宋体"/>
                <w:highlight w:val="none"/>
              </w:rPr>
            </w:pPr>
            <w:r>
              <w:rPr>
                <w:rFonts w:hAnsi="宋体"/>
                <w:highlight w:val="none"/>
              </w:rPr>
              <w:t>≤0.01</w:t>
            </w:r>
          </w:p>
        </w:tc>
        <w:tc>
          <w:tcPr>
            <w:tcW w:w="1609" w:type="dxa"/>
            <w:vAlign w:val="center"/>
          </w:tcPr>
          <w:p>
            <w:pPr>
              <w:pStyle w:val="64"/>
              <w:rPr>
                <w:rFonts w:hAnsi="宋体"/>
                <w:highlight w:val="none"/>
              </w:rPr>
            </w:pPr>
            <w:r>
              <w:rPr>
                <w:rFonts w:hAnsi="宋体"/>
                <w:highlight w:val="none"/>
              </w:rPr>
              <w:t>≤0.05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污染物</w:t>
            </w:r>
          </w:p>
        </w:tc>
        <w:tc>
          <w:tcPr>
            <w:tcW w:w="1336" w:type="dxa"/>
            <w:vAlign w:val="center"/>
          </w:tcPr>
          <w:p>
            <w:pPr>
              <w:pStyle w:val="64"/>
              <w:rPr>
                <w:rFonts w:hAnsi="宋体"/>
                <w:highlight w:val="none"/>
              </w:rPr>
            </w:pPr>
            <w:r>
              <w:rPr>
                <w:rFonts w:hAnsi="宋体"/>
                <w:highlight w:val="none"/>
              </w:rPr>
              <w:t>铅</w:t>
            </w:r>
          </w:p>
        </w:tc>
        <w:tc>
          <w:tcPr>
            <w:tcW w:w="1609" w:type="dxa"/>
            <w:vAlign w:val="center"/>
          </w:tcPr>
          <w:p>
            <w:pPr>
              <w:pStyle w:val="64"/>
              <w:rPr>
                <w:rFonts w:hAnsi="宋体"/>
                <w:highlight w:val="none"/>
              </w:rPr>
            </w:pPr>
            <w:r>
              <w:rPr>
                <w:rFonts w:hAnsi="宋体"/>
                <w:highlight w:val="none"/>
              </w:rPr>
              <w:t>溶解性总固体</w:t>
            </w:r>
          </w:p>
        </w:tc>
        <w:tc>
          <w:tcPr>
            <w:tcW w:w="1625" w:type="dxa"/>
            <w:vAlign w:val="center"/>
          </w:tcPr>
          <w:p>
            <w:pPr>
              <w:pStyle w:val="64"/>
              <w:rPr>
                <w:rFonts w:hAnsi="宋体"/>
                <w:highlight w:val="none"/>
              </w:rPr>
            </w:pPr>
            <w:r>
              <w:rPr>
                <w:rFonts w:hAnsi="宋体"/>
                <w:highlight w:val="none"/>
              </w:rPr>
              <w:t>镉</w:t>
            </w:r>
          </w:p>
        </w:tc>
        <w:tc>
          <w:tcPr>
            <w:tcW w:w="1482" w:type="dxa"/>
            <w:vAlign w:val="center"/>
          </w:tcPr>
          <w:p>
            <w:pPr>
              <w:pStyle w:val="64"/>
              <w:rPr>
                <w:rFonts w:hAnsi="宋体"/>
                <w:highlight w:val="none"/>
              </w:rPr>
            </w:pPr>
            <w:r>
              <w:rPr>
                <w:rFonts w:hAnsi="宋体"/>
                <w:highlight w:val="none"/>
              </w:rPr>
              <w:t>铁</w:t>
            </w:r>
          </w:p>
        </w:tc>
        <w:tc>
          <w:tcPr>
            <w:tcW w:w="1609" w:type="dxa"/>
            <w:vAlign w:val="center"/>
          </w:tcPr>
          <w:p>
            <w:pPr>
              <w:pStyle w:val="64"/>
              <w:rPr>
                <w:rFonts w:hAnsi="宋体"/>
                <w:highlight w:val="none"/>
              </w:rPr>
            </w:pPr>
            <w:r>
              <w:rPr>
                <w:rFonts w:hAnsi="宋体"/>
                <w:highlight w:val="none"/>
              </w:rPr>
              <w:t>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标准值</w:t>
            </w:r>
          </w:p>
        </w:tc>
        <w:tc>
          <w:tcPr>
            <w:tcW w:w="1336" w:type="dxa"/>
            <w:vAlign w:val="center"/>
          </w:tcPr>
          <w:p>
            <w:pPr>
              <w:pStyle w:val="64"/>
              <w:rPr>
                <w:rFonts w:hAnsi="宋体"/>
                <w:highlight w:val="none"/>
              </w:rPr>
            </w:pPr>
            <w:r>
              <w:rPr>
                <w:rFonts w:hAnsi="宋体"/>
                <w:highlight w:val="none"/>
              </w:rPr>
              <w:t>≤0.01</w:t>
            </w:r>
          </w:p>
        </w:tc>
        <w:tc>
          <w:tcPr>
            <w:tcW w:w="1609" w:type="dxa"/>
            <w:vAlign w:val="center"/>
          </w:tcPr>
          <w:p>
            <w:pPr>
              <w:pStyle w:val="64"/>
              <w:rPr>
                <w:rFonts w:hAnsi="宋体"/>
                <w:highlight w:val="none"/>
              </w:rPr>
            </w:pPr>
            <w:r>
              <w:rPr>
                <w:rFonts w:hAnsi="宋体"/>
                <w:highlight w:val="none"/>
              </w:rPr>
              <w:t>≤1000</w:t>
            </w:r>
          </w:p>
        </w:tc>
        <w:tc>
          <w:tcPr>
            <w:tcW w:w="1625" w:type="dxa"/>
            <w:vAlign w:val="center"/>
          </w:tcPr>
          <w:p>
            <w:pPr>
              <w:pStyle w:val="64"/>
              <w:rPr>
                <w:rFonts w:hAnsi="宋体"/>
                <w:highlight w:val="none"/>
              </w:rPr>
            </w:pPr>
            <w:r>
              <w:rPr>
                <w:rFonts w:hAnsi="宋体"/>
                <w:highlight w:val="none"/>
              </w:rPr>
              <w:t>≤0.005</w:t>
            </w:r>
          </w:p>
        </w:tc>
        <w:tc>
          <w:tcPr>
            <w:tcW w:w="1482" w:type="dxa"/>
            <w:vAlign w:val="center"/>
          </w:tcPr>
          <w:p>
            <w:pPr>
              <w:pStyle w:val="64"/>
              <w:rPr>
                <w:rFonts w:hAnsi="宋体"/>
                <w:highlight w:val="none"/>
              </w:rPr>
            </w:pPr>
            <w:r>
              <w:rPr>
                <w:rFonts w:hAnsi="宋体"/>
                <w:highlight w:val="none"/>
              </w:rPr>
              <w:t>≤0.3</w:t>
            </w:r>
          </w:p>
        </w:tc>
        <w:tc>
          <w:tcPr>
            <w:tcW w:w="1609" w:type="dxa"/>
            <w:vAlign w:val="center"/>
          </w:tcPr>
          <w:p>
            <w:pPr>
              <w:pStyle w:val="64"/>
              <w:rPr>
                <w:rFonts w:hAnsi="宋体"/>
                <w:highlight w:val="none"/>
              </w:rPr>
            </w:pPr>
            <w:r>
              <w:rPr>
                <w:rFonts w:hAnsi="宋体"/>
                <w:highlight w:val="none"/>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污染物</w:t>
            </w:r>
          </w:p>
        </w:tc>
        <w:tc>
          <w:tcPr>
            <w:tcW w:w="2945" w:type="dxa"/>
            <w:gridSpan w:val="2"/>
            <w:vAlign w:val="center"/>
          </w:tcPr>
          <w:p>
            <w:pPr>
              <w:pStyle w:val="64"/>
              <w:rPr>
                <w:rFonts w:hAnsi="宋体"/>
                <w:highlight w:val="none"/>
              </w:rPr>
            </w:pPr>
            <w:r>
              <w:rPr>
                <w:rFonts w:hAnsi="宋体"/>
                <w:highlight w:val="none"/>
              </w:rPr>
              <w:t>耗氧量（COD</w:t>
            </w:r>
            <w:r>
              <w:rPr>
                <w:rFonts w:hAnsi="宋体"/>
                <w:highlight w:val="none"/>
                <w:vertAlign w:val="subscript"/>
              </w:rPr>
              <w:t>Mn</w:t>
            </w:r>
            <w:r>
              <w:rPr>
                <w:rFonts w:hAnsi="宋体"/>
                <w:highlight w:val="none"/>
              </w:rPr>
              <w:t>法，以O</w:t>
            </w:r>
            <w:r>
              <w:rPr>
                <w:rFonts w:hAnsi="宋体"/>
                <w:highlight w:val="none"/>
                <w:vertAlign w:val="subscript"/>
              </w:rPr>
              <w:t>2</w:t>
            </w:r>
            <w:r>
              <w:rPr>
                <w:rFonts w:hAnsi="宋体"/>
                <w:highlight w:val="none"/>
              </w:rPr>
              <w:t>计）</w:t>
            </w:r>
          </w:p>
        </w:tc>
        <w:tc>
          <w:tcPr>
            <w:tcW w:w="1625" w:type="dxa"/>
            <w:vAlign w:val="center"/>
          </w:tcPr>
          <w:p>
            <w:pPr>
              <w:pStyle w:val="64"/>
              <w:rPr>
                <w:rFonts w:hAnsi="宋体"/>
                <w:highlight w:val="none"/>
              </w:rPr>
            </w:pPr>
          </w:p>
        </w:tc>
        <w:tc>
          <w:tcPr>
            <w:tcW w:w="1482" w:type="dxa"/>
            <w:vAlign w:val="center"/>
          </w:tcPr>
          <w:p>
            <w:pPr>
              <w:pStyle w:val="64"/>
              <w:rPr>
                <w:rFonts w:hAnsi="宋体"/>
                <w:highlight w:val="none"/>
              </w:rPr>
            </w:pPr>
          </w:p>
        </w:tc>
        <w:tc>
          <w:tcPr>
            <w:tcW w:w="1609"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0" w:type="dxa"/>
            <w:vAlign w:val="center"/>
          </w:tcPr>
          <w:p>
            <w:pPr>
              <w:pStyle w:val="64"/>
              <w:rPr>
                <w:rFonts w:hAnsi="宋体"/>
                <w:highlight w:val="none"/>
              </w:rPr>
            </w:pPr>
            <w:r>
              <w:rPr>
                <w:rFonts w:hAnsi="宋体"/>
                <w:highlight w:val="none"/>
              </w:rPr>
              <w:t>标准值</w:t>
            </w:r>
          </w:p>
        </w:tc>
        <w:tc>
          <w:tcPr>
            <w:tcW w:w="2945" w:type="dxa"/>
            <w:gridSpan w:val="2"/>
            <w:vAlign w:val="center"/>
          </w:tcPr>
          <w:p>
            <w:pPr>
              <w:pStyle w:val="64"/>
              <w:rPr>
                <w:rFonts w:hAnsi="宋体"/>
                <w:highlight w:val="none"/>
              </w:rPr>
            </w:pPr>
            <w:r>
              <w:rPr>
                <w:rFonts w:hAnsi="宋体"/>
                <w:highlight w:val="none"/>
              </w:rPr>
              <w:t>≤3.0</w:t>
            </w:r>
          </w:p>
        </w:tc>
        <w:tc>
          <w:tcPr>
            <w:tcW w:w="1625" w:type="dxa"/>
            <w:vAlign w:val="center"/>
          </w:tcPr>
          <w:p>
            <w:pPr>
              <w:pStyle w:val="64"/>
              <w:rPr>
                <w:rFonts w:hAnsi="宋体"/>
                <w:highlight w:val="none"/>
              </w:rPr>
            </w:pPr>
          </w:p>
        </w:tc>
        <w:tc>
          <w:tcPr>
            <w:tcW w:w="1482" w:type="dxa"/>
            <w:vAlign w:val="center"/>
          </w:tcPr>
          <w:p>
            <w:pPr>
              <w:pStyle w:val="64"/>
              <w:rPr>
                <w:rFonts w:hAnsi="宋体"/>
                <w:highlight w:val="none"/>
              </w:rPr>
            </w:pPr>
          </w:p>
        </w:tc>
        <w:tc>
          <w:tcPr>
            <w:tcW w:w="1609" w:type="dxa"/>
            <w:vAlign w:val="center"/>
          </w:tcPr>
          <w:p>
            <w:pPr>
              <w:pStyle w:val="64"/>
              <w:rPr>
                <w:rFonts w:hAnsi="宋体"/>
                <w:highlight w:val="none"/>
              </w:rPr>
            </w:pPr>
          </w:p>
        </w:tc>
      </w:tr>
    </w:tbl>
    <w:p>
      <w:pPr>
        <w:ind w:firstLine="436" w:firstLineChars="182"/>
        <w:rPr>
          <w:rFonts w:ascii="宋体" w:hAnsi="宋体"/>
          <w:highlight w:val="none"/>
        </w:rPr>
      </w:pPr>
      <w:r>
        <w:rPr>
          <w:rFonts w:ascii="宋体" w:hAnsi="宋体"/>
          <w:highlight w:val="none"/>
        </w:rPr>
        <w:t>2、评价方法</w:t>
      </w:r>
    </w:p>
    <w:p>
      <w:pPr>
        <w:ind w:firstLine="436" w:firstLineChars="182"/>
        <w:rPr>
          <w:rFonts w:ascii="宋体" w:hAnsi="宋体"/>
          <w:highlight w:val="none"/>
        </w:rPr>
      </w:pPr>
      <w:r>
        <w:rPr>
          <w:rFonts w:ascii="宋体" w:hAnsi="宋体"/>
          <w:highlight w:val="none"/>
        </w:rPr>
        <w:t>采用标准指数法对地下水进行现状评价，评价标准执行《地下水质量标准》（GB/T14848—2017）中Ⅲ类水标准。计算公式为：</w:t>
      </w:r>
    </w:p>
    <w:p>
      <w:pPr>
        <w:spacing w:line="240" w:lineRule="auto"/>
        <w:ind w:firstLine="480"/>
        <w:rPr>
          <w:rFonts w:ascii="宋体" w:hAnsi="宋体"/>
          <w:highlight w:val="none"/>
        </w:rPr>
      </w:pPr>
      <w:r>
        <w:rPr>
          <w:rFonts w:ascii="宋体" w:hAnsi="宋体"/>
          <w:highlight w:val="none"/>
        </w:rPr>
        <w:object>
          <v:shape id="_x0000_i1025" o:spt="75" type="#_x0000_t75" style="height:36pt;width:43.45pt;" o:ole="t" filled="f" coordsize="21600,21600">
            <v:path/>
            <v:fill on="f" focussize="0,0"/>
            <v:stroke/>
            <v:imagedata r:id="rId43" o:title=""/>
            <o:lock v:ext="edit" aspectratio="t"/>
            <w10:wrap type="none"/>
            <w10:anchorlock/>
          </v:shape>
          <o:OLEObject Type="Embed" ProgID="Equation.3" ShapeID="_x0000_i1025" DrawAspect="Content" ObjectID="_1468075725" r:id="rId42">
            <o:LockedField>false</o:LockedField>
          </o:OLEObject>
        </w:object>
      </w:r>
    </w:p>
    <w:p>
      <w:pPr>
        <w:ind w:firstLine="480"/>
        <w:rPr>
          <w:rFonts w:ascii="宋体" w:hAnsi="宋体"/>
          <w:highlight w:val="none"/>
        </w:rPr>
      </w:pPr>
      <w:r>
        <w:rPr>
          <w:rFonts w:ascii="宋体" w:hAnsi="宋体"/>
          <w:highlight w:val="none"/>
        </w:rPr>
        <w:t>式中：P</w:t>
      </w:r>
      <w:r>
        <w:rPr>
          <w:rFonts w:ascii="宋体" w:hAnsi="宋体"/>
          <w:highlight w:val="none"/>
          <w:vertAlign w:val="subscript"/>
        </w:rPr>
        <w:t>i</w:t>
      </w:r>
      <w:r>
        <w:rPr>
          <w:rFonts w:ascii="宋体" w:hAnsi="宋体"/>
          <w:highlight w:val="none"/>
        </w:rPr>
        <w:t>——第i种水质因子的标准指数；</w:t>
      </w:r>
    </w:p>
    <w:p>
      <w:pPr>
        <w:ind w:firstLine="1200" w:firstLineChars="500"/>
        <w:rPr>
          <w:rFonts w:ascii="宋体" w:hAnsi="宋体"/>
          <w:highlight w:val="none"/>
        </w:rPr>
      </w:pPr>
      <w:r>
        <w:rPr>
          <w:rFonts w:ascii="宋体" w:hAnsi="宋体"/>
          <w:highlight w:val="none"/>
        </w:rPr>
        <w:t>C</w:t>
      </w:r>
      <w:r>
        <w:rPr>
          <w:rFonts w:ascii="宋体" w:hAnsi="宋体"/>
          <w:highlight w:val="none"/>
          <w:vertAlign w:val="subscript"/>
        </w:rPr>
        <w:t>i</w:t>
      </w:r>
      <w:r>
        <w:rPr>
          <w:rFonts w:ascii="宋体" w:hAnsi="宋体"/>
          <w:highlight w:val="none"/>
        </w:rPr>
        <w:t>——第i种水质因子的实测浓度（mg/L）；</w:t>
      </w:r>
    </w:p>
    <w:p>
      <w:pPr>
        <w:ind w:firstLine="1200" w:firstLineChars="500"/>
        <w:rPr>
          <w:rFonts w:ascii="宋体" w:hAnsi="宋体"/>
          <w:highlight w:val="none"/>
        </w:rPr>
      </w:pPr>
      <w:r>
        <w:rPr>
          <w:rFonts w:ascii="宋体" w:hAnsi="宋体"/>
          <w:highlight w:val="none"/>
        </w:rPr>
        <w:t>C</w:t>
      </w:r>
      <w:r>
        <w:rPr>
          <w:rFonts w:ascii="宋体" w:hAnsi="宋体"/>
          <w:highlight w:val="none"/>
          <w:vertAlign w:val="subscript"/>
        </w:rPr>
        <w:t>si</w:t>
      </w:r>
      <w:r>
        <w:rPr>
          <w:rFonts w:ascii="宋体" w:hAnsi="宋体"/>
          <w:highlight w:val="none"/>
        </w:rPr>
        <w:t>——第i种水质因子的评价标准（mg/L）。</w:t>
      </w:r>
    </w:p>
    <w:p>
      <w:pPr>
        <w:ind w:firstLine="480"/>
        <w:rPr>
          <w:rFonts w:ascii="宋体" w:hAnsi="宋体"/>
          <w:highlight w:val="none"/>
        </w:rPr>
      </w:pPr>
      <w:r>
        <w:rPr>
          <w:rFonts w:ascii="宋体" w:hAnsi="宋体"/>
          <w:highlight w:val="none"/>
        </w:rPr>
        <w:t>对于pH值，计算采用如下公式：</w:t>
      </w:r>
    </w:p>
    <w:p>
      <w:pPr>
        <w:spacing w:line="240" w:lineRule="auto"/>
        <w:ind w:firstLine="480"/>
        <w:jc w:val="center"/>
        <w:rPr>
          <w:rFonts w:ascii="宋体" w:hAnsi="宋体"/>
          <w:highlight w:val="none"/>
        </w:rPr>
      </w:pPr>
      <w:r>
        <w:rPr>
          <w:rFonts w:ascii="宋体" w:hAnsi="宋体"/>
          <w:highlight w:val="none"/>
        </w:rPr>
        <w:t>P</w:t>
      </w:r>
      <w:r>
        <w:rPr>
          <w:rFonts w:ascii="宋体" w:hAnsi="宋体"/>
          <w:highlight w:val="none"/>
          <w:vertAlign w:val="subscript"/>
        </w:rPr>
        <w:t>pH</w:t>
      </w:r>
      <w:r>
        <w:rPr>
          <w:rFonts w:ascii="宋体" w:hAnsi="宋体"/>
          <w:highlight w:val="none"/>
        </w:rPr>
        <w:t>=</w:t>
      </w:r>
      <w:r>
        <w:rPr>
          <w:rFonts w:ascii="宋体" w:hAnsi="宋体"/>
          <w:highlight w:val="none"/>
        </w:rPr>
        <w:object>
          <v:shape id="_x0000_i1026" o:spt="75" type="#_x0000_t75" style="height:34.65pt;width:60.45pt;" o:ole="t" filled="f" coordsize="21600,21600">
            <v:path/>
            <v:fill on="f" focussize="0,0"/>
            <v:stroke/>
            <v:imagedata r:id="rId45" o:title=""/>
            <o:lock v:ext="edit" aspectratio="t"/>
            <w10:wrap type="none"/>
            <w10:anchorlock/>
          </v:shape>
          <o:OLEObject Type="Embed" ProgID="Equation.3" ShapeID="_x0000_i1026" DrawAspect="Content" ObjectID="_1468075726" r:id="rId44">
            <o:LockedField>false</o:LockedField>
          </o:OLEObject>
        </w:object>
      </w:r>
      <w:r>
        <w:rPr>
          <w:rFonts w:ascii="宋体" w:hAnsi="宋体"/>
          <w:highlight w:val="none"/>
        </w:rPr>
        <w:t>（pH＞7.0时）</w:t>
      </w:r>
    </w:p>
    <w:p>
      <w:pPr>
        <w:spacing w:line="240" w:lineRule="auto"/>
        <w:ind w:firstLine="480"/>
        <w:rPr>
          <w:rFonts w:ascii="宋体" w:hAnsi="宋体"/>
          <w:highlight w:val="none"/>
        </w:rPr>
      </w:pPr>
    </w:p>
    <w:p>
      <w:pPr>
        <w:spacing w:line="240" w:lineRule="auto"/>
        <w:ind w:firstLine="0" w:firstLineChars="0"/>
        <w:jc w:val="center"/>
        <w:rPr>
          <w:rFonts w:ascii="宋体" w:hAnsi="宋体"/>
          <w:highlight w:val="none"/>
        </w:rPr>
      </w:pPr>
      <w:r>
        <w:rPr>
          <w:rFonts w:ascii="宋体" w:hAnsi="宋体"/>
          <w:highlight w:val="none"/>
        </w:rPr>
        <w:t>P</w:t>
      </w:r>
      <w:r>
        <w:rPr>
          <w:rFonts w:ascii="宋体" w:hAnsi="宋体"/>
          <w:highlight w:val="none"/>
          <w:vertAlign w:val="subscript"/>
        </w:rPr>
        <w:t>pH</w:t>
      </w:r>
      <w:r>
        <w:rPr>
          <w:rFonts w:ascii="宋体" w:hAnsi="宋体"/>
          <w:highlight w:val="none"/>
        </w:rPr>
        <w:t>=</w:t>
      </w:r>
      <w:r>
        <w:rPr>
          <w:rFonts w:ascii="宋体" w:hAnsi="宋体"/>
          <w:highlight w:val="none"/>
        </w:rPr>
        <w:object>
          <v:shape id="_x0000_i1027" o:spt="75" type="#_x0000_t75" style="height:32.6pt;width:60.45pt;" o:ole="t" filled="f" coordsize="21600,21600">
            <v:path/>
            <v:fill on="f" focussize="0,0"/>
            <v:stroke/>
            <v:imagedata r:id="rId47" o:title=""/>
            <o:lock v:ext="edit" aspectratio="t"/>
            <w10:wrap type="none"/>
            <w10:anchorlock/>
          </v:shape>
          <o:OLEObject Type="Embed" ProgID="Equation.3" ShapeID="_x0000_i1027" DrawAspect="Content" ObjectID="_1468075727" r:id="rId46">
            <o:LockedField>false</o:LockedField>
          </o:OLEObject>
        </w:object>
      </w:r>
      <w:r>
        <w:rPr>
          <w:rFonts w:ascii="宋体" w:hAnsi="宋体"/>
          <w:highlight w:val="none"/>
        </w:rPr>
        <w:t>（pH≤7.0时）</w:t>
      </w:r>
    </w:p>
    <w:p>
      <w:pPr>
        <w:ind w:firstLine="436" w:firstLineChars="182"/>
        <w:rPr>
          <w:rFonts w:ascii="宋体" w:hAnsi="宋体"/>
          <w:highlight w:val="none"/>
        </w:rPr>
      </w:pPr>
      <w:r>
        <w:rPr>
          <w:rFonts w:ascii="宋体" w:hAnsi="宋体"/>
          <w:highlight w:val="none"/>
        </w:rPr>
        <w:t>式中：P</w:t>
      </w:r>
      <w:r>
        <w:rPr>
          <w:rFonts w:ascii="宋体" w:hAnsi="宋体"/>
          <w:highlight w:val="none"/>
          <w:vertAlign w:val="subscript"/>
        </w:rPr>
        <w:t>pH</w:t>
      </w:r>
      <w:r>
        <w:rPr>
          <w:rFonts w:ascii="宋体" w:hAnsi="宋体"/>
          <w:highlight w:val="none"/>
        </w:rPr>
        <w:t>——pH的标准指数，无量纲；</w:t>
      </w:r>
    </w:p>
    <w:p>
      <w:pPr>
        <w:ind w:firstLine="1156" w:firstLineChars="482"/>
        <w:rPr>
          <w:rFonts w:ascii="宋体" w:hAnsi="宋体"/>
          <w:highlight w:val="none"/>
        </w:rPr>
      </w:pPr>
      <w:r>
        <w:rPr>
          <w:rFonts w:ascii="宋体" w:hAnsi="宋体"/>
          <w:highlight w:val="none"/>
        </w:rPr>
        <w:t>pH——pH</w:t>
      </w:r>
      <w:r>
        <w:rPr>
          <w:rFonts w:hint="eastAsia" w:ascii="宋体" w:hAnsi="宋体"/>
          <w:highlight w:val="none"/>
        </w:rPr>
        <w:t>监测</w:t>
      </w:r>
      <w:r>
        <w:rPr>
          <w:rFonts w:ascii="宋体" w:hAnsi="宋体"/>
          <w:highlight w:val="none"/>
        </w:rPr>
        <w:t>值；</w:t>
      </w:r>
    </w:p>
    <w:p>
      <w:pPr>
        <w:ind w:firstLine="436" w:firstLineChars="182"/>
        <w:rPr>
          <w:rFonts w:ascii="宋体" w:hAnsi="宋体"/>
          <w:highlight w:val="none"/>
        </w:rPr>
      </w:pPr>
      <w:r>
        <w:rPr>
          <w:rFonts w:ascii="宋体" w:hAnsi="宋体"/>
          <w:highlight w:val="none"/>
        </w:rPr>
        <w:t>pH</w:t>
      </w:r>
      <w:r>
        <w:rPr>
          <w:rFonts w:ascii="宋体" w:hAnsi="宋体"/>
          <w:highlight w:val="none"/>
          <w:vertAlign w:val="subscript"/>
        </w:rPr>
        <w:t>su</w:t>
      </w:r>
      <w:r>
        <w:rPr>
          <w:rFonts w:ascii="宋体" w:hAnsi="宋体"/>
          <w:highlight w:val="none"/>
        </w:rPr>
        <w:t>——标准中pH的上限值；</w:t>
      </w:r>
    </w:p>
    <w:p>
      <w:pPr>
        <w:ind w:firstLine="436" w:firstLineChars="182"/>
        <w:rPr>
          <w:rFonts w:ascii="宋体" w:hAnsi="宋体"/>
          <w:highlight w:val="none"/>
        </w:rPr>
      </w:pPr>
      <w:r>
        <w:rPr>
          <w:rFonts w:ascii="宋体" w:hAnsi="宋体"/>
          <w:highlight w:val="none"/>
        </w:rPr>
        <w:t>pH</w:t>
      </w:r>
      <w:r>
        <w:rPr>
          <w:rFonts w:ascii="宋体" w:hAnsi="宋体"/>
          <w:highlight w:val="none"/>
          <w:vertAlign w:val="subscript"/>
        </w:rPr>
        <w:t>sd</w:t>
      </w:r>
      <w:r>
        <w:rPr>
          <w:rFonts w:ascii="宋体" w:hAnsi="宋体"/>
          <w:highlight w:val="none"/>
        </w:rPr>
        <w:t>——标准中pH的下限值。</w:t>
      </w:r>
    </w:p>
    <w:p>
      <w:pPr>
        <w:ind w:firstLine="436" w:firstLineChars="182"/>
        <w:rPr>
          <w:rFonts w:ascii="宋体" w:hAnsi="宋体"/>
          <w:highlight w:val="none"/>
        </w:rPr>
      </w:pPr>
      <w:r>
        <w:rPr>
          <w:rFonts w:ascii="宋体" w:hAnsi="宋体"/>
          <w:highlight w:val="none"/>
        </w:rPr>
        <w:t>3、监测与评价结果</w:t>
      </w:r>
    </w:p>
    <w:p>
      <w:pPr>
        <w:ind w:firstLine="436" w:firstLineChars="182"/>
        <w:rPr>
          <w:rFonts w:ascii="宋体" w:hAnsi="宋体"/>
          <w:highlight w:val="none"/>
        </w:rPr>
      </w:pPr>
      <w:r>
        <w:rPr>
          <w:rFonts w:ascii="宋体" w:hAnsi="宋体"/>
          <w:highlight w:val="none"/>
        </w:rPr>
        <w:t>地下水环境质量现状监测见表4.3-9。</w:t>
      </w:r>
    </w:p>
    <w:p>
      <w:pPr>
        <w:ind w:firstLine="480"/>
        <w:rPr>
          <w:rFonts w:ascii="宋体" w:hAnsi="宋体"/>
          <w:highlight w:val="none"/>
        </w:rPr>
      </w:pPr>
      <w:r>
        <w:rPr>
          <w:rFonts w:ascii="宋体" w:hAnsi="宋体"/>
          <w:highlight w:val="none"/>
        </w:rPr>
        <w:t>地下水监测结果表明，各项监测指标均满足《地下水质量标准》（GB/T14848-2017）Ⅲ类标准。</w:t>
      </w:r>
    </w:p>
    <w:p>
      <w:pPr>
        <w:ind w:firstLine="480"/>
        <w:rPr>
          <w:rFonts w:ascii="宋体" w:hAnsi="宋体"/>
          <w:highlight w:val="none"/>
        </w:rPr>
        <w:sectPr>
          <w:footerReference r:id="rId16" w:type="default"/>
          <w:pgSz w:w="11906" w:h="16838"/>
          <w:pgMar w:top="1588" w:right="1588" w:bottom="1474" w:left="1588" w:header="964" w:footer="850" w:gutter="0"/>
          <w:pgBorders>
            <w:top w:val="none" w:sz="0" w:space="0"/>
            <w:left w:val="none" w:sz="0" w:space="0"/>
            <w:bottom w:val="none" w:sz="0" w:space="0"/>
            <w:right w:val="none" w:sz="0" w:space="0"/>
          </w:pgBorders>
          <w:pgNumType w:start="1"/>
          <w:cols w:space="720" w:num="1"/>
          <w:docGrid w:linePitch="326" w:charSpace="0"/>
        </w:sectPr>
      </w:pPr>
    </w:p>
    <w:p>
      <w:pPr>
        <w:ind w:firstLine="0" w:firstLineChars="0"/>
        <w:jc w:val="center"/>
        <w:rPr>
          <w:rFonts w:ascii="宋体" w:hAnsi="宋体"/>
          <w:bCs/>
          <w:highlight w:val="none"/>
        </w:rPr>
      </w:pPr>
      <w:r>
        <w:rPr>
          <w:rFonts w:ascii="宋体" w:hAnsi="宋体"/>
          <w:bCs/>
          <w:highlight w:val="none"/>
        </w:rPr>
        <w:t>表4.3-9</w:t>
      </w:r>
      <w:r>
        <w:rPr>
          <w:rFonts w:hint="eastAsia" w:ascii="宋体" w:hAnsi="宋体"/>
          <w:bCs/>
          <w:highlight w:val="none"/>
        </w:rPr>
        <w:t xml:space="preserve">  </w:t>
      </w:r>
      <w:r>
        <w:rPr>
          <w:rFonts w:ascii="宋体" w:hAnsi="宋体"/>
          <w:bCs/>
          <w:highlight w:val="none"/>
        </w:rPr>
        <w:t>地下水离子浓度现状检测结果表单位：mg/L</w:t>
      </w:r>
    </w:p>
    <w:tbl>
      <w:tblPr>
        <w:tblStyle w:val="44"/>
        <w:tblW w:w="208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31"/>
        <w:gridCol w:w="2131"/>
        <w:gridCol w:w="1468"/>
        <w:gridCol w:w="1468"/>
        <w:gridCol w:w="1510"/>
        <w:gridCol w:w="1656"/>
        <w:gridCol w:w="1748"/>
        <w:gridCol w:w="1952"/>
        <w:gridCol w:w="1468"/>
        <w:gridCol w:w="1693"/>
        <w:gridCol w:w="36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采样点</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项目</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K</w:t>
            </w:r>
            <w:r>
              <w:rPr>
                <w:rFonts w:ascii="宋体" w:hAnsi="宋体"/>
                <w:kern w:val="0"/>
                <w:sz w:val="21"/>
                <w:szCs w:val="21"/>
                <w:highlight w:val="none"/>
                <w:vertAlign w:val="superscript"/>
              </w:rPr>
              <w:t>+</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Na</w:t>
            </w:r>
            <w:r>
              <w:rPr>
                <w:rFonts w:ascii="宋体" w:hAnsi="宋体"/>
                <w:kern w:val="0"/>
                <w:sz w:val="21"/>
                <w:szCs w:val="21"/>
                <w:highlight w:val="none"/>
                <w:vertAlign w:val="superscript"/>
              </w:rPr>
              <w:t>+</w:t>
            </w: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Ca</w:t>
            </w:r>
            <w:r>
              <w:rPr>
                <w:rFonts w:ascii="宋体" w:hAnsi="宋体"/>
                <w:kern w:val="0"/>
                <w:sz w:val="21"/>
                <w:szCs w:val="21"/>
                <w:highlight w:val="none"/>
                <w:vertAlign w:val="superscript"/>
              </w:rPr>
              <w:t>2+</w:t>
            </w: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Mg</w:t>
            </w:r>
            <w:r>
              <w:rPr>
                <w:rFonts w:ascii="宋体" w:hAnsi="宋体"/>
                <w:kern w:val="0"/>
                <w:sz w:val="21"/>
                <w:szCs w:val="21"/>
                <w:highlight w:val="none"/>
                <w:vertAlign w:val="superscript"/>
              </w:rPr>
              <w:t>2+</w:t>
            </w: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CO</w:t>
            </w:r>
            <w:r>
              <w:rPr>
                <w:rFonts w:ascii="宋体" w:hAnsi="宋体"/>
                <w:kern w:val="0"/>
                <w:sz w:val="21"/>
                <w:szCs w:val="21"/>
                <w:highlight w:val="none"/>
                <w:vertAlign w:val="subscript"/>
              </w:rPr>
              <w:t>3</w:t>
            </w:r>
            <w:r>
              <w:rPr>
                <w:rFonts w:ascii="宋体" w:hAnsi="宋体"/>
                <w:kern w:val="0"/>
                <w:sz w:val="21"/>
                <w:szCs w:val="21"/>
                <w:highlight w:val="none"/>
                <w:vertAlign w:val="superscript"/>
              </w:rPr>
              <w:t>2-</w:t>
            </w: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HCO</w:t>
            </w:r>
            <w:r>
              <w:rPr>
                <w:rFonts w:ascii="宋体" w:hAnsi="宋体"/>
                <w:kern w:val="0"/>
                <w:sz w:val="21"/>
                <w:szCs w:val="21"/>
                <w:highlight w:val="none"/>
                <w:vertAlign w:val="subscript"/>
              </w:rPr>
              <w:t>3</w:t>
            </w:r>
            <w:r>
              <w:rPr>
                <w:rFonts w:ascii="宋体" w:hAnsi="宋体"/>
                <w:kern w:val="0"/>
                <w:sz w:val="21"/>
                <w:szCs w:val="21"/>
                <w:highlight w:val="none"/>
                <w:vertAlign w:val="superscript"/>
              </w:rPr>
              <w:t>-</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Cl</w:t>
            </w:r>
            <w:r>
              <w:rPr>
                <w:rFonts w:ascii="宋体" w:hAnsi="宋体"/>
                <w:kern w:val="0"/>
                <w:sz w:val="21"/>
                <w:szCs w:val="21"/>
                <w:highlight w:val="none"/>
                <w:vertAlign w:val="superscript"/>
              </w:rPr>
              <w:t>-</w:t>
            </w: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SO</w:t>
            </w:r>
            <w:r>
              <w:rPr>
                <w:rFonts w:ascii="宋体" w:hAnsi="宋体"/>
                <w:kern w:val="0"/>
                <w:sz w:val="21"/>
                <w:szCs w:val="21"/>
                <w:highlight w:val="none"/>
                <w:vertAlign w:val="subscript"/>
              </w:rPr>
              <w:t>4</w:t>
            </w:r>
            <w:r>
              <w:rPr>
                <w:rFonts w:ascii="宋体" w:hAnsi="宋体"/>
                <w:kern w:val="0"/>
                <w:sz w:val="21"/>
                <w:szCs w:val="21"/>
                <w:highlight w:val="none"/>
                <w:vertAlign w:val="superscript"/>
              </w:rPr>
              <w:t>2-</w:t>
            </w:r>
          </w:p>
        </w:tc>
        <w:tc>
          <w:tcPr>
            <w:tcW w:w="3629"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水化学类型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大宋峪</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白石头</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西坡头</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东堡</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富家庄</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小李牛</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restart"/>
            <w:shd w:val="clear" w:color="auto" w:fill="auto"/>
            <w:vAlign w:val="center"/>
          </w:tcPr>
          <w:p>
            <w:pPr>
              <w:pStyle w:val="64"/>
              <w:rPr>
                <w:highlight w:val="none"/>
              </w:rPr>
            </w:pPr>
            <w:r>
              <w:rPr>
                <w:highlight w:val="none"/>
              </w:rPr>
              <w:t>大木瓜</w:t>
            </w: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监测值</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restart"/>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meq/L</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1"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c>
          <w:tcPr>
            <w:tcW w:w="2131"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r>
              <w:rPr>
                <w:rFonts w:ascii="宋体" w:hAnsi="宋体"/>
                <w:kern w:val="0"/>
                <w:sz w:val="21"/>
                <w:szCs w:val="21"/>
                <w:highlight w:val="none"/>
              </w:rPr>
              <w:t>meq%</w:t>
            </w: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510"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56"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748" w:type="dxa"/>
            <w:shd w:val="clear" w:color="000000" w:fill="FFFFFF"/>
            <w:vAlign w:val="center"/>
          </w:tcPr>
          <w:p>
            <w:pPr>
              <w:widowControl/>
              <w:snapToGrid w:val="0"/>
              <w:spacing w:line="240" w:lineRule="auto"/>
              <w:ind w:firstLine="0" w:firstLineChars="0"/>
              <w:jc w:val="center"/>
              <w:rPr>
                <w:rFonts w:ascii="宋体" w:hAnsi="宋体"/>
                <w:kern w:val="0"/>
                <w:sz w:val="21"/>
                <w:szCs w:val="21"/>
                <w:highlight w:val="none"/>
              </w:rPr>
            </w:pPr>
          </w:p>
        </w:tc>
        <w:tc>
          <w:tcPr>
            <w:tcW w:w="1952"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468"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1693" w:type="dxa"/>
            <w:shd w:val="clear" w:color="auto" w:fill="auto"/>
            <w:vAlign w:val="center"/>
          </w:tcPr>
          <w:p>
            <w:pPr>
              <w:widowControl/>
              <w:snapToGrid w:val="0"/>
              <w:spacing w:line="240" w:lineRule="auto"/>
              <w:ind w:firstLine="0" w:firstLineChars="0"/>
              <w:jc w:val="center"/>
              <w:rPr>
                <w:rFonts w:ascii="宋体" w:hAnsi="宋体"/>
                <w:kern w:val="0"/>
                <w:sz w:val="21"/>
                <w:szCs w:val="21"/>
                <w:highlight w:val="none"/>
              </w:rPr>
            </w:pPr>
          </w:p>
        </w:tc>
        <w:tc>
          <w:tcPr>
            <w:tcW w:w="3629" w:type="dxa"/>
            <w:vMerge w:val="continue"/>
            <w:vAlign w:val="center"/>
          </w:tcPr>
          <w:p>
            <w:pPr>
              <w:widowControl/>
              <w:snapToGrid w:val="0"/>
              <w:spacing w:line="240" w:lineRule="auto"/>
              <w:ind w:firstLine="0" w:firstLineChars="0"/>
              <w:jc w:val="center"/>
              <w:rPr>
                <w:rFonts w:ascii="宋体" w:hAnsi="宋体"/>
                <w:kern w:val="0"/>
                <w:sz w:val="21"/>
                <w:szCs w:val="21"/>
                <w:highlight w:val="none"/>
              </w:rPr>
            </w:pPr>
          </w:p>
        </w:tc>
      </w:tr>
    </w:tbl>
    <w:p>
      <w:pPr>
        <w:ind w:firstLine="0" w:firstLineChars="0"/>
        <w:jc w:val="center"/>
        <w:rPr>
          <w:rFonts w:ascii="宋体" w:hAnsi="宋体"/>
          <w:highlight w:val="none"/>
        </w:rPr>
      </w:pPr>
      <w:r>
        <w:rPr>
          <w:rFonts w:ascii="宋体" w:hAnsi="宋体"/>
          <w:highlight w:val="none"/>
        </w:rPr>
        <w:t>表4.3-10</w:t>
      </w:r>
      <w:r>
        <w:rPr>
          <w:rFonts w:hint="eastAsia" w:ascii="宋体" w:hAnsi="宋体"/>
          <w:highlight w:val="none"/>
        </w:rPr>
        <w:t xml:space="preserve">  地下水环境质量现状监测与评价结果（2021.3.21）</w:t>
      </w:r>
    </w:p>
    <w:tbl>
      <w:tblPr>
        <w:tblStyle w:val="44"/>
        <w:tblW w:w="2085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10"/>
        <w:gridCol w:w="860"/>
        <w:gridCol w:w="589"/>
        <w:gridCol w:w="609"/>
        <w:gridCol w:w="809"/>
        <w:gridCol w:w="609"/>
        <w:gridCol w:w="609"/>
        <w:gridCol w:w="909"/>
        <w:gridCol w:w="809"/>
        <w:gridCol w:w="809"/>
        <w:gridCol w:w="709"/>
        <w:gridCol w:w="609"/>
        <w:gridCol w:w="609"/>
        <w:gridCol w:w="609"/>
        <w:gridCol w:w="609"/>
        <w:gridCol w:w="609"/>
        <w:gridCol w:w="1009"/>
        <w:gridCol w:w="1009"/>
        <w:gridCol w:w="1009"/>
        <w:gridCol w:w="909"/>
        <w:gridCol w:w="1009"/>
        <w:gridCol w:w="1009"/>
        <w:gridCol w:w="909"/>
        <w:gridCol w:w="909"/>
        <w:gridCol w:w="809"/>
        <w:gridCol w:w="10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点位</w:t>
            </w:r>
          </w:p>
        </w:tc>
        <w:tc>
          <w:tcPr>
            <w:tcW w:w="860"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项目</w:t>
            </w:r>
          </w:p>
        </w:tc>
        <w:tc>
          <w:tcPr>
            <w:tcW w:w="58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pH值</w:t>
            </w:r>
          </w:p>
        </w:tc>
        <w:tc>
          <w:tcPr>
            <w:tcW w:w="6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耗氧量</w:t>
            </w:r>
          </w:p>
          <w:p>
            <w:pPr>
              <w:pStyle w:val="64"/>
              <w:spacing w:line="240" w:lineRule="exact"/>
              <w:rPr>
                <w:rFonts w:hAnsi="宋体"/>
                <w:color w:val="000000"/>
                <w:sz w:val="15"/>
                <w:szCs w:val="15"/>
                <w:highlight w:val="none"/>
              </w:rPr>
            </w:pPr>
            <w:r>
              <w:rPr>
                <w:rFonts w:hAnsi="宋体"/>
                <w:sz w:val="15"/>
                <w:szCs w:val="15"/>
                <w:highlight w:val="none"/>
              </w:rPr>
              <w:t>mg/L</w:t>
            </w:r>
          </w:p>
        </w:tc>
        <w:tc>
          <w:tcPr>
            <w:tcW w:w="8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亚硝</w:t>
            </w:r>
          </w:p>
          <w:p>
            <w:pPr>
              <w:pStyle w:val="64"/>
              <w:spacing w:line="240" w:lineRule="exact"/>
              <w:rPr>
                <w:rFonts w:hAnsi="宋体"/>
                <w:color w:val="000000"/>
                <w:sz w:val="15"/>
                <w:szCs w:val="15"/>
                <w:highlight w:val="none"/>
              </w:rPr>
            </w:pPr>
            <w:r>
              <w:rPr>
                <w:rFonts w:hAnsi="宋体"/>
                <w:color w:val="000000"/>
                <w:sz w:val="15"/>
                <w:szCs w:val="15"/>
                <w:highlight w:val="none"/>
              </w:rPr>
              <w:t>酸盐</w:t>
            </w:r>
          </w:p>
          <w:p>
            <w:pPr>
              <w:pStyle w:val="64"/>
              <w:spacing w:line="240" w:lineRule="exact"/>
              <w:rPr>
                <w:rFonts w:hAnsi="宋体"/>
                <w:color w:val="000000"/>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氟化物</w:t>
            </w:r>
          </w:p>
          <w:p>
            <w:pPr>
              <w:pStyle w:val="64"/>
              <w:spacing w:line="240" w:lineRule="exact"/>
              <w:rPr>
                <w:rFonts w:hAnsi="宋体"/>
                <w:color w:val="000000"/>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氨氮</w:t>
            </w:r>
          </w:p>
          <w:p>
            <w:pPr>
              <w:pStyle w:val="64"/>
              <w:spacing w:line="240" w:lineRule="exact"/>
              <w:rPr>
                <w:rFonts w:hAnsi="宋体"/>
                <w:color w:val="000000"/>
                <w:sz w:val="15"/>
                <w:szCs w:val="15"/>
                <w:highlight w:val="none"/>
              </w:rPr>
            </w:pPr>
            <w:r>
              <w:rPr>
                <w:rFonts w:hAnsi="宋体"/>
                <w:sz w:val="15"/>
                <w:szCs w:val="15"/>
                <w:highlight w:val="none"/>
              </w:rPr>
              <w:t>mg/L</w:t>
            </w:r>
          </w:p>
        </w:tc>
        <w:tc>
          <w:tcPr>
            <w:tcW w:w="9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挥发酚</w:t>
            </w:r>
          </w:p>
          <w:p>
            <w:pPr>
              <w:pStyle w:val="64"/>
              <w:spacing w:line="240" w:lineRule="exact"/>
              <w:rPr>
                <w:rFonts w:hAnsi="宋体"/>
                <w:sz w:val="15"/>
                <w:szCs w:val="15"/>
                <w:highlight w:val="none"/>
              </w:rPr>
            </w:pPr>
            <w:r>
              <w:rPr>
                <w:rFonts w:hAnsi="宋体"/>
                <w:sz w:val="15"/>
                <w:szCs w:val="15"/>
                <w:highlight w:val="none"/>
              </w:rPr>
              <w:t>mg/L</w:t>
            </w:r>
          </w:p>
        </w:tc>
        <w:tc>
          <w:tcPr>
            <w:tcW w:w="8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氰化物</w:t>
            </w:r>
          </w:p>
          <w:p>
            <w:pPr>
              <w:pStyle w:val="64"/>
              <w:spacing w:line="240" w:lineRule="exact"/>
              <w:rPr>
                <w:rFonts w:hAnsi="宋体"/>
                <w:sz w:val="15"/>
                <w:szCs w:val="15"/>
                <w:highlight w:val="none"/>
              </w:rPr>
            </w:pPr>
            <w:r>
              <w:rPr>
                <w:rFonts w:hAnsi="宋体"/>
                <w:sz w:val="15"/>
                <w:szCs w:val="15"/>
                <w:highlight w:val="none"/>
              </w:rPr>
              <w:t>mg/L</w:t>
            </w:r>
          </w:p>
        </w:tc>
        <w:tc>
          <w:tcPr>
            <w:tcW w:w="8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六价铬</w:t>
            </w:r>
          </w:p>
          <w:p>
            <w:pPr>
              <w:pStyle w:val="64"/>
              <w:spacing w:line="240" w:lineRule="exact"/>
              <w:rPr>
                <w:rFonts w:hAnsi="宋体"/>
                <w:color w:val="000000"/>
                <w:sz w:val="15"/>
                <w:szCs w:val="15"/>
                <w:highlight w:val="none"/>
              </w:rPr>
            </w:pPr>
            <w:r>
              <w:rPr>
                <w:rFonts w:hAnsi="宋体"/>
                <w:sz w:val="15"/>
                <w:szCs w:val="15"/>
                <w:highlight w:val="none"/>
              </w:rPr>
              <w:t>mg/L</w:t>
            </w:r>
          </w:p>
        </w:tc>
        <w:tc>
          <w:tcPr>
            <w:tcW w:w="7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石油类</w:t>
            </w:r>
          </w:p>
          <w:p>
            <w:pPr>
              <w:pStyle w:val="64"/>
              <w:spacing w:line="240" w:lineRule="exact"/>
              <w:rPr>
                <w:rFonts w:hAnsi="宋体"/>
                <w:color w:val="000000"/>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总硬度</w:t>
            </w:r>
          </w:p>
          <w:p>
            <w:pPr>
              <w:pStyle w:val="64"/>
              <w:spacing w:line="240" w:lineRule="exact"/>
              <w:rPr>
                <w:rFonts w:hAnsi="宋体"/>
                <w:color w:val="000000"/>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溶解性</w:t>
            </w:r>
          </w:p>
          <w:p>
            <w:pPr>
              <w:pStyle w:val="64"/>
              <w:spacing w:line="240" w:lineRule="exact"/>
              <w:rPr>
                <w:rFonts w:hAnsi="宋体"/>
                <w:sz w:val="15"/>
                <w:szCs w:val="15"/>
                <w:highlight w:val="none"/>
              </w:rPr>
            </w:pPr>
            <w:r>
              <w:rPr>
                <w:rFonts w:hAnsi="宋体"/>
                <w:sz w:val="15"/>
                <w:szCs w:val="15"/>
                <w:highlight w:val="none"/>
              </w:rPr>
              <w:t>总固体</w:t>
            </w:r>
          </w:p>
          <w:p>
            <w:pPr>
              <w:pStyle w:val="64"/>
              <w:spacing w:line="240" w:lineRule="exact"/>
              <w:rPr>
                <w:rFonts w:hAnsi="宋体"/>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硝酸盐</w:t>
            </w:r>
          </w:p>
          <w:p>
            <w:pPr>
              <w:pStyle w:val="64"/>
              <w:spacing w:line="240" w:lineRule="exact"/>
              <w:rPr>
                <w:rFonts w:hAnsi="宋体"/>
                <w:color w:val="000000"/>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硫酸盐</w:t>
            </w:r>
          </w:p>
          <w:p>
            <w:pPr>
              <w:pStyle w:val="64"/>
              <w:spacing w:line="240" w:lineRule="exact"/>
              <w:rPr>
                <w:rFonts w:hAnsi="宋体"/>
                <w:color w:val="000000"/>
                <w:sz w:val="15"/>
                <w:szCs w:val="15"/>
                <w:highlight w:val="none"/>
              </w:rPr>
            </w:pPr>
            <w:r>
              <w:rPr>
                <w:rFonts w:hAnsi="宋体"/>
                <w:sz w:val="15"/>
                <w:szCs w:val="15"/>
                <w:highlight w:val="none"/>
              </w:rPr>
              <w:t>mg/L</w:t>
            </w:r>
          </w:p>
        </w:tc>
        <w:tc>
          <w:tcPr>
            <w:tcW w:w="6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氯化物</w:t>
            </w:r>
          </w:p>
          <w:p>
            <w:pPr>
              <w:pStyle w:val="64"/>
              <w:spacing w:line="240" w:lineRule="exact"/>
              <w:rPr>
                <w:rFonts w:hAnsi="宋体"/>
                <w:sz w:val="15"/>
                <w:szCs w:val="15"/>
                <w:highlight w:val="none"/>
              </w:rPr>
            </w:pPr>
            <w:r>
              <w:rPr>
                <w:rFonts w:hAnsi="宋体"/>
                <w:sz w:val="15"/>
                <w:szCs w:val="15"/>
                <w:highlight w:val="none"/>
              </w:rPr>
              <w:t>mg/L</w:t>
            </w:r>
          </w:p>
        </w:tc>
        <w:tc>
          <w:tcPr>
            <w:tcW w:w="10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砷</w:t>
            </w:r>
          </w:p>
          <w:p>
            <w:pPr>
              <w:pStyle w:val="64"/>
              <w:spacing w:line="240" w:lineRule="exact"/>
              <w:rPr>
                <w:rFonts w:hAnsi="宋体"/>
                <w:color w:val="000000"/>
                <w:sz w:val="15"/>
                <w:szCs w:val="15"/>
                <w:highlight w:val="none"/>
              </w:rPr>
            </w:pPr>
            <w:r>
              <w:rPr>
                <w:rFonts w:hAnsi="宋体"/>
                <w:sz w:val="15"/>
                <w:szCs w:val="15"/>
                <w:highlight w:val="none"/>
              </w:rPr>
              <w:t>mg/L</w:t>
            </w:r>
          </w:p>
        </w:tc>
        <w:tc>
          <w:tcPr>
            <w:tcW w:w="10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铅</w:t>
            </w:r>
          </w:p>
          <w:p>
            <w:pPr>
              <w:pStyle w:val="64"/>
              <w:spacing w:line="240" w:lineRule="exact"/>
              <w:rPr>
                <w:rFonts w:hAnsi="宋体"/>
                <w:sz w:val="15"/>
                <w:szCs w:val="15"/>
                <w:highlight w:val="none"/>
              </w:rPr>
            </w:pPr>
            <w:r>
              <w:rPr>
                <w:rFonts w:hAnsi="宋体"/>
                <w:sz w:val="15"/>
                <w:szCs w:val="15"/>
                <w:highlight w:val="none"/>
              </w:rPr>
              <w:t>mg/L</w:t>
            </w:r>
          </w:p>
        </w:tc>
        <w:tc>
          <w:tcPr>
            <w:tcW w:w="10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镉</w:t>
            </w:r>
          </w:p>
          <w:p>
            <w:pPr>
              <w:pStyle w:val="64"/>
              <w:spacing w:line="240" w:lineRule="exact"/>
              <w:rPr>
                <w:rFonts w:hAnsi="宋体"/>
                <w:sz w:val="15"/>
                <w:szCs w:val="15"/>
                <w:highlight w:val="none"/>
              </w:rPr>
            </w:pPr>
            <w:r>
              <w:rPr>
                <w:rFonts w:hAnsi="宋体"/>
                <w:sz w:val="15"/>
                <w:szCs w:val="15"/>
                <w:highlight w:val="none"/>
              </w:rPr>
              <w:t>mg/L</w:t>
            </w:r>
          </w:p>
        </w:tc>
        <w:tc>
          <w:tcPr>
            <w:tcW w:w="9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铁</w:t>
            </w:r>
          </w:p>
          <w:p>
            <w:pPr>
              <w:pStyle w:val="64"/>
              <w:spacing w:line="240" w:lineRule="exact"/>
              <w:rPr>
                <w:rFonts w:hAnsi="宋体"/>
                <w:sz w:val="15"/>
                <w:szCs w:val="15"/>
                <w:highlight w:val="none"/>
              </w:rPr>
            </w:pPr>
            <w:r>
              <w:rPr>
                <w:rFonts w:hAnsi="宋体"/>
                <w:sz w:val="15"/>
                <w:szCs w:val="15"/>
                <w:highlight w:val="none"/>
              </w:rPr>
              <w:t>mg/L</w:t>
            </w:r>
          </w:p>
        </w:tc>
        <w:tc>
          <w:tcPr>
            <w:tcW w:w="10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锰</w:t>
            </w:r>
          </w:p>
          <w:p>
            <w:pPr>
              <w:pStyle w:val="64"/>
              <w:spacing w:line="240" w:lineRule="exact"/>
              <w:rPr>
                <w:rFonts w:hAnsi="宋体"/>
                <w:sz w:val="15"/>
                <w:szCs w:val="15"/>
                <w:highlight w:val="none"/>
              </w:rPr>
            </w:pPr>
            <w:r>
              <w:rPr>
                <w:rFonts w:hAnsi="宋体"/>
                <w:sz w:val="15"/>
                <w:szCs w:val="15"/>
                <w:highlight w:val="none"/>
              </w:rPr>
              <w:t>mg/L</w:t>
            </w:r>
          </w:p>
        </w:tc>
        <w:tc>
          <w:tcPr>
            <w:tcW w:w="10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铜</w:t>
            </w:r>
          </w:p>
          <w:p>
            <w:pPr>
              <w:pStyle w:val="64"/>
              <w:spacing w:line="240" w:lineRule="exact"/>
              <w:rPr>
                <w:rFonts w:hAnsi="宋体"/>
                <w:sz w:val="15"/>
                <w:szCs w:val="15"/>
                <w:highlight w:val="none"/>
              </w:rPr>
            </w:pPr>
            <w:r>
              <w:rPr>
                <w:rFonts w:hAnsi="宋体"/>
                <w:sz w:val="15"/>
                <w:szCs w:val="15"/>
                <w:highlight w:val="none"/>
              </w:rPr>
              <w:t>mg/L</w:t>
            </w:r>
          </w:p>
        </w:tc>
        <w:tc>
          <w:tcPr>
            <w:tcW w:w="909"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锌</w:t>
            </w:r>
          </w:p>
          <w:p>
            <w:pPr>
              <w:pStyle w:val="64"/>
              <w:spacing w:line="240" w:lineRule="exact"/>
              <w:rPr>
                <w:rFonts w:hAnsi="宋体"/>
                <w:sz w:val="15"/>
                <w:szCs w:val="15"/>
                <w:highlight w:val="none"/>
              </w:rPr>
            </w:pPr>
            <w:r>
              <w:rPr>
                <w:rFonts w:hAnsi="宋体"/>
                <w:sz w:val="15"/>
                <w:szCs w:val="15"/>
                <w:highlight w:val="none"/>
              </w:rPr>
              <w:t>mg/L</w:t>
            </w:r>
          </w:p>
        </w:tc>
        <w:tc>
          <w:tcPr>
            <w:tcW w:w="9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汞</w:t>
            </w:r>
          </w:p>
          <w:p>
            <w:pPr>
              <w:pStyle w:val="64"/>
              <w:spacing w:line="240" w:lineRule="exact"/>
              <w:rPr>
                <w:rFonts w:hAnsi="宋体"/>
                <w:color w:val="000000"/>
                <w:sz w:val="15"/>
                <w:szCs w:val="15"/>
                <w:highlight w:val="none"/>
              </w:rPr>
            </w:pPr>
            <w:r>
              <w:rPr>
                <w:rFonts w:hAnsi="宋体"/>
                <w:sz w:val="15"/>
                <w:szCs w:val="15"/>
                <w:highlight w:val="none"/>
              </w:rPr>
              <w:t>mg/L</w:t>
            </w:r>
          </w:p>
        </w:tc>
        <w:tc>
          <w:tcPr>
            <w:tcW w:w="809"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菌落总数</w:t>
            </w:r>
          </w:p>
          <w:p>
            <w:pPr>
              <w:pStyle w:val="64"/>
              <w:spacing w:line="240" w:lineRule="exact"/>
              <w:rPr>
                <w:rFonts w:hAnsi="宋体"/>
                <w:color w:val="000000"/>
                <w:sz w:val="15"/>
                <w:szCs w:val="15"/>
                <w:highlight w:val="none"/>
              </w:rPr>
            </w:pPr>
            <w:r>
              <w:rPr>
                <w:rFonts w:hAnsi="宋体"/>
                <w:color w:val="000000"/>
                <w:sz w:val="15"/>
                <w:szCs w:val="15"/>
                <w:highlight w:val="none"/>
              </w:rPr>
              <w:t>CFU/mL</w:t>
            </w:r>
          </w:p>
        </w:tc>
        <w:tc>
          <w:tcPr>
            <w:tcW w:w="1097" w:type="dxa"/>
            <w:shd w:val="clear" w:color="auto" w:fill="auto"/>
            <w:vAlign w:val="center"/>
          </w:tcPr>
          <w:p>
            <w:pPr>
              <w:pStyle w:val="64"/>
              <w:spacing w:line="240" w:lineRule="exact"/>
              <w:rPr>
                <w:rFonts w:hAnsi="宋体"/>
                <w:color w:val="000000"/>
                <w:sz w:val="15"/>
                <w:szCs w:val="15"/>
                <w:highlight w:val="none"/>
              </w:rPr>
            </w:pPr>
            <w:r>
              <w:rPr>
                <w:rFonts w:hAnsi="宋体"/>
                <w:color w:val="000000"/>
                <w:sz w:val="15"/>
                <w:szCs w:val="15"/>
                <w:highlight w:val="none"/>
              </w:rPr>
              <w:t>总大肠菌群</w:t>
            </w:r>
          </w:p>
          <w:p>
            <w:pPr>
              <w:pStyle w:val="64"/>
              <w:spacing w:line="240" w:lineRule="exact"/>
              <w:rPr>
                <w:rFonts w:hAnsi="宋体"/>
                <w:color w:val="000000"/>
                <w:sz w:val="15"/>
                <w:szCs w:val="15"/>
                <w:highlight w:val="none"/>
              </w:rPr>
            </w:pPr>
            <w:r>
              <w:rPr>
                <w:rFonts w:hAnsi="宋体"/>
                <w:color w:val="000000"/>
                <w:sz w:val="15"/>
                <w:szCs w:val="15"/>
                <w:highlight w:val="none"/>
              </w:rPr>
              <w:t>CFU/100mL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大宋峪</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白石头</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color w:val="FF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西坡头</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东堡</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富家庄</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小李牛</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810" w:type="dxa"/>
            <w:vMerge w:val="restart"/>
            <w:shd w:val="clear" w:color="auto" w:fill="auto"/>
            <w:vAlign w:val="center"/>
          </w:tcPr>
          <w:p>
            <w:pPr>
              <w:pStyle w:val="64"/>
              <w:spacing w:line="240" w:lineRule="exact"/>
              <w:rPr>
                <w:rFonts w:hAnsi="宋体"/>
                <w:sz w:val="15"/>
                <w:szCs w:val="15"/>
                <w:highlight w:val="none"/>
              </w:rPr>
            </w:pPr>
            <w:r>
              <w:rPr>
                <w:rFonts w:hAnsi="宋体"/>
                <w:sz w:val="15"/>
                <w:szCs w:val="15"/>
                <w:highlight w:val="none"/>
              </w:rPr>
              <w:t>大木瓜</w:t>
            </w: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监测值</w:t>
            </w:r>
          </w:p>
        </w:tc>
        <w:tc>
          <w:tcPr>
            <w:tcW w:w="58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color w:val="000000"/>
                <w:sz w:val="15"/>
                <w:szCs w:val="15"/>
                <w:highlight w:val="none"/>
              </w:rPr>
            </w:pPr>
          </w:p>
        </w:tc>
        <w:tc>
          <w:tcPr>
            <w:tcW w:w="7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6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10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909" w:type="dxa"/>
            <w:shd w:val="clear" w:color="auto" w:fill="auto"/>
            <w:vAlign w:val="center"/>
          </w:tcPr>
          <w:p>
            <w:pPr>
              <w:pStyle w:val="64"/>
              <w:spacing w:line="240" w:lineRule="exact"/>
              <w:rPr>
                <w:rFonts w:hAnsi="宋体"/>
                <w:color w:val="000000"/>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Pi</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0" w:type="dxa"/>
            <w:vMerge w:val="continue"/>
            <w:vAlign w:val="center"/>
          </w:tcPr>
          <w:p>
            <w:pPr>
              <w:pStyle w:val="64"/>
              <w:spacing w:line="240" w:lineRule="exact"/>
              <w:rPr>
                <w:rFonts w:hAnsi="宋体"/>
                <w:sz w:val="15"/>
                <w:szCs w:val="15"/>
                <w:highlight w:val="none"/>
              </w:rPr>
            </w:pPr>
          </w:p>
        </w:tc>
        <w:tc>
          <w:tcPr>
            <w:tcW w:w="860" w:type="dxa"/>
            <w:shd w:val="clear" w:color="auto" w:fill="auto"/>
            <w:vAlign w:val="center"/>
          </w:tcPr>
          <w:p>
            <w:pPr>
              <w:pStyle w:val="64"/>
              <w:spacing w:line="240" w:lineRule="exact"/>
              <w:rPr>
                <w:rFonts w:hAnsi="宋体"/>
                <w:sz w:val="15"/>
                <w:szCs w:val="15"/>
                <w:highlight w:val="none"/>
              </w:rPr>
            </w:pPr>
            <w:r>
              <w:rPr>
                <w:rFonts w:hAnsi="宋体"/>
                <w:sz w:val="15"/>
                <w:szCs w:val="15"/>
                <w:highlight w:val="none"/>
              </w:rPr>
              <w:t>超标倍数</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670" w:type="dxa"/>
            <w:gridSpan w:val="2"/>
            <w:shd w:val="clear" w:color="auto" w:fill="auto"/>
            <w:vAlign w:val="center"/>
          </w:tcPr>
          <w:p>
            <w:pPr>
              <w:pStyle w:val="64"/>
              <w:spacing w:line="240" w:lineRule="exact"/>
              <w:rPr>
                <w:rFonts w:hAnsi="宋体"/>
                <w:sz w:val="15"/>
                <w:szCs w:val="15"/>
                <w:highlight w:val="none"/>
              </w:rPr>
            </w:pPr>
            <w:r>
              <w:rPr>
                <w:rFonts w:hAnsi="宋体"/>
                <w:sz w:val="15"/>
                <w:szCs w:val="15"/>
                <w:highlight w:val="none"/>
              </w:rPr>
              <w:t>地下水Ⅲ类标准</w:t>
            </w:r>
          </w:p>
        </w:tc>
        <w:tc>
          <w:tcPr>
            <w:tcW w:w="58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7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6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10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909" w:type="dxa"/>
            <w:shd w:val="clear" w:color="auto" w:fill="auto"/>
            <w:vAlign w:val="center"/>
          </w:tcPr>
          <w:p>
            <w:pPr>
              <w:pStyle w:val="64"/>
              <w:spacing w:line="240" w:lineRule="exact"/>
              <w:rPr>
                <w:rFonts w:hAnsi="宋体"/>
                <w:sz w:val="15"/>
                <w:szCs w:val="15"/>
                <w:highlight w:val="none"/>
              </w:rPr>
            </w:pPr>
          </w:p>
        </w:tc>
        <w:tc>
          <w:tcPr>
            <w:tcW w:w="809" w:type="dxa"/>
            <w:shd w:val="clear" w:color="auto" w:fill="auto"/>
            <w:vAlign w:val="center"/>
          </w:tcPr>
          <w:p>
            <w:pPr>
              <w:pStyle w:val="64"/>
              <w:spacing w:line="240" w:lineRule="exact"/>
              <w:rPr>
                <w:rFonts w:hAnsi="宋体"/>
                <w:sz w:val="15"/>
                <w:szCs w:val="15"/>
                <w:highlight w:val="none"/>
              </w:rPr>
            </w:pPr>
          </w:p>
        </w:tc>
        <w:tc>
          <w:tcPr>
            <w:tcW w:w="1097" w:type="dxa"/>
            <w:shd w:val="clear" w:color="auto" w:fill="auto"/>
            <w:vAlign w:val="center"/>
          </w:tcPr>
          <w:p>
            <w:pPr>
              <w:pStyle w:val="64"/>
              <w:spacing w:line="240" w:lineRule="exact"/>
              <w:rPr>
                <w:rFonts w:hAnsi="宋体"/>
                <w:sz w:val="15"/>
                <w:szCs w:val="15"/>
                <w:highlight w:val="none"/>
              </w:rPr>
            </w:pPr>
          </w:p>
        </w:tc>
      </w:tr>
    </w:tbl>
    <w:p>
      <w:pPr>
        <w:pStyle w:val="65"/>
        <w:rPr>
          <w:highlight w:val="none"/>
        </w:rPr>
      </w:pPr>
      <w:r>
        <w:rPr>
          <w:rFonts w:hint="eastAsia"/>
          <w:highlight w:val="none"/>
        </w:rPr>
        <w:t>表</w:t>
      </w:r>
      <w:r>
        <w:rPr>
          <w:rFonts w:hAnsi="宋体"/>
          <w:highlight w:val="none"/>
        </w:rPr>
        <w:t>4.3-1</w:t>
      </w:r>
      <w:r>
        <w:rPr>
          <w:rFonts w:hint="eastAsia" w:hAnsi="宋体"/>
          <w:highlight w:val="none"/>
        </w:rPr>
        <w:t>1</w:t>
      </w:r>
      <w:r>
        <w:rPr>
          <w:rFonts w:hint="eastAsia"/>
          <w:highlight w:val="none"/>
        </w:rPr>
        <w:t xml:space="preserve">  </w:t>
      </w:r>
      <w:r>
        <w:rPr>
          <w:highlight w:val="none"/>
        </w:rPr>
        <w:t>地下水环境质量现状监测与评价结果</w:t>
      </w:r>
      <w:r>
        <w:rPr>
          <w:rFonts w:hint="eastAsia"/>
          <w:highlight w:val="none"/>
        </w:rPr>
        <w:t>（2</w:t>
      </w:r>
      <w:r>
        <w:rPr>
          <w:highlight w:val="none"/>
        </w:rPr>
        <w:t>021.5.23</w:t>
      </w:r>
      <w:r>
        <w:rPr>
          <w:rFonts w:hint="eastAsia"/>
          <w:highlight w:val="none"/>
        </w:rPr>
        <w:t>）</w:t>
      </w:r>
    </w:p>
    <w:tbl>
      <w:tblPr>
        <w:tblStyle w:val="44"/>
        <w:tblW w:w="208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35"/>
        <w:gridCol w:w="902"/>
        <w:gridCol w:w="818"/>
        <w:gridCol w:w="735"/>
        <w:gridCol w:w="735"/>
        <w:gridCol w:w="735"/>
        <w:gridCol w:w="572"/>
        <w:gridCol w:w="818"/>
        <w:gridCol w:w="735"/>
        <w:gridCol w:w="735"/>
        <w:gridCol w:w="735"/>
        <w:gridCol w:w="735"/>
        <w:gridCol w:w="735"/>
        <w:gridCol w:w="735"/>
        <w:gridCol w:w="735"/>
        <w:gridCol w:w="734"/>
        <w:gridCol w:w="901"/>
        <w:gridCol w:w="901"/>
        <w:gridCol w:w="901"/>
        <w:gridCol w:w="817"/>
        <w:gridCol w:w="901"/>
        <w:gridCol w:w="901"/>
        <w:gridCol w:w="817"/>
        <w:gridCol w:w="817"/>
        <w:gridCol w:w="901"/>
        <w:gridCol w:w="106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shd w:val="clear" w:color="auto" w:fill="auto"/>
            <w:vAlign w:val="center"/>
          </w:tcPr>
          <w:p>
            <w:pPr>
              <w:pStyle w:val="64"/>
              <w:rPr>
                <w:sz w:val="15"/>
                <w:szCs w:val="15"/>
                <w:highlight w:val="none"/>
              </w:rPr>
            </w:pPr>
            <w:r>
              <w:rPr>
                <w:sz w:val="15"/>
                <w:szCs w:val="15"/>
                <w:highlight w:val="none"/>
              </w:rPr>
              <w:t>点位</w:t>
            </w:r>
          </w:p>
        </w:tc>
        <w:tc>
          <w:tcPr>
            <w:tcW w:w="902" w:type="dxa"/>
            <w:shd w:val="clear" w:color="auto" w:fill="auto"/>
            <w:vAlign w:val="center"/>
          </w:tcPr>
          <w:p>
            <w:pPr>
              <w:pStyle w:val="64"/>
              <w:rPr>
                <w:color w:val="000000"/>
                <w:sz w:val="15"/>
                <w:szCs w:val="15"/>
                <w:highlight w:val="none"/>
              </w:rPr>
            </w:pPr>
            <w:r>
              <w:rPr>
                <w:color w:val="000000"/>
                <w:sz w:val="15"/>
                <w:szCs w:val="15"/>
                <w:highlight w:val="none"/>
              </w:rPr>
              <w:t>项目</w:t>
            </w:r>
          </w:p>
        </w:tc>
        <w:tc>
          <w:tcPr>
            <w:tcW w:w="818" w:type="dxa"/>
            <w:shd w:val="clear" w:color="auto" w:fill="auto"/>
            <w:vAlign w:val="center"/>
          </w:tcPr>
          <w:p>
            <w:pPr>
              <w:pStyle w:val="64"/>
              <w:rPr>
                <w:color w:val="000000"/>
                <w:sz w:val="15"/>
                <w:szCs w:val="15"/>
                <w:highlight w:val="none"/>
              </w:rPr>
            </w:pPr>
            <w:r>
              <w:rPr>
                <w:color w:val="000000"/>
                <w:sz w:val="15"/>
                <w:szCs w:val="15"/>
                <w:highlight w:val="none"/>
              </w:rPr>
              <w:t>pH值</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耗氧量</w:t>
            </w:r>
          </w:p>
          <w:p>
            <w:pPr>
              <w:pStyle w:val="64"/>
              <w:rPr>
                <w:color w:val="000000"/>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亚硝</w:t>
            </w:r>
          </w:p>
          <w:p>
            <w:pPr>
              <w:pStyle w:val="64"/>
              <w:rPr>
                <w:color w:val="000000"/>
                <w:sz w:val="15"/>
                <w:szCs w:val="15"/>
                <w:highlight w:val="none"/>
              </w:rPr>
            </w:pPr>
            <w:r>
              <w:rPr>
                <w:color w:val="000000"/>
                <w:sz w:val="15"/>
                <w:szCs w:val="15"/>
                <w:highlight w:val="none"/>
              </w:rPr>
              <w:t>酸盐</w:t>
            </w:r>
          </w:p>
          <w:p>
            <w:pPr>
              <w:pStyle w:val="64"/>
              <w:rPr>
                <w:color w:val="000000"/>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氟化物</w:t>
            </w:r>
          </w:p>
          <w:p>
            <w:pPr>
              <w:pStyle w:val="64"/>
              <w:rPr>
                <w:color w:val="000000"/>
                <w:sz w:val="15"/>
                <w:szCs w:val="15"/>
                <w:highlight w:val="none"/>
              </w:rPr>
            </w:pPr>
            <w:r>
              <w:rPr>
                <w:sz w:val="15"/>
                <w:szCs w:val="15"/>
                <w:highlight w:val="none"/>
              </w:rPr>
              <w:t>mg/L</w:t>
            </w:r>
          </w:p>
        </w:tc>
        <w:tc>
          <w:tcPr>
            <w:tcW w:w="572" w:type="dxa"/>
            <w:shd w:val="clear" w:color="auto" w:fill="auto"/>
            <w:vAlign w:val="center"/>
          </w:tcPr>
          <w:p>
            <w:pPr>
              <w:pStyle w:val="64"/>
              <w:rPr>
                <w:color w:val="000000"/>
                <w:sz w:val="15"/>
                <w:szCs w:val="15"/>
                <w:highlight w:val="none"/>
              </w:rPr>
            </w:pPr>
            <w:r>
              <w:rPr>
                <w:color w:val="000000"/>
                <w:sz w:val="15"/>
                <w:szCs w:val="15"/>
                <w:highlight w:val="none"/>
              </w:rPr>
              <w:t>氨氮</w:t>
            </w:r>
          </w:p>
          <w:p>
            <w:pPr>
              <w:pStyle w:val="64"/>
              <w:rPr>
                <w:color w:val="000000"/>
                <w:sz w:val="15"/>
                <w:szCs w:val="15"/>
                <w:highlight w:val="none"/>
              </w:rPr>
            </w:pPr>
            <w:r>
              <w:rPr>
                <w:sz w:val="15"/>
                <w:szCs w:val="15"/>
                <w:highlight w:val="none"/>
              </w:rPr>
              <w:t>mg/L</w:t>
            </w:r>
          </w:p>
        </w:tc>
        <w:tc>
          <w:tcPr>
            <w:tcW w:w="818" w:type="dxa"/>
            <w:shd w:val="clear" w:color="auto" w:fill="auto"/>
            <w:vAlign w:val="center"/>
          </w:tcPr>
          <w:p>
            <w:pPr>
              <w:pStyle w:val="64"/>
              <w:rPr>
                <w:sz w:val="15"/>
                <w:szCs w:val="15"/>
                <w:highlight w:val="none"/>
              </w:rPr>
            </w:pPr>
            <w:r>
              <w:rPr>
                <w:sz w:val="15"/>
                <w:szCs w:val="15"/>
                <w:highlight w:val="none"/>
              </w:rPr>
              <w:t>挥发酚</w:t>
            </w:r>
          </w:p>
          <w:p>
            <w:pPr>
              <w:pStyle w:val="64"/>
              <w:rPr>
                <w:sz w:val="15"/>
                <w:szCs w:val="15"/>
                <w:highlight w:val="none"/>
              </w:rPr>
            </w:pPr>
            <w:r>
              <w:rPr>
                <w:sz w:val="15"/>
                <w:szCs w:val="15"/>
                <w:highlight w:val="none"/>
              </w:rPr>
              <w:t>mg/L</w:t>
            </w:r>
          </w:p>
        </w:tc>
        <w:tc>
          <w:tcPr>
            <w:tcW w:w="735" w:type="dxa"/>
            <w:shd w:val="clear" w:color="auto" w:fill="auto"/>
            <w:vAlign w:val="center"/>
          </w:tcPr>
          <w:p>
            <w:pPr>
              <w:pStyle w:val="64"/>
              <w:rPr>
                <w:sz w:val="15"/>
                <w:szCs w:val="15"/>
                <w:highlight w:val="none"/>
              </w:rPr>
            </w:pPr>
            <w:r>
              <w:rPr>
                <w:sz w:val="15"/>
                <w:szCs w:val="15"/>
                <w:highlight w:val="none"/>
              </w:rPr>
              <w:t>氰化物</w:t>
            </w:r>
          </w:p>
          <w:p>
            <w:pPr>
              <w:pStyle w:val="64"/>
              <w:rPr>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六价铬</w:t>
            </w:r>
          </w:p>
          <w:p>
            <w:pPr>
              <w:pStyle w:val="64"/>
              <w:rPr>
                <w:color w:val="000000"/>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石油类</w:t>
            </w:r>
          </w:p>
          <w:p>
            <w:pPr>
              <w:pStyle w:val="64"/>
              <w:rPr>
                <w:color w:val="000000"/>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总硬度</w:t>
            </w:r>
          </w:p>
          <w:p>
            <w:pPr>
              <w:pStyle w:val="64"/>
              <w:rPr>
                <w:color w:val="000000"/>
                <w:sz w:val="15"/>
                <w:szCs w:val="15"/>
                <w:highlight w:val="none"/>
              </w:rPr>
            </w:pPr>
            <w:r>
              <w:rPr>
                <w:sz w:val="15"/>
                <w:szCs w:val="15"/>
                <w:highlight w:val="none"/>
              </w:rPr>
              <w:t>mg/L</w:t>
            </w:r>
          </w:p>
        </w:tc>
        <w:tc>
          <w:tcPr>
            <w:tcW w:w="735" w:type="dxa"/>
            <w:shd w:val="clear" w:color="auto" w:fill="auto"/>
            <w:vAlign w:val="center"/>
          </w:tcPr>
          <w:p>
            <w:pPr>
              <w:pStyle w:val="64"/>
              <w:rPr>
                <w:sz w:val="15"/>
                <w:szCs w:val="15"/>
                <w:highlight w:val="none"/>
              </w:rPr>
            </w:pPr>
            <w:r>
              <w:rPr>
                <w:sz w:val="15"/>
                <w:szCs w:val="15"/>
                <w:highlight w:val="none"/>
              </w:rPr>
              <w:t>溶解性</w:t>
            </w:r>
          </w:p>
          <w:p>
            <w:pPr>
              <w:pStyle w:val="64"/>
              <w:rPr>
                <w:sz w:val="15"/>
                <w:szCs w:val="15"/>
                <w:highlight w:val="none"/>
              </w:rPr>
            </w:pPr>
            <w:r>
              <w:rPr>
                <w:sz w:val="15"/>
                <w:szCs w:val="15"/>
                <w:highlight w:val="none"/>
              </w:rPr>
              <w:t>总固体</w:t>
            </w:r>
          </w:p>
          <w:p>
            <w:pPr>
              <w:pStyle w:val="64"/>
              <w:rPr>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硝酸盐</w:t>
            </w:r>
          </w:p>
          <w:p>
            <w:pPr>
              <w:pStyle w:val="64"/>
              <w:rPr>
                <w:color w:val="000000"/>
                <w:sz w:val="15"/>
                <w:szCs w:val="15"/>
                <w:highlight w:val="none"/>
              </w:rPr>
            </w:pPr>
            <w:r>
              <w:rPr>
                <w:sz w:val="15"/>
                <w:szCs w:val="15"/>
                <w:highlight w:val="none"/>
              </w:rPr>
              <w:t>mg/L</w:t>
            </w:r>
          </w:p>
        </w:tc>
        <w:tc>
          <w:tcPr>
            <w:tcW w:w="735" w:type="dxa"/>
            <w:shd w:val="clear" w:color="auto" w:fill="auto"/>
            <w:vAlign w:val="center"/>
          </w:tcPr>
          <w:p>
            <w:pPr>
              <w:pStyle w:val="64"/>
              <w:rPr>
                <w:color w:val="000000"/>
                <w:sz w:val="15"/>
                <w:szCs w:val="15"/>
                <w:highlight w:val="none"/>
              </w:rPr>
            </w:pPr>
            <w:r>
              <w:rPr>
                <w:color w:val="000000"/>
                <w:sz w:val="15"/>
                <w:szCs w:val="15"/>
                <w:highlight w:val="none"/>
              </w:rPr>
              <w:t>硫酸盐</w:t>
            </w:r>
          </w:p>
          <w:p>
            <w:pPr>
              <w:pStyle w:val="64"/>
              <w:rPr>
                <w:color w:val="000000"/>
                <w:sz w:val="15"/>
                <w:szCs w:val="15"/>
                <w:highlight w:val="none"/>
              </w:rPr>
            </w:pPr>
            <w:r>
              <w:rPr>
                <w:sz w:val="15"/>
                <w:szCs w:val="15"/>
                <w:highlight w:val="none"/>
              </w:rPr>
              <w:t>mg/L</w:t>
            </w:r>
          </w:p>
        </w:tc>
        <w:tc>
          <w:tcPr>
            <w:tcW w:w="734" w:type="dxa"/>
            <w:shd w:val="clear" w:color="auto" w:fill="auto"/>
            <w:vAlign w:val="center"/>
          </w:tcPr>
          <w:p>
            <w:pPr>
              <w:pStyle w:val="64"/>
              <w:rPr>
                <w:sz w:val="15"/>
                <w:szCs w:val="15"/>
                <w:highlight w:val="none"/>
              </w:rPr>
            </w:pPr>
            <w:r>
              <w:rPr>
                <w:sz w:val="15"/>
                <w:szCs w:val="15"/>
                <w:highlight w:val="none"/>
              </w:rPr>
              <w:t>氯化物</w:t>
            </w:r>
          </w:p>
          <w:p>
            <w:pPr>
              <w:pStyle w:val="64"/>
              <w:rPr>
                <w:sz w:val="15"/>
                <w:szCs w:val="15"/>
                <w:highlight w:val="none"/>
              </w:rPr>
            </w:pPr>
            <w:r>
              <w:rPr>
                <w:sz w:val="15"/>
                <w:szCs w:val="15"/>
                <w:highlight w:val="none"/>
              </w:rPr>
              <w:t>mg/L</w:t>
            </w:r>
          </w:p>
        </w:tc>
        <w:tc>
          <w:tcPr>
            <w:tcW w:w="901" w:type="dxa"/>
            <w:shd w:val="clear" w:color="auto" w:fill="auto"/>
            <w:vAlign w:val="center"/>
          </w:tcPr>
          <w:p>
            <w:pPr>
              <w:pStyle w:val="64"/>
              <w:rPr>
                <w:color w:val="000000"/>
                <w:sz w:val="15"/>
                <w:szCs w:val="15"/>
                <w:highlight w:val="none"/>
              </w:rPr>
            </w:pPr>
            <w:r>
              <w:rPr>
                <w:color w:val="000000"/>
                <w:sz w:val="15"/>
                <w:szCs w:val="15"/>
                <w:highlight w:val="none"/>
              </w:rPr>
              <w:t>砷</w:t>
            </w:r>
          </w:p>
          <w:p>
            <w:pPr>
              <w:pStyle w:val="64"/>
              <w:rPr>
                <w:color w:val="000000"/>
                <w:sz w:val="15"/>
                <w:szCs w:val="15"/>
                <w:highlight w:val="none"/>
              </w:rPr>
            </w:pPr>
            <w:r>
              <w:rPr>
                <w:sz w:val="15"/>
                <w:szCs w:val="15"/>
                <w:highlight w:val="none"/>
              </w:rPr>
              <w:t>mg/L</w:t>
            </w:r>
          </w:p>
        </w:tc>
        <w:tc>
          <w:tcPr>
            <w:tcW w:w="901" w:type="dxa"/>
            <w:shd w:val="clear" w:color="auto" w:fill="auto"/>
            <w:vAlign w:val="center"/>
          </w:tcPr>
          <w:p>
            <w:pPr>
              <w:pStyle w:val="64"/>
              <w:rPr>
                <w:sz w:val="15"/>
                <w:szCs w:val="15"/>
                <w:highlight w:val="none"/>
              </w:rPr>
            </w:pPr>
            <w:r>
              <w:rPr>
                <w:sz w:val="15"/>
                <w:szCs w:val="15"/>
                <w:highlight w:val="none"/>
              </w:rPr>
              <w:t>铅</w:t>
            </w:r>
          </w:p>
          <w:p>
            <w:pPr>
              <w:pStyle w:val="64"/>
              <w:rPr>
                <w:sz w:val="15"/>
                <w:szCs w:val="15"/>
                <w:highlight w:val="none"/>
              </w:rPr>
            </w:pPr>
            <w:r>
              <w:rPr>
                <w:sz w:val="15"/>
                <w:szCs w:val="15"/>
                <w:highlight w:val="none"/>
              </w:rPr>
              <w:t>mg/L</w:t>
            </w:r>
          </w:p>
        </w:tc>
        <w:tc>
          <w:tcPr>
            <w:tcW w:w="901" w:type="dxa"/>
            <w:shd w:val="clear" w:color="auto" w:fill="auto"/>
            <w:vAlign w:val="center"/>
          </w:tcPr>
          <w:p>
            <w:pPr>
              <w:pStyle w:val="64"/>
              <w:rPr>
                <w:sz w:val="15"/>
                <w:szCs w:val="15"/>
                <w:highlight w:val="none"/>
              </w:rPr>
            </w:pPr>
            <w:r>
              <w:rPr>
                <w:sz w:val="15"/>
                <w:szCs w:val="15"/>
                <w:highlight w:val="none"/>
              </w:rPr>
              <w:t>镉</w:t>
            </w:r>
          </w:p>
          <w:p>
            <w:pPr>
              <w:pStyle w:val="64"/>
              <w:rPr>
                <w:sz w:val="15"/>
                <w:szCs w:val="15"/>
                <w:highlight w:val="none"/>
              </w:rPr>
            </w:pPr>
            <w:r>
              <w:rPr>
                <w:sz w:val="15"/>
                <w:szCs w:val="15"/>
                <w:highlight w:val="none"/>
              </w:rPr>
              <w:t>mg/L</w:t>
            </w:r>
          </w:p>
        </w:tc>
        <w:tc>
          <w:tcPr>
            <w:tcW w:w="817" w:type="dxa"/>
            <w:shd w:val="clear" w:color="auto" w:fill="auto"/>
            <w:vAlign w:val="center"/>
          </w:tcPr>
          <w:p>
            <w:pPr>
              <w:pStyle w:val="64"/>
              <w:rPr>
                <w:sz w:val="15"/>
                <w:szCs w:val="15"/>
                <w:highlight w:val="none"/>
              </w:rPr>
            </w:pPr>
            <w:r>
              <w:rPr>
                <w:sz w:val="15"/>
                <w:szCs w:val="15"/>
                <w:highlight w:val="none"/>
              </w:rPr>
              <w:t>铁</w:t>
            </w:r>
          </w:p>
          <w:p>
            <w:pPr>
              <w:pStyle w:val="64"/>
              <w:rPr>
                <w:sz w:val="15"/>
                <w:szCs w:val="15"/>
                <w:highlight w:val="none"/>
              </w:rPr>
            </w:pPr>
            <w:r>
              <w:rPr>
                <w:sz w:val="15"/>
                <w:szCs w:val="15"/>
                <w:highlight w:val="none"/>
              </w:rPr>
              <w:t>mg/L</w:t>
            </w:r>
          </w:p>
        </w:tc>
        <w:tc>
          <w:tcPr>
            <w:tcW w:w="901" w:type="dxa"/>
            <w:shd w:val="clear" w:color="auto" w:fill="auto"/>
            <w:vAlign w:val="center"/>
          </w:tcPr>
          <w:p>
            <w:pPr>
              <w:pStyle w:val="64"/>
              <w:rPr>
                <w:sz w:val="15"/>
                <w:szCs w:val="15"/>
                <w:highlight w:val="none"/>
              </w:rPr>
            </w:pPr>
            <w:r>
              <w:rPr>
                <w:sz w:val="15"/>
                <w:szCs w:val="15"/>
                <w:highlight w:val="none"/>
              </w:rPr>
              <w:t>锰</w:t>
            </w:r>
          </w:p>
          <w:p>
            <w:pPr>
              <w:pStyle w:val="64"/>
              <w:rPr>
                <w:sz w:val="15"/>
                <w:szCs w:val="15"/>
                <w:highlight w:val="none"/>
              </w:rPr>
            </w:pPr>
            <w:r>
              <w:rPr>
                <w:sz w:val="15"/>
                <w:szCs w:val="15"/>
                <w:highlight w:val="none"/>
              </w:rPr>
              <w:t>mg/L</w:t>
            </w:r>
          </w:p>
        </w:tc>
        <w:tc>
          <w:tcPr>
            <w:tcW w:w="901" w:type="dxa"/>
            <w:shd w:val="clear" w:color="auto" w:fill="auto"/>
            <w:vAlign w:val="center"/>
          </w:tcPr>
          <w:p>
            <w:pPr>
              <w:pStyle w:val="64"/>
              <w:rPr>
                <w:sz w:val="15"/>
                <w:szCs w:val="15"/>
                <w:highlight w:val="none"/>
              </w:rPr>
            </w:pPr>
            <w:r>
              <w:rPr>
                <w:sz w:val="15"/>
                <w:szCs w:val="15"/>
                <w:highlight w:val="none"/>
              </w:rPr>
              <w:t>铜</w:t>
            </w:r>
          </w:p>
          <w:p>
            <w:pPr>
              <w:pStyle w:val="64"/>
              <w:rPr>
                <w:sz w:val="15"/>
                <w:szCs w:val="15"/>
                <w:highlight w:val="none"/>
              </w:rPr>
            </w:pPr>
            <w:r>
              <w:rPr>
                <w:sz w:val="15"/>
                <w:szCs w:val="15"/>
                <w:highlight w:val="none"/>
              </w:rPr>
              <w:t>mg/L</w:t>
            </w:r>
          </w:p>
        </w:tc>
        <w:tc>
          <w:tcPr>
            <w:tcW w:w="817" w:type="dxa"/>
            <w:shd w:val="clear" w:color="auto" w:fill="auto"/>
            <w:vAlign w:val="center"/>
          </w:tcPr>
          <w:p>
            <w:pPr>
              <w:pStyle w:val="64"/>
              <w:rPr>
                <w:sz w:val="15"/>
                <w:szCs w:val="15"/>
                <w:highlight w:val="none"/>
              </w:rPr>
            </w:pPr>
            <w:r>
              <w:rPr>
                <w:sz w:val="15"/>
                <w:szCs w:val="15"/>
                <w:highlight w:val="none"/>
              </w:rPr>
              <w:t>锌</w:t>
            </w:r>
          </w:p>
          <w:p>
            <w:pPr>
              <w:pStyle w:val="64"/>
              <w:rPr>
                <w:sz w:val="15"/>
                <w:szCs w:val="15"/>
                <w:highlight w:val="none"/>
              </w:rPr>
            </w:pPr>
            <w:r>
              <w:rPr>
                <w:sz w:val="15"/>
                <w:szCs w:val="15"/>
                <w:highlight w:val="none"/>
              </w:rPr>
              <w:t>mg/L</w:t>
            </w:r>
          </w:p>
        </w:tc>
        <w:tc>
          <w:tcPr>
            <w:tcW w:w="817" w:type="dxa"/>
            <w:shd w:val="clear" w:color="auto" w:fill="auto"/>
            <w:vAlign w:val="center"/>
          </w:tcPr>
          <w:p>
            <w:pPr>
              <w:pStyle w:val="64"/>
              <w:rPr>
                <w:color w:val="000000"/>
                <w:sz w:val="15"/>
                <w:szCs w:val="15"/>
                <w:highlight w:val="none"/>
              </w:rPr>
            </w:pPr>
            <w:r>
              <w:rPr>
                <w:color w:val="000000"/>
                <w:sz w:val="15"/>
                <w:szCs w:val="15"/>
                <w:highlight w:val="none"/>
              </w:rPr>
              <w:t>汞</w:t>
            </w:r>
          </w:p>
          <w:p>
            <w:pPr>
              <w:pStyle w:val="64"/>
              <w:rPr>
                <w:color w:val="000000"/>
                <w:sz w:val="15"/>
                <w:szCs w:val="15"/>
                <w:highlight w:val="none"/>
              </w:rPr>
            </w:pPr>
            <w:r>
              <w:rPr>
                <w:sz w:val="15"/>
                <w:szCs w:val="15"/>
                <w:highlight w:val="none"/>
              </w:rPr>
              <w:t>mg/L</w:t>
            </w:r>
          </w:p>
        </w:tc>
        <w:tc>
          <w:tcPr>
            <w:tcW w:w="901" w:type="dxa"/>
            <w:shd w:val="clear" w:color="auto" w:fill="auto"/>
            <w:vAlign w:val="center"/>
          </w:tcPr>
          <w:p>
            <w:pPr>
              <w:pStyle w:val="64"/>
              <w:rPr>
                <w:color w:val="000000"/>
                <w:sz w:val="15"/>
                <w:szCs w:val="15"/>
                <w:highlight w:val="none"/>
              </w:rPr>
            </w:pPr>
            <w:r>
              <w:rPr>
                <w:color w:val="000000"/>
                <w:sz w:val="15"/>
                <w:szCs w:val="15"/>
                <w:highlight w:val="none"/>
              </w:rPr>
              <w:t>菌落总数</w:t>
            </w:r>
          </w:p>
          <w:p>
            <w:pPr>
              <w:pStyle w:val="64"/>
              <w:rPr>
                <w:color w:val="000000"/>
                <w:sz w:val="15"/>
                <w:szCs w:val="15"/>
                <w:highlight w:val="none"/>
              </w:rPr>
            </w:pPr>
            <w:r>
              <w:rPr>
                <w:color w:val="000000"/>
                <w:sz w:val="15"/>
                <w:szCs w:val="15"/>
                <w:highlight w:val="none"/>
              </w:rPr>
              <w:t>CFU/mL</w:t>
            </w:r>
          </w:p>
        </w:tc>
        <w:tc>
          <w:tcPr>
            <w:tcW w:w="1068" w:type="dxa"/>
            <w:shd w:val="clear" w:color="auto" w:fill="auto"/>
            <w:vAlign w:val="center"/>
          </w:tcPr>
          <w:p>
            <w:pPr>
              <w:pStyle w:val="64"/>
              <w:rPr>
                <w:color w:val="000000"/>
                <w:sz w:val="15"/>
                <w:szCs w:val="15"/>
                <w:highlight w:val="none"/>
              </w:rPr>
            </w:pPr>
            <w:r>
              <w:rPr>
                <w:color w:val="000000"/>
                <w:sz w:val="15"/>
                <w:szCs w:val="15"/>
                <w:highlight w:val="none"/>
              </w:rPr>
              <w:t>总大肠菌群</w:t>
            </w:r>
          </w:p>
          <w:p>
            <w:pPr>
              <w:pStyle w:val="64"/>
              <w:rPr>
                <w:color w:val="000000"/>
                <w:sz w:val="15"/>
                <w:szCs w:val="15"/>
                <w:highlight w:val="none"/>
              </w:rPr>
            </w:pPr>
            <w:r>
              <w:rPr>
                <w:color w:val="000000"/>
                <w:sz w:val="15"/>
                <w:szCs w:val="15"/>
                <w:highlight w:val="none"/>
              </w:rPr>
              <w:t>CFU/100mL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大宋峪</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白石头</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color w:val="FF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西坡头</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东堡</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富家庄</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小李牛</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735" w:type="dxa"/>
            <w:vMerge w:val="restart"/>
            <w:shd w:val="clear" w:color="auto" w:fill="auto"/>
            <w:vAlign w:val="center"/>
          </w:tcPr>
          <w:p>
            <w:pPr>
              <w:pStyle w:val="64"/>
              <w:rPr>
                <w:sz w:val="15"/>
                <w:szCs w:val="15"/>
                <w:highlight w:val="none"/>
              </w:rPr>
            </w:pPr>
            <w:r>
              <w:rPr>
                <w:sz w:val="15"/>
                <w:szCs w:val="15"/>
                <w:highlight w:val="none"/>
              </w:rPr>
              <w:t>大木瓜</w:t>
            </w:r>
          </w:p>
        </w:tc>
        <w:tc>
          <w:tcPr>
            <w:tcW w:w="902" w:type="dxa"/>
            <w:shd w:val="clear" w:color="auto" w:fill="auto"/>
            <w:vAlign w:val="center"/>
          </w:tcPr>
          <w:p>
            <w:pPr>
              <w:pStyle w:val="64"/>
              <w:rPr>
                <w:sz w:val="15"/>
                <w:szCs w:val="15"/>
                <w:highlight w:val="none"/>
              </w:rPr>
            </w:pPr>
            <w:r>
              <w:rPr>
                <w:sz w:val="15"/>
                <w:szCs w:val="15"/>
                <w:highlight w:val="none"/>
              </w:rPr>
              <w:t>监测值</w:t>
            </w: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572" w:type="dxa"/>
            <w:shd w:val="clear" w:color="auto" w:fill="auto"/>
            <w:vAlign w:val="center"/>
          </w:tcPr>
          <w:p>
            <w:pPr>
              <w:pStyle w:val="64"/>
              <w:rPr>
                <w:color w:val="000000"/>
                <w:sz w:val="15"/>
                <w:szCs w:val="15"/>
                <w:highlight w:val="none"/>
              </w:rPr>
            </w:pPr>
          </w:p>
        </w:tc>
        <w:tc>
          <w:tcPr>
            <w:tcW w:w="818"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5" w:type="dxa"/>
            <w:shd w:val="clear" w:color="auto" w:fill="auto"/>
            <w:vAlign w:val="center"/>
          </w:tcPr>
          <w:p>
            <w:pPr>
              <w:pStyle w:val="64"/>
              <w:rPr>
                <w:color w:val="000000"/>
                <w:sz w:val="15"/>
                <w:szCs w:val="15"/>
                <w:highlight w:val="none"/>
              </w:rPr>
            </w:pPr>
          </w:p>
        </w:tc>
        <w:tc>
          <w:tcPr>
            <w:tcW w:w="734"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817" w:type="dxa"/>
            <w:shd w:val="clear" w:color="auto" w:fill="auto"/>
            <w:vAlign w:val="center"/>
          </w:tcPr>
          <w:p>
            <w:pPr>
              <w:pStyle w:val="64"/>
              <w:rPr>
                <w:color w:val="000000"/>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Pi</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5" w:type="dxa"/>
            <w:vMerge w:val="continue"/>
            <w:vAlign w:val="center"/>
          </w:tcPr>
          <w:p>
            <w:pPr>
              <w:pStyle w:val="64"/>
              <w:rPr>
                <w:sz w:val="15"/>
                <w:szCs w:val="15"/>
                <w:highlight w:val="none"/>
              </w:rPr>
            </w:pPr>
          </w:p>
        </w:tc>
        <w:tc>
          <w:tcPr>
            <w:tcW w:w="902" w:type="dxa"/>
            <w:shd w:val="clear" w:color="auto" w:fill="auto"/>
            <w:vAlign w:val="center"/>
          </w:tcPr>
          <w:p>
            <w:pPr>
              <w:pStyle w:val="64"/>
              <w:rPr>
                <w:sz w:val="15"/>
                <w:szCs w:val="15"/>
                <w:highlight w:val="none"/>
              </w:rPr>
            </w:pPr>
            <w:r>
              <w:rPr>
                <w:sz w:val="15"/>
                <w:szCs w:val="15"/>
                <w:highlight w:val="none"/>
              </w:rPr>
              <w:t>超标倍数</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rFonts w:eastAsia="Times New Roman"/>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637" w:type="dxa"/>
            <w:gridSpan w:val="2"/>
            <w:shd w:val="clear" w:color="auto" w:fill="auto"/>
            <w:vAlign w:val="center"/>
          </w:tcPr>
          <w:p>
            <w:pPr>
              <w:pStyle w:val="64"/>
              <w:rPr>
                <w:rFonts w:eastAsia="Times New Roman"/>
                <w:sz w:val="15"/>
                <w:szCs w:val="15"/>
                <w:highlight w:val="none"/>
              </w:rPr>
            </w:pPr>
            <w:r>
              <w:rPr>
                <w:sz w:val="15"/>
                <w:szCs w:val="15"/>
                <w:highlight w:val="none"/>
              </w:rPr>
              <w:t>地下水Ⅲ类标准</w:t>
            </w: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572" w:type="dxa"/>
            <w:shd w:val="clear" w:color="auto" w:fill="auto"/>
            <w:vAlign w:val="center"/>
          </w:tcPr>
          <w:p>
            <w:pPr>
              <w:pStyle w:val="64"/>
              <w:rPr>
                <w:sz w:val="15"/>
                <w:szCs w:val="15"/>
                <w:highlight w:val="none"/>
              </w:rPr>
            </w:pPr>
          </w:p>
        </w:tc>
        <w:tc>
          <w:tcPr>
            <w:tcW w:w="818"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5" w:type="dxa"/>
            <w:shd w:val="clear" w:color="auto" w:fill="auto"/>
            <w:vAlign w:val="center"/>
          </w:tcPr>
          <w:p>
            <w:pPr>
              <w:pStyle w:val="64"/>
              <w:rPr>
                <w:sz w:val="15"/>
                <w:szCs w:val="15"/>
                <w:highlight w:val="none"/>
              </w:rPr>
            </w:pPr>
          </w:p>
        </w:tc>
        <w:tc>
          <w:tcPr>
            <w:tcW w:w="734"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817" w:type="dxa"/>
            <w:shd w:val="clear" w:color="auto" w:fill="auto"/>
            <w:vAlign w:val="center"/>
          </w:tcPr>
          <w:p>
            <w:pPr>
              <w:pStyle w:val="64"/>
              <w:rPr>
                <w:sz w:val="15"/>
                <w:szCs w:val="15"/>
                <w:highlight w:val="none"/>
              </w:rPr>
            </w:pPr>
          </w:p>
        </w:tc>
        <w:tc>
          <w:tcPr>
            <w:tcW w:w="901" w:type="dxa"/>
            <w:shd w:val="clear" w:color="auto" w:fill="auto"/>
            <w:vAlign w:val="center"/>
          </w:tcPr>
          <w:p>
            <w:pPr>
              <w:pStyle w:val="64"/>
              <w:rPr>
                <w:sz w:val="15"/>
                <w:szCs w:val="15"/>
                <w:highlight w:val="none"/>
              </w:rPr>
            </w:pPr>
          </w:p>
        </w:tc>
        <w:tc>
          <w:tcPr>
            <w:tcW w:w="1068" w:type="dxa"/>
            <w:shd w:val="clear" w:color="auto" w:fill="auto"/>
            <w:vAlign w:val="center"/>
          </w:tcPr>
          <w:p>
            <w:pPr>
              <w:pStyle w:val="64"/>
              <w:rPr>
                <w:sz w:val="15"/>
                <w:szCs w:val="15"/>
                <w:highlight w:val="none"/>
              </w:rPr>
            </w:pPr>
          </w:p>
        </w:tc>
      </w:tr>
    </w:tbl>
    <w:p>
      <w:pPr>
        <w:ind w:firstLine="0" w:firstLineChars="0"/>
        <w:jc w:val="left"/>
        <w:rPr>
          <w:rFonts w:ascii="宋体" w:hAnsi="宋体"/>
          <w:kern w:val="0"/>
          <w:highlight w:val="none"/>
        </w:rPr>
      </w:pPr>
      <w:r>
        <w:rPr>
          <w:rFonts w:ascii="宋体" w:hAnsi="宋体"/>
          <w:sz w:val="18"/>
          <w:szCs w:val="18"/>
          <w:highlight w:val="none"/>
        </w:rPr>
        <w:t>备注：“ND”表示低于检出限，未检出。</w:t>
      </w:r>
    </w:p>
    <w:p>
      <w:pPr>
        <w:ind w:firstLine="0" w:firstLineChars="0"/>
        <w:jc w:val="center"/>
        <w:rPr>
          <w:rFonts w:ascii="宋体" w:hAnsi="宋体"/>
          <w:kern w:val="0"/>
          <w:highlight w:val="none"/>
        </w:rPr>
      </w:pPr>
    </w:p>
    <w:p>
      <w:pPr>
        <w:ind w:firstLine="0" w:firstLineChars="0"/>
        <w:jc w:val="center"/>
        <w:rPr>
          <w:rFonts w:ascii="宋体" w:hAnsi="宋体"/>
          <w:kern w:val="0"/>
          <w:highlight w:val="none"/>
        </w:rPr>
      </w:pPr>
    </w:p>
    <w:p>
      <w:pPr>
        <w:ind w:firstLine="480"/>
        <w:rPr>
          <w:rFonts w:ascii="宋体" w:hAnsi="宋体"/>
          <w:highlight w:val="none"/>
        </w:rPr>
        <w:sectPr>
          <w:pgSz w:w="23814" w:h="16839" w:orient="landscape"/>
          <w:pgMar w:top="1588" w:right="1588" w:bottom="1474" w:left="1588" w:header="850" w:footer="850" w:gutter="0"/>
          <w:pgBorders>
            <w:top w:val="none" w:sz="0" w:space="0"/>
            <w:left w:val="none" w:sz="0" w:space="0"/>
            <w:bottom w:val="none" w:sz="0" w:space="0"/>
            <w:right w:val="none" w:sz="0" w:space="0"/>
          </w:pgBorders>
          <w:cols w:space="720" w:num="1"/>
          <w:docGrid w:linePitch="326" w:charSpace="0"/>
        </w:sectPr>
      </w:pPr>
    </w:p>
    <w:p>
      <w:pPr>
        <w:pStyle w:val="65"/>
        <w:rPr>
          <w:highlight w:val="none"/>
        </w:rPr>
      </w:pPr>
      <w:r>
        <w:rPr>
          <w:rFonts w:hint="eastAsia"/>
          <w:highlight w:val="none"/>
        </w:rPr>
        <w:t>表</w:t>
      </w:r>
      <w:r>
        <w:rPr>
          <w:rFonts w:hAnsi="宋体"/>
          <w:highlight w:val="none"/>
        </w:rPr>
        <w:t>4.3-1</w:t>
      </w:r>
      <w:r>
        <w:rPr>
          <w:rFonts w:hint="eastAsia" w:hAnsi="宋体"/>
          <w:highlight w:val="none"/>
        </w:rPr>
        <w:t>2</w:t>
      </w:r>
      <w:r>
        <w:rPr>
          <w:rFonts w:hint="eastAsia"/>
          <w:highlight w:val="none"/>
        </w:rPr>
        <w:t xml:space="preserve">    地下水离子浓度现状监测及水化学类型分析表（2</w:t>
      </w:r>
      <w:r>
        <w:rPr>
          <w:highlight w:val="none"/>
        </w:rPr>
        <w:t>021.3.21</w:t>
      </w:r>
      <w:r>
        <w:rPr>
          <w:rFonts w:hint="eastAsia"/>
          <w:highlight w:val="none"/>
        </w:rPr>
        <w:t>）</w:t>
      </w:r>
    </w:p>
    <w:tbl>
      <w:tblPr>
        <w:tblStyle w:val="44"/>
        <w:tblW w:w="1387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76"/>
        <w:gridCol w:w="1177"/>
        <w:gridCol w:w="1416"/>
        <w:gridCol w:w="1177"/>
        <w:gridCol w:w="1177"/>
        <w:gridCol w:w="1177"/>
        <w:gridCol w:w="1177"/>
        <w:gridCol w:w="1177"/>
        <w:gridCol w:w="1177"/>
        <w:gridCol w:w="1177"/>
        <w:gridCol w:w="18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176" w:type="dxa"/>
            <w:shd w:val="clear" w:color="auto" w:fill="auto"/>
            <w:vAlign w:val="center"/>
          </w:tcPr>
          <w:p>
            <w:pPr>
              <w:pStyle w:val="64"/>
              <w:rPr>
                <w:highlight w:val="none"/>
              </w:rPr>
            </w:pPr>
            <w:r>
              <w:rPr>
                <w:highlight w:val="none"/>
              </w:rPr>
              <w:t>采样点</w:t>
            </w:r>
          </w:p>
        </w:tc>
        <w:tc>
          <w:tcPr>
            <w:tcW w:w="1177" w:type="dxa"/>
            <w:shd w:val="clear" w:color="auto" w:fill="auto"/>
            <w:vAlign w:val="center"/>
          </w:tcPr>
          <w:p>
            <w:pPr>
              <w:pStyle w:val="64"/>
              <w:rPr>
                <w:highlight w:val="none"/>
              </w:rPr>
            </w:pPr>
            <w:r>
              <w:rPr>
                <w:highlight w:val="none"/>
              </w:rPr>
              <w:t>项目</w:t>
            </w:r>
          </w:p>
        </w:tc>
        <w:tc>
          <w:tcPr>
            <w:tcW w:w="1416" w:type="dxa"/>
            <w:shd w:val="clear" w:color="auto" w:fill="auto"/>
            <w:vAlign w:val="center"/>
          </w:tcPr>
          <w:p>
            <w:pPr>
              <w:pStyle w:val="64"/>
              <w:rPr>
                <w:highlight w:val="none"/>
              </w:rPr>
            </w:pPr>
            <w:r>
              <w:rPr>
                <w:highlight w:val="none"/>
              </w:rPr>
              <w:t>K</w:t>
            </w:r>
            <w:r>
              <w:rPr>
                <w:highlight w:val="none"/>
                <w:vertAlign w:val="superscript"/>
              </w:rPr>
              <w:t>+</w:t>
            </w:r>
          </w:p>
        </w:tc>
        <w:tc>
          <w:tcPr>
            <w:tcW w:w="1177" w:type="dxa"/>
            <w:shd w:val="clear" w:color="auto" w:fill="auto"/>
            <w:vAlign w:val="center"/>
          </w:tcPr>
          <w:p>
            <w:pPr>
              <w:pStyle w:val="64"/>
              <w:rPr>
                <w:highlight w:val="none"/>
              </w:rPr>
            </w:pPr>
            <w:r>
              <w:rPr>
                <w:highlight w:val="none"/>
              </w:rPr>
              <w:t>Na</w:t>
            </w:r>
            <w:r>
              <w:rPr>
                <w:highlight w:val="none"/>
                <w:vertAlign w:val="superscript"/>
              </w:rPr>
              <w:t>+</w:t>
            </w:r>
          </w:p>
        </w:tc>
        <w:tc>
          <w:tcPr>
            <w:tcW w:w="1177" w:type="dxa"/>
            <w:shd w:val="clear" w:color="auto" w:fill="auto"/>
            <w:vAlign w:val="center"/>
          </w:tcPr>
          <w:p>
            <w:pPr>
              <w:pStyle w:val="64"/>
              <w:rPr>
                <w:highlight w:val="none"/>
              </w:rPr>
            </w:pPr>
            <w:r>
              <w:rPr>
                <w:highlight w:val="none"/>
              </w:rPr>
              <w:t>Ca</w:t>
            </w:r>
            <w:r>
              <w:rPr>
                <w:highlight w:val="none"/>
                <w:vertAlign w:val="superscript"/>
              </w:rPr>
              <w:t>2+</w:t>
            </w:r>
          </w:p>
        </w:tc>
        <w:tc>
          <w:tcPr>
            <w:tcW w:w="1177" w:type="dxa"/>
            <w:shd w:val="clear" w:color="auto" w:fill="auto"/>
            <w:vAlign w:val="center"/>
          </w:tcPr>
          <w:p>
            <w:pPr>
              <w:pStyle w:val="64"/>
              <w:rPr>
                <w:highlight w:val="none"/>
              </w:rPr>
            </w:pPr>
            <w:r>
              <w:rPr>
                <w:highlight w:val="none"/>
              </w:rPr>
              <w:t>Mg</w:t>
            </w:r>
            <w:r>
              <w:rPr>
                <w:highlight w:val="none"/>
                <w:vertAlign w:val="superscript"/>
              </w:rPr>
              <w:t>2+</w:t>
            </w:r>
          </w:p>
        </w:tc>
        <w:tc>
          <w:tcPr>
            <w:tcW w:w="1177" w:type="dxa"/>
            <w:shd w:val="clear" w:color="auto" w:fill="auto"/>
            <w:vAlign w:val="center"/>
          </w:tcPr>
          <w:p>
            <w:pPr>
              <w:pStyle w:val="64"/>
              <w:rPr>
                <w:highlight w:val="none"/>
              </w:rPr>
            </w:pPr>
            <w:r>
              <w:rPr>
                <w:highlight w:val="none"/>
              </w:rPr>
              <w:t>CO</w:t>
            </w:r>
            <w:r>
              <w:rPr>
                <w:highlight w:val="none"/>
                <w:vertAlign w:val="subscript"/>
              </w:rPr>
              <w:t>3</w:t>
            </w:r>
            <w:r>
              <w:rPr>
                <w:highlight w:val="none"/>
                <w:vertAlign w:val="superscript"/>
              </w:rPr>
              <w:t>2-</w:t>
            </w:r>
          </w:p>
        </w:tc>
        <w:tc>
          <w:tcPr>
            <w:tcW w:w="1177" w:type="dxa"/>
            <w:shd w:val="clear" w:color="auto" w:fill="auto"/>
            <w:vAlign w:val="center"/>
          </w:tcPr>
          <w:p>
            <w:pPr>
              <w:pStyle w:val="64"/>
              <w:rPr>
                <w:highlight w:val="none"/>
              </w:rPr>
            </w:pPr>
            <w:r>
              <w:rPr>
                <w:highlight w:val="none"/>
              </w:rPr>
              <w:t>HCO</w:t>
            </w:r>
            <w:r>
              <w:rPr>
                <w:highlight w:val="none"/>
                <w:vertAlign w:val="subscript"/>
              </w:rPr>
              <w:t>3</w:t>
            </w:r>
            <w:r>
              <w:rPr>
                <w:highlight w:val="none"/>
                <w:vertAlign w:val="superscript"/>
              </w:rPr>
              <w:t>-</w:t>
            </w:r>
          </w:p>
        </w:tc>
        <w:tc>
          <w:tcPr>
            <w:tcW w:w="1177" w:type="dxa"/>
            <w:shd w:val="clear" w:color="auto" w:fill="auto"/>
            <w:vAlign w:val="center"/>
          </w:tcPr>
          <w:p>
            <w:pPr>
              <w:pStyle w:val="64"/>
              <w:rPr>
                <w:highlight w:val="none"/>
              </w:rPr>
            </w:pPr>
            <w:r>
              <w:rPr>
                <w:highlight w:val="none"/>
              </w:rPr>
              <w:t>Cl</w:t>
            </w:r>
            <w:r>
              <w:rPr>
                <w:highlight w:val="none"/>
                <w:vertAlign w:val="superscript"/>
              </w:rPr>
              <w:t>-</w:t>
            </w:r>
          </w:p>
        </w:tc>
        <w:tc>
          <w:tcPr>
            <w:tcW w:w="1177" w:type="dxa"/>
            <w:shd w:val="clear" w:color="auto" w:fill="auto"/>
            <w:vAlign w:val="center"/>
          </w:tcPr>
          <w:p>
            <w:pPr>
              <w:pStyle w:val="64"/>
              <w:rPr>
                <w:highlight w:val="none"/>
              </w:rPr>
            </w:pPr>
            <w:r>
              <w:rPr>
                <w:highlight w:val="none"/>
              </w:rPr>
              <w:t>SO</w:t>
            </w:r>
            <w:r>
              <w:rPr>
                <w:highlight w:val="none"/>
                <w:vertAlign w:val="subscript"/>
              </w:rPr>
              <w:t>4</w:t>
            </w:r>
            <w:r>
              <w:rPr>
                <w:highlight w:val="none"/>
                <w:vertAlign w:val="superscript"/>
              </w:rPr>
              <w:t>2-</w:t>
            </w:r>
          </w:p>
        </w:tc>
        <w:tc>
          <w:tcPr>
            <w:tcW w:w="1871" w:type="dxa"/>
            <w:shd w:val="clear" w:color="auto" w:fill="auto"/>
            <w:vAlign w:val="center"/>
          </w:tcPr>
          <w:p>
            <w:pPr>
              <w:pStyle w:val="64"/>
              <w:rPr>
                <w:highlight w:val="none"/>
              </w:rPr>
            </w:pPr>
            <w:r>
              <w:rPr>
                <w:highlight w:val="none"/>
              </w:rPr>
              <w:t>水化学类型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76" w:type="dxa"/>
            <w:vMerge w:val="restart"/>
            <w:shd w:val="clear" w:color="auto" w:fill="auto"/>
            <w:vAlign w:val="center"/>
          </w:tcPr>
          <w:p>
            <w:pPr>
              <w:pStyle w:val="64"/>
              <w:rPr>
                <w:highlight w:val="none"/>
              </w:rPr>
            </w:pPr>
            <w:r>
              <w:rPr>
                <w:highlight w:val="none"/>
              </w:rPr>
              <w:t>大宋峪</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76" w:type="dxa"/>
            <w:vMerge w:val="restart"/>
            <w:shd w:val="clear" w:color="auto" w:fill="auto"/>
            <w:vAlign w:val="center"/>
          </w:tcPr>
          <w:p>
            <w:pPr>
              <w:pStyle w:val="64"/>
              <w:rPr>
                <w:highlight w:val="none"/>
              </w:rPr>
            </w:pPr>
            <w:r>
              <w:rPr>
                <w:highlight w:val="none"/>
              </w:rPr>
              <w:t>白石头</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color w:val="000000"/>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176" w:type="dxa"/>
            <w:vMerge w:val="restart"/>
            <w:shd w:val="clear" w:color="auto" w:fill="auto"/>
            <w:vAlign w:val="center"/>
          </w:tcPr>
          <w:p>
            <w:pPr>
              <w:pStyle w:val="64"/>
              <w:rPr>
                <w:highlight w:val="none"/>
              </w:rPr>
            </w:pPr>
            <w:r>
              <w:rPr>
                <w:highlight w:val="none"/>
              </w:rPr>
              <w:t>西坡头</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color w:val="000000"/>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76" w:type="dxa"/>
            <w:vMerge w:val="restart"/>
            <w:shd w:val="clear" w:color="auto" w:fill="auto"/>
            <w:vAlign w:val="center"/>
          </w:tcPr>
          <w:p>
            <w:pPr>
              <w:pStyle w:val="64"/>
              <w:rPr>
                <w:highlight w:val="none"/>
              </w:rPr>
            </w:pPr>
            <w:r>
              <w:rPr>
                <w:highlight w:val="none"/>
              </w:rPr>
              <w:t>东堡</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76" w:type="dxa"/>
            <w:vMerge w:val="restart"/>
            <w:shd w:val="clear" w:color="auto" w:fill="auto"/>
            <w:vAlign w:val="center"/>
          </w:tcPr>
          <w:p>
            <w:pPr>
              <w:pStyle w:val="64"/>
              <w:rPr>
                <w:highlight w:val="none"/>
              </w:rPr>
            </w:pPr>
            <w:r>
              <w:rPr>
                <w:highlight w:val="none"/>
              </w:rPr>
              <w:t>富家庄</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76" w:type="dxa"/>
            <w:vMerge w:val="restart"/>
            <w:shd w:val="clear" w:color="auto" w:fill="auto"/>
            <w:vAlign w:val="center"/>
          </w:tcPr>
          <w:p>
            <w:pPr>
              <w:pStyle w:val="64"/>
              <w:rPr>
                <w:highlight w:val="none"/>
              </w:rPr>
            </w:pPr>
            <w:r>
              <w:rPr>
                <w:highlight w:val="none"/>
              </w:rPr>
              <w:t>小李牛</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76" w:type="dxa"/>
            <w:vMerge w:val="restart"/>
            <w:shd w:val="clear" w:color="auto" w:fill="auto"/>
            <w:vAlign w:val="center"/>
          </w:tcPr>
          <w:p>
            <w:pPr>
              <w:pStyle w:val="64"/>
              <w:rPr>
                <w:highlight w:val="none"/>
              </w:rPr>
            </w:pPr>
            <w:r>
              <w:rPr>
                <w:highlight w:val="none"/>
              </w:rPr>
              <w:t>大木瓜</w:t>
            </w:r>
          </w:p>
        </w:tc>
        <w:tc>
          <w:tcPr>
            <w:tcW w:w="1177" w:type="dxa"/>
            <w:shd w:val="clear" w:color="auto" w:fill="auto"/>
            <w:vAlign w:val="center"/>
          </w:tcPr>
          <w:p>
            <w:pPr>
              <w:pStyle w:val="64"/>
              <w:rPr>
                <w:highlight w:val="none"/>
              </w:rPr>
            </w:pPr>
            <w:r>
              <w:rPr>
                <w:highlight w:val="none"/>
              </w:rPr>
              <w:t>监测值</w:t>
            </w:r>
          </w:p>
        </w:tc>
        <w:tc>
          <w:tcPr>
            <w:tcW w:w="1416"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color w:val="000000"/>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meq/L</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76" w:type="dxa"/>
            <w:vMerge w:val="continue"/>
            <w:vAlign w:val="center"/>
          </w:tcPr>
          <w:p>
            <w:pPr>
              <w:pStyle w:val="64"/>
              <w:rPr>
                <w:highlight w:val="none"/>
              </w:rPr>
            </w:pPr>
          </w:p>
        </w:tc>
        <w:tc>
          <w:tcPr>
            <w:tcW w:w="1177" w:type="dxa"/>
            <w:shd w:val="clear" w:color="auto" w:fill="auto"/>
            <w:vAlign w:val="center"/>
          </w:tcPr>
          <w:p>
            <w:pPr>
              <w:pStyle w:val="64"/>
              <w:rPr>
                <w:highlight w:val="none"/>
              </w:rPr>
            </w:pPr>
            <w:r>
              <w:rPr>
                <w:highlight w:val="none"/>
              </w:rPr>
              <w:t>meq%</w:t>
            </w:r>
          </w:p>
        </w:tc>
        <w:tc>
          <w:tcPr>
            <w:tcW w:w="1416"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000000" w:fill="FFFFFF"/>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177" w:type="dxa"/>
            <w:shd w:val="clear" w:color="auto" w:fill="auto"/>
            <w:vAlign w:val="center"/>
          </w:tcPr>
          <w:p>
            <w:pPr>
              <w:pStyle w:val="64"/>
              <w:rPr>
                <w:highlight w:val="none"/>
              </w:rPr>
            </w:pPr>
          </w:p>
        </w:tc>
        <w:tc>
          <w:tcPr>
            <w:tcW w:w="1871" w:type="dxa"/>
            <w:vMerge w:val="continue"/>
            <w:vAlign w:val="center"/>
          </w:tcPr>
          <w:p>
            <w:pPr>
              <w:pStyle w:val="64"/>
              <w:rPr>
                <w:highlight w:val="none"/>
              </w:rPr>
            </w:pPr>
          </w:p>
        </w:tc>
      </w:tr>
    </w:tbl>
    <w:p>
      <w:pPr>
        <w:spacing w:line="360" w:lineRule="auto"/>
        <w:ind w:firstLine="0" w:firstLineChars="0"/>
        <w:jc w:val="center"/>
        <w:rPr>
          <w:rFonts w:hAnsi="宋体"/>
          <w:b/>
          <w:highlight w:val="none"/>
        </w:rPr>
      </w:pPr>
    </w:p>
    <w:p>
      <w:pPr>
        <w:spacing w:line="360" w:lineRule="auto"/>
        <w:ind w:firstLine="0" w:firstLineChars="0"/>
        <w:jc w:val="center"/>
        <w:rPr>
          <w:rFonts w:hAnsi="宋体"/>
          <w:b/>
          <w:highlight w:val="none"/>
        </w:rPr>
      </w:pPr>
    </w:p>
    <w:p>
      <w:pPr>
        <w:pStyle w:val="65"/>
        <w:rPr>
          <w:highlight w:val="none"/>
        </w:rPr>
      </w:pPr>
      <w:r>
        <w:rPr>
          <w:rFonts w:hint="eastAsia"/>
          <w:highlight w:val="none"/>
        </w:rPr>
        <w:t>表</w:t>
      </w:r>
      <w:r>
        <w:rPr>
          <w:rFonts w:hAnsi="宋体"/>
          <w:highlight w:val="none"/>
        </w:rPr>
        <w:t>4.3-1</w:t>
      </w:r>
      <w:r>
        <w:rPr>
          <w:rFonts w:hint="eastAsia" w:hAnsi="宋体"/>
          <w:highlight w:val="none"/>
        </w:rPr>
        <w:t>3</w:t>
      </w:r>
      <w:r>
        <w:rPr>
          <w:rFonts w:hint="eastAsia"/>
          <w:highlight w:val="none"/>
        </w:rPr>
        <w:t xml:space="preserve">    地下水离子浓度现状监测及水化学类型分析表（2</w:t>
      </w:r>
      <w:r>
        <w:rPr>
          <w:highlight w:val="none"/>
        </w:rPr>
        <w:t>021.5.23</w:t>
      </w:r>
      <w:r>
        <w:rPr>
          <w:rFonts w:hint="eastAsia"/>
          <w:highlight w:val="none"/>
        </w:rPr>
        <w:t>）</w:t>
      </w:r>
    </w:p>
    <w:tbl>
      <w:tblPr>
        <w:tblStyle w:val="44"/>
        <w:tblW w:w="1387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97"/>
        <w:gridCol w:w="1197"/>
        <w:gridCol w:w="1442"/>
        <w:gridCol w:w="1196"/>
        <w:gridCol w:w="1196"/>
        <w:gridCol w:w="1196"/>
        <w:gridCol w:w="1196"/>
        <w:gridCol w:w="1196"/>
        <w:gridCol w:w="1196"/>
        <w:gridCol w:w="1196"/>
        <w:gridCol w:w="16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197" w:type="dxa"/>
            <w:shd w:val="clear" w:color="auto" w:fill="auto"/>
            <w:vAlign w:val="center"/>
          </w:tcPr>
          <w:p>
            <w:pPr>
              <w:pStyle w:val="64"/>
              <w:rPr>
                <w:highlight w:val="none"/>
              </w:rPr>
            </w:pPr>
            <w:r>
              <w:rPr>
                <w:highlight w:val="none"/>
              </w:rPr>
              <w:t>采样点</w:t>
            </w:r>
          </w:p>
        </w:tc>
        <w:tc>
          <w:tcPr>
            <w:tcW w:w="1197" w:type="dxa"/>
            <w:shd w:val="clear" w:color="auto" w:fill="auto"/>
            <w:vAlign w:val="center"/>
          </w:tcPr>
          <w:p>
            <w:pPr>
              <w:pStyle w:val="64"/>
              <w:rPr>
                <w:highlight w:val="none"/>
              </w:rPr>
            </w:pPr>
            <w:r>
              <w:rPr>
                <w:highlight w:val="none"/>
              </w:rPr>
              <w:t>项目</w:t>
            </w:r>
          </w:p>
        </w:tc>
        <w:tc>
          <w:tcPr>
            <w:tcW w:w="1442" w:type="dxa"/>
            <w:shd w:val="clear" w:color="auto" w:fill="auto"/>
            <w:vAlign w:val="center"/>
          </w:tcPr>
          <w:p>
            <w:pPr>
              <w:pStyle w:val="64"/>
              <w:rPr>
                <w:highlight w:val="none"/>
              </w:rPr>
            </w:pPr>
            <w:r>
              <w:rPr>
                <w:highlight w:val="none"/>
              </w:rPr>
              <w:t>K</w:t>
            </w:r>
            <w:r>
              <w:rPr>
                <w:highlight w:val="none"/>
                <w:vertAlign w:val="superscript"/>
              </w:rPr>
              <w:t>+</w:t>
            </w:r>
          </w:p>
        </w:tc>
        <w:tc>
          <w:tcPr>
            <w:tcW w:w="1196" w:type="dxa"/>
            <w:shd w:val="clear" w:color="auto" w:fill="auto"/>
            <w:vAlign w:val="center"/>
          </w:tcPr>
          <w:p>
            <w:pPr>
              <w:pStyle w:val="64"/>
              <w:rPr>
                <w:highlight w:val="none"/>
              </w:rPr>
            </w:pPr>
            <w:r>
              <w:rPr>
                <w:highlight w:val="none"/>
              </w:rPr>
              <w:t>Na</w:t>
            </w:r>
            <w:r>
              <w:rPr>
                <w:highlight w:val="none"/>
                <w:vertAlign w:val="superscript"/>
              </w:rPr>
              <w:t>+</w:t>
            </w:r>
          </w:p>
        </w:tc>
        <w:tc>
          <w:tcPr>
            <w:tcW w:w="1196" w:type="dxa"/>
            <w:shd w:val="clear" w:color="auto" w:fill="auto"/>
            <w:vAlign w:val="center"/>
          </w:tcPr>
          <w:p>
            <w:pPr>
              <w:pStyle w:val="64"/>
              <w:rPr>
                <w:highlight w:val="none"/>
              </w:rPr>
            </w:pPr>
            <w:r>
              <w:rPr>
                <w:highlight w:val="none"/>
              </w:rPr>
              <w:t>Ca</w:t>
            </w:r>
            <w:r>
              <w:rPr>
                <w:highlight w:val="none"/>
                <w:vertAlign w:val="superscript"/>
              </w:rPr>
              <w:t>2+</w:t>
            </w:r>
          </w:p>
        </w:tc>
        <w:tc>
          <w:tcPr>
            <w:tcW w:w="1196" w:type="dxa"/>
            <w:shd w:val="clear" w:color="auto" w:fill="auto"/>
            <w:vAlign w:val="center"/>
          </w:tcPr>
          <w:p>
            <w:pPr>
              <w:pStyle w:val="64"/>
              <w:rPr>
                <w:highlight w:val="none"/>
              </w:rPr>
            </w:pPr>
            <w:r>
              <w:rPr>
                <w:highlight w:val="none"/>
              </w:rPr>
              <w:t>Mg</w:t>
            </w:r>
            <w:r>
              <w:rPr>
                <w:highlight w:val="none"/>
                <w:vertAlign w:val="superscript"/>
              </w:rPr>
              <w:t>2+</w:t>
            </w:r>
          </w:p>
        </w:tc>
        <w:tc>
          <w:tcPr>
            <w:tcW w:w="1196" w:type="dxa"/>
            <w:shd w:val="clear" w:color="auto" w:fill="auto"/>
            <w:vAlign w:val="center"/>
          </w:tcPr>
          <w:p>
            <w:pPr>
              <w:pStyle w:val="64"/>
              <w:rPr>
                <w:highlight w:val="none"/>
              </w:rPr>
            </w:pPr>
            <w:r>
              <w:rPr>
                <w:highlight w:val="none"/>
              </w:rPr>
              <w:t>CO</w:t>
            </w:r>
            <w:r>
              <w:rPr>
                <w:highlight w:val="none"/>
                <w:vertAlign w:val="subscript"/>
              </w:rPr>
              <w:t>3</w:t>
            </w:r>
            <w:r>
              <w:rPr>
                <w:highlight w:val="none"/>
                <w:vertAlign w:val="superscript"/>
              </w:rPr>
              <w:t>2-</w:t>
            </w:r>
          </w:p>
        </w:tc>
        <w:tc>
          <w:tcPr>
            <w:tcW w:w="1196" w:type="dxa"/>
            <w:shd w:val="clear" w:color="auto" w:fill="auto"/>
            <w:vAlign w:val="center"/>
          </w:tcPr>
          <w:p>
            <w:pPr>
              <w:pStyle w:val="64"/>
              <w:rPr>
                <w:highlight w:val="none"/>
              </w:rPr>
            </w:pPr>
            <w:r>
              <w:rPr>
                <w:highlight w:val="none"/>
              </w:rPr>
              <w:t>HCO</w:t>
            </w:r>
            <w:r>
              <w:rPr>
                <w:highlight w:val="none"/>
                <w:vertAlign w:val="subscript"/>
              </w:rPr>
              <w:t>3</w:t>
            </w:r>
            <w:r>
              <w:rPr>
                <w:highlight w:val="none"/>
                <w:vertAlign w:val="superscript"/>
              </w:rPr>
              <w:t>-</w:t>
            </w:r>
          </w:p>
        </w:tc>
        <w:tc>
          <w:tcPr>
            <w:tcW w:w="1196" w:type="dxa"/>
            <w:shd w:val="clear" w:color="auto" w:fill="auto"/>
            <w:vAlign w:val="center"/>
          </w:tcPr>
          <w:p>
            <w:pPr>
              <w:pStyle w:val="64"/>
              <w:rPr>
                <w:highlight w:val="none"/>
              </w:rPr>
            </w:pPr>
            <w:r>
              <w:rPr>
                <w:highlight w:val="none"/>
              </w:rPr>
              <w:t>Cl</w:t>
            </w:r>
            <w:r>
              <w:rPr>
                <w:highlight w:val="none"/>
                <w:vertAlign w:val="superscript"/>
              </w:rPr>
              <w:t>-</w:t>
            </w:r>
          </w:p>
        </w:tc>
        <w:tc>
          <w:tcPr>
            <w:tcW w:w="1196" w:type="dxa"/>
            <w:shd w:val="clear" w:color="auto" w:fill="auto"/>
            <w:vAlign w:val="center"/>
          </w:tcPr>
          <w:p>
            <w:pPr>
              <w:pStyle w:val="64"/>
              <w:rPr>
                <w:highlight w:val="none"/>
              </w:rPr>
            </w:pPr>
            <w:r>
              <w:rPr>
                <w:highlight w:val="none"/>
              </w:rPr>
              <w:t>SO</w:t>
            </w:r>
            <w:r>
              <w:rPr>
                <w:highlight w:val="none"/>
                <w:vertAlign w:val="subscript"/>
              </w:rPr>
              <w:t>4</w:t>
            </w:r>
            <w:r>
              <w:rPr>
                <w:highlight w:val="none"/>
                <w:vertAlign w:val="superscript"/>
              </w:rPr>
              <w:t>2-</w:t>
            </w:r>
          </w:p>
        </w:tc>
        <w:tc>
          <w:tcPr>
            <w:tcW w:w="1671" w:type="dxa"/>
            <w:shd w:val="clear" w:color="auto" w:fill="auto"/>
            <w:vAlign w:val="center"/>
          </w:tcPr>
          <w:p>
            <w:pPr>
              <w:pStyle w:val="64"/>
              <w:rPr>
                <w:highlight w:val="none"/>
              </w:rPr>
            </w:pPr>
            <w:r>
              <w:rPr>
                <w:highlight w:val="none"/>
              </w:rPr>
              <w:t>水化学类型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restart"/>
            <w:shd w:val="clear" w:color="auto" w:fill="auto"/>
            <w:vAlign w:val="center"/>
          </w:tcPr>
          <w:p>
            <w:pPr>
              <w:pStyle w:val="64"/>
              <w:rPr>
                <w:highlight w:val="none"/>
              </w:rPr>
            </w:pPr>
            <w:r>
              <w:rPr>
                <w:highlight w:val="none"/>
              </w:rPr>
              <w:t>大宋峪</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restart"/>
            <w:shd w:val="clear" w:color="auto" w:fill="auto"/>
            <w:vAlign w:val="center"/>
          </w:tcPr>
          <w:p>
            <w:pPr>
              <w:pStyle w:val="64"/>
              <w:rPr>
                <w:highlight w:val="none"/>
              </w:rPr>
            </w:pPr>
            <w:r>
              <w:rPr>
                <w:highlight w:val="none"/>
              </w:rPr>
              <w:t>白石头</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color w:val="000000"/>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97" w:type="dxa"/>
            <w:vMerge w:val="restart"/>
            <w:shd w:val="clear" w:color="auto" w:fill="auto"/>
            <w:vAlign w:val="center"/>
          </w:tcPr>
          <w:p>
            <w:pPr>
              <w:pStyle w:val="64"/>
              <w:rPr>
                <w:highlight w:val="none"/>
              </w:rPr>
            </w:pPr>
            <w:r>
              <w:rPr>
                <w:highlight w:val="none"/>
              </w:rPr>
              <w:t>西坡头</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color w:val="000000"/>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restart"/>
            <w:shd w:val="clear" w:color="auto" w:fill="auto"/>
            <w:vAlign w:val="center"/>
          </w:tcPr>
          <w:p>
            <w:pPr>
              <w:pStyle w:val="64"/>
              <w:rPr>
                <w:highlight w:val="none"/>
              </w:rPr>
            </w:pPr>
            <w:r>
              <w:rPr>
                <w:highlight w:val="none"/>
              </w:rPr>
              <w:t>东堡</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197" w:type="dxa"/>
            <w:vMerge w:val="restart"/>
            <w:shd w:val="clear" w:color="auto" w:fill="auto"/>
            <w:vAlign w:val="center"/>
          </w:tcPr>
          <w:p>
            <w:pPr>
              <w:pStyle w:val="64"/>
              <w:rPr>
                <w:highlight w:val="none"/>
              </w:rPr>
            </w:pPr>
            <w:r>
              <w:rPr>
                <w:highlight w:val="none"/>
              </w:rPr>
              <w:t>富家庄</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restart"/>
            <w:shd w:val="clear" w:color="auto" w:fill="auto"/>
            <w:vAlign w:val="center"/>
          </w:tcPr>
          <w:p>
            <w:pPr>
              <w:pStyle w:val="64"/>
              <w:rPr>
                <w:highlight w:val="none"/>
              </w:rPr>
            </w:pPr>
            <w:r>
              <w:rPr>
                <w:highlight w:val="none"/>
              </w:rPr>
              <w:t>小李牛</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restart"/>
            <w:shd w:val="clear" w:color="auto" w:fill="auto"/>
            <w:vAlign w:val="center"/>
          </w:tcPr>
          <w:p>
            <w:pPr>
              <w:pStyle w:val="64"/>
              <w:rPr>
                <w:highlight w:val="none"/>
              </w:rPr>
            </w:pPr>
            <w:r>
              <w:rPr>
                <w:highlight w:val="none"/>
              </w:rPr>
              <w:t>大木瓜</w:t>
            </w:r>
          </w:p>
        </w:tc>
        <w:tc>
          <w:tcPr>
            <w:tcW w:w="1197" w:type="dxa"/>
            <w:shd w:val="clear" w:color="auto" w:fill="auto"/>
            <w:vAlign w:val="center"/>
          </w:tcPr>
          <w:p>
            <w:pPr>
              <w:pStyle w:val="64"/>
              <w:rPr>
                <w:highlight w:val="none"/>
              </w:rPr>
            </w:pPr>
            <w:r>
              <w:rPr>
                <w:highlight w:val="none"/>
              </w:rPr>
              <w:t>监测值</w:t>
            </w:r>
          </w:p>
        </w:tc>
        <w:tc>
          <w:tcPr>
            <w:tcW w:w="1442"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color w:val="000000"/>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restart"/>
            <w:shd w:val="clear" w:color="auto" w:fill="auto"/>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meq/L</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197" w:type="dxa"/>
            <w:vMerge w:val="continue"/>
            <w:vAlign w:val="center"/>
          </w:tcPr>
          <w:p>
            <w:pPr>
              <w:pStyle w:val="64"/>
              <w:rPr>
                <w:highlight w:val="none"/>
              </w:rPr>
            </w:pPr>
          </w:p>
        </w:tc>
        <w:tc>
          <w:tcPr>
            <w:tcW w:w="1197" w:type="dxa"/>
            <w:shd w:val="clear" w:color="auto" w:fill="auto"/>
            <w:vAlign w:val="center"/>
          </w:tcPr>
          <w:p>
            <w:pPr>
              <w:pStyle w:val="64"/>
              <w:rPr>
                <w:highlight w:val="none"/>
              </w:rPr>
            </w:pPr>
            <w:r>
              <w:rPr>
                <w:highlight w:val="none"/>
              </w:rPr>
              <w:t>meq%</w:t>
            </w:r>
          </w:p>
        </w:tc>
        <w:tc>
          <w:tcPr>
            <w:tcW w:w="1442"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000000" w:fill="FFFFFF"/>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196" w:type="dxa"/>
            <w:shd w:val="clear" w:color="auto" w:fill="auto"/>
            <w:vAlign w:val="center"/>
          </w:tcPr>
          <w:p>
            <w:pPr>
              <w:pStyle w:val="64"/>
              <w:rPr>
                <w:highlight w:val="none"/>
              </w:rPr>
            </w:pPr>
          </w:p>
        </w:tc>
        <w:tc>
          <w:tcPr>
            <w:tcW w:w="1671" w:type="dxa"/>
            <w:vMerge w:val="continue"/>
            <w:vAlign w:val="center"/>
          </w:tcPr>
          <w:p>
            <w:pPr>
              <w:pStyle w:val="64"/>
              <w:rPr>
                <w:highlight w:val="none"/>
              </w:rPr>
            </w:pPr>
          </w:p>
        </w:tc>
      </w:tr>
    </w:tbl>
    <w:p>
      <w:pPr>
        <w:ind w:firstLine="480"/>
        <w:rPr>
          <w:rFonts w:ascii="宋体" w:hAnsi="宋体"/>
          <w:highlight w:val="none"/>
        </w:rPr>
        <w:sectPr>
          <w:pgSz w:w="16839" w:h="11907" w:orient="landscape"/>
          <w:pgMar w:top="1588" w:right="1588" w:bottom="1474" w:left="1588" w:header="850" w:footer="850" w:gutter="0"/>
          <w:pgBorders>
            <w:top w:val="none" w:sz="0" w:space="0"/>
            <w:left w:val="none" w:sz="0" w:space="0"/>
            <w:bottom w:val="none" w:sz="0" w:space="0"/>
            <w:right w:val="none" w:sz="0" w:space="0"/>
          </w:pgBorders>
          <w:cols w:space="720" w:num="1"/>
          <w:docGrid w:linePitch="326" w:charSpace="0"/>
        </w:sectPr>
      </w:pPr>
    </w:p>
    <w:p>
      <w:pPr>
        <w:pStyle w:val="62"/>
        <w:ind w:firstLine="480"/>
        <w:rPr>
          <w:highlight w:val="none"/>
        </w:rPr>
      </w:pPr>
      <w:bookmarkStart w:id="144" w:name="_Toc4678459"/>
      <w:r>
        <w:rPr>
          <w:rFonts w:hint="eastAsia"/>
          <w:highlight w:val="none"/>
        </w:rPr>
        <w:t>各监测点监测因子均可满足《地下水质量标准》（GB/T 14848-2017）中的Ⅲ类水质标准要求。总体来讲，区域地下水环境质量现状良好。</w:t>
      </w:r>
    </w:p>
    <w:p>
      <w:pPr>
        <w:pStyle w:val="4"/>
        <w:ind w:firstLine="562"/>
        <w:rPr>
          <w:rFonts w:hAnsi="宋体"/>
          <w:highlight w:val="none"/>
        </w:rPr>
      </w:pPr>
      <w:r>
        <w:rPr>
          <w:rFonts w:hAnsi="宋体"/>
          <w:highlight w:val="none"/>
        </w:rPr>
        <w:t>4.3.</w:t>
      </w:r>
      <w:r>
        <w:rPr>
          <w:rFonts w:hint="eastAsia" w:hAnsi="宋体"/>
          <w:highlight w:val="none"/>
        </w:rPr>
        <w:t>3地表水</w:t>
      </w:r>
      <w:r>
        <w:rPr>
          <w:rFonts w:hAnsi="宋体"/>
          <w:highlight w:val="none"/>
        </w:rPr>
        <w:t>环境现状</w:t>
      </w:r>
      <w:r>
        <w:rPr>
          <w:rFonts w:hint="eastAsia" w:hAnsi="宋体"/>
          <w:highlight w:val="none"/>
        </w:rPr>
        <w:t>调查</w:t>
      </w:r>
    </w:p>
    <w:p>
      <w:pPr>
        <w:pStyle w:val="62"/>
        <w:ind w:firstLine="480"/>
        <w:rPr>
          <w:rFonts w:hAnsi="宋体"/>
          <w:szCs w:val="22"/>
          <w:highlight w:val="none"/>
        </w:rPr>
      </w:pPr>
      <w:r>
        <w:rPr>
          <w:rFonts w:hint="eastAsia" w:hAnsi="宋体"/>
          <w:szCs w:val="22"/>
          <w:highlight w:val="none"/>
        </w:rPr>
        <w:t>根据《山西省地表水环境功能区划》（DB14/67-2019），距离本项目最近的地表水体为滹沱河，属源头—下茹越水库出口段，水环境功能为一般源头水、地表水饮用水源补给区水源保护，功能代码为32一般鱼类用水与一般源头水区、22地表水饮用水源补给区和地下水水质重点保护河段，水质要求为Ⅲ类。</w:t>
      </w:r>
    </w:p>
    <w:p>
      <w:pPr>
        <w:pStyle w:val="62"/>
        <w:ind w:firstLine="480"/>
        <w:rPr>
          <w:rFonts w:hAnsi="宋体"/>
          <w:szCs w:val="22"/>
          <w:highlight w:val="none"/>
        </w:rPr>
      </w:pPr>
      <w:r>
        <w:rPr>
          <w:rFonts w:hint="eastAsia" w:hAnsi="宋体"/>
          <w:szCs w:val="22"/>
          <w:highlight w:val="none"/>
        </w:rPr>
        <w:t>本次环评收集到2019年、2020年全年和2021年1月地表水监测断面水质情况数据。</w:t>
      </w:r>
    </w:p>
    <w:p>
      <w:pPr>
        <w:pStyle w:val="62"/>
        <w:ind w:firstLine="480"/>
        <w:rPr>
          <w:rFonts w:hAnsi="宋体"/>
          <w:szCs w:val="22"/>
          <w:highlight w:val="none"/>
        </w:rPr>
      </w:pPr>
      <w:r>
        <w:rPr>
          <w:rFonts w:hint="eastAsia" w:hAnsi="宋体"/>
          <w:szCs w:val="22"/>
          <w:highlight w:val="none"/>
        </w:rPr>
        <w:t>滹沱河地表水监测断面桥儿沟位于本项目东侧42km处，位于本项目近距离地表水体滹沱河上游。该断面水质不能代表本评价区河断面的水质。</w:t>
      </w:r>
    </w:p>
    <w:p>
      <w:pPr>
        <w:pStyle w:val="62"/>
        <w:ind w:firstLine="480"/>
        <w:rPr>
          <w:rFonts w:hAnsi="宋体"/>
          <w:highlight w:val="none"/>
        </w:rPr>
      </w:pPr>
      <w:r>
        <w:rPr>
          <w:rFonts w:hint="eastAsia" w:hAnsi="宋体"/>
          <w:highlight w:val="none"/>
        </w:rPr>
        <w:t>4.3.3.12019年1-11月忻州市地表水监测断面水质情况</w:t>
      </w:r>
    </w:p>
    <w:p>
      <w:pPr>
        <w:pStyle w:val="62"/>
        <w:ind w:firstLine="480"/>
        <w:rPr>
          <w:rFonts w:hAnsi="宋体"/>
          <w:highlight w:val="none"/>
        </w:rPr>
      </w:pPr>
      <w:r>
        <w:rPr>
          <w:rFonts w:hint="eastAsia" w:hAnsi="宋体"/>
          <w:highlight w:val="none"/>
        </w:rPr>
        <w:t>根据生态环境部公布的2019年1-11月地表水国考断面的数据和山西省忻州生态环境监测中心1-11月对地表水省考断面监测的分析数据，现将全市地表水断面2019年11月及1-11月水质情况通报如下：</w:t>
      </w:r>
    </w:p>
    <w:p>
      <w:pPr>
        <w:pStyle w:val="62"/>
        <w:ind w:firstLine="480"/>
        <w:rPr>
          <w:rFonts w:hAnsi="宋体"/>
          <w:highlight w:val="none"/>
        </w:rPr>
      </w:pPr>
      <w:r>
        <w:rPr>
          <w:rFonts w:hint="eastAsia" w:hAnsi="宋体"/>
          <w:highlight w:val="none"/>
        </w:rPr>
        <w:t>1、国家、省考核断面水质情况</w:t>
      </w:r>
    </w:p>
    <w:p>
      <w:pPr>
        <w:pStyle w:val="62"/>
        <w:ind w:firstLine="480"/>
        <w:rPr>
          <w:rFonts w:hAnsi="宋体"/>
          <w:highlight w:val="none"/>
        </w:rPr>
      </w:pPr>
      <w:r>
        <w:rPr>
          <w:rFonts w:hint="eastAsia" w:hAnsi="宋体"/>
          <w:highlight w:val="none"/>
        </w:rPr>
        <w:t>忻州市14个国家、省考核断面，考核目标为达到或优于III类水质断面比例为78.57%（11个），劣V类水质断面比例为0%。</w:t>
      </w:r>
    </w:p>
    <w:p>
      <w:pPr>
        <w:pStyle w:val="62"/>
        <w:ind w:firstLine="480"/>
        <w:rPr>
          <w:rFonts w:hAnsi="宋体"/>
          <w:highlight w:val="none"/>
        </w:rPr>
      </w:pPr>
      <w:r>
        <w:rPr>
          <w:rFonts w:hint="eastAsia" w:hAnsi="宋体"/>
          <w:highlight w:val="none"/>
        </w:rPr>
        <w:t>2019年1-11月，14个国家、省考核断面，达到或优于III类水质断面11个，占国、省考断面总数的78.57%；劣V类水质断面1个，占国、省考断面总数的7.14%；V类水质断面1个，占国、省考断面总数的7.14%；IV类水质断面1个，占国、省考断面总数的7.14%。</w:t>
      </w:r>
    </w:p>
    <w:p>
      <w:pPr>
        <w:pStyle w:val="62"/>
        <w:ind w:firstLine="480"/>
        <w:rPr>
          <w:rFonts w:hAnsi="宋体"/>
          <w:highlight w:val="none"/>
        </w:rPr>
      </w:pPr>
      <w:r>
        <w:rPr>
          <w:rFonts w:hint="eastAsia" w:hAnsi="宋体"/>
          <w:highlight w:val="none"/>
        </w:rPr>
        <w:t>2、国考断面水质情况</w:t>
      </w:r>
    </w:p>
    <w:p>
      <w:pPr>
        <w:pStyle w:val="62"/>
        <w:ind w:firstLine="480"/>
        <w:rPr>
          <w:rFonts w:hAnsi="宋体"/>
          <w:highlight w:val="none"/>
        </w:rPr>
      </w:pPr>
      <w:r>
        <w:rPr>
          <w:rFonts w:hint="eastAsia" w:hAnsi="宋体"/>
          <w:highlight w:val="none"/>
        </w:rPr>
        <w:t>8个国考断面，水质目标要求：静乐县河西村、保德县碛塄、代县代县桥、五台县坪上桥、定襄县南庄、定襄县陈家营6个断面为II类，宁武县梵王寺断面为III类，忻府区定襄桥断面为IV类。</w:t>
      </w:r>
    </w:p>
    <w:p>
      <w:pPr>
        <w:pStyle w:val="62"/>
        <w:ind w:firstLine="480"/>
        <w:rPr>
          <w:rFonts w:hAnsi="宋体"/>
          <w:highlight w:val="none"/>
        </w:rPr>
      </w:pPr>
      <w:r>
        <w:rPr>
          <w:rFonts w:hint="eastAsia" w:hAnsi="宋体"/>
          <w:highlight w:val="none"/>
        </w:rPr>
        <w:t>2019年11月，8个国考断面水质：坪上桥水质I类，河西村水质I类，碛塄水质I类，南庄水质II类，陈家营水质II类，梵王寺水质III类，定襄桥水质IV类，代县桥水质III类（氨氮超标，目标值0.5mg/L，监测值为0.55mg/L。），1个断面未达到考核目标。</w:t>
      </w:r>
    </w:p>
    <w:p>
      <w:pPr>
        <w:pStyle w:val="62"/>
        <w:ind w:firstLine="480"/>
        <w:rPr>
          <w:rFonts w:hAnsi="宋体"/>
          <w:highlight w:val="none"/>
        </w:rPr>
      </w:pPr>
      <w:r>
        <w:rPr>
          <w:rFonts w:hint="eastAsia" w:hAnsi="宋体"/>
          <w:highlight w:val="none"/>
        </w:rPr>
        <w:t>2019年1-11月，水质达标的断面5个，分别是：坪上桥、河西村、碛塄、代县桥、南庄水质均为II类。水质未达标的断面有3个：陈家营断面水质为IV类，定襄桥断面水质为V类，梵王寺断面水质为劣V类。</w:t>
      </w:r>
    </w:p>
    <w:p>
      <w:pPr>
        <w:pStyle w:val="62"/>
        <w:ind w:firstLine="480"/>
        <w:rPr>
          <w:rFonts w:hAnsi="宋体"/>
          <w:highlight w:val="none"/>
        </w:rPr>
      </w:pPr>
      <w:r>
        <w:rPr>
          <w:rFonts w:hint="eastAsia" w:hAnsi="宋体"/>
          <w:highlight w:val="none"/>
        </w:rPr>
        <w:t>梵王寺断面1-11月，主要是氨氮超标。因1、2、7月无数据，氨氮III类目标值总和变为≤8mg/L，实际监测数据氨氮总和为16.445mg/L，已超过全年考核目标值，全年达标无望。1-11月氨氮月均值为2.06mg/L（目标值为≤1mg/L），2019年12月氨氮浓度值必须控制在≤1.555mg/L，才有望全年退出劣V类。</w:t>
      </w:r>
    </w:p>
    <w:p>
      <w:pPr>
        <w:pStyle w:val="62"/>
        <w:ind w:firstLine="480"/>
        <w:rPr>
          <w:rFonts w:hAnsi="宋体"/>
          <w:highlight w:val="none"/>
        </w:rPr>
      </w:pPr>
      <w:r>
        <w:rPr>
          <w:rFonts w:hint="eastAsia" w:hAnsi="宋体"/>
          <w:highlight w:val="none"/>
        </w:rPr>
        <w:t>定襄桥断面1-11月，主要是氨氮超标。氨氮IV类目标值总和应≤16.5mg/L</w:t>
      </w:r>
      <w:r>
        <w:rPr>
          <w:rFonts w:hint="eastAsia" w:hAnsi="宋体"/>
          <w:highlight w:val="none"/>
          <w:lang w:eastAsia="zh-CN"/>
        </w:rPr>
        <w:t>，</w:t>
      </w:r>
      <w:r>
        <w:rPr>
          <w:rFonts w:hint="eastAsia" w:hAnsi="宋体"/>
          <w:highlight w:val="none"/>
        </w:rPr>
        <w:t>实际监测数据总和为17.66mg/L，月平均浓度为1.6mg/L（目标值为≤1.5mg/L）。2019年12月氨氮浓度必须要≤0.34mg/L，才有望全年达到IV类考核目标。</w:t>
      </w:r>
    </w:p>
    <w:p>
      <w:pPr>
        <w:pStyle w:val="62"/>
        <w:ind w:firstLine="480"/>
        <w:rPr>
          <w:rFonts w:hAnsi="宋体"/>
          <w:highlight w:val="none"/>
        </w:rPr>
      </w:pPr>
      <w:r>
        <w:rPr>
          <w:rFonts w:hint="eastAsia" w:hAnsi="宋体"/>
          <w:highlight w:val="none"/>
        </w:rPr>
        <w:t>陈家营断面1-11月，化学需氧量（COD）、氨氮两项污染物超标。因2、6、7、8月无数据，化学需氧量（COD）II类目标值总和变为≤105mg/L，实际监测数据COD总和为151mg/L；氨氮总和应为≤3.5mg/L，实际监测数据总和为4.255mg/L，全年达标无望；12月化学需氧量（COD）浓度要≤9mg/L，全年才有望达到III类（优良）水体。</w:t>
      </w:r>
    </w:p>
    <w:p>
      <w:pPr>
        <w:pStyle w:val="62"/>
        <w:ind w:firstLine="480"/>
        <w:rPr>
          <w:rFonts w:hAnsi="宋体"/>
          <w:highlight w:val="none"/>
        </w:rPr>
      </w:pPr>
      <w:r>
        <w:rPr>
          <w:rFonts w:hint="eastAsia" w:hAnsi="宋体"/>
          <w:highlight w:val="none"/>
        </w:rPr>
        <w:t>3、省考断面水质情况</w:t>
      </w:r>
    </w:p>
    <w:p>
      <w:pPr>
        <w:pStyle w:val="62"/>
        <w:ind w:firstLine="480"/>
        <w:rPr>
          <w:rFonts w:hAnsi="宋体"/>
          <w:highlight w:val="none"/>
        </w:rPr>
      </w:pPr>
      <w:r>
        <w:rPr>
          <w:rFonts w:hint="eastAsia" w:hAnsi="宋体"/>
          <w:highlight w:val="none"/>
        </w:rPr>
        <w:t>6个省考断面，水质目标要求：宁武县雷鸣寺、繁峙县茨沟营桥2个断面为II类，繁峙县乔儿沟、河曲县禹庙2个断面为III类，保德县花园子为IV类，偏关县关河口为V类。</w:t>
      </w:r>
    </w:p>
    <w:p>
      <w:pPr>
        <w:pStyle w:val="62"/>
        <w:ind w:firstLine="480"/>
        <w:rPr>
          <w:rFonts w:hAnsi="宋体"/>
          <w:highlight w:val="none"/>
        </w:rPr>
      </w:pPr>
      <w:r>
        <w:rPr>
          <w:rFonts w:hint="eastAsia" w:hAnsi="宋体"/>
          <w:highlight w:val="none"/>
        </w:rPr>
        <w:t>2019年11月，雷鸣寺、乔儿沟2个断面水质为I类，茨沟营桥、关河口断面水质为II类，禹庙断面水质为III类，花园子断面水质为V类（化学需氧量超标，目标值30mg/L，监测值为34mg/L。氨氮超标，目标值1.5mg/L，监测值为1.83mg/L。），1个断面未达到考核目标。</w:t>
      </w:r>
    </w:p>
    <w:p>
      <w:pPr>
        <w:pStyle w:val="62"/>
        <w:ind w:firstLine="480"/>
        <w:rPr>
          <w:rFonts w:hAnsi="宋体"/>
          <w:highlight w:val="none"/>
        </w:rPr>
      </w:pPr>
      <w:r>
        <w:rPr>
          <w:rFonts w:hint="eastAsia" w:hAnsi="宋体"/>
          <w:highlight w:val="none"/>
        </w:rPr>
        <w:t>2019年1-11月，雷鸣寺、乔儿沟、茨沟营桥3个断面水质为I类，关河口断面水质为II类，禹庙、花园子2个断面水质为III类。6个断面全部达到了考核目标。</w:t>
      </w:r>
    </w:p>
    <w:p>
      <w:pPr>
        <w:pStyle w:val="62"/>
        <w:ind w:firstLine="480"/>
        <w:rPr>
          <w:rFonts w:hAnsi="宋体"/>
          <w:highlight w:val="none"/>
        </w:rPr>
      </w:pPr>
      <w:r>
        <w:rPr>
          <w:rFonts w:hint="eastAsia" w:hAnsi="宋体"/>
          <w:highlight w:val="none"/>
        </w:rPr>
        <w:t>4.3.3.2忻州市2020年全年地表水环境质量情况通报</w:t>
      </w:r>
    </w:p>
    <w:p>
      <w:pPr>
        <w:pStyle w:val="62"/>
        <w:ind w:firstLine="480"/>
        <w:rPr>
          <w:rFonts w:hAnsi="宋体"/>
          <w:highlight w:val="none"/>
        </w:rPr>
      </w:pPr>
      <w:r>
        <w:rPr>
          <w:rFonts w:hint="eastAsia" w:hAnsi="宋体"/>
          <w:highlight w:val="none"/>
        </w:rPr>
        <w:t>忻水防办发〔2021〕1号</w:t>
      </w:r>
    </w:p>
    <w:p>
      <w:pPr>
        <w:pStyle w:val="62"/>
        <w:ind w:firstLine="480"/>
        <w:rPr>
          <w:rFonts w:hAnsi="宋体"/>
          <w:highlight w:val="none"/>
        </w:rPr>
      </w:pPr>
      <w:r>
        <w:rPr>
          <w:rFonts w:hint="eastAsia" w:hAnsi="宋体"/>
          <w:highlight w:val="none"/>
        </w:rPr>
        <w:t>根据山西省生态环境监测和应急保障中心2020年12月的《山西省地表水环境质量形势分析》，现将忻州市2020年全年地表水环境质量情况通报如下：</w:t>
      </w:r>
    </w:p>
    <w:p>
      <w:pPr>
        <w:pStyle w:val="62"/>
        <w:ind w:firstLine="480"/>
        <w:rPr>
          <w:rFonts w:hAnsi="宋体"/>
          <w:highlight w:val="none"/>
        </w:rPr>
      </w:pPr>
      <w:r>
        <w:rPr>
          <w:rFonts w:hint="eastAsia" w:hAnsi="宋体"/>
          <w:highlight w:val="none"/>
        </w:rPr>
        <w:t>1、国考断面</w:t>
      </w:r>
    </w:p>
    <w:p>
      <w:pPr>
        <w:pStyle w:val="62"/>
        <w:ind w:firstLine="480"/>
        <w:rPr>
          <w:rFonts w:hAnsi="宋体"/>
          <w:highlight w:val="none"/>
        </w:rPr>
      </w:pPr>
      <w:r>
        <w:rPr>
          <w:rFonts w:hint="eastAsia" w:hAnsi="宋体"/>
          <w:highlight w:val="none"/>
        </w:rPr>
        <w:t>全市8个国考断面水质考核目标：清水河坪上桥II类、滹沱河南庄II类、汾河河西村II类、黄河碛塄II类、牧马河陈家营II类、滹沱河代县桥II类、桑干河梵王寺Ⅲ类、滹沱河定襄桥IV类。</w:t>
      </w:r>
    </w:p>
    <w:p>
      <w:pPr>
        <w:pStyle w:val="62"/>
        <w:ind w:firstLine="480"/>
        <w:rPr>
          <w:rFonts w:hAnsi="宋体"/>
          <w:highlight w:val="none"/>
        </w:rPr>
      </w:pPr>
      <w:r>
        <w:rPr>
          <w:rFonts w:hint="eastAsia" w:hAnsi="宋体"/>
          <w:highlight w:val="none"/>
        </w:rPr>
        <w:t>2、省考断面</w:t>
      </w:r>
    </w:p>
    <w:p>
      <w:pPr>
        <w:pStyle w:val="62"/>
        <w:ind w:firstLine="480"/>
        <w:rPr>
          <w:rFonts w:hAnsi="宋体"/>
          <w:highlight w:val="none"/>
        </w:rPr>
      </w:pPr>
      <w:r>
        <w:rPr>
          <w:rFonts w:hint="eastAsia" w:hAnsi="宋体"/>
          <w:highlight w:val="none"/>
        </w:rPr>
        <w:t>全市6个省考断面水质考核目标：汾河雷鸣寺II类、青羊河茨沟营桥II类、滹沱河乔儿沟Ⅲ类、县川河禹庙Ⅲ类、朱家川河花园子IV类、偏关河关河口V类。</w:t>
      </w:r>
    </w:p>
    <w:p>
      <w:pPr>
        <w:pStyle w:val="62"/>
        <w:ind w:firstLine="480"/>
        <w:rPr>
          <w:rFonts w:hAnsi="宋体"/>
          <w:highlight w:val="none"/>
        </w:rPr>
      </w:pPr>
      <w:r>
        <w:rPr>
          <w:rFonts w:hint="eastAsia" w:hAnsi="宋体"/>
          <w:highlight w:val="none"/>
        </w:rPr>
        <w:t>3、地表水环境质量</w:t>
      </w:r>
    </w:p>
    <w:p>
      <w:pPr>
        <w:pStyle w:val="62"/>
        <w:ind w:firstLine="480"/>
        <w:rPr>
          <w:rFonts w:hAnsi="宋体"/>
          <w:highlight w:val="none"/>
        </w:rPr>
      </w:pPr>
      <w:r>
        <w:rPr>
          <w:rFonts w:hint="eastAsia" w:hAnsi="宋体"/>
          <w:highlight w:val="none"/>
        </w:rPr>
        <w:t>全市14个国、省考断面，优良断面（I-III类）比例78.57%（11个），其中国考断面优良（I-III类）比例87.5%（7个）；劣V类断面比例0。</w:t>
      </w:r>
    </w:p>
    <w:p>
      <w:pPr>
        <w:pStyle w:val="62"/>
        <w:ind w:firstLine="480"/>
        <w:rPr>
          <w:rFonts w:hAnsi="宋体"/>
          <w:highlight w:val="none"/>
        </w:rPr>
      </w:pPr>
      <w:r>
        <w:rPr>
          <w:rFonts w:hint="eastAsia" w:hAnsi="宋体"/>
          <w:highlight w:val="none"/>
        </w:rPr>
        <w:t>1）国考断面</w:t>
      </w:r>
    </w:p>
    <w:p>
      <w:pPr>
        <w:pStyle w:val="62"/>
        <w:ind w:firstLine="480"/>
        <w:rPr>
          <w:rFonts w:hAnsi="宋体"/>
          <w:highlight w:val="none"/>
        </w:rPr>
      </w:pPr>
      <w:r>
        <w:rPr>
          <w:rFonts w:hint="eastAsia" w:hAnsi="宋体"/>
          <w:highlight w:val="none"/>
        </w:rPr>
        <w:t>2020年1-12月水质状况</w:t>
      </w:r>
    </w:p>
    <w:p>
      <w:pPr>
        <w:pStyle w:val="62"/>
        <w:ind w:firstLine="480"/>
        <w:rPr>
          <w:rFonts w:hAnsi="宋体"/>
          <w:highlight w:val="none"/>
        </w:rPr>
      </w:pPr>
      <w:r>
        <w:rPr>
          <w:rFonts w:hint="eastAsia" w:hAnsi="宋体"/>
          <w:highlight w:val="none"/>
        </w:rPr>
        <w:t>全市8个国考断面分别是：坪上桥水质I类、梵王寺水质II类、河西村水质II类、南庄水质II类、碛塄水质II类、陈家营水质III类、代县桥水质III类、定襄桥水质IV类。</w:t>
      </w:r>
    </w:p>
    <w:p>
      <w:pPr>
        <w:pStyle w:val="62"/>
        <w:ind w:firstLine="480"/>
        <w:rPr>
          <w:rFonts w:hAnsi="宋体"/>
          <w:highlight w:val="none"/>
        </w:rPr>
      </w:pPr>
      <w:r>
        <w:rPr>
          <w:rFonts w:hint="eastAsia" w:hAnsi="宋体"/>
          <w:highlight w:val="none"/>
        </w:rPr>
        <w:t>2）省考断面</w:t>
      </w:r>
    </w:p>
    <w:p>
      <w:pPr>
        <w:pStyle w:val="62"/>
        <w:ind w:firstLine="480"/>
        <w:rPr>
          <w:rFonts w:hAnsi="宋体"/>
          <w:highlight w:val="none"/>
        </w:rPr>
      </w:pPr>
      <w:r>
        <w:rPr>
          <w:rFonts w:hint="eastAsia" w:hAnsi="宋体"/>
          <w:highlight w:val="none"/>
        </w:rPr>
        <w:t>2020年1-12月水质状况</w:t>
      </w:r>
    </w:p>
    <w:p>
      <w:pPr>
        <w:pStyle w:val="62"/>
        <w:ind w:firstLine="480"/>
        <w:rPr>
          <w:rFonts w:hAnsi="宋体"/>
          <w:highlight w:val="none"/>
        </w:rPr>
      </w:pPr>
      <w:r>
        <w:rPr>
          <w:rFonts w:hint="eastAsia" w:hAnsi="宋体"/>
          <w:highlight w:val="none"/>
        </w:rPr>
        <w:t>全市6个省考断面，雷鸣寺、乔儿沟、关河口、茨沟营桥4个断面水质为II类，禹庙水质为III类，花园子断面水质为IV类。</w:t>
      </w:r>
    </w:p>
    <w:p>
      <w:pPr>
        <w:pStyle w:val="62"/>
        <w:ind w:firstLine="480"/>
        <w:rPr>
          <w:rFonts w:hAnsi="宋体"/>
          <w:highlight w:val="none"/>
        </w:rPr>
      </w:pPr>
      <w:r>
        <w:rPr>
          <w:rFonts w:hint="eastAsia" w:hAnsi="宋体"/>
          <w:highlight w:val="none"/>
        </w:rPr>
        <w:t>全市8个国考断面，坪上桥、南庄、碛塄、河西村、梵王寺、定襄桥6个断面达到了2020年水质目标要求；陈家营因总磷、氨氮超标水质为III类，代县桥因总磷超标水质为III类，陈家营、代县桥2个断面未达2020年II类水质目标要求。</w:t>
      </w:r>
    </w:p>
    <w:p>
      <w:pPr>
        <w:pStyle w:val="62"/>
        <w:ind w:firstLine="480"/>
        <w:rPr>
          <w:rFonts w:hAnsi="宋体"/>
          <w:highlight w:val="none"/>
        </w:rPr>
      </w:pPr>
      <w:r>
        <w:rPr>
          <w:rFonts w:hint="eastAsia" w:hAnsi="宋体"/>
          <w:highlight w:val="none"/>
        </w:rPr>
        <w:t>全市6个省考断面全部达到了2020年水质目标要求。</w:t>
      </w:r>
    </w:p>
    <w:p>
      <w:pPr>
        <w:pStyle w:val="62"/>
        <w:ind w:firstLine="480"/>
        <w:rPr>
          <w:rFonts w:hAnsi="宋体"/>
          <w:highlight w:val="none"/>
        </w:rPr>
      </w:pPr>
      <w:r>
        <w:rPr>
          <w:rFonts w:hint="eastAsia" w:hAnsi="宋体"/>
          <w:highlight w:val="none"/>
        </w:rPr>
        <w:t>4.3.3.3忻州市2021年1月地表水环境质量情况通报</w:t>
      </w:r>
    </w:p>
    <w:p>
      <w:pPr>
        <w:pStyle w:val="62"/>
        <w:ind w:firstLine="480"/>
        <w:rPr>
          <w:rFonts w:hAnsi="宋体"/>
          <w:highlight w:val="none"/>
        </w:rPr>
      </w:pPr>
      <w:r>
        <w:rPr>
          <w:rFonts w:hint="eastAsia" w:hAnsi="宋体"/>
          <w:highlight w:val="none"/>
        </w:rPr>
        <w:t>本次评价收集到忻州市水防办2021年3月10日《2021年1月忻州市地表水监测断面水质情况月报》。</w:t>
      </w:r>
    </w:p>
    <w:p>
      <w:pPr>
        <w:pStyle w:val="62"/>
        <w:ind w:firstLine="480"/>
        <w:rPr>
          <w:rFonts w:hAnsi="宋体"/>
          <w:highlight w:val="none"/>
        </w:rPr>
      </w:pPr>
      <w:r>
        <w:rPr>
          <w:rFonts w:hint="eastAsia" w:hAnsi="宋体"/>
          <w:highlight w:val="none"/>
        </w:rPr>
        <w:t>忻州市2021年1月地表水断面水质状况如下：</w:t>
      </w:r>
    </w:p>
    <w:p>
      <w:pPr>
        <w:pStyle w:val="62"/>
        <w:ind w:firstLine="480"/>
        <w:rPr>
          <w:rFonts w:hAnsi="宋体"/>
          <w:highlight w:val="none"/>
        </w:rPr>
      </w:pPr>
      <w:r>
        <w:rPr>
          <w:rFonts w:hint="eastAsia" w:hAnsi="宋体"/>
          <w:highlight w:val="none"/>
        </w:rPr>
        <w:t>1、国家、省考核断面水质状况</w:t>
      </w:r>
    </w:p>
    <w:p>
      <w:pPr>
        <w:pStyle w:val="62"/>
        <w:ind w:firstLine="480"/>
        <w:rPr>
          <w:rFonts w:hAnsi="宋体"/>
          <w:highlight w:val="none"/>
        </w:rPr>
      </w:pPr>
      <w:r>
        <w:rPr>
          <w:rFonts w:hint="eastAsia" w:hAnsi="宋体"/>
          <w:highlight w:val="none"/>
        </w:rPr>
        <w:t>（1）考核断面</w:t>
      </w:r>
    </w:p>
    <w:p>
      <w:pPr>
        <w:pStyle w:val="62"/>
        <w:ind w:firstLine="480"/>
        <w:rPr>
          <w:rFonts w:hAnsi="宋体"/>
          <w:highlight w:val="none"/>
        </w:rPr>
      </w:pPr>
      <w:r>
        <w:rPr>
          <w:rFonts w:hint="eastAsia" w:hAnsi="宋体"/>
          <w:highlight w:val="none"/>
        </w:rPr>
        <w:t>我市共设置13个国家控制断面和7个省控断面。</w:t>
      </w:r>
    </w:p>
    <w:p>
      <w:pPr>
        <w:pStyle w:val="62"/>
        <w:ind w:firstLine="480"/>
        <w:rPr>
          <w:rFonts w:hAnsi="宋体"/>
          <w:highlight w:val="none"/>
        </w:rPr>
      </w:pPr>
      <w:r>
        <w:rPr>
          <w:rFonts w:hint="eastAsia" w:hAnsi="宋体"/>
          <w:highlight w:val="none"/>
        </w:rPr>
        <w:t>1）国考断面。13个国考断面分别是汾河河西村、汾河川胡屯、滹沱河碛塄、朱家川河花园子、偏关河关河口、岚漪河雷家坪、桑干河梵王寺、滹沱河下茹越、滹沱河代县桥、滹沱河定襄桥、牧马河陈家营、清水河坪上桥、滹沱河南庄。</w:t>
      </w:r>
    </w:p>
    <w:p>
      <w:pPr>
        <w:pStyle w:val="62"/>
        <w:ind w:firstLine="480"/>
        <w:rPr>
          <w:rFonts w:hAnsi="宋体"/>
          <w:highlight w:val="none"/>
        </w:rPr>
      </w:pPr>
      <w:r>
        <w:rPr>
          <w:rFonts w:hint="eastAsia" w:hAnsi="宋体"/>
          <w:highlight w:val="none"/>
        </w:rPr>
        <w:t>2）省考断面。7个省考断面分别是县川河禹庙、汾河雷鸣寺、青羊河茨沟营桥、滹沱河乔儿沟、滹沱河笔锋村、滹沱河泊水村、滹沱河界河铺村。</w:t>
      </w:r>
    </w:p>
    <w:p>
      <w:pPr>
        <w:pStyle w:val="62"/>
        <w:ind w:firstLine="480"/>
        <w:rPr>
          <w:rFonts w:hAnsi="宋体"/>
          <w:highlight w:val="none"/>
        </w:rPr>
      </w:pPr>
      <w:r>
        <w:rPr>
          <w:rFonts w:hint="eastAsia" w:hAnsi="宋体"/>
          <w:highlight w:val="none"/>
        </w:rPr>
        <w:t>（2）1月水质状况</w:t>
      </w:r>
    </w:p>
    <w:p>
      <w:pPr>
        <w:pStyle w:val="62"/>
        <w:ind w:firstLine="480"/>
        <w:rPr>
          <w:rFonts w:hAnsi="宋体"/>
          <w:highlight w:val="none"/>
        </w:rPr>
      </w:pPr>
      <w:r>
        <w:rPr>
          <w:rFonts w:hint="eastAsia" w:hAnsi="宋体"/>
          <w:highlight w:val="none"/>
        </w:rPr>
        <w:t>2021年1月，全市20个国、省考核断面，优良水质（I～III类）断面7个，占有数据国、省考断面总数的46.67%（国考断面优良水体4个，占有数据国考断面总数的44.44%）；IV类水质断面3个，占有数据国、省考断面总数的20%；V类水质断面3个，占有数据国、省考断面总数的20%；劣V类水质断面2个，占有数据国、省考断面总数的13.33%。陈家营、关河口、花园子、雷家坪和禹庙5个断面因结冰断流无数据。</w:t>
      </w:r>
    </w:p>
    <w:p>
      <w:pPr>
        <w:pStyle w:val="62"/>
        <w:ind w:firstLine="480"/>
        <w:rPr>
          <w:rFonts w:hAnsi="宋体"/>
          <w:highlight w:val="none"/>
        </w:rPr>
      </w:pPr>
      <w:r>
        <w:rPr>
          <w:rFonts w:hint="eastAsia" w:hAnsi="宋体"/>
          <w:highlight w:val="none"/>
        </w:rPr>
        <w:t>1）13个国考断面水质状况</w:t>
      </w:r>
    </w:p>
    <w:p>
      <w:pPr>
        <w:pStyle w:val="62"/>
        <w:ind w:firstLine="480"/>
        <w:rPr>
          <w:rFonts w:hAnsi="宋体"/>
          <w:highlight w:val="none"/>
        </w:rPr>
      </w:pPr>
      <w:r>
        <w:rPr>
          <w:rFonts w:hint="eastAsia" w:hAnsi="宋体"/>
          <w:highlight w:val="none"/>
        </w:rPr>
        <w:t>2021年1月，优良水质（I～III类）断面4个，分别是：坪上桥水质I类、碛塄水质I类、南庄水质II类、河西村水质II类。其余断面水质情况为：代县桥IV类、川胡屯IV类、梵王寺V类、下茹越V类和定襄桥劣V类。陈家营、关河口、花园子、雷家坪四个断面无数据。</w:t>
      </w:r>
    </w:p>
    <w:p>
      <w:pPr>
        <w:pStyle w:val="62"/>
        <w:ind w:firstLine="480"/>
        <w:rPr>
          <w:rFonts w:hAnsi="宋体"/>
          <w:highlight w:val="none"/>
        </w:rPr>
      </w:pPr>
      <w:r>
        <w:rPr>
          <w:rFonts w:hint="eastAsia" w:hAnsi="宋体"/>
          <w:highlight w:val="none"/>
        </w:rPr>
        <w:t>与去年同期相比，水质改善的断面是河西村断面（去年是III类，今年是II类）、碛塄断面（去年是II类，今年是I类），水质恶化的断面是梵王寺断面（去年是IV类，今年是V类）、下茹越断面（去年是IV类，今年是V类）、川胡屯断面（去年是II类，今年是IV类），其余断面持平或缺测。</w:t>
      </w:r>
    </w:p>
    <w:p>
      <w:pPr>
        <w:pStyle w:val="62"/>
        <w:ind w:firstLine="480"/>
        <w:rPr>
          <w:rFonts w:hAnsi="宋体"/>
          <w:highlight w:val="none"/>
        </w:rPr>
      </w:pPr>
      <w:r>
        <w:rPr>
          <w:rFonts w:hint="eastAsia" w:hAnsi="宋体"/>
          <w:highlight w:val="none"/>
        </w:rPr>
        <w:t>2）7个省考断面水质状况</w:t>
      </w:r>
    </w:p>
    <w:p>
      <w:pPr>
        <w:pStyle w:val="62"/>
        <w:ind w:firstLine="480"/>
        <w:rPr>
          <w:rFonts w:hAnsi="宋体"/>
          <w:highlight w:val="none"/>
        </w:rPr>
      </w:pPr>
      <w:r>
        <w:rPr>
          <w:rFonts w:hint="eastAsia" w:hAnsi="宋体"/>
          <w:highlight w:val="none"/>
        </w:rPr>
        <w:t>2021年1月，优良水质（I～III类）断面3个，分别是：雷鸣寺水质II类、茨沟营水质II类、乔儿沟水质II类</w:t>
      </w:r>
      <w:r>
        <w:rPr>
          <w:rFonts w:hint="eastAsia" w:hAnsi="宋体"/>
          <w:highlight w:val="none"/>
          <w:lang w:eastAsia="zh-CN"/>
        </w:rPr>
        <w:t>；</w:t>
      </w:r>
      <w:r>
        <w:rPr>
          <w:rFonts w:hint="eastAsia" w:hAnsi="宋体"/>
          <w:highlight w:val="none"/>
        </w:rPr>
        <w:t>其余断面水质情况为：泊水村IV类、界河铺村V类和笔锋村劣V类；禹庙断面无监测数据。</w:t>
      </w:r>
    </w:p>
    <w:p>
      <w:pPr>
        <w:pStyle w:val="65"/>
        <w:rPr>
          <w:rFonts w:hAnsi="宋体"/>
          <w:highlight w:val="none"/>
        </w:rPr>
      </w:pPr>
      <w:r>
        <w:rPr>
          <w:rFonts w:hint="eastAsia" w:hAnsi="宋体"/>
          <w:highlight w:val="none"/>
        </w:rPr>
        <w:t>表4.3-14  繁峙县断面水质状况表</w:t>
      </w:r>
    </w:p>
    <w:tbl>
      <w:tblPr>
        <w:tblStyle w:val="44"/>
        <w:tblW w:w="889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77"/>
        <w:gridCol w:w="848"/>
        <w:gridCol w:w="852"/>
        <w:gridCol w:w="959"/>
        <w:gridCol w:w="599"/>
        <w:gridCol w:w="993"/>
        <w:gridCol w:w="993"/>
        <w:gridCol w:w="852"/>
        <w:gridCol w:w="850"/>
        <w:gridCol w:w="850"/>
        <w:gridCol w:w="521"/>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8894" w:type="dxa"/>
            <w:gridSpan w:val="11"/>
            <w:tcMar>
              <w:top w:w="0" w:type="dxa"/>
              <w:left w:w="150" w:type="dxa"/>
              <w:bottom w:w="0" w:type="dxa"/>
              <w:right w:w="0" w:type="dxa"/>
            </w:tcMar>
            <w:vAlign w:val="center"/>
          </w:tcPr>
          <w:p>
            <w:pPr>
              <w:pStyle w:val="64"/>
              <w:rPr>
                <w:rFonts w:hAnsi="宋体"/>
                <w:highlight w:val="none"/>
              </w:rPr>
            </w:pPr>
            <w:r>
              <w:rPr>
                <w:rFonts w:hint="eastAsia" w:hAnsi="宋体"/>
                <w:highlight w:val="none"/>
              </w:rPr>
              <w:t>2021年1月忻州市地表水国、省考断面水质状况表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77" w:type="dxa"/>
            <w:tcMar>
              <w:top w:w="0" w:type="dxa"/>
              <w:left w:w="0" w:type="dxa"/>
              <w:bottom w:w="0" w:type="dxa"/>
              <w:right w:w="0" w:type="dxa"/>
            </w:tcMar>
            <w:vAlign w:val="center"/>
          </w:tcPr>
          <w:p>
            <w:pPr>
              <w:pStyle w:val="64"/>
              <w:rPr>
                <w:rFonts w:hAnsi="宋体"/>
                <w:highlight w:val="none"/>
              </w:rPr>
            </w:pPr>
            <w:r>
              <w:rPr>
                <w:rFonts w:hint="eastAsia" w:hAnsi="宋体"/>
                <w:highlight w:val="none"/>
              </w:rPr>
              <w:t>序号</w:t>
            </w:r>
          </w:p>
        </w:tc>
        <w:tc>
          <w:tcPr>
            <w:tcW w:w="848" w:type="dxa"/>
            <w:tcMar>
              <w:top w:w="0" w:type="dxa"/>
              <w:left w:w="0" w:type="dxa"/>
              <w:bottom w:w="0" w:type="dxa"/>
              <w:right w:w="0" w:type="dxa"/>
            </w:tcMar>
            <w:vAlign w:val="center"/>
          </w:tcPr>
          <w:p>
            <w:pPr>
              <w:pStyle w:val="64"/>
              <w:rPr>
                <w:rFonts w:hAnsi="宋体"/>
                <w:highlight w:val="none"/>
              </w:rPr>
            </w:pPr>
            <w:r>
              <w:rPr>
                <w:rFonts w:hint="eastAsia" w:hAnsi="宋体"/>
                <w:highlight w:val="none"/>
              </w:rPr>
              <w:t>断面名称</w:t>
            </w:r>
          </w:p>
        </w:tc>
        <w:tc>
          <w:tcPr>
            <w:tcW w:w="852" w:type="dxa"/>
            <w:tcMar>
              <w:top w:w="0" w:type="dxa"/>
              <w:left w:w="0" w:type="dxa"/>
              <w:bottom w:w="0" w:type="dxa"/>
              <w:right w:w="0" w:type="dxa"/>
            </w:tcMar>
            <w:vAlign w:val="center"/>
          </w:tcPr>
          <w:p>
            <w:pPr>
              <w:pStyle w:val="64"/>
              <w:rPr>
                <w:rFonts w:hAnsi="宋体"/>
                <w:highlight w:val="none"/>
              </w:rPr>
            </w:pPr>
            <w:r>
              <w:rPr>
                <w:rFonts w:hint="eastAsia" w:hAnsi="宋体"/>
                <w:highlight w:val="none"/>
              </w:rPr>
              <w:t>所在河流</w:t>
            </w:r>
          </w:p>
        </w:tc>
        <w:tc>
          <w:tcPr>
            <w:tcW w:w="959" w:type="dxa"/>
            <w:tcMar>
              <w:top w:w="0" w:type="dxa"/>
              <w:left w:w="0" w:type="dxa"/>
              <w:bottom w:w="0" w:type="dxa"/>
              <w:right w:w="0" w:type="dxa"/>
            </w:tcMar>
            <w:vAlign w:val="center"/>
          </w:tcPr>
          <w:p>
            <w:pPr>
              <w:pStyle w:val="64"/>
              <w:rPr>
                <w:rFonts w:hAnsi="宋体"/>
                <w:highlight w:val="none"/>
              </w:rPr>
            </w:pPr>
            <w:r>
              <w:rPr>
                <w:rFonts w:hint="eastAsia" w:hAnsi="宋体"/>
                <w:highlight w:val="none"/>
              </w:rPr>
              <w:t>采样时间</w:t>
            </w:r>
          </w:p>
        </w:tc>
        <w:tc>
          <w:tcPr>
            <w:tcW w:w="599" w:type="dxa"/>
            <w:tcMar>
              <w:top w:w="0" w:type="dxa"/>
              <w:left w:w="0" w:type="dxa"/>
              <w:bottom w:w="0" w:type="dxa"/>
              <w:right w:w="0" w:type="dxa"/>
            </w:tcMar>
            <w:vAlign w:val="center"/>
          </w:tcPr>
          <w:p>
            <w:pPr>
              <w:pStyle w:val="64"/>
              <w:rPr>
                <w:rFonts w:hAnsi="宋体"/>
                <w:highlight w:val="none"/>
              </w:rPr>
            </w:pPr>
            <w:r>
              <w:rPr>
                <w:rFonts w:hint="eastAsia" w:hAnsi="宋体"/>
                <w:highlight w:val="none"/>
              </w:rPr>
              <w:t>水质类别</w:t>
            </w:r>
          </w:p>
        </w:tc>
        <w:tc>
          <w:tcPr>
            <w:tcW w:w="993" w:type="dxa"/>
            <w:tcMar>
              <w:top w:w="0" w:type="dxa"/>
              <w:left w:w="0" w:type="dxa"/>
              <w:bottom w:w="0" w:type="dxa"/>
              <w:right w:w="0" w:type="dxa"/>
            </w:tcMar>
            <w:vAlign w:val="center"/>
          </w:tcPr>
          <w:p>
            <w:pPr>
              <w:pStyle w:val="64"/>
              <w:rPr>
                <w:rFonts w:hAnsi="宋体"/>
                <w:highlight w:val="none"/>
              </w:rPr>
            </w:pPr>
            <w:r>
              <w:rPr>
                <w:rFonts w:hint="eastAsia" w:hAnsi="宋体"/>
                <w:highlight w:val="none"/>
              </w:rPr>
              <w:t>高锰酸盐(mg/L)</w:t>
            </w:r>
          </w:p>
        </w:tc>
        <w:tc>
          <w:tcPr>
            <w:tcW w:w="993" w:type="dxa"/>
            <w:tcMar>
              <w:top w:w="0" w:type="dxa"/>
              <w:left w:w="0" w:type="dxa"/>
              <w:bottom w:w="0" w:type="dxa"/>
              <w:right w:w="0" w:type="dxa"/>
            </w:tcMar>
            <w:vAlign w:val="center"/>
          </w:tcPr>
          <w:p>
            <w:pPr>
              <w:pStyle w:val="64"/>
              <w:rPr>
                <w:rFonts w:hAnsi="宋体"/>
                <w:highlight w:val="none"/>
              </w:rPr>
            </w:pPr>
            <w:r>
              <w:rPr>
                <w:rFonts w:hint="eastAsia" w:hAnsi="宋体"/>
                <w:highlight w:val="none"/>
              </w:rPr>
              <w:t>化学需氧量(mg/L)</w:t>
            </w:r>
          </w:p>
        </w:tc>
        <w:tc>
          <w:tcPr>
            <w:tcW w:w="852" w:type="dxa"/>
            <w:tcMar>
              <w:top w:w="0" w:type="dxa"/>
              <w:left w:w="0" w:type="dxa"/>
              <w:bottom w:w="0" w:type="dxa"/>
              <w:right w:w="0" w:type="dxa"/>
            </w:tcMar>
            <w:vAlign w:val="center"/>
          </w:tcPr>
          <w:p>
            <w:pPr>
              <w:pStyle w:val="64"/>
              <w:rPr>
                <w:rFonts w:hAnsi="宋体"/>
                <w:highlight w:val="none"/>
              </w:rPr>
            </w:pPr>
            <w:r>
              <w:rPr>
                <w:rFonts w:hint="eastAsia" w:hAnsi="宋体"/>
                <w:highlight w:val="none"/>
              </w:rPr>
              <w:t>氨氮(mg/L)</w:t>
            </w:r>
          </w:p>
        </w:tc>
        <w:tc>
          <w:tcPr>
            <w:tcW w:w="850" w:type="dxa"/>
            <w:tcMar>
              <w:top w:w="0" w:type="dxa"/>
              <w:left w:w="0" w:type="dxa"/>
              <w:bottom w:w="0" w:type="dxa"/>
              <w:right w:w="0" w:type="dxa"/>
            </w:tcMar>
            <w:vAlign w:val="center"/>
          </w:tcPr>
          <w:p>
            <w:pPr>
              <w:pStyle w:val="64"/>
              <w:rPr>
                <w:rFonts w:hAnsi="宋体"/>
                <w:highlight w:val="none"/>
              </w:rPr>
            </w:pPr>
            <w:r>
              <w:rPr>
                <w:rFonts w:hint="eastAsia" w:hAnsi="宋体"/>
                <w:highlight w:val="none"/>
              </w:rPr>
              <w:t>总磷(mg/L)</w:t>
            </w:r>
          </w:p>
        </w:tc>
        <w:tc>
          <w:tcPr>
            <w:tcW w:w="850" w:type="dxa"/>
            <w:tcMar>
              <w:top w:w="0" w:type="dxa"/>
              <w:left w:w="0" w:type="dxa"/>
              <w:bottom w:w="0" w:type="dxa"/>
              <w:right w:w="0" w:type="dxa"/>
            </w:tcMar>
            <w:vAlign w:val="center"/>
          </w:tcPr>
          <w:p>
            <w:pPr>
              <w:pStyle w:val="64"/>
              <w:rPr>
                <w:rFonts w:hAnsi="宋体"/>
                <w:highlight w:val="none"/>
              </w:rPr>
            </w:pPr>
            <w:r>
              <w:rPr>
                <w:rFonts w:hint="eastAsia" w:hAnsi="宋体"/>
                <w:highlight w:val="none"/>
              </w:rPr>
              <w:t>断面性质</w:t>
            </w:r>
          </w:p>
        </w:tc>
        <w:tc>
          <w:tcPr>
            <w:tcW w:w="521" w:type="dxa"/>
            <w:tcMar>
              <w:top w:w="0" w:type="dxa"/>
              <w:left w:w="0" w:type="dxa"/>
              <w:bottom w:w="0" w:type="dxa"/>
              <w:right w:w="0" w:type="dxa"/>
            </w:tcMar>
            <w:vAlign w:val="center"/>
          </w:tcPr>
          <w:p>
            <w:pPr>
              <w:pStyle w:val="64"/>
              <w:rPr>
                <w:rFonts w:hAnsi="宋体"/>
                <w:highlight w:val="none"/>
              </w:rPr>
            </w:pPr>
            <w:r>
              <w:rPr>
                <w:rFonts w:hint="eastAsia" w:hAnsi="宋体"/>
                <w:highlight w:val="none"/>
              </w:rPr>
              <w:t>备注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77" w:type="dxa"/>
            <w:tcMar>
              <w:top w:w="0" w:type="dxa"/>
              <w:left w:w="150" w:type="dxa"/>
              <w:bottom w:w="0" w:type="dxa"/>
              <w:right w:w="0" w:type="dxa"/>
            </w:tcMar>
            <w:vAlign w:val="center"/>
          </w:tcPr>
          <w:p>
            <w:pPr>
              <w:pStyle w:val="64"/>
              <w:rPr>
                <w:rFonts w:hAnsi="宋体"/>
                <w:highlight w:val="none"/>
              </w:rPr>
            </w:pPr>
            <w:r>
              <w:rPr>
                <w:rFonts w:hint="eastAsia" w:hAnsi="宋体"/>
                <w:highlight w:val="none"/>
              </w:rPr>
              <w:t>1</w:t>
            </w:r>
          </w:p>
        </w:tc>
        <w:tc>
          <w:tcPr>
            <w:tcW w:w="848" w:type="dxa"/>
            <w:tcMar>
              <w:top w:w="0" w:type="dxa"/>
              <w:left w:w="0" w:type="dxa"/>
              <w:bottom w:w="0" w:type="dxa"/>
              <w:right w:w="0" w:type="dxa"/>
            </w:tcMar>
            <w:vAlign w:val="center"/>
          </w:tcPr>
          <w:p>
            <w:pPr>
              <w:pStyle w:val="64"/>
              <w:rPr>
                <w:rFonts w:hAnsi="宋体"/>
                <w:highlight w:val="none"/>
              </w:rPr>
            </w:pPr>
            <w:r>
              <w:rPr>
                <w:rFonts w:hint="eastAsia" w:hAnsi="宋体"/>
                <w:highlight w:val="none"/>
              </w:rPr>
              <w:t>下茹越</w:t>
            </w:r>
          </w:p>
        </w:tc>
        <w:tc>
          <w:tcPr>
            <w:tcW w:w="852" w:type="dxa"/>
            <w:tcMar>
              <w:top w:w="0" w:type="dxa"/>
              <w:left w:w="0" w:type="dxa"/>
              <w:bottom w:w="0" w:type="dxa"/>
              <w:right w:w="0" w:type="dxa"/>
            </w:tcMar>
            <w:vAlign w:val="center"/>
          </w:tcPr>
          <w:p>
            <w:pPr>
              <w:pStyle w:val="64"/>
              <w:rPr>
                <w:rFonts w:hAnsi="宋体"/>
                <w:highlight w:val="none"/>
              </w:rPr>
            </w:pPr>
            <w:r>
              <w:rPr>
                <w:rFonts w:hint="eastAsia" w:hAnsi="宋体"/>
                <w:highlight w:val="none"/>
              </w:rPr>
              <w:t>滹沱河</w:t>
            </w:r>
          </w:p>
        </w:tc>
        <w:tc>
          <w:tcPr>
            <w:tcW w:w="959" w:type="dxa"/>
            <w:tcMar>
              <w:top w:w="0" w:type="dxa"/>
              <w:left w:w="0" w:type="dxa"/>
              <w:bottom w:w="0" w:type="dxa"/>
              <w:right w:w="0" w:type="dxa"/>
            </w:tcMar>
            <w:vAlign w:val="center"/>
          </w:tcPr>
          <w:p>
            <w:pPr>
              <w:pStyle w:val="64"/>
              <w:rPr>
                <w:rFonts w:hAnsi="宋体"/>
                <w:highlight w:val="none"/>
              </w:rPr>
            </w:pPr>
            <w:r>
              <w:rPr>
                <w:rFonts w:hint="eastAsia" w:hAnsi="宋体"/>
                <w:highlight w:val="none"/>
              </w:rPr>
              <w:t>2021.01</w:t>
            </w:r>
          </w:p>
        </w:tc>
        <w:tc>
          <w:tcPr>
            <w:tcW w:w="599" w:type="dxa"/>
            <w:tcMar>
              <w:top w:w="0" w:type="dxa"/>
              <w:left w:w="0" w:type="dxa"/>
              <w:bottom w:w="0" w:type="dxa"/>
              <w:right w:w="0" w:type="dxa"/>
            </w:tcMar>
            <w:vAlign w:val="center"/>
          </w:tcPr>
          <w:p>
            <w:pPr>
              <w:pStyle w:val="64"/>
              <w:rPr>
                <w:rFonts w:hAnsi="宋体"/>
                <w:highlight w:val="none"/>
              </w:rPr>
            </w:pPr>
            <w:r>
              <w:rPr>
                <w:rFonts w:hint="eastAsia" w:hAnsi="宋体"/>
                <w:highlight w:val="none"/>
              </w:rPr>
              <w:t>Ⅴ</w:t>
            </w:r>
          </w:p>
        </w:tc>
        <w:tc>
          <w:tcPr>
            <w:tcW w:w="993" w:type="dxa"/>
            <w:tcMar>
              <w:top w:w="0" w:type="dxa"/>
              <w:left w:w="0" w:type="dxa"/>
              <w:bottom w:w="0" w:type="dxa"/>
              <w:right w:w="0" w:type="dxa"/>
            </w:tcMar>
            <w:vAlign w:val="center"/>
          </w:tcPr>
          <w:p>
            <w:pPr>
              <w:pStyle w:val="64"/>
              <w:rPr>
                <w:rFonts w:hAnsi="宋体"/>
                <w:highlight w:val="none"/>
              </w:rPr>
            </w:pPr>
            <w:r>
              <w:rPr>
                <w:rFonts w:hint="eastAsia" w:hAnsi="宋体"/>
                <w:highlight w:val="none"/>
              </w:rPr>
              <w:t>4</w:t>
            </w:r>
          </w:p>
        </w:tc>
        <w:tc>
          <w:tcPr>
            <w:tcW w:w="993" w:type="dxa"/>
            <w:tcMar>
              <w:top w:w="0" w:type="dxa"/>
              <w:left w:w="0" w:type="dxa"/>
              <w:bottom w:w="0" w:type="dxa"/>
              <w:right w:w="0" w:type="dxa"/>
            </w:tcMar>
            <w:vAlign w:val="center"/>
          </w:tcPr>
          <w:p>
            <w:pPr>
              <w:pStyle w:val="64"/>
              <w:rPr>
                <w:rFonts w:hAnsi="宋体"/>
                <w:highlight w:val="none"/>
              </w:rPr>
            </w:pPr>
            <w:r>
              <w:rPr>
                <w:rFonts w:hint="eastAsia" w:hAnsi="宋体"/>
                <w:highlight w:val="none"/>
              </w:rPr>
              <w:t>18</w:t>
            </w:r>
          </w:p>
        </w:tc>
        <w:tc>
          <w:tcPr>
            <w:tcW w:w="852" w:type="dxa"/>
            <w:tcMar>
              <w:top w:w="0" w:type="dxa"/>
              <w:left w:w="0" w:type="dxa"/>
              <w:bottom w:w="0" w:type="dxa"/>
              <w:right w:w="0" w:type="dxa"/>
            </w:tcMar>
            <w:vAlign w:val="center"/>
          </w:tcPr>
          <w:p>
            <w:pPr>
              <w:pStyle w:val="64"/>
              <w:rPr>
                <w:rFonts w:hAnsi="宋体"/>
                <w:highlight w:val="none"/>
              </w:rPr>
            </w:pPr>
            <w:r>
              <w:rPr>
                <w:rFonts w:hint="eastAsia" w:hAnsi="宋体"/>
                <w:highlight w:val="none"/>
              </w:rPr>
              <w:t>1.84</w:t>
            </w:r>
          </w:p>
        </w:tc>
        <w:tc>
          <w:tcPr>
            <w:tcW w:w="850" w:type="dxa"/>
            <w:tcMar>
              <w:top w:w="0" w:type="dxa"/>
              <w:left w:w="0" w:type="dxa"/>
              <w:bottom w:w="0" w:type="dxa"/>
              <w:right w:w="0" w:type="dxa"/>
            </w:tcMar>
            <w:vAlign w:val="center"/>
          </w:tcPr>
          <w:p>
            <w:pPr>
              <w:pStyle w:val="64"/>
              <w:rPr>
                <w:rFonts w:hAnsi="宋体"/>
                <w:highlight w:val="none"/>
              </w:rPr>
            </w:pPr>
            <w:r>
              <w:rPr>
                <w:rFonts w:hint="eastAsia" w:hAnsi="宋体"/>
                <w:highlight w:val="none"/>
              </w:rPr>
              <w:t>0.05</w:t>
            </w:r>
          </w:p>
        </w:tc>
        <w:tc>
          <w:tcPr>
            <w:tcW w:w="850" w:type="dxa"/>
            <w:tcMar>
              <w:top w:w="0" w:type="dxa"/>
              <w:left w:w="0" w:type="dxa"/>
              <w:bottom w:w="0" w:type="dxa"/>
              <w:right w:w="0" w:type="dxa"/>
            </w:tcMar>
            <w:vAlign w:val="center"/>
          </w:tcPr>
          <w:p>
            <w:pPr>
              <w:pStyle w:val="64"/>
              <w:rPr>
                <w:rFonts w:hAnsi="宋体"/>
                <w:highlight w:val="none"/>
              </w:rPr>
            </w:pPr>
            <w:r>
              <w:rPr>
                <w:rFonts w:hint="eastAsia" w:hAnsi="宋体"/>
                <w:highlight w:val="none"/>
              </w:rPr>
              <w:t>国考</w:t>
            </w:r>
          </w:p>
        </w:tc>
        <w:tc>
          <w:tcPr>
            <w:tcW w:w="521" w:type="dxa"/>
            <w:tcMar>
              <w:top w:w="0" w:type="dxa"/>
              <w:left w:w="150" w:type="dxa"/>
              <w:bottom w:w="0" w:type="dxa"/>
              <w:right w:w="0" w:type="dxa"/>
            </w:tcMar>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77" w:type="dxa"/>
            <w:tcMar>
              <w:top w:w="0" w:type="dxa"/>
              <w:left w:w="150" w:type="dxa"/>
              <w:bottom w:w="0" w:type="dxa"/>
              <w:right w:w="0" w:type="dxa"/>
            </w:tcMar>
            <w:vAlign w:val="center"/>
          </w:tcPr>
          <w:p>
            <w:pPr>
              <w:pStyle w:val="64"/>
              <w:rPr>
                <w:rFonts w:hAnsi="宋体"/>
                <w:highlight w:val="none"/>
              </w:rPr>
            </w:pPr>
            <w:r>
              <w:rPr>
                <w:rFonts w:hint="eastAsia" w:hAnsi="宋体"/>
                <w:highlight w:val="none"/>
              </w:rPr>
              <w:t>2</w:t>
            </w:r>
          </w:p>
        </w:tc>
        <w:tc>
          <w:tcPr>
            <w:tcW w:w="848" w:type="dxa"/>
            <w:tcMar>
              <w:top w:w="0" w:type="dxa"/>
              <w:left w:w="0" w:type="dxa"/>
              <w:bottom w:w="0" w:type="dxa"/>
              <w:right w:w="0" w:type="dxa"/>
            </w:tcMar>
            <w:vAlign w:val="center"/>
          </w:tcPr>
          <w:p>
            <w:pPr>
              <w:pStyle w:val="64"/>
              <w:rPr>
                <w:rFonts w:hAnsi="宋体"/>
                <w:highlight w:val="none"/>
              </w:rPr>
            </w:pPr>
            <w:r>
              <w:rPr>
                <w:rFonts w:hint="eastAsia" w:hAnsi="宋体"/>
                <w:highlight w:val="none"/>
              </w:rPr>
              <w:t>笔锋村</w:t>
            </w:r>
          </w:p>
        </w:tc>
        <w:tc>
          <w:tcPr>
            <w:tcW w:w="852" w:type="dxa"/>
            <w:tcMar>
              <w:top w:w="0" w:type="dxa"/>
              <w:left w:w="0" w:type="dxa"/>
              <w:bottom w:w="0" w:type="dxa"/>
              <w:right w:w="0" w:type="dxa"/>
            </w:tcMar>
            <w:vAlign w:val="center"/>
          </w:tcPr>
          <w:p>
            <w:pPr>
              <w:pStyle w:val="64"/>
              <w:rPr>
                <w:rFonts w:hAnsi="宋体"/>
                <w:highlight w:val="none"/>
              </w:rPr>
            </w:pPr>
            <w:r>
              <w:rPr>
                <w:rFonts w:hint="eastAsia" w:hAnsi="宋体"/>
                <w:highlight w:val="none"/>
              </w:rPr>
              <w:t>滹沱河</w:t>
            </w:r>
          </w:p>
        </w:tc>
        <w:tc>
          <w:tcPr>
            <w:tcW w:w="959" w:type="dxa"/>
            <w:tcMar>
              <w:top w:w="0" w:type="dxa"/>
              <w:left w:w="0" w:type="dxa"/>
              <w:bottom w:w="0" w:type="dxa"/>
              <w:right w:w="0" w:type="dxa"/>
            </w:tcMar>
            <w:vAlign w:val="center"/>
          </w:tcPr>
          <w:p>
            <w:pPr>
              <w:pStyle w:val="64"/>
              <w:rPr>
                <w:rFonts w:hAnsi="宋体"/>
                <w:highlight w:val="none"/>
              </w:rPr>
            </w:pPr>
            <w:r>
              <w:rPr>
                <w:rFonts w:hint="eastAsia" w:hAnsi="宋体"/>
                <w:highlight w:val="none"/>
              </w:rPr>
              <w:t>2021.01</w:t>
            </w:r>
          </w:p>
        </w:tc>
        <w:tc>
          <w:tcPr>
            <w:tcW w:w="599" w:type="dxa"/>
            <w:tcMar>
              <w:top w:w="0" w:type="dxa"/>
              <w:left w:w="0" w:type="dxa"/>
              <w:bottom w:w="0" w:type="dxa"/>
              <w:right w:w="0" w:type="dxa"/>
            </w:tcMar>
            <w:vAlign w:val="center"/>
          </w:tcPr>
          <w:p>
            <w:pPr>
              <w:pStyle w:val="64"/>
              <w:rPr>
                <w:rFonts w:hAnsi="宋体"/>
                <w:highlight w:val="none"/>
              </w:rPr>
            </w:pPr>
            <w:r>
              <w:rPr>
                <w:rFonts w:hint="eastAsia" w:hAnsi="宋体"/>
                <w:highlight w:val="none"/>
              </w:rPr>
              <w:t>劣Ⅴ</w:t>
            </w:r>
          </w:p>
        </w:tc>
        <w:tc>
          <w:tcPr>
            <w:tcW w:w="993" w:type="dxa"/>
            <w:tcMar>
              <w:top w:w="0" w:type="dxa"/>
              <w:left w:w="0" w:type="dxa"/>
              <w:bottom w:w="0" w:type="dxa"/>
              <w:right w:w="0" w:type="dxa"/>
            </w:tcMar>
            <w:vAlign w:val="center"/>
          </w:tcPr>
          <w:p>
            <w:pPr>
              <w:pStyle w:val="64"/>
              <w:rPr>
                <w:rFonts w:hAnsi="宋体"/>
                <w:highlight w:val="none"/>
              </w:rPr>
            </w:pPr>
            <w:r>
              <w:rPr>
                <w:rFonts w:hint="eastAsia" w:hAnsi="宋体"/>
                <w:highlight w:val="none"/>
              </w:rPr>
              <w:t>6.2</w:t>
            </w:r>
          </w:p>
        </w:tc>
        <w:tc>
          <w:tcPr>
            <w:tcW w:w="993" w:type="dxa"/>
            <w:tcMar>
              <w:top w:w="0" w:type="dxa"/>
              <w:left w:w="0" w:type="dxa"/>
              <w:bottom w:w="0" w:type="dxa"/>
              <w:right w:w="0" w:type="dxa"/>
            </w:tcMar>
            <w:vAlign w:val="center"/>
          </w:tcPr>
          <w:p>
            <w:pPr>
              <w:pStyle w:val="64"/>
              <w:rPr>
                <w:rFonts w:hAnsi="宋体"/>
                <w:highlight w:val="none"/>
              </w:rPr>
            </w:pPr>
            <w:r>
              <w:rPr>
                <w:rFonts w:hint="eastAsia" w:hAnsi="宋体"/>
                <w:highlight w:val="none"/>
              </w:rPr>
              <w:t>24.1</w:t>
            </w:r>
          </w:p>
        </w:tc>
        <w:tc>
          <w:tcPr>
            <w:tcW w:w="852" w:type="dxa"/>
            <w:tcMar>
              <w:top w:w="0" w:type="dxa"/>
              <w:left w:w="0" w:type="dxa"/>
              <w:bottom w:w="0" w:type="dxa"/>
              <w:right w:w="0" w:type="dxa"/>
            </w:tcMar>
            <w:vAlign w:val="center"/>
          </w:tcPr>
          <w:p>
            <w:pPr>
              <w:pStyle w:val="64"/>
              <w:rPr>
                <w:rFonts w:hAnsi="宋体"/>
                <w:highlight w:val="none"/>
              </w:rPr>
            </w:pPr>
            <w:r>
              <w:rPr>
                <w:rFonts w:hint="eastAsia" w:hAnsi="宋体"/>
                <w:highlight w:val="none"/>
              </w:rPr>
              <w:t>3.58</w:t>
            </w:r>
          </w:p>
        </w:tc>
        <w:tc>
          <w:tcPr>
            <w:tcW w:w="850" w:type="dxa"/>
            <w:tcMar>
              <w:top w:w="0" w:type="dxa"/>
              <w:left w:w="0" w:type="dxa"/>
              <w:bottom w:w="0" w:type="dxa"/>
              <w:right w:w="0" w:type="dxa"/>
            </w:tcMar>
            <w:vAlign w:val="center"/>
          </w:tcPr>
          <w:p>
            <w:pPr>
              <w:pStyle w:val="64"/>
              <w:rPr>
                <w:rFonts w:hAnsi="宋体"/>
                <w:highlight w:val="none"/>
              </w:rPr>
            </w:pPr>
            <w:r>
              <w:rPr>
                <w:rFonts w:hint="eastAsia" w:hAnsi="宋体"/>
                <w:highlight w:val="none"/>
              </w:rPr>
              <w:t>0.579</w:t>
            </w:r>
          </w:p>
        </w:tc>
        <w:tc>
          <w:tcPr>
            <w:tcW w:w="850" w:type="dxa"/>
            <w:tcMar>
              <w:top w:w="0" w:type="dxa"/>
              <w:left w:w="0" w:type="dxa"/>
              <w:bottom w:w="0" w:type="dxa"/>
              <w:right w:w="0" w:type="dxa"/>
            </w:tcMar>
            <w:vAlign w:val="center"/>
          </w:tcPr>
          <w:p>
            <w:pPr>
              <w:pStyle w:val="64"/>
              <w:rPr>
                <w:rFonts w:hAnsi="宋体"/>
                <w:highlight w:val="none"/>
              </w:rPr>
            </w:pPr>
            <w:r>
              <w:rPr>
                <w:rFonts w:hint="eastAsia" w:hAnsi="宋体"/>
                <w:highlight w:val="none"/>
              </w:rPr>
              <w:t>省考</w:t>
            </w:r>
          </w:p>
        </w:tc>
        <w:tc>
          <w:tcPr>
            <w:tcW w:w="521" w:type="dxa"/>
            <w:tcMar>
              <w:top w:w="0" w:type="dxa"/>
              <w:left w:w="150" w:type="dxa"/>
              <w:bottom w:w="0" w:type="dxa"/>
              <w:right w:w="0" w:type="dxa"/>
            </w:tcMar>
            <w:vAlign w:val="center"/>
          </w:tcPr>
          <w:p>
            <w:pPr>
              <w:pStyle w:val="64"/>
              <w:rPr>
                <w:rFonts w:hAnsi="宋体"/>
                <w:highlight w:val="none"/>
              </w:rPr>
            </w:pPr>
          </w:p>
        </w:tc>
      </w:tr>
    </w:tbl>
    <w:p>
      <w:pPr>
        <w:pStyle w:val="62"/>
        <w:ind w:firstLine="480"/>
        <w:rPr>
          <w:rFonts w:hAnsi="宋体"/>
          <w:highlight w:val="none"/>
        </w:rPr>
      </w:pPr>
      <w:r>
        <w:rPr>
          <w:rFonts w:hint="eastAsia" w:hAnsi="宋体"/>
          <w:highlight w:val="none"/>
        </w:rPr>
        <w:t>从上表可以看出，滹沱河2021年1月水质不能满足III类水质要求。</w:t>
      </w:r>
    </w:p>
    <w:p>
      <w:pPr>
        <w:pStyle w:val="4"/>
        <w:ind w:firstLine="562"/>
        <w:rPr>
          <w:rFonts w:hAnsi="宋体"/>
          <w:highlight w:val="none"/>
        </w:rPr>
      </w:pPr>
      <w:r>
        <w:rPr>
          <w:rFonts w:hAnsi="宋体"/>
          <w:highlight w:val="none"/>
        </w:rPr>
        <w:t>4.3.</w:t>
      </w:r>
      <w:r>
        <w:rPr>
          <w:rFonts w:hint="eastAsia" w:hAnsi="宋体"/>
          <w:highlight w:val="none"/>
        </w:rPr>
        <w:t>4</w:t>
      </w:r>
      <w:r>
        <w:rPr>
          <w:rFonts w:hAnsi="宋体"/>
          <w:highlight w:val="none"/>
        </w:rPr>
        <w:t>声环境现状监测与评价</w:t>
      </w:r>
      <w:bookmarkEnd w:id="144"/>
    </w:p>
    <w:p>
      <w:pPr>
        <w:ind w:firstLine="480"/>
        <w:rPr>
          <w:rFonts w:ascii="宋体" w:hAnsi="宋体"/>
          <w:highlight w:val="none"/>
        </w:rPr>
      </w:pPr>
      <w:r>
        <w:rPr>
          <w:rFonts w:hint="eastAsia" w:ascii="宋体" w:hAnsi="宋体"/>
          <w:highlight w:val="none"/>
        </w:rPr>
        <w:t>1、</w:t>
      </w:r>
      <w:r>
        <w:rPr>
          <w:rFonts w:ascii="宋体" w:hAnsi="宋体"/>
          <w:highlight w:val="none"/>
        </w:rPr>
        <w:t>监测点的布设</w:t>
      </w:r>
    </w:p>
    <w:p>
      <w:pPr>
        <w:ind w:firstLine="480"/>
        <w:rPr>
          <w:rFonts w:ascii="宋体" w:hAnsi="宋体"/>
          <w:highlight w:val="none"/>
        </w:rPr>
      </w:pPr>
      <w:r>
        <w:rPr>
          <w:rFonts w:hint="eastAsia" w:ascii="宋体" w:hAnsi="宋体"/>
          <w:highlight w:val="none"/>
        </w:rPr>
        <w:t>为了反映本区域环境噪声背景水平，根据工程特征和环境状况，本项目声环境现状监测布设4个厂界监测点位，尾矿库布设4个厂界监测点位</w:t>
      </w:r>
      <w:r>
        <w:rPr>
          <w:rFonts w:ascii="宋体" w:hAnsi="宋体"/>
          <w:highlight w:val="none"/>
        </w:rPr>
        <w:t>。监测点相对位置见表4.3-1</w:t>
      </w:r>
      <w:r>
        <w:rPr>
          <w:rFonts w:hint="eastAsia" w:ascii="宋体" w:hAnsi="宋体"/>
          <w:highlight w:val="none"/>
        </w:rPr>
        <w:t>5</w:t>
      </w:r>
      <w:r>
        <w:rPr>
          <w:rFonts w:ascii="宋体" w:hAnsi="宋体"/>
          <w:highlight w:val="none"/>
        </w:rPr>
        <w:t>，监测布点见图4</w:t>
      </w:r>
      <w:r>
        <w:rPr>
          <w:rFonts w:hint="eastAsia" w:ascii="宋体" w:hAnsi="宋体"/>
          <w:highlight w:val="none"/>
        </w:rPr>
        <w:t>-</w:t>
      </w:r>
      <w:r>
        <w:rPr>
          <w:rFonts w:ascii="宋体" w:hAnsi="宋体"/>
          <w:highlight w:val="none"/>
        </w:rPr>
        <w:t>1。</w:t>
      </w:r>
    </w:p>
    <w:p>
      <w:pPr>
        <w:pStyle w:val="65"/>
        <w:rPr>
          <w:rFonts w:hAnsi="宋体"/>
          <w:highlight w:val="none"/>
        </w:rPr>
      </w:pPr>
      <w:r>
        <w:rPr>
          <w:rFonts w:hAnsi="宋体"/>
          <w:highlight w:val="none"/>
        </w:rPr>
        <w:t>表4.3-1</w:t>
      </w:r>
      <w:r>
        <w:rPr>
          <w:rFonts w:hint="eastAsia" w:hAnsi="宋体"/>
          <w:highlight w:val="none"/>
        </w:rPr>
        <w:t>5</w:t>
      </w:r>
      <w:r>
        <w:rPr>
          <w:rFonts w:hAnsi="宋体"/>
          <w:highlight w:val="none"/>
        </w:rPr>
        <w:t xml:space="preserve">  声环境质量现状监测点布置表</w:t>
      </w:r>
    </w:p>
    <w:tbl>
      <w:tblPr>
        <w:tblStyle w:val="44"/>
        <w:tblW w:w="8946"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133"/>
        <w:gridCol w:w="581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编号</w:t>
            </w:r>
          </w:p>
        </w:tc>
        <w:tc>
          <w:tcPr>
            <w:tcW w:w="581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监测点</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1</w:t>
            </w:r>
          </w:p>
        </w:tc>
        <w:tc>
          <w:tcPr>
            <w:tcW w:w="581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厂界西</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2</w:t>
            </w:r>
          </w:p>
        </w:tc>
        <w:tc>
          <w:tcPr>
            <w:tcW w:w="581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厂界北</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3</w:t>
            </w:r>
          </w:p>
        </w:tc>
        <w:tc>
          <w:tcPr>
            <w:tcW w:w="581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厂界东</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4</w:t>
            </w:r>
          </w:p>
        </w:tc>
        <w:tc>
          <w:tcPr>
            <w:tcW w:w="581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厂界南</w:t>
            </w:r>
          </w:p>
        </w:tc>
      </w:tr>
    </w:tbl>
    <w:p>
      <w:pPr>
        <w:pStyle w:val="65"/>
        <w:rPr>
          <w:rFonts w:hAnsi="宋体"/>
          <w:highlight w:val="none"/>
        </w:rPr>
      </w:pPr>
      <w:r>
        <w:rPr>
          <w:rFonts w:hAnsi="宋体"/>
          <w:highlight w:val="none"/>
        </w:rPr>
        <w:t>续表4.3-1</w:t>
      </w:r>
      <w:r>
        <w:rPr>
          <w:rFonts w:hint="eastAsia" w:hAnsi="宋体"/>
          <w:highlight w:val="none"/>
        </w:rPr>
        <w:t>5</w:t>
      </w:r>
      <w:r>
        <w:rPr>
          <w:rFonts w:hAnsi="宋体"/>
          <w:highlight w:val="none"/>
        </w:rPr>
        <w:t xml:space="preserve">  声环境质量现状监测点布置表</w:t>
      </w:r>
    </w:p>
    <w:tbl>
      <w:tblPr>
        <w:tblStyle w:val="44"/>
        <w:tblW w:w="8946"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133"/>
        <w:gridCol w:w="581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编号</w:t>
            </w:r>
          </w:p>
        </w:tc>
        <w:tc>
          <w:tcPr>
            <w:tcW w:w="581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监测点</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1</w:t>
            </w:r>
          </w:p>
        </w:tc>
        <w:tc>
          <w:tcPr>
            <w:tcW w:w="5813" w:type="dxa"/>
            <w:vAlign w:val="center"/>
          </w:tcPr>
          <w:p>
            <w:pPr>
              <w:spacing w:line="320" w:lineRule="exact"/>
              <w:ind w:firstLine="0" w:firstLineChars="0"/>
              <w:jc w:val="center"/>
              <w:rPr>
                <w:rFonts w:ascii="宋体" w:hAnsi="宋体"/>
                <w:sz w:val="21"/>
                <w:highlight w:val="none"/>
              </w:rPr>
            </w:pPr>
            <w:r>
              <w:rPr>
                <w:rFonts w:hint="eastAsia" w:ascii="宋体" w:hAnsi="宋体"/>
                <w:sz w:val="21"/>
                <w:szCs w:val="22"/>
                <w:highlight w:val="none"/>
              </w:rPr>
              <w:t>尾矿库</w:t>
            </w:r>
            <w:r>
              <w:rPr>
                <w:rFonts w:ascii="宋体" w:hAnsi="宋体"/>
                <w:sz w:val="21"/>
                <w:highlight w:val="none"/>
              </w:rPr>
              <w:t>厂界西</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2</w:t>
            </w:r>
          </w:p>
        </w:tc>
        <w:tc>
          <w:tcPr>
            <w:tcW w:w="5813" w:type="dxa"/>
            <w:vAlign w:val="center"/>
          </w:tcPr>
          <w:p>
            <w:pPr>
              <w:spacing w:line="320" w:lineRule="exact"/>
              <w:ind w:firstLine="0" w:firstLineChars="0"/>
              <w:jc w:val="center"/>
              <w:rPr>
                <w:rFonts w:ascii="宋体" w:hAnsi="宋体"/>
                <w:sz w:val="21"/>
                <w:highlight w:val="none"/>
              </w:rPr>
            </w:pPr>
            <w:r>
              <w:rPr>
                <w:rFonts w:hint="eastAsia" w:ascii="宋体" w:hAnsi="宋体"/>
                <w:sz w:val="21"/>
                <w:szCs w:val="22"/>
                <w:highlight w:val="none"/>
              </w:rPr>
              <w:t>尾矿库</w:t>
            </w:r>
            <w:r>
              <w:rPr>
                <w:rFonts w:ascii="宋体" w:hAnsi="宋体"/>
                <w:sz w:val="21"/>
                <w:highlight w:val="none"/>
              </w:rPr>
              <w:t>厂界北</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3</w:t>
            </w:r>
          </w:p>
        </w:tc>
        <w:tc>
          <w:tcPr>
            <w:tcW w:w="5813" w:type="dxa"/>
            <w:vAlign w:val="center"/>
          </w:tcPr>
          <w:p>
            <w:pPr>
              <w:spacing w:line="320" w:lineRule="exact"/>
              <w:ind w:firstLine="0" w:firstLineChars="0"/>
              <w:jc w:val="center"/>
              <w:rPr>
                <w:rFonts w:ascii="宋体" w:hAnsi="宋体"/>
                <w:sz w:val="21"/>
                <w:highlight w:val="none"/>
              </w:rPr>
            </w:pPr>
            <w:r>
              <w:rPr>
                <w:rFonts w:hint="eastAsia" w:ascii="宋体" w:hAnsi="宋体"/>
                <w:sz w:val="21"/>
                <w:szCs w:val="22"/>
                <w:highlight w:val="none"/>
              </w:rPr>
              <w:t>尾矿库</w:t>
            </w:r>
            <w:r>
              <w:rPr>
                <w:rFonts w:ascii="宋体" w:hAnsi="宋体"/>
                <w:sz w:val="21"/>
                <w:highlight w:val="none"/>
              </w:rPr>
              <w:t>厂界东</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133" w:type="dxa"/>
            <w:vAlign w:val="center"/>
          </w:tcPr>
          <w:p>
            <w:pPr>
              <w:spacing w:line="320" w:lineRule="exact"/>
              <w:ind w:firstLine="0" w:firstLineChars="0"/>
              <w:jc w:val="center"/>
              <w:rPr>
                <w:rFonts w:ascii="宋体" w:hAnsi="宋体"/>
                <w:sz w:val="21"/>
                <w:highlight w:val="none"/>
              </w:rPr>
            </w:pPr>
            <w:r>
              <w:rPr>
                <w:rFonts w:ascii="宋体" w:hAnsi="宋体"/>
                <w:sz w:val="21"/>
                <w:highlight w:val="none"/>
              </w:rPr>
              <w:t>4</w:t>
            </w:r>
          </w:p>
        </w:tc>
        <w:tc>
          <w:tcPr>
            <w:tcW w:w="5813" w:type="dxa"/>
            <w:vAlign w:val="center"/>
          </w:tcPr>
          <w:p>
            <w:pPr>
              <w:spacing w:line="320" w:lineRule="exact"/>
              <w:ind w:firstLine="0" w:firstLineChars="0"/>
              <w:jc w:val="center"/>
              <w:rPr>
                <w:rFonts w:ascii="宋体" w:hAnsi="宋体"/>
                <w:sz w:val="21"/>
                <w:highlight w:val="none"/>
              </w:rPr>
            </w:pPr>
            <w:r>
              <w:rPr>
                <w:rFonts w:hint="eastAsia" w:ascii="宋体" w:hAnsi="宋体"/>
                <w:sz w:val="21"/>
                <w:szCs w:val="22"/>
                <w:highlight w:val="none"/>
              </w:rPr>
              <w:t>尾矿库</w:t>
            </w:r>
            <w:r>
              <w:rPr>
                <w:rFonts w:ascii="宋体" w:hAnsi="宋体"/>
                <w:sz w:val="21"/>
                <w:highlight w:val="none"/>
              </w:rPr>
              <w:t>厂界南</w:t>
            </w:r>
          </w:p>
        </w:tc>
      </w:tr>
    </w:tbl>
    <w:p>
      <w:pPr>
        <w:ind w:firstLine="480"/>
        <w:rPr>
          <w:rFonts w:ascii="宋体" w:hAnsi="宋体"/>
          <w:highlight w:val="none"/>
        </w:rPr>
      </w:pPr>
      <w:r>
        <w:rPr>
          <w:rFonts w:hint="eastAsia" w:ascii="宋体" w:hAnsi="宋体"/>
          <w:highlight w:val="none"/>
        </w:rPr>
        <w:t>2、</w:t>
      </w:r>
      <w:r>
        <w:rPr>
          <w:rFonts w:ascii="宋体" w:hAnsi="宋体"/>
          <w:highlight w:val="none"/>
        </w:rPr>
        <w:t>监测频率、时间</w:t>
      </w:r>
    </w:p>
    <w:p>
      <w:pPr>
        <w:ind w:firstLine="480"/>
        <w:rPr>
          <w:rFonts w:ascii="宋体" w:hAnsi="宋体"/>
          <w:kern w:val="0"/>
          <w:highlight w:val="none"/>
          <w:lang w:val="zh-CN"/>
        </w:rPr>
      </w:pPr>
      <w:r>
        <w:rPr>
          <w:rFonts w:ascii="宋体" w:hAnsi="宋体"/>
          <w:kern w:val="0"/>
          <w:highlight w:val="none"/>
        </w:rPr>
        <w:t>北京京畿分析测试中心有限公司</w:t>
      </w:r>
      <w:r>
        <w:rPr>
          <w:rFonts w:ascii="宋体" w:hAnsi="宋体"/>
          <w:kern w:val="0"/>
          <w:highlight w:val="none"/>
          <w:lang w:val="zh-CN"/>
        </w:rPr>
        <w:t>于202</w:t>
      </w:r>
      <w:r>
        <w:rPr>
          <w:rFonts w:hint="eastAsia" w:ascii="宋体" w:hAnsi="宋体"/>
          <w:kern w:val="0"/>
          <w:highlight w:val="none"/>
          <w:lang w:val="zh-CN"/>
        </w:rPr>
        <w:t>1</w:t>
      </w:r>
      <w:r>
        <w:rPr>
          <w:rFonts w:ascii="宋体" w:hAnsi="宋体"/>
          <w:kern w:val="0"/>
          <w:highlight w:val="none"/>
          <w:lang w:val="zh-CN"/>
        </w:rPr>
        <w:t>年</w:t>
      </w:r>
      <w:r>
        <w:rPr>
          <w:rFonts w:hint="eastAsia" w:ascii="宋体" w:hAnsi="宋体"/>
          <w:kern w:val="0"/>
          <w:highlight w:val="none"/>
          <w:lang w:val="zh-CN"/>
        </w:rPr>
        <w:t>3</w:t>
      </w:r>
      <w:r>
        <w:rPr>
          <w:rFonts w:ascii="宋体" w:hAnsi="宋体"/>
          <w:kern w:val="0"/>
          <w:highlight w:val="none"/>
          <w:lang w:val="zh-CN"/>
        </w:rPr>
        <w:t>月</w:t>
      </w:r>
      <w:r>
        <w:rPr>
          <w:rFonts w:hint="eastAsia" w:ascii="宋体" w:hAnsi="宋体"/>
          <w:kern w:val="0"/>
          <w:highlight w:val="none"/>
          <w:lang w:val="zh-CN"/>
        </w:rPr>
        <w:t>27</w:t>
      </w:r>
      <w:r>
        <w:rPr>
          <w:rFonts w:ascii="宋体" w:hAnsi="宋体"/>
          <w:kern w:val="0"/>
          <w:highlight w:val="none"/>
          <w:lang w:val="zh-CN"/>
        </w:rPr>
        <w:t>日对项目区周围声环境质量进行监测，昼间测试选在8：00～12：00时段内，夜间测试选在22：00～23：00时段内进行。</w:t>
      </w:r>
    </w:p>
    <w:p>
      <w:pPr>
        <w:ind w:firstLine="480"/>
        <w:rPr>
          <w:rFonts w:ascii="宋体" w:hAnsi="宋体"/>
          <w:kern w:val="0"/>
          <w:highlight w:val="none"/>
        </w:rPr>
      </w:pPr>
      <w:r>
        <w:rPr>
          <w:rFonts w:hint="eastAsia" w:ascii="宋体" w:hAnsi="宋体"/>
          <w:kern w:val="0"/>
          <w:highlight w:val="none"/>
        </w:rPr>
        <w:t>3、</w:t>
      </w:r>
      <w:r>
        <w:rPr>
          <w:rFonts w:ascii="宋体" w:hAnsi="宋体"/>
          <w:kern w:val="0"/>
          <w:highlight w:val="none"/>
        </w:rPr>
        <w:t>检测方法及仪器</w:t>
      </w:r>
    </w:p>
    <w:p>
      <w:pPr>
        <w:ind w:firstLine="480"/>
        <w:rPr>
          <w:rFonts w:ascii="宋体" w:hAnsi="宋体"/>
          <w:kern w:val="0"/>
          <w:highlight w:val="none"/>
          <w:lang w:val="zh-CN"/>
        </w:rPr>
      </w:pPr>
      <w:r>
        <w:rPr>
          <w:rFonts w:ascii="宋体" w:hAnsi="宋体"/>
          <w:kern w:val="0"/>
          <w:highlight w:val="none"/>
          <w:lang w:val="zh-CN"/>
        </w:rPr>
        <w:t>本次噪声监测方法按照《声环境质量标准》（GB3096-2008）进行，采用全自动声级计。</w:t>
      </w:r>
    </w:p>
    <w:p>
      <w:pPr>
        <w:ind w:firstLine="480"/>
        <w:rPr>
          <w:rFonts w:ascii="宋体" w:hAnsi="宋体"/>
          <w:highlight w:val="none"/>
        </w:rPr>
      </w:pPr>
      <w:r>
        <w:rPr>
          <w:rFonts w:hint="eastAsia" w:ascii="宋体" w:hAnsi="宋体"/>
          <w:highlight w:val="none"/>
        </w:rPr>
        <w:t>4、</w:t>
      </w:r>
      <w:r>
        <w:rPr>
          <w:rFonts w:ascii="宋体" w:hAnsi="宋体"/>
          <w:highlight w:val="none"/>
        </w:rPr>
        <w:t>评价方法</w:t>
      </w:r>
    </w:p>
    <w:p>
      <w:pPr>
        <w:ind w:firstLine="480"/>
        <w:rPr>
          <w:rFonts w:ascii="宋体" w:hAnsi="宋体"/>
          <w:highlight w:val="none"/>
          <w:lang w:val="zh-CN"/>
        </w:rPr>
      </w:pPr>
      <w:r>
        <w:rPr>
          <w:rFonts w:ascii="宋体" w:hAnsi="宋体"/>
          <w:highlight w:val="none"/>
          <w:lang w:val="zh-CN"/>
        </w:rPr>
        <w:t>根据现状监测结果，用等效连续A声级Leq作为评价值，按《声环境质量标准》（GB3096-2008）对评价区内现在的噪声情况进行现状分析评价，为本区域环境噪声预测提供背景值。</w:t>
      </w:r>
    </w:p>
    <w:p>
      <w:pPr>
        <w:ind w:firstLine="480"/>
        <w:rPr>
          <w:rFonts w:ascii="宋体" w:hAnsi="宋体"/>
          <w:highlight w:val="none"/>
          <w:lang w:val="zh-CN"/>
        </w:rPr>
      </w:pPr>
      <w:r>
        <w:rPr>
          <w:rFonts w:hint="eastAsia" w:ascii="宋体" w:hAnsi="宋体"/>
          <w:highlight w:val="none"/>
          <w:lang w:val="zh-CN"/>
        </w:rPr>
        <w:t>5、</w:t>
      </w:r>
      <w:r>
        <w:rPr>
          <w:rFonts w:ascii="宋体" w:hAnsi="宋体"/>
          <w:highlight w:val="none"/>
          <w:lang w:val="zh-CN"/>
        </w:rPr>
        <w:t>评价标准</w:t>
      </w:r>
    </w:p>
    <w:p>
      <w:pPr>
        <w:ind w:firstLine="480"/>
        <w:rPr>
          <w:rFonts w:ascii="宋体" w:hAnsi="宋体"/>
          <w:highlight w:val="none"/>
          <w:lang w:val="zh-CN"/>
        </w:rPr>
      </w:pPr>
      <w:r>
        <w:rPr>
          <w:rFonts w:ascii="宋体" w:hAnsi="宋体"/>
          <w:highlight w:val="none"/>
          <w:lang w:val="zh-CN"/>
        </w:rPr>
        <w:t>厂界外200m范围内声环境质量执行《声环境质量标准》（GB3096-2008）中1类标准。</w:t>
      </w:r>
    </w:p>
    <w:p>
      <w:pPr>
        <w:ind w:firstLine="480"/>
        <w:rPr>
          <w:rFonts w:ascii="宋体" w:hAnsi="宋体"/>
          <w:highlight w:val="none"/>
          <w:lang w:val="zh-CN"/>
        </w:rPr>
      </w:pPr>
      <w:r>
        <w:rPr>
          <w:rFonts w:hint="eastAsia" w:ascii="宋体" w:hAnsi="宋体"/>
          <w:highlight w:val="none"/>
          <w:lang w:val="zh-CN"/>
        </w:rPr>
        <w:t>6、</w:t>
      </w:r>
      <w:r>
        <w:rPr>
          <w:rFonts w:ascii="宋体" w:hAnsi="宋体"/>
          <w:highlight w:val="none"/>
          <w:lang w:val="zh-CN"/>
        </w:rPr>
        <w:t>噪声现状监测结果与评价</w:t>
      </w:r>
    </w:p>
    <w:p>
      <w:pPr>
        <w:ind w:firstLine="480"/>
        <w:rPr>
          <w:rFonts w:ascii="宋体" w:hAnsi="宋体"/>
          <w:highlight w:val="none"/>
          <w:lang w:val="zh-CN"/>
        </w:rPr>
      </w:pPr>
      <w:r>
        <w:rPr>
          <w:rFonts w:ascii="宋体" w:hAnsi="宋体"/>
          <w:highlight w:val="none"/>
          <w:lang w:val="zh-CN"/>
        </w:rPr>
        <w:t>本次评价环境噪声现状监测结果见表4.3-1</w:t>
      </w:r>
      <w:r>
        <w:rPr>
          <w:rFonts w:hint="eastAsia" w:ascii="宋体" w:hAnsi="宋体"/>
          <w:highlight w:val="none"/>
          <w:lang w:val="zh-CN"/>
        </w:rPr>
        <w:t>6</w:t>
      </w:r>
      <w:r>
        <w:rPr>
          <w:rFonts w:ascii="宋体" w:hAnsi="宋体"/>
          <w:highlight w:val="none"/>
          <w:lang w:val="zh-CN"/>
        </w:rPr>
        <w:t>。</w:t>
      </w:r>
    </w:p>
    <w:p>
      <w:pPr>
        <w:pStyle w:val="65"/>
        <w:rPr>
          <w:rFonts w:hAnsi="宋体"/>
          <w:highlight w:val="none"/>
        </w:rPr>
      </w:pPr>
      <w:r>
        <w:rPr>
          <w:rFonts w:hAnsi="宋体"/>
          <w:highlight w:val="none"/>
        </w:rPr>
        <w:t>表4.3-1</w:t>
      </w:r>
      <w:r>
        <w:rPr>
          <w:rFonts w:hint="eastAsia" w:hAnsi="宋体"/>
          <w:highlight w:val="none"/>
        </w:rPr>
        <w:t xml:space="preserve">6  </w:t>
      </w:r>
      <w:r>
        <w:rPr>
          <w:rFonts w:hAnsi="宋体"/>
          <w:highlight w:val="none"/>
        </w:rPr>
        <w:t>噪声现状监测结果表单位：dB(A)</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886"/>
        <w:gridCol w:w="1051"/>
        <w:gridCol w:w="1051"/>
        <w:gridCol w:w="1051"/>
        <w:gridCol w:w="1051"/>
        <w:gridCol w:w="105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Ansi="宋体"/>
                <w:highlight w:val="none"/>
                <w:lang w:bidi="ar"/>
              </w:rPr>
              <w:t>检测日期</w:t>
            </w:r>
          </w:p>
        </w:tc>
        <w:tc>
          <w:tcPr>
            <w:tcW w:w="7141" w:type="dxa"/>
            <w:gridSpan w:val="6"/>
            <w:vAlign w:val="center"/>
          </w:tcPr>
          <w:p>
            <w:pPr>
              <w:pStyle w:val="64"/>
              <w:rPr>
                <w:rFonts w:hAnsi="宋体"/>
                <w:bCs/>
                <w:highlight w:val="none"/>
              </w:rPr>
            </w:pPr>
            <w:r>
              <w:rPr>
                <w:rFonts w:hint="eastAsia" w:hAnsi="宋体"/>
                <w:bCs/>
                <w:highlight w:val="none"/>
              </w:rPr>
              <w:t>2021.0</w:t>
            </w:r>
            <w:r>
              <w:rPr>
                <w:rFonts w:hAnsi="宋体"/>
                <w:bCs/>
                <w:highlight w:val="none"/>
              </w:rPr>
              <w:t>2</w:t>
            </w:r>
            <w:r>
              <w:rPr>
                <w:rFonts w:hint="eastAsia" w:hAnsi="宋体"/>
                <w:bCs/>
                <w:highlight w:val="none"/>
              </w:rPr>
              <w:t>.27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Ansi="宋体"/>
                <w:highlight w:val="none"/>
              </w:rPr>
              <w:t>点位编号</w:t>
            </w:r>
          </w:p>
        </w:tc>
        <w:tc>
          <w:tcPr>
            <w:tcW w:w="1886" w:type="dxa"/>
            <w:vAlign w:val="center"/>
          </w:tcPr>
          <w:p>
            <w:pPr>
              <w:pStyle w:val="64"/>
              <w:rPr>
                <w:rFonts w:hAnsi="宋体"/>
                <w:highlight w:val="none"/>
              </w:rPr>
            </w:pPr>
            <w:r>
              <w:rPr>
                <w:rFonts w:hAnsi="宋体"/>
                <w:highlight w:val="none"/>
              </w:rPr>
              <w:t>时间</w:t>
            </w:r>
          </w:p>
        </w:tc>
        <w:tc>
          <w:tcPr>
            <w:tcW w:w="1051" w:type="dxa"/>
            <w:vAlign w:val="center"/>
          </w:tcPr>
          <w:p>
            <w:pPr>
              <w:pStyle w:val="64"/>
              <w:rPr>
                <w:rFonts w:hAnsi="宋体"/>
                <w:highlight w:val="none"/>
              </w:rPr>
            </w:pPr>
            <w:r>
              <w:rPr>
                <w:rFonts w:hint="eastAsia" w:hAnsi="宋体"/>
                <w:highlight w:val="none"/>
              </w:rPr>
              <w:t>L</w:t>
            </w:r>
            <w:r>
              <w:rPr>
                <w:rFonts w:hint="eastAsia" w:hAnsi="宋体"/>
                <w:highlight w:val="none"/>
                <w:vertAlign w:val="subscript"/>
              </w:rPr>
              <w:t>eq</w:t>
            </w:r>
          </w:p>
        </w:tc>
        <w:tc>
          <w:tcPr>
            <w:tcW w:w="1051" w:type="dxa"/>
            <w:vAlign w:val="center"/>
          </w:tcPr>
          <w:p>
            <w:pPr>
              <w:pStyle w:val="64"/>
              <w:rPr>
                <w:rFonts w:hAnsi="宋体"/>
                <w:highlight w:val="none"/>
              </w:rPr>
            </w:pPr>
            <w:r>
              <w:rPr>
                <w:rFonts w:hint="eastAsia" w:hAnsi="宋体"/>
                <w:highlight w:val="none"/>
              </w:rPr>
              <w:t>L</w:t>
            </w:r>
            <w:r>
              <w:rPr>
                <w:rFonts w:hint="eastAsia" w:hAnsi="宋体"/>
                <w:highlight w:val="none"/>
                <w:vertAlign w:val="subscript"/>
              </w:rPr>
              <w:t>max</w:t>
            </w:r>
          </w:p>
        </w:tc>
        <w:tc>
          <w:tcPr>
            <w:tcW w:w="1051" w:type="dxa"/>
            <w:vAlign w:val="center"/>
          </w:tcPr>
          <w:p>
            <w:pPr>
              <w:pStyle w:val="64"/>
              <w:rPr>
                <w:rFonts w:hAnsi="宋体"/>
                <w:highlight w:val="none"/>
              </w:rPr>
            </w:pPr>
            <w:r>
              <w:rPr>
                <w:rFonts w:hint="eastAsia" w:hAnsi="宋体"/>
                <w:highlight w:val="none"/>
              </w:rPr>
              <w:t>L</w:t>
            </w:r>
            <w:r>
              <w:rPr>
                <w:rFonts w:hint="eastAsia" w:hAnsi="宋体"/>
                <w:highlight w:val="none"/>
                <w:vertAlign w:val="subscript"/>
              </w:rPr>
              <w:t>10</w:t>
            </w:r>
          </w:p>
        </w:tc>
        <w:tc>
          <w:tcPr>
            <w:tcW w:w="1051" w:type="dxa"/>
            <w:vAlign w:val="center"/>
          </w:tcPr>
          <w:p>
            <w:pPr>
              <w:pStyle w:val="64"/>
              <w:rPr>
                <w:rFonts w:hAnsi="宋体"/>
                <w:highlight w:val="none"/>
              </w:rPr>
            </w:pPr>
            <w:r>
              <w:rPr>
                <w:rFonts w:hint="eastAsia" w:hAnsi="宋体"/>
                <w:highlight w:val="none"/>
              </w:rPr>
              <w:t>L</w:t>
            </w:r>
            <w:r>
              <w:rPr>
                <w:rFonts w:hint="eastAsia" w:hAnsi="宋体"/>
                <w:highlight w:val="none"/>
                <w:vertAlign w:val="subscript"/>
              </w:rPr>
              <w:t>50</w:t>
            </w:r>
          </w:p>
        </w:tc>
        <w:tc>
          <w:tcPr>
            <w:tcW w:w="1051" w:type="dxa"/>
            <w:vAlign w:val="center"/>
          </w:tcPr>
          <w:p>
            <w:pPr>
              <w:pStyle w:val="64"/>
              <w:rPr>
                <w:rFonts w:hAnsi="宋体"/>
                <w:highlight w:val="none"/>
              </w:rPr>
            </w:pPr>
            <w:r>
              <w:rPr>
                <w:rFonts w:hint="eastAsia" w:hAnsi="宋体"/>
                <w:highlight w:val="none"/>
              </w:rPr>
              <w:t>L</w:t>
            </w:r>
            <w:r>
              <w:rPr>
                <w:rFonts w:hint="eastAsia" w:hAnsi="宋体"/>
                <w:highlight w:val="none"/>
                <w:vertAlign w:val="subscript"/>
              </w:rPr>
              <w:t>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1#</w:t>
            </w:r>
          </w:p>
        </w:tc>
        <w:tc>
          <w:tcPr>
            <w:tcW w:w="1886" w:type="dxa"/>
          </w:tcPr>
          <w:p>
            <w:pPr>
              <w:pStyle w:val="64"/>
              <w:rPr>
                <w:rFonts w:hAnsi="宋体"/>
                <w:highlight w:val="none"/>
              </w:rPr>
            </w:pPr>
            <w:r>
              <w:rPr>
                <w:rFonts w:hAnsi="宋体"/>
                <w:highlight w:val="none"/>
              </w:rPr>
              <w:t>08:05-08:15</w:t>
            </w:r>
          </w:p>
        </w:tc>
        <w:tc>
          <w:tcPr>
            <w:tcW w:w="1051" w:type="dxa"/>
          </w:tcPr>
          <w:p>
            <w:pPr>
              <w:pStyle w:val="64"/>
              <w:rPr>
                <w:rFonts w:hAnsi="宋体"/>
                <w:highlight w:val="none"/>
              </w:rPr>
            </w:pPr>
            <w:r>
              <w:rPr>
                <w:rFonts w:hAnsi="宋体"/>
                <w:highlight w:val="none"/>
              </w:rPr>
              <w:t>51.6</w:t>
            </w:r>
          </w:p>
        </w:tc>
        <w:tc>
          <w:tcPr>
            <w:tcW w:w="1051" w:type="dxa"/>
          </w:tcPr>
          <w:p>
            <w:pPr>
              <w:pStyle w:val="64"/>
              <w:rPr>
                <w:rFonts w:hAnsi="宋体"/>
                <w:highlight w:val="none"/>
              </w:rPr>
            </w:pPr>
            <w:r>
              <w:rPr>
                <w:rFonts w:hAnsi="宋体"/>
                <w:highlight w:val="none"/>
              </w:rPr>
              <w:t>57.4</w:t>
            </w:r>
          </w:p>
        </w:tc>
        <w:tc>
          <w:tcPr>
            <w:tcW w:w="1051" w:type="dxa"/>
          </w:tcPr>
          <w:p>
            <w:pPr>
              <w:pStyle w:val="64"/>
              <w:rPr>
                <w:rFonts w:hAnsi="宋体"/>
                <w:highlight w:val="none"/>
              </w:rPr>
            </w:pPr>
            <w:r>
              <w:rPr>
                <w:rFonts w:hAnsi="宋体"/>
                <w:highlight w:val="none"/>
              </w:rPr>
              <w:t>53.4</w:t>
            </w:r>
          </w:p>
        </w:tc>
        <w:tc>
          <w:tcPr>
            <w:tcW w:w="1051" w:type="dxa"/>
          </w:tcPr>
          <w:p>
            <w:pPr>
              <w:pStyle w:val="64"/>
              <w:rPr>
                <w:rFonts w:hAnsi="宋体"/>
                <w:highlight w:val="none"/>
              </w:rPr>
            </w:pPr>
            <w:r>
              <w:rPr>
                <w:rFonts w:hAnsi="宋体"/>
                <w:highlight w:val="none"/>
              </w:rPr>
              <w:t>49.1</w:t>
            </w:r>
          </w:p>
        </w:tc>
        <w:tc>
          <w:tcPr>
            <w:tcW w:w="1051" w:type="dxa"/>
          </w:tcPr>
          <w:p>
            <w:pPr>
              <w:pStyle w:val="64"/>
              <w:rPr>
                <w:rFonts w:hAnsi="宋体"/>
                <w:highlight w:val="none"/>
              </w:rPr>
            </w:pPr>
            <w:r>
              <w:rPr>
                <w:rFonts w:hAnsi="宋体"/>
                <w:highlight w:val="none"/>
              </w:rPr>
              <w:t>45.9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2#</w:t>
            </w:r>
          </w:p>
        </w:tc>
        <w:tc>
          <w:tcPr>
            <w:tcW w:w="1886" w:type="dxa"/>
          </w:tcPr>
          <w:p>
            <w:pPr>
              <w:pStyle w:val="64"/>
              <w:rPr>
                <w:rFonts w:hAnsi="宋体"/>
                <w:highlight w:val="none"/>
              </w:rPr>
            </w:pPr>
            <w:r>
              <w:rPr>
                <w:rFonts w:hAnsi="宋体"/>
                <w:highlight w:val="none"/>
              </w:rPr>
              <w:t>08:26-08:36</w:t>
            </w:r>
          </w:p>
        </w:tc>
        <w:tc>
          <w:tcPr>
            <w:tcW w:w="1051" w:type="dxa"/>
          </w:tcPr>
          <w:p>
            <w:pPr>
              <w:pStyle w:val="64"/>
              <w:rPr>
                <w:rFonts w:hAnsi="宋体"/>
                <w:highlight w:val="none"/>
              </w:rPr>
            </w:pPr>
            <w:r>
              <w:rPr>
                <w:rFonts w:hAnsi="宋体"/>
                <w:highlight w:val="none"/>
              </w:rPr>
              <w:t>50.4</w:t>
            </w:r>
          </w:p>
        </w:tc>
        <w:tc>
          <w:tcPr>
            <w:tcW w:w="1051" w:type="dxa"/>
          </w:tcPr>
          <w:p>
            <w:pPr>
              <w:pStyle w:val="64"/>
              <w:rPr>
                <w:rFonts w:hAnsi="宋体"/>
                <w:highlight w:val="none"/>
              </w:rPr>
            </w:pPr>
            <w:r>
              <w:rPr>
                <w:rFonts w:hAnsi="宋体"/>
                <w:highlight w:val="none"/>
              </w:rPr>
              <w:t>56.3</w:t>
            </w:r>
          </w:p>
        </w:tc>
        <w:tc>
          <w:tcPr>
            <w:tcW w:w="1051" w:type="dxa"/>
          </w:tcPr>
          <w:p>
            <w:pPr>
              <w:pStyle w:val="64"/>
              <w:rPr>
                <w:rFonts w:hAnsi="宋体"/>
                <w:highlight w:val="none"/>
              </w:rPr>
            </w:pPr>
            <w:r>
              <w:rPr>
                <w:rFonts w:hAnsi="宋体"/>
                <w:highlight w:val="none"/>
              </w:rPr>
              <w:t>52.9</w:t>
            </w:r>
          </w:p>
        </w:tc>
        <w:tc>
          <w:tcPr>
            <w:tcW w:w="1051" w:type="dxa"/>
          </w:tcPr>
          <w:p>
            <w:pPr>
              <w:pStyle w:val="64"/>
              <w:rPr>
                <w:rFonts w:hAnsi="宋体"/>
                <w:highlight w:val="none"/>
              </w:rPr>
            </w:pPr>
            <w:r>
              <w:rPr>
                <w:rFonts w:hAnsi="宋体"/>
                <w:highlight w:val="none"/>
              </w:rPr>
              <w:t>47.9</w:t>
            </w:r>
          </w:p>
        </w:tc>
        <w:tc>
          <w:tcPr>
            <w:tcW w:w="1051" w:type="dxa"/>
          </w:tcPr>
          <w:p>
            <w:pPr>
              <w:pStyle w:val="64"/>
              <w:rPr>
                <w:rFonts w:hAnsi="宋体"/>
                <w:highlight w:val="none"/>
              </w:rPr>
            </w:pPr>
            <w:r>
              <w:rPr>
                <w:rFonts w:hAnsi="宋体"/>
                <w:highlight w:val="none"/>
              </w:rPr>
              <w:t>44.7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3#</w:t>
            </w:r>
          </w:p>
        </w:tc>
        <w:tc>
          <w:tcPr>
            <w:tcW w:w="1886" w:type="dxa"/>
          </w:tcPr>
          <w:p>
            <w:pPr>
              <w:pStyle w:val="64"/>
              <w:rPr>
                <w:rFonts w:hAnsi="宋体"/>
                <w:highlight w:val="none"/>
              </w:rPr>
            </w:pPr>
            <w:r>
              <w:rPr>
                <w:rFonts w:hAnsi="宋体"/>
                <w:highlight w:val="none"/>
              </w:rPr>
              <w:t>08:49-08:59</w:t>
            </w:r>
          </w:p>
        </w:tc>
        <w:tc>
          <w:tcPr>
            <w:tcW w:w="1051" w:type="dxa"/>
          </w:tcPr>
          <w:p>
            <w:pPr>
              <w:pStyle w:val="64"/>
              <w:rPr>
                <w:rFonts w:hAnsi="宋体"/>
                <w:highlight w:val="none"/>
              </w:rPr>
            </w:pPr>
            <w:r>
              <w:rPr>
                <w:rFonts w:hAnsi="宋体"/>
                <w:highlight w:val="none"/>
              </w:rPr>
              <w:t>49.8</w:t>
            </w:r>
          </w:p>
        </w:tc>
        <w:tc>
          <w:tcPr>
            <w:tcW w:w="1051" w:type="dxa"/>
          </w:tcPr>
          <w:p>
            <w:pPr>
              <w:pStyle w:val="64"/>
              <w:rPr>
                <w:rFonts w:hAnsi="宋体"/>
                <w:highlight w:val="none"/>
              </w:rPr>
            </w:pPr>
            <w:r>
              <w:rPr>
                <w:rFonts w:hAnsi="宋体"/>
                <w:highlight w:val="none"/>
              </w:rPr>
              <w:t>58.8</w:t>
            </w:r>
          </w:p>
        </w:tc>
        <w:tc>
          <w:tcPr>
            <w:tcW w:w="1051" w:type="dxa"/>
          </w:tcPr>
          <w:p>
            <w:pPr>
              <w:pStyle w:val="64"/>
              <w:rPr>
                <w:rFonts w:hAnsi="宋体"/>
                <w:highlight w:val="none"/>
              </w:rPr>
            </w:pPr>
            <w:r>
              <w:rPr>
                <w:rFonts w:hAnsi="宋体"/>
                <w:highlight w:val="none"/>
              </w:rPr>
              <w:t>52.6</w:t>
            </w:r>
          </w:p>
        </w:tc>
        <w:tc>
          <w:tcPr>
            <w:tcW w:w="1051" w:type="dxa"/>
          </w:tcPr>
          <w:p>
            <w:pPr>
              <w:pStyle w:val="64"/>
              <w:rPr>
                <w:rFonts w:hAnsi="宋体"/>
                <w:highlight w:val="none"/>
              </w:rPr>
            </w:pPr>
            <w:r>
              <w:rPr>
                <w:rFonts w:hAnsi="宋体"/>
                <w:highlight w:val="none"/>
              </w:rPr>
              <w:t>47.8</w:t>
            </w:r>
          </w:p>
        </w:tc>
        <w:tc>
          <w:tcPr>
            <w:tcW w:w="1051" w:type="dxa"/>
          </w:tcPr>
          <w:p>
            <w:pPr>
              <w:pStyle w:val="64"/>
              <w:rPr>
                <w:rFonts w:hAnsi="宋体"/>
                <w:highlight w:val="none"/>
              </w:rPr>
            </w:pPr>
            <w:r>
              <w:rPr>
                <w:rFonts w:hAnsi="宋体"/>
                <w:highlight w:val="none"/>
              </w:rPr>
              <w:t>45.1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4#</w:t>
            </w:r>
          </w:p>
        </w:tc>
        <w:tc>
          <w:tcPr>
            <w:tcW w:w="1886" w:type="dxa"/>
          </w:tcPr>
          <w:p>
            <w:pPr>
              <w:pStyle w:val="64"/>
              <w:rPr>
                <w:rFonts w:hAnsi="宋体"/>
                <w:highlight w:val="none"/>
              </w:rPr>
            </w:pPr>
            <w:r>
              <w:rPr>
                <w:rFonts w:hAnsi="宋体"/>
                <w:highlight w:val="none"/>
              </w:rPr>
              <w:t>09:06-09:16</w:t>
            </w:r>
          </w:p>
        </w:tc>
        <w:tc>
          <w:tcPr>
            <w:tcW w:w="1051" w:type="dxa"/>
          </w:tcPr>
          <w:p>
            <w:pPr>
              <w:pStyle w:val="64"/>
              <w:rPr>
                <w:rFonts w:hAnsi="宋体"/>
                <w:highlight w:val="none"/>
              </w:rPr>
            </w:pPr>
            <w:r>
              <w:rPr>
                <w:rFonts w:hAnsi="宋体"/>
                <w:highlight w:val="none"/>
              </w:rPr>
              <w:t>48.3</w:t>
            </w:r>
          </w:p>
        </w:tc>
        <w:tc>
          <w:tcPr>
            <w:tcW w:w="1051" w:type="dxa"/>
          </w:tcPr>
          <w:p>
            <w:pPr>
              <w:pStyle w:val="64"/>
              <w:rPr>
                <w:rFonts w:hAnsi="宋体"/>
                <w:highlight w:val="none"/>
              </w:rPr>
            </w:pPr>
            <w:r>
              <w:rPr>
                <w:rFonts w:hAnsi="宋体"/>
                <w:highlight w:val="none"/>
              </w:rPr>
              <w:t>53.5</w:t>
            </w:r>
          </w:p>
        </w:tc>
        <w:tc>
          <w:tcPr>
            <w:tcW w:w="1051" w:type="dxa"/>
          </w:tcPr>
          <w:p>
            <w:pPr>
              <w:pStyle w:val="64"/>
              <w:rPr>
                <w:rFonts w:hAnsi="宋体"/>
                <w:highlight w:val="none"/>
              </w:rPr>
            </w:pPr>
            <w:r>
              <w:rPr>
                <w:rFonts w:hAnsi="宋体"/>
                <w:highlight w:val="none"/>
              </w:rPr>
              <w:t>50.5</w:t>
            </w:r>
          </w:p>
        </w:tc>
        <w:tc>
          <w:tcPr>
            <w:tcW w:w="1051" w:type="dxa"/>
          </w:tcPr>
          <w:p>
            <w:pPr>
              <w:pStyle w:val="64"/>
              <w:rPr>
                <w:rFonts w:hAnsi="宋体"/>
                <w:highlight w:val="none"/>
              </w:rPr>
            </w:pPr>
            <w:r>
              <w:rPr>
                <w:rFonts w:hAnsi="宋体"/>
                <w:highlight w:val="none"/>
              </w:rPr>
              <w:t>46.1</w:t>
            </w:r>
          </w:p>
        </w:tc>
        <w:tc>
          <w:tcPr>
            <w:tcW w:w="1051" w:type="dxa"/>
          </w:tcPr>
          <w:p>
            <w:pPr>
              <w:pStyle w:val="64"/>
              <w:rPr>
                <w:rFonts w:hAnsi="宋体"/>
                <w:highlight w:val="none"/>
              </w:rPr>
            </w:pPr>
            <w:r>
              <w:rPr>
                <w:rFonts w:hAnsi="宋体"/>
                <w:highlight w:val="none"/>
              </w:rPr>
              <w:t>42.9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5#</w:t>
            </w:r>
          </w:p>
        </w:tc>
        <w:tc>
          <w:tcPr>
            <w:tcW w:w="1886" w:type="dxa"/>
          </w:tcPr>
          <w:p>
            <w:pPr>
              <w:pStyle w:val="64"/>
              <w:rPr>
                <w:rFonts w:hAnsi="宋体"/>
                <w:highlight w:val="none"/>
              </w:rPr>
            </w:pPr>
            <w:r>
              <w:rPr>
                <w:rFonts w:hAnsi="宋体"/>
                <w:highlight w:val="none"/>
              </w:rPr>
              <w:t>10:12-10:22</w:t>
            </w:r>
          </w:p>
        </w:tc>
        <w:tc>
          <w:tcPr>
            <w:tcW w:w="1051" w:type="dxa"/>
          </w:tcPr>
          <w:p>
            <w:pPr>
              <w:pStyle w:val="64"/>
              <w:rPr>
                <w:rFonts w:hAnsi="宋体"/>
                <w:highlight w:val="none"/>
              </w:rPr>
            </w:pPr>
            <w:r>
              <w:rPr>
                <w:rFonts w:hAnsi="宋体"/>
                <w:highlight w:val="none"/>
              </w:rPr>
              <w:t>52.3</w:t>
            </w:r>
          </w:p>
        </w:tc>
        <w:tc>
          <w:tcPr>
            <w:tcW w:w="1051" w:type="dxa"/>
          </w:tcPr>
          <w:p>
            <w:pPr>
              <w:pStyle w:val="64"/>
              <w:rPr>
                <w:rFonts w:hAnsi="宋体"/>
                <w:highlight w:val="none"/>
              </w:rPr>
            </w:pPr>
            <w:r>
              <w:rPr>
                <w:rFonts w:hAnsi="宋体"/>
                <w:highlight w:val="none"/>
              </w:rPr>
              <w:t>57.8</w:t>
            </w:r>
          </w:p>
        </w:tc>
        <w:tc>
          <w:tcPr>
            <w:tcW w:w="1051" w:type="dxa"/>
          </w:tcPr>
          <w:p>
            <w:pPr>
              <w:pStyle w:val="64"/>
              <w:rPr>
                <w:rFonts w:hAnsi="宋体"/>
                <w:highlight w:val="none"/>
              </w:rPr>
            </w:pPr>
            <w:r>
              <w:rPr>
                <w:rFonts w:hAnsi="宋体"/>
                <w:highlight w:val="none"/>
              </w:rPr>
              <w:t>54.1</w:t>
            </w:r>
          </w:p>
        </w:tc>
        <w:tc>
          <w:tcPr>
            <w:tcW w:w="1051" w:type="dxa"/>
          </w:tcPr>
          <w:p>
            <w:pPr>
              <w:pStyle w:val="64"/>
              <w:rPr>
                <w:rFonts w:hAnsi="宋体"/>
                <w:highlight w:val="none"/>
              </w:rPr>
            </w:pPr>
            <w:r>
              <w:rPr>
                <w:rFonts w:hAnsi="宋体"/>
                <w:highlight w:val="none"/>
              </w:rPr>
              <w:t>50.2</w:t>
            </w:r>
          </w:p>
        </w:tc>
        <w:tc>
          <w:tcPr>
            <w:tcW w:w="1051" w:type="dxa"/>
          </w:tcPr>
          <w:p>
            <w:pPr>
              <w:pStyle w:val="64"/>
              <w:rPr>
                <w:rFonts w:hAnsi="宋体"/>
                <w:highlight w:val="none"/>
              </w:rPr>
            </w:pPr>
            <w:r>
              <w:rPr>
                <w:rFonts w:hAnsi="宋体"/>
                <w:highlight w:val="none"/>
              </w:rPr>
              <w:t>47.3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6#</w:t>
            </w:r>
          </w:p>
        </w:tc>
        <w:tc>
          <w:tcPr>
            <w:tcW w:w="1886" w:type="dxa"/>
          </w:tcPr>
          <w:p>
            <w:pPr>
              <w:pStyle w:val="64"/>
              <w:rPr>
                <w:rFonts w:hAnsi="宋体"/>
                <w:highlight w:val="none"/>
              </w:rPr>
            </w:pPr>
            <w:r>
              <w:rPr>
                <w:rFonts w:hAnsi="宋体"/>
                <w:highlight w:val="none"/>
              </w:rPr>
              <w:t>10:36-10:46</w:t>
            </w:r>
          </w:p>
        </w:tc>
        <w:tc>
          <w:tcPr>
            <w:tcW w:w="1051" w:type="dxa"/>
          </w:tcPr>
          <w:p>
            <w:pPr>
              <w:pStyle w:val="64"/>
              <w:rPr>
                <w:rFonts w:hAnsi="宋体"/>
                <w:highlight w:val="none"/>
              </w:rPr>
            </w:pPr>
            <w:r>
              <w:rPr>
                <w:rFonts w:hAnsi="宋体"/>
                <w:highlight w:val="none"/>
              </w:rPr>
              <w:t>51.5</w:t>
            </w:r>
          </w:p>
        </w:tc>
        <w:tc>
          <w:tcPr>
            <w:tcW w:w="1051" w:type="dxa"/>
          </w:tcPr>
          <w:p>
            <w:pPr>
              <w:pStyle w:val="64"/>
              <w:rPr>
                <w:rFonts w:hAnsi="宋体"/>
                <w:highlight w:val="none"/>
              </w:rPr>
            </w:pPr>
            <w:r>
              <w:rPr>
                <w:rFonts w:hAnsi="宋体"/>
                <w:highlight w:val="none"/>
              </w:rPr>
              <w:t>60.3</w:t>
            </w:r>
          </w:p>
        </w:tc>
        <w:tc>
          <w:tcPr>
            <w:tcW w:w="1051" w:type="dxa"/>
          </w:tcPr>
          <w:p>
            <w:pPr>
              <w:pStyle w:val="64"/>
              <w:rPr>
                <w:rFonts w:hAnsi="宋体"/>
                <w:highlight w:val="none"/>
              </w:rPr>
            </w:pPr>
            <w:r>
              <w:rPr>
                <w:rFonts w:hAnsi="宋体"/>
                <w:highlight w:val="none"/>
              </w:rPr>
              <w:t>53.5</w:t>
            </w:r>
          </w:p>
        </w:tc>
        <w:tc>
          <w:tcPr>
            <w:tcW w:w="1051" w:type="dxa"/>
          </w:tcPr>
          <w:p>
            <w:pPr>
              <w:pStyle w:val="64"/>
              <w:rPr>
                <w:rFonts w:hAnsi="宋体"/>
                <w:highlight w:val="none"/>
              </w:rPr>
            </w:pPr>
            <w:r>
              <w:rPr>
                <w:rFonts w:hAnsi="宋体"/>
                <w:highlight w:val="none"/>
              </w:rPr>
              <w:t>49.1</w:t>
            </w:r>
          </w:p>
        </w:tc>
        <w:tc>
          <w:tcPr>
            <w:tcW w:w="1051" w:type="dxa"/>
          </w:tcPr>
          <w:p>
            <w:pPr>
              <w:pStyle w:val="64"/>
              <w:rPr>
                <w:rFonts w:hAnsi="宋体"/>
                <w:highlight w:val="none"/>
              </w:rPr>
            </w:pPr>
            <w:r>
              <w:rPr>
                <w:rFonts w:hAnsi="宋体"/>
                <w:highlight w:val="none"/>
              </w:rPr>
              <w:t>45.3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7#</w:t>
            </w:r>
          </w:p>
        </w:tc>
        <w:tc>
          <w:tcPr>
            <w:tcW w:w="1886" w:type="dxa"/>
          </w:tcPr>
          <w:p>
            <w:pPr>
              <w:pStyle w:val="64"/>
              <w:rPr>
                <w:rFonts w:hAnsi="宋体"/>
                <w:highlight w:val="none"/>
              </w:rPr>
            </w:pPr>
            <w:r>
              <w:rPr>
                <w:rFonts w:hAnsi="宋体"/>
                <w:highlight w:val="none"/>
              </w:rPr>
              <w:t>10:55-11:05</w:t>
            </w:r>
          </w:p>
        </w:tc>
        <w:tc>
          <w:tcPr>
            <w:tcW w:w="1051" w:type="dxa"/>
          </w:tcPr>
          <w:p>
            <w:pPr>
              <w:pStyle w:val="64"/>
              <w:rPr>
                <w:rFonts w:hAnsi="宋体"/>
                <w:highlight w:val="none"/>
              </w:rPr>
            </w:pPr>
            <w:r>
              <w:rPr>
                <w:rFonts w:hAnsi="宋体"/>
                <w:highlight w:val="none"/>
              </w:rPr>
              <w:t>50.4</w:t>
            </w:r>
          </w:p>
        </w:tc>
        <w:tc>
          <w:tcPr>
            <w:tcW w:w="1051" w:type="dxa"/>
          </w:tcPr>
          <w:p>
            <w:pPr>
              <w:pStyle w:val="64"/>
              <w:rPr>
                <w:rFonts w:hAnsi="宋体"/>
                <w:highlight w:val="none"/>
              </w:rPr>
            </w:pPr>
            <w:r>
              <w:rPr>
                <w:rFonts w:hAnsi="宋体"/>
                <w:highlight w:val="none"/>
              </w:rPr>
              <w:t>58.5</w:t>
            </w:r>
          </w:p>
        </w:tc>
        <w:tc>
          <w:tcPr>
            <w:tcW w:w="1051" w:type="dxa"/>
          </w:tcPr>
          <w:p>
            <w:pPr>
              <w:pStyle w:val="64"/>
              <w:rPr>
                <w:rFonts w:hAnsi="宋体"/>
                <w:highlight w:val="none"/>
              </w:rPr>
            </w:pPr>
            <w:r>
              <w:rPr>
                <w:rFonts w:hAnsi="宋体"/>
                <w:highlight w:val="none"/>
              </w:rPr>
              <w:t>52.5</w:t>
            </w:r>
          </w:p>
        </w:tc>
        <w:tc>
          <w:tcPr>
            <w:tcW w:w="1051" w:type="dxa"/>
          </w:tcPr>
          <w:p>
            <w:pPr>
              <w:pStyle w:val="64"/>
              <w:rPr>
                <w:rFonts w:hAnsi="宋体"/>
                <w:highlight w:val="none"/>
              </w:rPr>
            </w:pPr>
            <w:r>
              <w:rPr>
                <w:rFonts w:hAnsi="宋体"/>
                <w:highlight w:val="none"/>
              </w:rPr>
              <w:t>47.9</w:t>
            </w:r>
          </w:p>
        </w:tc>
        <w:tc>
          <w:tcPr>
            <w:tcW w:w="1051" w:type="dxa"/>
          </w:tcPr>
          <w:p>
            <w:pPr>
              <w:pStyle w:val="64"/>
              <w:rPr>
                <w:rFonts w:hAnsi="宋体"/>
                <w:highlight w:val="none"/>
              </w:rPr>
            </w:pPr>
            <w:r>
              <w:rPr>
                <w:rFonts w:hAnsi="宋体"/>
                <w:highlight w:val="none"/>
              </w:rPr>
              <w:t>44.1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8#</w:t>
            </w:r>
          </w:p>
        </w:tc>
        <w:tc>
          <w:tcPr>
            <w:tcW w:w="1886" w:type="dxa"/>
          </w:tcPr>
          <w:p>
            <w:pPr>
              <w:pStyle w:val="64"/>
              <w:rPr>
                <w:rFonts w:hAnsi="宋体"/>
                <w:highlight w:val="none"/>
              </w:rPr>
            </w:pPr>
            <w:r>
              <w:rPr>
                <w:rFonts w:hAnsi="宋体"/>
                <w:highlight w:val="none"/>
              </w:rPr>
              <w:t>11:18-11:28</w:t>
            </w:r>
          </w:p>
        </w:tc>
        <w:tc>
          <w:tcPr>
            <w:tcW w:w="1051" w:type="dxa"/>
          </w:tcPr>
          <w:p>
            <w:pPr>
              <w:pStyle w:val="64"/>
              <w:rPr>
                <w:rFonts w:hAnsi="宋体"/>
                <w:highlight w:val="none"/>
              </w:rPr>
            </w:pPr>
            <w:r>
              <w:rPr>
                <w:rFonts w:hAnsi="宋体"/>
                <w:highlight w:val="none"/>
              </w:rPr>
              <w:t>49.8</w:t>
            </w:r>
          </w:p>
        </w:tc>
        <w:tc>
          <w:tcPr>
            <w:tcW w:w="1051" w:type="dxa"/>
          </w:tcPr>
          <w:p>
            <w:pPr>
              <w:pStyle w:val="64"/>
              <w:rPr>
                <w:rFonts w:hAnsi="宋体"/>
                <w:highlight w:val="none"/>
              </w:rPr>
            </w:pPr>
            <w:r>
              <w:rPr>
                <w:rFonts w:hAnsi="宋体"/>
                <w:highlight w:val="none"/>
              </w:rPr>
              <w:t>58.25</w:t>
            </w:r>
          </w:p>
        </w:tc>
        <w:tc>
          <w:tcPr>
            <w:tcW w:w="1051" w:type="dxa"/>
          </w:tcPr>
          <w:p>
            <w:pPr>
              <w:pStyle w:val="64"/>
              <w:rPr>
                <w:rFonts w:hAnsi="宋体"/>
                <w:highlight w:val="none"/>
              </w:rPr>
            </w:pPr>
            <w:r>
              <w:rPr>
                <w:rFonts w:hAnsi="宋体"/>
                <w:highlight w:val="none"/>
              </w:rPr>
              <w:t>51.8</w:t>
            </w:r>
          </w:p>
        </w:tc>
        <w:tc>
          <w:tcPr>
            <w:tcW w:w="1051" w:type="dxa"/>
          </w:tcPr>
          <w:p>
            <w:pPr>
              <w:pStyle w:val="64"/>
              <w:rPr>
                <w:rFonts w:hAnsi="宋体"/>
                <w:highlight w:val="none"/>
              </w:rPr>
            </w:pPr>
            <w:r>
              <w:rPr>
                <w:rFonts w:hAnsi="宋体"/>
                <w:highlight w:val="none"/>
              </w:rPr>
              <w:t>48.3</w:t>
            </w:r>
          </w:p>
        </w:tc>
        <w:tc>
          <w:tcPr>
            <w:tcW w:w="1051" w:type="dxa"/>
          </w:tcPr>
          <w:p>
            <w:pPr>
              <w:pStyle w:val="64"/>
              <w:rPr>
                <w:rFonts w:hAnsi="宋体"/>
                <w:highlight w:val="none"/>
              </w:rPr>
            </w:pPr>
            <w:r>
              <w:rPr>
                <w:rFonts w:hAnsi="宋体"/>
                <w:highlight w:val="none"/>
              </w:rPr>
              <w:t>45.9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Ansi="宋体"/>
                <w:highlight w:val="none"/>
              </w:rPr>
              <w:t>点位编号</w:t>
            </w:r>
          </w:p>
        </w:tc>
        <w:tc>
          <w:tcPr>
            <w:tcW w:w="1886" w:type="dxa"/>
            <w:vAlign w:val="center"/>
          </w:tcPr>
          <w:p>
            <w:pPr>
              <w:pStyle w:val="64"/>
              <w:rPr>
                <w:rFonts w:hAnsi="宋体"/>
                <w:highlight w:val="none"/>
              </w:rPr>
            </w:pPr>
            <w:r>
              <w:rPr>
                <w:rFonts w:hAnsi="宋体"/>
                <w:highlight w:val="none"/>
              </w:rPr>
              <w:t>时间</w:t>
            </w:r>
          </w:p>
        </w:tc>
        <w:tc>
          <w:tcPr>
            <w:tcW w:w="1051" w:type="dxa"/>
            <w:vAlign w:val="center"/>
          </w:tcPr>
          <w:p>
            <w:pPr>
              <w:pStyle w:val="64"/>
              <w:rPr>
                <w:rFonts w:hAnsi="宋体"/>
                <w:highlight w:val="none"/>
              </w:rPr>
            </w:pPr>
            <w:r>
              <w:rPr>
                <w:rFonts w:hint="eastAsia" w:hAnsi="宋体"/>
                <w:highlight w:val="none"/>
              </w:rPr>
              <w:t>Leq</w:t>
            </w:r>
          </w:p>
        </w:tc>
        <w:tc>
          <w:tcPr>
            <w:tcW w:w="1051" w:type="dxa"/>
            <w:vAlign w:val="center"/>
          </w:tcPr>
          <w:p>
            <w:pPr>
              <w:pStyle w:val="64"/>
              <w:rPr>
                <w:rFonts w:hAnsi="宋体"/>
                <w:highlight w:val="none"/>
              </w:rPr>
            </w:pPr>
            <w:r>
              <w:rPr>
                <w:rFonts w:hint="eastAsia" w:hAnsi="宋体"/>
                <w:highlight w:val="none"/>
              </w:rPr>
              <w:t>Lmax</w:t>
            </w:r>
          </w:p>
        </w:tc>
        <w:tc>
          <w:tcPr>
            <w:tcW w:w="1051" w:type="dxa"/>
            <w:vAlign w:val="center"/>
          </w:tcPr>
          <w:p>
            <w:pPr>
              <w:pStyle w:val="64"/>
              <w:rPr>
                <w:rFonts w:hAnsi="宋体"/>
                <w:highlight w:val="none"/>
              </w:rPr>
            </w:pPr>
            <w:r>
              <w:rPr>
                <w:rFonts w:hint="eastAsia" w:hAnsi="宋体"/>
                <w:highlight w:val="none"/>
              </w:rPr>
              <w:t>L10</w:t>
            </w:r>
          </w:p>
        </w:tc>
        <w:tc>
          <w:tcPr>
            <w:tcW w:w="1051" w:type="dxa"/>
            <w:vAlign w:val="center"/>
          </w:tcPr>
          <w:p>
            <w:pPr>
              <w:pStyle w:val="64"/>
              <w:rPr>
                <w:rFonts w:hAnsi="宋体"/>
                <w:highlight w:val="none"/>
              </w:rPr>
            </w:pPr>
            <w:r>
              <w:rPr>
                <w:rFonts w:hint="eastAsia" w:hAnsi="宋体"/>
                <w:highlight w:val="none"/>
              </w:rPr>
              <w:t>L50</w:t>
            </w:r>
          </w:p>
        </w:tc>
        <w:tc>
          <w:tcPr>
            <w:tcW w:w="1051" w:type="dxa"/>
            <w:vAlign w:val="center"/>
          </w:tcPr>
          <w:p>
            <w:pPr>
              <w:pStyle w:val="64"/>
              <w:rPr>
                <w:rFonts w:hAnsi="宋体"/>
                <w:highlight w:val="none"/>
              </w:rPr>
            </w:pPr>
            <w:r>
              <w:rPr>
                <w:rFonts w:hint="eastAsia" w:hAnsi="宋体"/>
                <w:highlight w:val="none"/>
              </w:rPr>
              <w:t>L90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1#</w:t>
            </w:r>
          </w:p>
        </w:tc>
        <w:tc>
          <w:tcPr>
            <w:tcW w:w="1886" w:type="dxa"/>
          </w:tcPr>
          <w:p>
            <w:pPr>
              <w:pStyle w:val="64"/>
              <w:rPr>
                <w:rFonts w:hAnsi="宋体"/>
                <w:highlight w:val="none"/>
              </w:rPr>
            </w:pPr>
            <w:r>
              <w:rPr>
                <w:rFonts w:hAnsi="宋体"/>
                <w:highlight w:val="none"/>
              </w:rPr>
              <w:t>22:05-22:15</w:t>
            </w:r>
          </w:p>
        </w:tc>
        <w:tc>
          <w:tcPr>
            <w:tcW w:w="1051" w:type="dxa"/>
          </w:tcPr>
          <w:p>
            <w:pPr>
              <w:pStyle w:val="64"/>
              <w:rPr>
                <w:rFonts w:hAnsi="宋体"/>
                <w:highlight w:val="none"/>
              </w:rPr>
            </w:pPr>
            <w:r>
              <w:rPr>
                <w:rFonts w:hAnsi="宋体"/>
                <w:highlight w:val="none"/>
              </w:rPr>
              <w:t>44.1</w:t>
            </w:r>
          </w:p>
        </w:tc>
        <w:tc>
          <w:tcPr>
            <w:tcW w:w="1051" w:type="dxa"/>
          </w:tcPr>
          <w:p>
            <w:pPr>
              <w:pStyle w:val="64"/>
              <w:rPr>
                <w:rFonts w:hAnsi="宋体"/>
                <w:highlight w:val="none"/>
              </w:rPr>
            </w:pPr>
            <w:r>
              <w:rPr>
                <w:rFonts w:hAnsi="宋体"/>
                <w:highlight w:val="none"/>
              </w:rPr>
              <w:t>47.8</w:t>
            </w:r>
          </w:p>
        </w:tc>
        <w:tc>
          <w:tcPr>
            <w:tcW w:w="1051" w:type="dxa"/>
          </w:tcPr>
          <w:p>
            <w:pPr>
              <w:pStyle w:val="64"/>
              <w:rPr>
                <w:rFonts w:hAnsi="宋体"/>
                <w:highlight w:val="none"/>
              </w:rPr>
            </w:pPr>
            <w:r>
              <w:rPr>
                <w:rFonts w:hAnsi="宋体"/>
                <w:highlight w:val="none"/>
              </w:rPr>
              <w:t>46.2</w:t>
            </w:r>
          </w:p>
        </w:tc>
        <w:tc>
          <w:tcPr>
            <w:tcW w:w="1051" w:type="dxa"/>
          </w:tcPr>
          <w:p>
            <w:pPr>
              <w:pStyle w:val="64"/>
              <w:rPr>
                <w:rFonts w:hAnsi="宋体"/>
                <w:highlight w:val="none"/>
              </w:rPr>
            </w:pPr>
            <w:r>
              <w:rPr>
                <w:rFonts w:hAnsi="宋体"/>
                <w:highlight w:val="none"/>
              </w:rPr>
              <w:t>41.9</w:t>
            </w:r>
          </w:p>
        </w:tc>
        <w:tc>
          <w:tcPr>
            <w:tcW w:w="1051" w:type="dxa"/>
          </w:tcPr>
          <w:p>
            <w:pPr>
              <w:pStyle w:val="64"/>
              <w:rPr>
                <w:rFonts w:hAnsi="宋体"/>
                <w:highlight w:val="none"/>
              </w:rPr>
            </w:pPr>
            <w:r>
              <w:rPr>
                <w:rFonts w:hAnsi="宋体"/>
                <w:highlight w:val="none"/>
              </w:rPr>
              <w:t>38.5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2#</w:t>
            </w:r>
          </w:p>
        </w:tc>
        <w:tc>
          <w:tcPr>
            <w:tcW w:w="1886" w:type="dxa"/>
          </w:tcPr>
          <w:p>
            <w:pPr>
              <w:pStyle w:val="64"/>
              <w:rPr>
                <w:rFonts w:hAnsi="宋体"/>
                <w:highlight w:val="none"/>
              </w:rPr>
            </w:pPr>
            <w:r>
              <w:rPr>
                <w:rFonts w:hAnsi="宋体"/>
                <w:highlight w:val="none"/>
              </w:rPr>
              <w:t>22:27-22:37</w:t>
            </w:r>
          </w:p>
        </w:tc>
        <w:tc>
          <w:tcPr>
            <w:tcW w:w="1051" w:type="dxa"/>
          </w:tcPr>
          <w:p>
            <w:pPr>
              <w:pStyle w:val="64"/>
              <w:rPr>
                <w:rFonts w:hAnsi="宋体"/>
                <w:highlight w:val="none"/>
              </w:rPr>
            </w:pPr>
            <w:r>
              <w:rPr>
                <w:rFonts w:hAnsi="宋体"/>
                <w:highlight w:val="none"/>
              </w:rPr>
              <w:t>43.8</w:t>
            </w:r>
          </w:p>
        </w:tc>
        <w:tc>
          <w:tcPr>
            <w:tcW w:w="1051" w:type="dxa"/>
          </w:tcPr>
          <w:p>
            <w:pPr>
              <w:pStyle w:val="64"/>
              <w:rPr>
                <w:rFonts w:hAnsi="宋体"/>
                <w:highlight w:val="none"/>
              </w:rPr>
            </w:pPr>
            <w:r>
              <w:rPr>
                <w:rFonts w:hAnsi="宋体"/>
                <w:highlight w:val="none"/>
              </w:rPr>
              <w:t>47.4</w:t>
            </w:r>
          </w:p>
        </w:tc>
        <w:tc>
          <w:tcPr>
            <w:tcW w:w="1051" w:type="dxa"/>
          </w:tcPr>
          <w:p>
            <w:pPr>
              <w:pStyle w:val="64"/>
              <w:rPr>
                <w:rFonts w:hAnsi="宋体"/>
                <w:highlight w:val="none"/>
              </w:rPr>
            </w:pPr>
            <w:r>
              <w:rPr>
                <w:rFonts w:hAnsi="宋体"/>
                <w:highlight w:val="none"/>
              </w:rPr>
              <w:t>45.7</w:t>
            </w:r>
          </w:p>
        </w:tc>
        <w:tc>
          <w:tcPr>
            <w:tcW w:w="1051" w:type="dxa"/>
          </w:tcPr>
          <w:p>
            <w:pPr>
              <w:pStyle w:val="64"/>
              <w:rPr>
                <w:rFonts w:hAnsi="宋体"/>
                <w:highlight w:val="none"/>
              </w:rPr>
            </w:pPr>
            <w:r>
              <w:rPr>
                <w:rFonts w:hAnsi="宋体"/>
                <w:highlight w:val="none"/>
              </w:rPr>
              <w:t>42.1</w:t>
            </w:r>
          </w:p>
        </w:tc>
        <w:tc>
          <w:tcPr>
            <w:tcW w:w="1051" w:type="dxa"/>
          </w:tcPr>
          <w:p>
            <w:pPr>
              <w:pStyle w:val="64"/>
              <w:rPr>
                <w:rFonts w:hAnsi="宋体"/>
                <w:highlight w:val="none"/>
              </w:rPr>
            </w:pPr>
            <w:r>
              <w:rPr>
                <w:rFonts w:hAnsi="宋体"/>
                <w:highlight w:val="none"/>
              </w:rPr>
              <w:t>38.3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3#</w:t>
            </w:r>
          </w:p>
        </w:tc>
        <w:tc>
          <w:tcPr>
            <w:tcW w:w="1886" w:type="dxa"/>
          </w:tcPr>
          <w:p>
            <w:pPr>
              <w:pStyle w:val="64"/>
              <w:rPr>
                <w:rFonts w:hAnsi="宋体"/>
                <w:highlight w:val="none"/>
              </w:rPr>
            </w:pPr>
            <w:r>
              <w:rPr>
                <w:rFonts w:hAnsi="宋体"/>
                <w:highlight w:val="none"/>
              </w:rPr>
              <w:t>22:46-22:56</w:t>
            </w:r>
          </w:p>
        </w:tc>
        <w:tc>
          <w:tcPr>
            <w:tcW w:w="1051" w:type="dxa"/>
          </w:tcPr>
          <w:p>
            <w:pPr>
              <w:pStyle w:val="64"/>
              <w:rPr>
                <w:rFonts w:hAnsi="宋体"/>
                <w:highlight w:val="none"/>
              </w:rPr>
            </w:pPr>
            <w:r>
              <w:rPr>
                <w:rFonts w:hAnsi="宋体"/>
                <w:highlight w:val="none"/>
              </w:rPr>
              <w:t>43.2</w:t>
            </w:r>
          </w:p>
        </w:tc>
        <w:tc>
          <w:tcPr>
            <w:tcW w:w="1051" w:type="dxa"/>
          </w:tcPr>
          <w:p>
            <w:pPr>
              <w:pStyle w:val="64"/>
              <w:rPr>
                <w:rFonts w:hAnsi="宋体"/>
                <w:highlight w:val="none"/>
              </w:rPr>
            </w:pPr>
            <w:r>
              <w:rPr>
                <w:rFonts w:hAnsi="宋体"/>
                <w:highlight w:val="none"/>
              </w:rPr>
              <w:t>46.7</w:t>
            </w:r>
          </w:p>
        </w:tc>
        <w:tc>
          <w:tcPr>
            <w:tcW w:w="1051" w:type="dxa"/>
          </w:tcPr>
          <w:p>
            <w:pPr>
              <w:pStyle w:val="64"/>
              <w:rPr>
                <w:rFonts w:hAnsi="宋体"/>
                <w:highlight w:val="none"/>
              </w:rPr>
            </w:pPr>
            <w:r>
              <w:rPr>
                <w:rFonts w:hAnsi="宋体"/>
                <w:highlight w:val="none"/>
              </w:rPr>
              <w:t>46.0</w:t>
            </w:r>
          </w:p>
        </w:tc>
        <w:tc>
          <w:tcPr>
            <w:tcW w:w="1051" w:type="dxa"/>
          </w:tcPr>
          <w:p>
            <w:pPr>
              <w:pStyle w:val="64"/>
              <w:rPr>
                <w:rFonts w:hAnsi="宋体"/>
                <w:highlight w:val="none"/>
              </w:rPr>
            </w:pPr>
            <w:r>
              <w:rPr>
                <w:rFonts w:hAnsi="宋体"/>
                <w:highlight w:val="none"/>
              </w:rPr>
              <w:t>41.7</w:t>
            </w:r>
          </w:p>
        </w:tc>
        <w:tc>
          <w:tcPr>
            <w:tcW w:w="1051" w:type="dxa"/>
          </w:tcPr>
          <w:p>
            <w:pPr>
              <w:pStyle w:val="64"/>
              <w:rPr>
                <w:rFonts w:hAnsi="宋体"/>
                <w:highlight w:val="none"/>
              </w:rPr>
            </w:pPr>
            <w:r>
              <w:rPr>
                <w:rFonts w:hAnsi="宋体"/>
                <w:highlight w:val="none"/>
              </w:rPr>
              <w:t>38.2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4#</w:t>
            </w:r>
          </w:p>
        </w:tc>
        <w:tc>
          <w:tcPr>
            <w:tcW w:w="1886" w:type="dxa"/>
          </w:tcPr>
          <w:p>
            <w:pPr>
              <w:pStyle w:val="64"/>
              <w:rPr>
                <w:rFonts w:hAnsi="宋体"/>
                <w:highlight w:val="none"/>
              </w:rPr>
            </w:pPr>
            <w:r>
              <w:rPr>
                <w:rFonts w:hAnsi="宋体"/>
                <w:highlight w:val="none"/>
              </w:rPr>
              <w:t>23:05-23:15</w:t>
            </w:r>
          </w:p>
        </w:tc>
        <w:tc>
          <w:tcPr>
            <w:tcW w:w="1051" w:type="dxa"/>
          </w:tcPr>
          <w:p>
            <w:pPr>
              <w:pStyle w:val="64"/>
              <w:rPr>
                <w:rFonts w:hAnsi="宋体"/>
                <w:highlight w:val="none"/>
              </w:rPr>
            </w:pPr>
            <w:r>
              <w:rPr>
                <w:rFonts w:hAnsi="宋体"/>
                <w:highlight w:val="none"/>
              </w:rPr>
              <w:t>42.7</w:t>
            </w:r>
          </w:p>
        </w:tc>
        <w:tc>
          <w:tcPr>
            <w:tcW w:w="1051" w:type="dxa"/>
          </w:tcPr>
          <w:p>
            <w:pPr>
              <w:pStyle w:val="64"/>
              <w:rPr>
                <w:rFonts w:hAnsi="宋体"/>
                <w:highlight w:val="none"/>
              </w:rPr>
            </w:pPr>
            <w:r>
              <w:rPr>
                <w:rFonts w:hAnsi="宋体"/>
                <w:highlight w:val="none"/>
              </w:rPr>
              <w:t>46.4</w:t>
            </w:r>
          </w:p>
        </w:tc>
        <w:tc>
          <w:tcPr>
            <w:tcW w:w="1051" w:type="dxa"/>
          </w:tcPr>
          <w:p>
            <w:pPr>
              <w:pStyle w:val="64"/>
              <w:rPr>
                <w:rFonts w:hAnsi="宋体"/>
                <w:highlight w:val="none"/>
              </w:rPr>
            </w:pPr>
            <w:r>
              <w:rPr>
                <w:rFonts w:hAnsi="宋体"/>
                <w:highlight w:val="none"/>
              </w:rPr>
              <w:t>44.7</w:t>
            </w:r>
          </w:p>
        </w:tc>
        <w:tc>
          <w:tcPr>
            <w:tcW w:w="1051" w:type="dxa"/>
          </w:tcPr>
          <w:p>
            <w:pPr>
              <w:pStyle w:val="64"/>
              <w:rPr>
                <w:rFonts w:hAnsi="宋体"/>
                <w:highlight w:val="none"/>
              </w:rPr>
            </w:pPr>
            <w:r>
              <w:rPr>
                <w:rFonts w:hAnsi="宋体"/>
                <w:highlight w:val="none"/>
              </w:rPr>
              <w:t>40.0</w:t>
            </w:r>
          </w:p>
        </w:tc>
        <w:tc>
          <w:tcPr>
            <w:tcW w:w="1051" w:type="dxa"/>
          </w:tcPr>
          <w:p>
            <w:pPr>
              <w:pStyle w:val="64"/>
              <w:rPr>
                <w:rFonts w:hAnsi="宋体"/>
                <w:highlight w:val="none"/>
              </w:rPr>
            </w:pPr>
            <w:r>
              <w:rPr>
                <w:rFonts w:hAnsi="宋体"/>
                <w:highlight w:val="none"/>
              </w:rPr>
              <w:t>37.6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5#</w:t>
            </w:r>
          </w:p>
        </w:tc>
        <w:tc>
          <w:tcPr>
            <w:tcW w:w="1886" w:type="dxa"/>
          </w:tcPr>
          <w:p>
            <w:pPr>
              <w:pStyle w:val="64"/>
              <w:rPr>
                <w:rFonts w:hAnsi="宋体"/>
                <w:highlight w:val="none"/>
              </w:rPr>
            </w:pPr>
            <w:r>
              <w:rPr>
                <w:rFonts w:hAnsi="宋体"/>
                <w:highlight w:val="none"/>
              </w:rPr>
              <w:t>23:05-23:15</w:t>
            </w:r>
          </w:p>
        </w:tc>
        <w:tc>
          <w:tcPr>
            <w:tcW w:w="1051" w:type="dxa"/>
          </w:tcPr>
          <w:p>
            <w:pPr>
              <w:pStyle w:val="64"/>
              <w:rPr>
                <w:rFonts w:hAnsi="宋体"/>
                <w:highlight w:val="none"/>
              </w:rPr>
            </w:pPr>
            <w:r>
              <w:rPr>
                <w:rFonts w:hAnsi="宋体"/>
                <w:highlight w:val="none"/>
              </w:rPr>
              <w:t>43.2</w:t>
            </w:r>
          </w:p>
        </w:tc>
        <w:tc>
          <w:tcPr>
            <w:tcW w:w="1051" w:type="dxa"/>
          </w:tcPr>
          <w:p>
            <w:pPr>
              <w:pStyle w:val="64"/>
              <w:rPr>
                <w:rFonts w:hAnsi="宋体"/>
                <w:highlight w:val="none"/>
              </w:rPr>
            </w:pPr>
            <w:r>
              <w:rPr>
                <w:rFonts w:hAnsi="宋体"/>
                <w:highlight w:val="none"/>
              </w:rPr>
              <w:t>49.4</w:t>
            </w:r>
          </w:p>
        </w:tc>
        <w:tc>
          <w:tcPr>
            <w:tcW w:w="1051" w:type="dxa"/>
          </w:tcPr>
          <w:p>
            <w:pPr>
              <w:pStyle w:val="64"/>
              <w:rPr>
                <w:rFonts w:hAnsi="宋体"/>
                <w:highlight w:val="none"/>
              </w:rPr>
            </w:pPr>
            <w:r>
              <w:rPr>
                <w:rFonts w:hAnsi="宋体"/>
                <w:highlight w:val="none"/>
              </w:rPr>
              <w:t>45.7</w:t>
            </w:r>
          </w:p>
        </w:tc>
        <w:tc>
          <w:tcPr>
            <w:tcW w:w="1051" w:type="dxa"/>
          </w:tcPr>
          <w:p>
            <w:pPr>
              <w:pStyle w:val="64"/>
              <w:rPr>
                <w:rFonts w:hAnsi="宋体"/>
                <w:highlight w:val="none"/>
              </w:rPr>
            </w:pPr>
            <w:r>
              <w:rPr>
                <w:rFonts w:hAnsi="宋体"/>
                <w:highlight w:val="none"/>
              </w:rPr>
              <w:t>41.5</w:t>
            </w:r>
          </w:p>
        </w:tc>
        <w:tc>
          <w:tcPr>
            <w:tcW w:w="1051" w:type="dxa"/>
          </w:tcPr>
          <w:p>
            <w:pPr>
              <w:pStyle w:val="64"/>
              <w:rPr>
                <w:rFonts w:hAnsi="宋体"/>
                <w:highlight w:val="none"/>
              </w:rPr>
            </w:pPr>
            <w:r>
              <w:rPr>
                <w:rFonts w:hAnsi="宋体"/>
                <w:highlight w:val="none"/>
              </w:rPr>
              <w:t>39.3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6#</w:t>
            </w:r>
          </w:p>
        </w:tc>
        <w:tc>
          <w:tcPr>
            <w:tcW w:w="1886" w:type="dxa"/>
          </w:tcPr>
          <w:p>
            <w:pPr>
              <w:pStyle w:val="64"/>
              <w:rPr>
                <w:rFonts w:hAnsi="宋体"/>
                <w:highlight w:val="none"/>
              </w:rPr>
            </w:pPr>
            <w:r>
              <w:rPr>
                <w:rFonts w:hAnsi="宋体"/>
                <w:highlight w:val="none"/>
              </w:rPr>
              <w:t>23:23-23:33</w:t>
            </w:r>
          </w:p>
        </w:tc>
        <w:tc>
          <w:tcPr>
            <w:tcW w:w="1051" w:type="dxa"/>
          </w:tcPr>
          <w:p>
            <w:pPr>
              <w:pStyle w:val="64"/>
              <w:rPr>
                <w:rFonts w:hAnsi="宋体"/>
                <w:highlight w:val="none"/>
              </w:rPr>
            </w:pPr>
            <w:r>
              <w:rPr>
                <w:rFonts w:hAnsi="宋体"/>
                <w:highlight w:val="none"/>
              </w:rPr>
              <w:t>42.9</w:t>
            </w:r>
          </w:p>
        </w:tc>
        <w:tc>
          <w:tcPr>
            <w:tcW w:w="1051" w:type="dxa"/>
          </w:tcPr>
          <w:p>
            <w:pPr>
              <w:pStyle w:val="64"/>
              <w:rPr>
                <w:rFonts w:hAnsi="宋体"/>
                <w:highlight w:val="none"/>
              </w:rPr>
            </w:pPr>
            <w:r>
              <w:rPr>
                <w:rFonts w:hAnsi="宋体"/>
                <w:highlight w:val="none"/>
              </w:rPr>
              <w:t>46.6</w:t>
            </w:r>
          </w:p>
        </w:tc>
        <w:tc>
          <w:tcPr>
            <w:tcW w:w="1051" w:type="dxa"/>
          </w:tcPr>
          <w:p>
            <w:pPr>
              <w:pStyle w:val="64"/>
              <w:rPr>
                <w:rFonts w:hAnsi="宋体"/>
                <w:highlight w:val="none"/>
              </w:rPr>
            </w:pPr>
            <w:r>
              <w:rPr>
                <w:rFonts w:hAnsi="宋体"/>
                <w:highlight w:val="none"/>
              </w:rPr>
              <w:t>45.6</w:t>
            </w:r>
          </w:p>
        </w:tc>
        <w:tc>
          <w:tcPr>
            <w:tcW w:w="1051" w:type="dxa"/>
          </w:tcPr>
          <w:p>
            <w:pPr>
              <w:pStyle w:val="64"/>
              <w:rPr>
                <w:rFonts w:hAnsi="宋体"/>
                <w:highlight w:val="none"/>
              </w:rPr>
            </w:pPr>
            <w:r>
              <w:rPr>
                <w:rFonts w:hAnsi="宋体"/>
                <w:highlight w:val="none"/>
              </w:rPr>
              <w:t>39.9</w:t>
            </w:r>
          </w:p>
        </w:tc>
        <w:tc>
          <w:tcPr>
            <w:tcW w:w="1051" w:type="dxa"/>
          </w:tcPr>
          <w:p>
            <w:pPr>
              <w:pStyle w:val="64"/>
              <w:rPr>
                <w:rFonts w:hAnsi="宋体"/>
                <w:highlight w:val="none"/>
              </w:rPr>
            </w:pPr>
            <w:r>
              <w:rPr>
                <w:rFonts w:hAnsi="宋体"/>
                <w:highlight w:val="none"/>
              </w:rPr>
              <w:t>37.6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7#</w:t>
            </w:r>
          </w:p>
        </w:tc>
        <w:tc>
          <w:tcPr>
            <w:tcW w:w="1886" w:type="dxa"/>
          </w:tcPr>
          <w:p>
            <w:pPr>
              <w:pStyle w:val="64"/>
              <w:rPr>
                <w:rFonts w:hAnsi="宋体"/>
                <w:highlight w:val="none"/>
              </w:rPr>
            </w:pPr>
            <w:r>
              <w:rPr>
                <w:rFonts w:hAnsi="宋体"/>
                <w:highlight w:val="none"/>
              </w:rPr>
              <w:t>23:46-23:56</w:t>
            </w:r>
          </w:p>
        </w:tc>
        <w:tc>
          <w:tcPr>
            <w:tcW w:w="1051" w:type="dxa"/>
          </w:tcPr>
          <w:p>
            <w:pPr>
              <w:pStyle w:val="64"/>
              <w:rPr>
                <w:rFonts w:hAnsi="宋体"/>
                <w:highlight w:val="none"/>
              </w:rPr>
            </w:pPr>
            <w:r>
              <w:rPr>
                <w:rFonts w:hAnsi="宋体"/>
                <w:highlight w:val="none"/>
              </w:rPr>
              <w:t>42.1</w:t>
            </w:r>
          </w:p>
        </w:tc>
        <w:tc>
          <w:tcPr>
            <w:tcW w:w="1051" w:type="dxa"/>
          </w:tcPr>
          <w:p>
            <w:pPr>
              <w:pStyle w:val="64"/>
              <w:rPr>
                <w:rFonts w:hAnsi="宋体"/>
                <w:highlight w:val="none"/>
              </w:rPr>
            </w:pPr>
            <w:r>
              <w:rPr>
                <w:rFonts w:hAnsi="宋体"/>
                <w:highlight w:val="none"/>
              </w:rPr>
              <w:t>46.5</w:t>
            </w:r>
          </w:p>
        </w:tc>
        <w:tc>
          <w:tcPr>
            <w:tcW w:w="1051" w:type="dxa"/>
          </w:tcPr>
          <w:p>
            <w:pPr>
              <w:pStyle w:val="64"/>
              <w:rPr>
                <w:rFonts w:hAnsi="宋体"/>
                <w:highlight w:val="none"/>
              </w:rPr>
            </w:pPr>
            <w:r>
              <w:rPr>
                <w:rFonts w:hAnsi="宋体"/>
                <w:highlight w:val="none"/>
              </w:rPr>
              <w:t>44.2</w:t>
            </w:r>
          </w:p>
        </w:tc>
        <w:tc>
          <w:tcPr>
            <w:tcW w:w="1051" w:type="dxa"/>
          </w:tcPr>
          <w:p>
            <w:pPr>
              <w:pStyle w:val="64"/>
              <w:rPr>
                <w:rFonts w:hAnsi="宋体"/>
                <w:highlight w:val="none"/>
              </w:rPr>
            </w:pPr>
            <w:r>
              <w:rPr>
                <w:rFonts w:hAnsi="宋体"/>
                <w:highlight w:val="none"/>
              </w:rPr>
              <w:t>39.8</w:t>
            </w:r>
          </w:p>
        </w:tc>
        <w:tc>
          <w:tcPr>
            <w:tcW w:w="1051" w:type="dxa"/>
          </w:tcPr>
          <w:p>
            <w:pPr>
              <w:pStyle w:val="64"/>
              <w:rPr>
                <w:rFonts w:hAnsi="宋体"/>
                <w:highlight w:val="none"/>
              </w:rPr>
            </w:pPr>
            <w:r>
              <w:rPr>
                <w:rFonts w:hAnsi="宋体"/>
                <w:highlight w:val="none"/>
              </w:rPr>
              <w:t>36.6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98" w:hRule="atLeast"/>
          <w:jc w:val="center"/>
        </w:trPr>
        <w:tc>
          <w:tcPr>
            <w:tcW w:w="1809" w:type="dxa"/>
            <w:vAlign w:val="center"/>
          </w:tcPr>
          <w:p>
            <w:pPr>
              <w:pStyle w:val="64"/>
              <w:rPr>
                <w:rFonts w:hAnsi="宋体"/>
                <w:highlight w:val="none"/>
              </w:rPr>
            </w:pPr>
            <w:r>
              <w:rPr>
                <w:rFonts w:hint="eastAsia" w:hAnsi="宋体"/>
                <w:highlight w:val="none"/>
              </w:rPr>
              <w:t>8#</w:t>
            </w:r>
          </w:p>
        </w:tc>
        <w:tc>
          <w:tcPr>
            <w:tcW w:w="1886" w:type="dxa"/>
          </w:tcPr>
          <w:p>
            <w:pPr>
              <w:pStyle w:val="64"/>
              <w:rPr>
                <w:rFonts w:hAnsi="宋体"/>
                <w:highlight w:val="none"/>
              </w:rPr>
            </w:pPr>
            <w:r>
              <w:rPr>
                <w:rFonts w:hAnsi="宋体"/>
                <w:highlight w:val="none"/>
              </w:rPr>
              <w:t>00:05-00:15</w:t>
            </w:r>
          </w:p>
        </w:tc>
        <w:tc>
          <w:tcPr>
            <w:tcW w:w="1051" w:type="dxa"/>
          </w:tcPr>
          <w:p>
            <w:pPr>
              <w:pStyle w:val="64"/>
              <w:rPr>
                <w:rFonts w:hAnsi="宋体"/>
                <w:highlight w:val="none"/>
              </w:rPr>
            </w:pPr>
            <w:r>
              <w:rPr>
                <w:rFonts w:hAnsi="宋体"/>
                <w:highlight w:val="none"/>
              </w:rPr>
              <w:t>41.6</w:t>
            </w:r>
          </w:p>
        </w:tc>
        <w:tc>
          <w:tcPr>
            <w:tcW w:w="1051" w:type="dxa"/>
          </w:tcPr>
          <w:p>
            <w:pPr>
              <w:pStyle w:val="64"/>
              <w:rPr>
                <w:rFonts w:hAnsi="宋体"/>
                <w:highlight w:val="none"/>
              </w:rPr>
            </w:pPr>
            <w:r>
              <w:rPr>
                <w:rFonts w:hAnsi="宋体"/>
                <w:highlight w:val="none"/>
              </w:rPr>
              <w:t>45.0</w:t>
            </w:r>
          </w:p>
        </w:tc>
        <w:tc>
          <w:tcPr>
            <w:tcW w:w="1051" w:type="dxa"/>
          </w:tcPr>
          <w:p>
            <w:pPr>
              <w:pStyle w:val="64"/>
              <w:rPr>
                <w:rFonts w:hAnsi="宋体"/>
                <w:highlight w:val="none"/>
              </w:rPr>
            </w:pPr>
            <w:r>
              <w:rPr>
                <w:rFonts w:hAnsi="宋体"/>
                <w:highlight w:val="none"/>
              </w:rPr>
              <w:t>44.1</w:t>
            </w:r>
          </w:p>
        </w:tc>
        <w:tc>
          <w:tcPr>
            <w:tcW w:w="1051" w:type="dxa"/>
          </w:tcPr>
          <w:p>
            <w:pPr>
              <w:pStyle w:val="64"/>
              <w:rPr>
                <w:rFonts w:hAnsi="宋体"/>
                <w:highlight w:val="none"/>
              </w:rPr>
            </w:pPr>
            <w:r>
              <w:rPr>
                <w:rFonts w:hAnsi="宋体"/>
                <w:highlight w:val="none"/>
              </w:rPr>
              <w:t>38.8</w:t>
            </w:r>
          </w:p>
        </w:tc>
        <w:tc>
          <w:tcPr>
            <w:tcW w:w="1051" w:type="dxa"/>
          </w:tcPr>
          <w:p>
            <w:pPr>
              <w:pStyle w:val="64"/>
              <w:rPr>
                <w:rFonts w:hAnsi="宋体"/>
                <w:highlight w:val="none"/>
              </w:rPr>
            </w:pPr>
            <w:r>
              <w:rPr>
                <w:rFonts w:hAnsi="宋体"/>
                <w:highlight w:val="none"/>
              </w:rPr>
              <w:t>35.9</w:t>
            </w:r>
          </w:p>
        </w:tc>
      </w:tr>
    </w:tbl>
    <w:p>
      <w:pPr>
        <w:spacing w:line="240" w:lineRule="auto"/>
        <w:ind w:firstLine="0" w:firstLineChars="0"/>
        <w:jc w:val="center"/>
        <w:rPr>
          <w:rFonts w:ascii="宋体" w:hAnsi="宋体"/>
          <w:highlight w:val="none"/>
        </w:rPr>
      </w:pPr>
      <w:r>
        <w:rPr>
          <w:rFonts w:ascii="宋体" w:hAnsi="宋体"/>
          <w:highlight w:val="none"/>
        </w:rPr>
        <w:drawing>
          <wp:inline distT="0" distB="0" distL="0" distR="0">
            <wp:extent cx="2847340" cy="1571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47340" cy="1571625"/>
                    </a:xfrm>
                    <a:prstGeom prst="rect">
                      <a:avLst/>
                    </a:prstGeom>
                    <a:noFill/>
                  </pic:spPr>
                </pic:pic>
              </a:graphicData>
            </a:graphic>
          </wp:inline>
        </w:drawing>
      </w:r>
    </w:p>
    <w:p>
      <w:pPr>
        <w:adjustRightInd w:val="0"/>
        <w:snapToGrid w:val="0"/>
        <w:ind w:firstLine="480"/>
        <w:jc w:val="center"/>
        <w:rPr>
          <w:rFonts w:ascii="宋体" w:hAnsi="宋体"/>
          <w:kern w:val="0"/>
          <w:szCs w:val="20"/>
          <w:highlight w:val="none"/>
        </w:rPr>
      </w:pPr>
      <w:r>
        <w:rPr>
          <w:rFonts w:ascii="宋体" w:hAnsi="宋体"/>
          <w:kern w:val="0"/>
          <w:szCs w:val="20"/>
          <w:highlight w:val="none"/>
        </w:rPr>
        <w:t>图3-1</w:t>
      </w:r>
      <w:r>
        <w:rPr>
          <w:rFonts w:hint="eastAsia" w:ascii="宋体" w:hAnsi="宋体"/>
          <w:kern w:val="0"/>
          <w:szCs w:val="20"/>
          <w:highlight w:val="none"/>
        </w:rPr>
        <w:t xml:space="preserve">  </w:t>
      </w:r>
      <w:r>
        <w:rPr>
          <w:rFonts w:ascii="宋体" w:hAnsi="宋体"/>
          <w:kern w:val="0"/>
          <w:szCs w:val="20"/>
          <w:highlight w:val="none"/>
        </w:rPr>
        <w:t>项目</w:t>
      </w:r>
      <w:r>
        <w:rPr>
          <w:rFonts w:hint="eastAsia" w:ascii="宋体" w:hAnsi="宋体"/>
          <w:kern w:val="0"/>
          <w:szCs w:val="20"/>
          <w:highlight w:val="none"/>
        </w:rPr>
        <w:t>场址</w:t>
      </w:r>
      <w:r>
        <w:rPr>
          <w:rFonts w:ascii="宋体" w:hAnsi="宋体"/>
          <w:kern w:val="0"/>
          <w:szCs w:val="20"/>
          <w:highlight w:val="none"/>
        </w:rPr>
        <w:t>噪声监测布点图</w:t>
      </w:r>
    </w:p>
    <w:p>
      <w:pPr>
        <w:adjustRightInd w:val="0"/>
        <w:snapToGrid w:val="0"/>
        <w:spacing w:line="240" w:lineRule="auto"/>
        <w:ind w:firstLine="420"/>
        <w:jc w:val="center"/>
        <w:rPr>
          <w:rFonts w:ascii="宋体" w:hAnsi="宋体"/>
          <w:kern w:val="0"/>
          <w:szCs w:val="20"/>
          <w:highlight w:val="none"/>
        </w:rPr>
      </w:pPr>
      <w:r>
        <w:rPr>
          <w:rFonts w:ascii="宋体" w:hAnsi="宋体"/>
          <w:sz w:val="21"/>
          <w:highlight w:val="none"/>
        </w:rPr>
        <w:drawing>
          <wp:inline distT="0" distB="0" distL="0" distR="0">
            <wp:extent cx="3124200" cy="15767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124200" cy="1576705"/>
                    </a:xfrm>
                    <a:prstGeom prst="rect">
                      <a:avLst/>
                    </a:prstGeom>
                    <a:noFill/>
                    <a:ln>
                      <a:noFill/>
                    </a:ln>
                    <a:effectLst/>
                  </pic:spPr>
                </pic:pic>
              </a:graphicData>
            </a:graphic>
          </wp:inline>
        </w:drawing>
      </w:r>
    </w:p>
    <w:p>
      <w:pPr>
        <w:adjustRightInd w:val="0"/>
        <w:snapToGrid w:val="0"/>
        <w:ind w:firstLine="480"/>
        <w:jc w:val="center"/>
        <w:rPr>
          <w:rFonts w:ascii="宋体" w:hAnsi="宋体"/>
          <w:kern w:val="0"/>
          <w:szCs w:val="20"/>
          <w:highlight w:val="none"/>
        </w:rPr>
      </w:pPr>
      <w:r>
        <w:rPr>
          <w:rFonts w:ascii="宋体" w:hAnsi="宋体"/>
          <w:kern w:val="0"/>
          <w:szCs w:val="20"/>
          <w:highlight w:val="none"/>
        </w:rPr>
        <w:t>图3-1</w:t>
      </w:r>
      <w:r>
        <w:rPr>
          <w:rFonts w:hint="eastAsia" w:ascii="宋体" w:hAnsi="宋体"/>
          <w:kern w:val="0"/>
          <w:szCs w:val="20"/>
          <w:highlight w:val="none"/>
        </w:rPr>
        <w:t xml:space="preserve">  </w:t>
      </w:r>
      <w:r>
        <w:rPr>
          <w:rFonts w:ascii="宋体" w:hAnsi="宋体"/>
          <w:kern w:val="0"/>
          <w:szCs w:val="20"/>
          <w:highlight w:val="none"/>
        </w:rPr>
        <w:t>项目</w:t>
      </w:r>
      <w:r>
        <w:rPr>
          <w:rFonts w:hint="eastAsia" w:ascii="宋体" w:hAnsi="宋体"/>
          <w:kern w:val="0"/>
          <w:szCs w:val="20"/>
          <w:highlight w:val="none"/>
        </w:rPr>
        <w:t>尾矿库</w:t>
      </w:r>
      <w:r>
        <w:rPr>
          <w:rFonts w:ascii="宋体" w:hAnsi="宋体"/>
          <w:kern w:val="0"/>
          <w:szCs w:val="20"/>
          <w:highlight w:val="none"/>
        </w:rPr>
        <w:t>噪声监测布点图</w:t>
      </w:r>
    </w:p>
    <w:p>
      <w:pPr>
        <w:adjustRightInd w:val="0"/>
        <w:snapToGrid w:val="0"/>
        <w:ind w:firstLine="480"/>
        <w:rPr>
          <w:rFonts w:ascii="宋体" w:hAnsi="宋体"/>
          <w:kern w:val="0"/>
          <w:szCs w:val="20"/>
          <w:highlight w:val="none"/>
        </w:rPr>
      </w:pPr>
      <w:r>
        <w:rPr>
          <w:rFonts w:ascii="宋体" w:hAnsi="宋体"/>
          <w:kern w:val="0"/>
          <w:szCs w:val="20"/>
          <w:highlight w:val="none"/>
        </w:rPr>
        <w:t>由上表可知，厂界各测点昼间等效声级值范围在</w:t>
      </w:r>
      <w:r>
        <w:rPr>
          <w:rFonts w:hint="eastAsia" w:ascii="宋体" w:hAnsi="宋体"/>
          <w:kern w:val="0"/>
          <w:szCs w:val="20"/>
          <w:highlight w:val="none"/>
        </w:rPr>
        <w:t>48.3</w:t>
      </w:r>
      <w:r>
        <w:rPr>
          <w:rFonts w:ascii="宋体" w:hAnsi="宋体"/>
          <w:kern w:val="0"/>
          <w:szCs w:val="20"/>
          <w:highlight w:val="none"/>
        </w:rPr>
        <w:t>~</w:t>
      </w:r>
      <w:r>
        <w:rPr>
          <w:rFonts w:hint="eastAsia" w:ascii="宋体" w:hAnsi="宋体"/>
          <w:kern w:val="0"/>
          <w:szCs w:val="20"/>
          <w:highlight w:val="none"/>
        </w:rPr>
        <w:t>51</w:t>
      </w:r>
      <w:r>
        <w:rPr>
          <w:rFonts w:ascii="宋体" w:hAnsi="宋体"/>
          <w:kern w:val="0"/>
          <w:szCs w:val="20"/>
          <w:highlight w:val="none"/>
        </w:rPr>
        <w:t>.6dB（A）之间，夜间等效声级值范围在42.</w:t>
      </w:r>
      <w:r>
        <w:rPr>
          <w:rFonts w:hint="eastAsia" w:ascii="宋体" w:hAnsi="宋体"/>
          <w:kern w:val="0"/>
          <w:szCs w:val="20"/>
          <w:highlight w:val="none"/>
        </w:rPr>
        <w:t>7</w:t>
      </w:r>
      <w:r>
        <w:rPr>
          <w:rFonts w:ascii="宋体" w:hAnsi="宋体"/>
          <w:kern w:val="0"/>
          <w:szCs w:val="20"/>
          <w:highlight w:val="none"/>
        </w:rPr>
        <w:t>~</w:t>
      </w:r>
      <w:r>
        <w:rPr>
          <w:rFonts w:hint="eastAsia" w:ascii="宋体" w:hAnsi="宋体"/>
          <w:kern w:val="0"/>
          <w:szCs w:val="20"/>
          <w:highlight w:val="none"/>
        </w:rPr>
        <w:t>44.1</w:t>
      </w:r>
      <w:r>
        <w:rPr>
          <w:rFonts w:ascii="宋体" w:hAnsi="宋体"/>
          <w:kern w:val="0"/>
          <w:szCs w:val="20"/>
          <w:highlight w:val="none"/>
        </w:rPr>
        <w:t>（A）之间，均符合《声环境质量标准》（GB3096-2008）2类标准限值要求。</w:t>
      </w:r>
      <w:r>
        <w:rPr>
          <w:rFonts w:hint="eastAsia" w:ascii="宋体" w:hAnsi="宋体"/>
          <w:kern w:val="0"/>
          <w:szCs w:val="20"/>
          <w:highlight w:val="none"/>
        </w:rPr>
        <w:t>尾矿库各测点昼间等效声级值范围在49.8~52.3dB（A）之间，夜间等效声级值范围在41.6~43.2（A）之间，均符合《声环境质量标准》（GB3096-2008）2类标准限值要求。</w:t>
      </w:r>
    </w:p>
    <w:p>
      <w:pPr>
        <w:pStyle w:val="4"/>
        <w:ind w:firstLine="562"/>
        <w:rPr>
          <w:rFonts w:hAnsi="宋体"/>
          <w:highlight w:val="none"/>
        </w:rPr>
      </w:pPr>
      <w:r>
        <w:rPr>
          <w:rFonts w:hAnsi="宋体"/>
          <w:highlight w:val="none"/>
        </w:rPr>
        <w:t>4.3.</w:t>
      </w:r>
      <w:r>
        <w:rPr>
          <w:rFonts w:hint="eastAsia" w:hAnsi="宋体"/>
          <w:highlight w:val="none"/>
        </w:rPr>
        <w:t>5</w:t>
      </w:r>
      <w:r>
        <w:rPr>
          <w:rFonts w:hAnsi="宋体"/>
          <w:highlight w:val="none"/>
        </w:rPr>
        <w:t>土壤环境现</w:t>
      </w:r>
      <w:r>
        <w:rPr>
          <w:rFonts w:hint="eastAsia" w:hAnsi="宋体"/>
          <w:highlight w:val="none"/>
        </w:rPr>
        <w:t>状</w:t>
      </w:r>
      <w:r>
        <w:rPr>
          <w:rFonts w:hAnsi="宋体"/>
          <w:highlight w:val="none"/>
        </w:rPr>
        <w:t>监测与评价</w:t>
      </w:r>
    </w:p>
    <w:p>
      <w:pPr>
        <w:pStyle w:val="62"/>
        <w:ind w:firstLine="480"/>
        <w:rPr>
          <w:rFonts w:hAnsi="宋体"/>
          <w:highlight w:val="none"/>
        </w:rPr>
      </w:pPr>
      <w:r>
        <w:rPr>
          <w:rFonts w:hAnsi="宋体"/>
          <w:highlight w:val="none"/>
        </w:rPr>
        <w:t>4.3.5</w:t>
      </w:r>
      <w:r>
        <w:rPr>
          <w:rFonts w:hint="eastAsia" w:hAnsi="宋体"/>
          <w:highlight w:val="none"/>
        </w:rPr>
        <w:t>.1土壤环境质量现状监测</w:t>
      </w:r>
    </w:p>
    <w:p>
      <w:pPr>
        <w:pStyle w:val="62"/>
        <w:ind w:firstLine="480"/>
        <w:rPr>
          <w:rFonts w:hAnsi="宋体"/>
          <w:highlight w:val="none"/>
        </w:rPr>
      </w:pPr>
      <w:r>
        <w:rPr>
          <w:rFonts w:hint="eastAsia" w:hAnsi="宋体"/>
          <w:highlight w:val="none"/>
        </w:rPr>
        <w:t>1、评价区土壤监测点位</w:t>
      </w:r>
    </w:p>
    <w:p>
      <w:pPr>
        <w:pStyle w:val="62"/>
        <w:ind w:firstLine="480"/>
        <w:rPr>
          <w:rFonts w:hAnsi="宋体"/>
          <w:highlight w:val="none"/>
        </w:rPr>
      </w:pPr>
      <w:r>
        <w:rPr>
          <w:rFonts w:hint="eastAsia" w:hAnsi="宋体"/>
          <w:highlight w:val="none"/>
        </w:rPr>
        <w:t>为了解本项目的土壤环境质量现状，建设单位委托北京京畿分析测试中心有限公司对土壤环境质量现状进行了监测。本次土壤环境质量现状监测在项目厂区内设3个表层样点；尾矿库内设3个柱状样点，1个表层样点；尾矿库外设2个表层样点。</w:t>
      </w:r>
    </w:p>
    <w:p>
      <w:pPr>
        <w:pStyle w:val="62"/>
        <w:ind w:firstLine="480"/>
        <w:rPr>
          <w:rFonts w:hAnsi="宋体"/>
          <w:highlight w:val="none"/>
        </w:rPr>
      </w:pPr>
      <w:r>
        <w:rPr>
          <w:rFonts w:hint="eastAsia" w:hAnsi="宋体"/>
          <w:highlight w:val="none"/>
        </w:rPr>
        <w:t>其中：表层样点取0-0.2m土样；柱状样通常在0~0.5m、0.5~1.5m、1.5~3m分别取样。经现场踏勘，选矿厂有少量湿排尾矿已排入尾矿库内，排入位置位于尾矿库西北侧，距离尾矿库西北边界约40m，本次环评土壤现状5#监测点距离湿排尾矿堆集区下游边界约5m，8#监测点距离湿排尾矿堆集区下游边界约50m，6#监测点位于湿排尾矿堆集区上游。本次环评尾矿库土壤监测点布置满足符合《环境影响评价技术导则-土壤环境（试行）》（HJ964-2018）中</w:t>
      </w:r>
      <w:r>
        <w:rPr>
          <w:rFonts w:hAnsi="宋体"/>
          <w:highlight w:val="none"/>
        </w:rPr>
        <w:t>7.4.2</w:t>
      </w:r>
      <w:r>
        <w:rPr>
          <w:rFonts w:hint="eastAsia" w:hAnsi="宋体"/>
          <w:highlight w:val="none"/>
        </w:rPr>
        <w:t>布点原则-7.4.2.6涉及地面漫流途径影响的，应结合地形地貌，在占地范围外的上、下游各设置1个表层样监测点的要求。土壤现状监测布点图见附图4-13。</w:t>
      </w:r>
    </w:p>
    <w:p>
      <w:pPr>
        <w:snapToGrid w:val="0"/>
        <w:spacing w:line="480" w:lineRule="exact"/>
        <w:ind w:firstLine="480" w:firstLineChars="0"/>
        <w:jc w:val="center"/>
        <w:rPr>
          <w:rFonts w:ascii="宋体" w:hAnsi="宋体"/>
          <w:kern w:val="0"/>
          <w:highlight w:val="none"/>
        </w:rPr>
      </w:pPr>
      <w:r>
        <w:rPr>
          <w:rFonts w:ascii="宋体" w:hAnsi="宋体"/>
          <w:kern w:val="0"/>
          <w:highlight w:val="none"/>
        </w:rPr>
        <w:t>表4.3-1</w:t>
      </w:r>
      <w:r>
        <w:rPr>
          <w:rFonts w:hint="eastAsia" w:ascii="宋体" w:hAnsi="宋体"/>
          <w:kern w:val="0"/>
          <w:highlight w:val="none"/>
        </w:rPr>
        <w:t xml:space="preserve">7  </w:t>
      </w:r>
      <w:r>
        <w:rPr>
          <w:rFonts w:ascii="宋体" w:hAnsi="宋体"/>
          <w:kern w:val="0"/>
          <w:highlight w:val="none"/>
        </w:rPr>
        <w:t>监测布点及监测项目</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41"/>
        <w:gridCol w:w="2545"/>
        <w:gridCol w:w="1276"/>
        <w:gridCol w:w="3954"/>
        <w:gridCol w:w="6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编号</w:t>
            </w:r>
          </w:p>
        </w:tc>
        <w:tc>
          <w:tcPr>
            <w:tcW w:w="2545" w:type="dxa"/>
            <w:vAlign w:val="center"/>
          </w:tcPr>
          <w:p>
            <w:pPr>
              <w:pStyle w:val="64"/>
              <w:rPr>
                <w:rFonts w:hAnsi="宋体"/>
                <w:highlight w:val="none"/>
              </w:rPr>
            </w:pPr>
            <w:r>
              <w:rPr>
                <w:rFonts w:hint="eastAsia" w:hAnsi="宋体"/>
                <w:highlight w:val="none"/>
              </w:rPr>
              <w:t>监测点</w:t>
            </w:r>
          </w:p>
        </w:tc>
        <w:tc>
          <w:tcPr>
            <w:tcW w:w="1276" w:type="dxa"/>
            <w:vAlign w:val="center"/>
          </w:tcPr>
          <w:p>
            <w:pPr>
              <w:pStyle w:val="64"/>
              <w:rPr>
                <w:rFonts w:hAnsi="宋体"/>
                <w:highlight w:val="none"/>
              </w:rPr>
            </w:pPr>
            <w:r>
              <w:rPr>
                <w:rFonts w:hint="eastAsia" w:hAnsi="宋体"/>
                <w:highlight w:val="none"/>
              </w:rPr>
              <w:t>取样深度</w:t>
            </w:r>
          </w:p>
        </w:tc>
        <w:tc>
          <w:tcPr>
            <w:tcW w:w="3954" w:type="dxa"/>
            <w:vAlign w:val="center"/>
          </w:tcPr>
          <w:p>
            <w:pPr>
              <w:pStyle w:val="64"/>
              <w:rPr>
                <w:rFonts w:hAnsi="宋体"/>
                <w:highlight w:val="none"/>
              </w:rPr>
            </w:pPr>
            <w:r>
              <w:rPr>
                <w:rFonts w:hint="eastAsia" w:hAnsi="宋体"/>
                <w:highlight w:val="none"/>
              </w:rPr>
              <w:t>监测项目</w:t>
            </w:r>
          </w:p>
        </w:tc>
        <w:tc>
          <w:tcPr>
            <w:tcW w:w="634" w:type="dxa"/>
            <w:vAlign w:val="center"/>
          </w:tcPr>
          <w:p>
            <w:pPr>
              <w:pStyle w:val="64"/>
              <w:rPr>
                <w:rFonts w:hAnsi="宋体"/>
                <w:bCs/>
                <w:highlight w:val="none"/>
              </w:rPr>
            </w:pPr>
            <w:r>
              <w:rPr>
                <w:rFonts w:hint="eastAsia" w:hAnsi="宋体"/>
                <w:bCs/>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1#</w:t>
            </w:r>
          </w:p>
        </w:tc>
        <w:tc>
          <w:tcPr>
            <w:tcW w:w="2545" w:type="dxa"/>
            <w:vAlign w:val="center"/>
          </w:tcPr>
          <w:p>
            <w:pPr>
              <w:pStyle w:val="64"/>
              <w:rPr>
                <w:rFonts w:hAnsi="宋体"/>
                <w:highlight w:val="none"/>
              </w:rPr>
            </w:pPr>
            <w:r>
              <w:rPr>
                <w:rFonts w:hint="eastAsia" w:hAnsi="宋体"/>
                <w:highlight w:val="none"/>
              </w:rPr>
              <w:t>厂区内东南侧距离厂区东南边界20m</w:t>
            </w:r>
          </w:p>
        </w:tc>
        <w:tc>
          <w:tcPr>
            <w:tcW w:w="1276" w:type="dxa"/>
            <w:vMerge w:val="restart"/>
            <w:vAlign w:val="center"/>
          </w:tcPr>
          <w:p>
            <w:pPr>
              <w:pStyle w:val="64"/>
              <w:rPr>
                <w:rFonts w:hAnsi="宋体"/>
                <w:bCs/>
                <w:highlight w:val="none"/>
              </w:rPr>
            </w:pPr>
            <w:r>
              <w:rPr>
                <w:rFonts w:hint="eastAsia" w:hAnsi="宋体"/>
                <w:bCs/>
                <w:highlight w:val="none"/>
              </w:rPr>
              <w:t>0-0.2m</w:t>
            </w:r>
          </w:p>
        </w:tc>
        <w:tc>
          <w:tcPr>
            <w:tcW w:w="3954" w:type="dxa"/>
            <w:vMerge w:val="restart"/>
            <w:vAlign w:val="center"/>
          </w:tcPr>
          <w:p>
            <w:pPr>
              <w:pStyle w:val="64"/>
              <w:rPr>
                <w:rFonts w:hAnsi="宋体"/>
                <w:highlight w:val="none"/>
              </w:rPr>
            </w:pPr>
            <w:r>
              <w:rPr>
                <w:rFonts w:hint="eastAsia" w:hAnsi="宋体"/>
                <w:highlight w:val="none"/>
              </w:rPr>
              <w:t>砷、镉、铬（六价）、铜、铅、汞、镍、四氯化碳、氯仿、氯甲烷、</w:t>
            </w:r>
            <w:r>
              <w:rPr>
                <w:rFonts w:hAnsi="宋体"/>
                <w:highlight w:val="none"/>
              </w:rPr>
              <w:t>1,1-</w:t>
            </w:r>
            <w:r>
              <w:rPr>
                <w:rFonts w:hint="eastAsia" w:hAnsi="宋体"/>
                <w:highlight w:val="none"/>
              </w:rPr>
              <w:t>二氯乙烷、</w:t>
            </w:r>
            <w:r>
              <w:rPr>
                <w:rFonts w:hAnsi="宋体"/>
                <w:highlight w:val="none"/>
              </w:rPr>
              <w:t>1,2-</w:t>
            </w:r>
            <w:r>
              <w:rPr>
                <w:rFonts w:hint="eastAsia" w:hAnsi="宋体"/>
                <w:highlight w:val="none"/>
              </w:rPr>
              <w:t>二氯乙烷、</w:t>
            </w:r>
            <w:r>
              <w:rPr>
                <w:rFonts w:hAnsi="宋体"/>
                <w:highlight w:val="none"/>
              </w:rPr>
              <w:t>1,1-</w:t>
            </w:r>
            <w:r>
              <w:rPr>
                <w:rFonts w:hint="eastAsia" w:hAnsi="宋体"/>
                <w:highlight w:val="none"/>
              </w:rPr>
              <w:t>二氯乙烯、顺</w:t>
            </w:r>
            <w:r>
              <w:rPr>
                <w:rFonts w:hAnsi="宋体"/>
                <w:highlight w:val="none"/>
              </w:rPr>
              <w:t>-1,2-</w:t>
            </w:r>
            <w:r>
              <w:rPr>
                <w:rFonts w:hint="eastAsia" w:hAnsi="宋体"/>
                <w:highlight w:val="none"/>
              </w:rPr>
              <w:t>二氯乙烯、反</w:t>
            </w:r>
            <w:r>
              <w:rPr>
                <w:rFonts w:hAnsi="宋体"/>
                <w:highlight w:val="none"/>
              </w:rPr>
              <w:t>-1,2-</w:t>
            </w:r>
            <w:r>
              <w:rPr>
                <w:rFonts w:hint="eastAsia" w:hAnsi="宋体"/>
                <w:highlight w:val="none"/>
              </w:rPr>
              <w:t>二氯乙烯、二氯甲烷、</w:t>
            </w:r>
            <w:r>
              <w:rPr>
                <w:rFonts w:hAnsi="宋体"/>
                <w:highlight w:val="none"/>
              </w:rPr>
              <w:t>1,2-</w:t>
            </w:r>
            <w:r>
              <w:rPr>
                <w:rFonts w:hint="eastAsia" w:hAnsi="宋体"/>
                <w:highlight w:val="none"/>
              </w:rPr>
              <w:t>二氯丙烷、</w:t>
            </w:r>
            <w:r>
              <w:rPr>
                <w:rFonts w:hAnsi="宋体"/>
                <w:highlight w:val="none"/>
              </w:rPr>
              <w:t>l,l,l,2-</w:t>
            </w:r>
            <w:r>
              <w:rPr>
                <w:rFonts w:hint="eastAsia" w:hAnsi="宋体"/>
                <w:highlight w:val="none"/>
              </w:rPr>
              <w:t>四氯乙烷、</w:t>
            </w:r>
            <w:r>
              <w:rPr>
                <w:rFonts w:hAnsi="宋体"/>
                <w:highlight w:val="none"/>
              </w:rPr>
              <w:t>l,1,2,2-</w:t>
            </w:r>
            <w:r>
              <w:rPr>
                <w:rFonts w:hint="eastAsia" w:hAnsi="宋体"/>
                <w:highlight w:val="none"/>
              </w:rPr>
              <w:t>四氯乙烷、四氯乙烯、</w:t>
            </w:r>
            <w:r>
              <w:rPr>
                <w:rFonts w:hAnsi="宋体"/>
                <w:highlight w:val="none"/>
              </w:rPr>
              <w:t>1,1,1-</w:t>
            </w:r>
            <w:r>
              <w:rPr>
                <w:rFonts w:hint="eastAsia" w:hAnsi="宋体"/>
                <w:highlight w:val="none"/>
              </w:rPr>
              <w:t>三氯乙烷、</w:t>
            </w:r>
            <w:r>
              <w:rPr>
                <w:rFonts w:hAnsi="宋体"/>
                <w:highlight w:val="none"/>
              </w:rPr>
              <w:t>1,1,2-</w:t>
            </w:r>
            <w:r>
              <w:rPr>
                <w:rFonts w:hint="eastAsia" w:hAnsi="宋体"/>
                <w:highlight w:val="none"/>
              </w:rPr>
              <w:t>三氯乙烷、三氯乙烯、</w:t>
            </w:r>
            <w:r>
              <w:rPr>
                <w:rFonts w:hAnsi="宋体"/>
                <w:highlight w:val="none"/>
              </w:rPr>
              <w:t>1,2,3-</w:t>
            </w:r>
            <w:r>
              <w:rPr>
                <w:rFonts w:hint="eastAsia" w:hAnsi="宋体"/>
                <w:highlight w:val="none"/>
              </w:rPr>
              <w:t>三氯丙烷、氯乙烯、苯、氯苯、</w:t>
            </w:r>
            <w:r>
              <w:rPr>
                <w:rFonts w:hAnsi="宋体"/>
                <w:highlight w:val="none"/>
              </w:rPr>
              <w:t>1,2-</w:t>
            </w:r>
            <w:r>
              <w:rPr>
                <w:rFonts w:hint="eastAsia" w:hAnsi="宋体"/>
                <w:highlight w:val="none"/>
              </w:rPr>
              <w:t>二氯苯、</w:t>
            </w:r>
            <w:r>
              <w:rPr>
                <w:rFonts w:hAnsi="宋体"/>
                <w:highlight w:val="none"/>
              </w:rPr>
              <w:t>1,4-</w:t>
            </w:r>
            <w:r>
              <w:rPr>
                <w:rFonts w:hint="eastAsia" w:hAnsi="宋体"/>
                <w:highlight w:val="none"/>
              </w:rPr>
              <w:t>二氯苯、乙苯、苯乙烯、甲苯、间二甲苯＋对二甲苯、邻二甲苯、硝基苯、苯胺、</w:t>
            </w:r>
            <w:r>
              <w:rPr>
                <w:rFonts w:hAnsi="宋体"/>
                <w:highlight w:val="none"/>
              </w:rPr>
              <w:t>2-</w:t>
            </w:r>
            <w:r>
              <w:rPr>
                <w:rFonts w:hint="eastAsia" w:hAnsi="宋体"/>
                <w:highlight w:val="none"/>
              </w:rPr>
              <w:t>氯酚、苯并</w:t>
            </w:r>
            <w:r>
              <w:rPr>
                <w:rFonts w:hAnsi="宋体"/>
                <w:highlight w:val="none"/>
              </w:rPr>
              <w:t>[a]</w:t>
            </w:r>
            <w:r>
              <w:rPr>
                <w:rFonts w:hint="eastAsia" w:hAnsi="宋体"/>
                <w:highlight w:val="none"/>
              </w:rPr>
              <w:t>蒽、苯并</w:t>
            </w:r>
            <w:r>
              <w:rPr>
                <w:rFonts w:hAnsi="宋体"/>
                <w:highlight w:val="none"/>
              </w:rPr>
              <w:t>[a]</w:t>
            </w:r>
            <w:r>
              <w:rPr>
                <w:rFonts w:hint="eastAsia" w:hAnsi="宋体"/>
                <w:highlight w:val="none"/>
              </w:rPr>
              <w:t>芘、苯并</w:t>
            </w:r>
            <w:r>
              <w:rPr>
                <w:rFonts w:hAnsi="宋体"/>
                <w:highlight w:val="none"/>
              </w:rPr>
              <w:t>[b]</w:t>
            </w:r>
            <w:r>
              <w:rPr>
                <w:rFonts w:hint="eastAsia" w:hAnsi="宋体"/>
                <w:highlight w:val="none"/>
              </w:rPr>
              <w:t>荧蒽、苯并</w:t>
            </w:r>
            <w:r>
              <w:rPr>
                <w:rFonts w:hAnsi="宋体"/>
                <w:highlight w:val="none"/>
              </w:rPr>
              <w:t>[k]</w:t>
            </w:r>
            <w:r>
              <w:rPr>
                <w:rFonts w:hint="eastAsia" w:hAnsi="宋体"/>
                <w:highlight w:val="none"/>
              </w:rPr>
              <w:t>荧蒽、䓛、二苯并[a,h］蒽、茚并［l,2,3-cd］芘、萘45项基本项；特征项目：石油烃</w:t>
            </w:r>
          </w:p>
        </w:tc>
        <w:tc>
          <w:tcPr>
            <w:tcW w:w="634" w:type="dxa"/>
            <w:vMerge w:val="restart"/>
            <w:vAlign w:val="center"/>
          </w:tcPr>
          <w:p>
            <w:pPr>
              <w:pStyle w:val="64"/>
              <w:rPr>
                <w:rFonts w:hAnsi="宋体"/>
                <w:bCs/>
                <w:highlight w:val="none"/>
              </w:rPr>
            </w:pPr>
            <w:r>
              <w:rPr>
                <w:rFonts w:hint="eastAsia" w:hAnsi="宋体"/>
                <w:bCs/>
                <w:highlight w:val="none"/>
              </w:rPr>
              <w:t>表层样点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2#</w:t>
            </w:r>
          </w:p>
        </w:tc>
        <w:tc>
          <w:tcPr>
            <w:tcW w:w="2545" w:type="dxa"/>
            <w:vAlign w:val="center"/>
          </w:tcPr>
          <w:p>
            <w:pPr>
              <w:pStyle w:val="64"/>
              <w:rPr>
                <w:rFonts w:hAnsi="宋体"/>
                <w:highlight w:val="none"/>
              </w:rPr>
            </w:pPr>
            <w:r>
              <w:rPr>
                <w:rFonts w:hint="eastAsia" w:hAnsi="宋体"/>
                <w:highlight w:val="none"/>
              </w:rPr>
              <w:t>厂区内西北侧距离厂区西北边界20m</w:t>
            </w:r>
          </w:p>
        </w:tc>
        <w:tc>
          <w:tcPr>
            <w:tcW w:w="1276" w:type="dxa"/>
            <w:vMerge w:val="continue"/>
            <w:vAlign w:val="center"/>
          </w:tcPr>
          <w:p>
            <w:pPr>
              <w:pStyle w:val="64"/>
              <w:rPr>
                <w:rFonts w:hAnsi="宋体"/>
                <w:bCs/>
                <w:highlight w:val="none"/>
              </w:rPr>
            </w:pPr>
          </w:p>
        </w:tc>
        <w:tc>
          <w:tcPr>
            <w:tcW w:w="3954" w:type="dxa"/>
            <w:vMerge w:val="continue"/>
            <w:vAlign w:val="center"/>
          </w:tcPr>
          <w:p>
            <w:pPr>
              <w:pStyle w:val="64"/>
              <w:rPr>
                <w:rFonts w:hAnsi="宋体"/>
                <w:highlight w:val="none"/>
              </w:rPr>
            </w:pPr>
          </w:p>
        </w:tc>
        <w:tc>
          <w:tcPr>
            <w:tcW w:w="634" w:type="dxa"/>
            <w:vMerge w:val="continue"/>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3#</w:t>
            </w:r>
          </w:p>
        </w:tc>
        <w:tc>
          <w:tcPr>
            <w:tcW w:w="2545" w:type="dxa"/>
            <w:vAlign w:val="center"/>
          </w:tcPr>
          <w:p>
            <w:pPr>
              <w:pStyle w:val="64"/>
              <w:rPr>
                <w:rFonts w:hAnsi="宋体"/>
                <w:highlight w:val="none"/>
              </w:rPr>
            </w:pPr>
            <w:r>
              <w:rPr>
                <w:rFonts w:hint="eastAsia" w:hAnsi="宋体"/>
                <w:highlight w:val="none"/>
              </w:rPr>
              <w:t>厂区中心</w:t>
            </w:r>
          </w:p>
        </w:tc>
        <w:tc>
          <w:tcPr>
            <w:tcW w:w="1276" w:type="dxa"/>
            <w:vMerge w:val="continue"/>
            <w:vAlign w:val="center"/>
          </w:tcPr>
          <w:p>
            <w:pPr>
              <w:pStyle w:val="64"/>
              <w:rPr>
                <w:rFonts w:hAnsi="宋体"/>
                <w:bCs/>
                <w:highlight w:val="none"/>
              </w:rPr>
            </w:pPr>
          </w:p>
        </w:tc>
        <w:tc>
          <w:tcPr>
            <w:tcW w:w="3954" w:type="dxa"/>
            <w:vMerge w:val="continue"/>
            <w:vAlign w:val="center"/>
          </w:tcPr>
          <w:p>
            <w:pPr>
              <w:pStyle w:val="64"/>
              <w:rPr>
                <w:rFonts w:hAnsi="宋体"/>
                <w:highlight w:val="none"/>
              </w:rPr>
            </w:pPr>
          </w:p>
        </w:tc>
        <w:tc>
          <w:tcPr>
            <w:tcW w:w="634" w:type="dxa"/>
            <w:vMerge w:val="continue"/>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4#</w:t>
            </w:r>
          </w:p>
        </w:tc>
        <w:tc>
          <w:tcPr>
            <w:tcW w:w="2545" w:type="dxa"/>
            <w:vAlign w:val="center"/>
          </w:tcPr>
          <w:p>
            <w:pPr>
              <w:pStyle w:val="64"/>
              <w:rPr>
                <w:rFonts w:hAnsi="宋体"/>
                <w:highlight w:val="none"/>
              </w:rPr>
            </w:pPr>
            <w:r>
              <w:rPr>
                <w:rFonts w:hint="eastAsia" w:hAnsi="宋体"/>
                <w:highlight w:val="none"/>
              </w:rPr>
              <w:t>尾矿库内东南侧距离库区东南边界30m</w:t>
            </w:r>
          </w:p>
        </w:tc>
        <w:tc>
          <w:tcPr>
            <w:tcW w:w="1276" w:type="dxa"/>
            <w:vMerge w:val="restart"/>
            <w:vAlign w:val="center"/>
          </w:tcPr>
          <w:p>
            <w:pPr>
              <w:pStyle w:val="64"/>
              <w:rPr>
                <w:rFonts w:hAnsi="宋体"/>
                <w:bCs/>
                <w:highlight w:val="none"/>
              </w:rPr>
            </w:pPr>
            <w:r>
              <w:rPr>
                <w:rFonts w:hint="eastAsia" w:hAnsi="宋体"/>
                <w:bCs/>
                <w:highlight w:val="none"/>
              </w:rPr>
              <w:t>在0~0.5m、0.5~1.5m、1.5~3m分别取样</w:t>
            </w:r>
          </w:p>
        </w:tc>
        <w:tc>
          <w:tcPr>
            <w:tcW w:w="3954" w:type="dxa"/>
            <w:vMerge w:val="restart"/>
            <w:vAlign w:val="center"/>
          </w:tcPr>
          <w:p>
            <w:pPr>
              <w:pStyle w:val="64"/>
              <w:rPr>
                <w:rFonts w:hAnsi="宋体"/>
                <w:highlight w:val="none"/>
              </w:rPr>
            </w:pPr>
            <w:r>
              <w:rPr>
                <w:rFonts w:hint="eastAsia" w:hAnsi="宋体"/>
                <w:highlight w:val="none"/>
              </w:rPr>
              <w:t>镉、汞、砷、铜、铅、铬、锌、镍</w:t>
            </w:r>
          </w:p>
        </w:tc>
        <w:tc>
          <w:tcPr>
            <w:tcW w:w="634" w:type="dxa"/>
            <w:vMerge w:val="restart"/>
            <w:vAlign w:val="center"/>
          </w:tcPr>
          <w:p>
            <w:pPr>
              <w:pStyle w:val="64"/>
              <w:rPr>
                <w:rFonts w:hAnsi="宋体"/>
                <w:bCs/>
                <w:highlight w:val="none"/>
              </w:rPr>
            </w:pPr>
            <w:r>
              <w:rPr>
                <w:rFonts w:hint="eastAsia" w:hAnsi="宋体"/>
                <w:bCs/>
                <w:highlight w:val="none"/>
              </w:rPr>
              <w:t>柱状样点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5#</w:t>
            </w:r>
          </w:p>
        </w:tc>
        <w:tc>
          <w:tcPr>
            <w:tcW w:w="2545" w:type="dxa"/>
            <w:vAlign w:val="center"/>
          </w:tcPr>
          <w:p>
            <w:pPr>
              <w:pStyle w:val="64"/>
              <w:rPr>
                <w:rFonts w:hAnsi="宋体"/>
                <w:highlight w:val="none"/>
              </w:rPr>
            </w:pPr>
            <w:r>
              <w:rPr>
                <w:rFonts w:hint="eastAsia" w:hAnsi="宋体"/>
                <w:highlight w:val="none"/>
              </w:rPr>
              <w:t>尾矿库内西北侧距离库区西北边界30m</w:t>
            </w:r>
          </w:p>
        </w:tc>
        <w:tc>
          <w:tcPr>
            <w:tcW w:w="1276" w:type="dxa"/>
            <w:vMerge w:val="continue"/>
            <w:vAlign w:val="center"/>
          </w:tcPr>
          <w:p>
            <w:pPr>
              <w:pStyle w:val="64"/>
              <w:rPr>
                <w:rFonts w:hAnsi="宋体"/>
                <w:bCs/>
                <w:highlight w:val="none"/>
              </w:rPr>
            </w:pPr>
          </w:p>
        </w:tc>
        <w:tc>
          <w:tcPr>
            <w:tcW w:w="3954" w:type="dxa"/>
            <w:vMerge w:val="continue"/>
            <w:vAlign w:val="center"/>
          </w:tcPr>
          <w:p>
            <w:pPr>
              <w:pStyle w:val="64"/>
              <w:rPr>
                <w:rFonts w:hAnsi="宋体"/>
                <w:highlight w:val="none"/>
              </w:rPr>
            </w:pPr>
          </w:p>
        </w:tc>
        <w:tc>
          <w:tcPr>
            <w:tcW w:w="634" w:type="dxa"/>
            <w:vMerge w:val="continue"/>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6#</w:t>
            </w:r>
          </w:p>
        </w:tc>
        <w:tc>
          <w:tcPr>
            <w:tcW w:w="2545" w:type="dxa"/>
            <w:vAlign w:val="center"/>
          </w:tcPr>
          <w:p>
            <w:pPr>
              <w:pStyle w:val="64"/>
              <w:rPr>
                <w:rFonts w:hAnsi="宋体"/>
                <w:highlight w:val="none"/>
              </w:rPr>
            </w:pPr>
            <w:r>
              <w:rPr>
                <w:rFonts w:hint="eastAsia" w:hAnsi="宋体"/>
                <w:highlight w:val="none"/>
              </w:rPr>
              <w:t>尾矿库中心</w:t>
            </w:r>
          </w:p>
        </w:tc>
        <w:tc>
          <w:tcPr>
            <w:tcW w:w="1276" w:type="dxa"/>
            <w:vMerge w:val="continue"/>
            <w:vAlign w:val="center"/>
          </w:tcPr>
          <w:p>
            <w:pPr>
              <w:pStyle w:val="64"/>
              <w:rPr>
                <w:rFonts w:hAnsi="宋体"/>
                <w:highlight w:val="none"/>
              </w:rPr>
            </w:pPr>
          </w:p>
        </w:tc>
        <w:tc>
          <w:tcPr>
            <w:tcW w:w="3954" w:type="dxa"/>
            <w:vMerge w:val="continue"/>
            <w:vAlign w:val="center"/>
          </w:tcPr>
          <w:p>
            <w:pPr>
              <w:pStyle w:val="64"/>
              <w:rPr>
                <w:rFonts w:hAnsi="宋体"/>
                <w:highlight w:val="none"/>
              </w:rPr>
            </w:pPr>
          </w:p>
        </w:tc>
        <w:tc>
          <w:tcPr>
            <w:tcW w:w="634" w:type="dxa"/>
            <w:vMerge w:val="continue"/>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7#</w:t>
            </w:r>
          </w:p>
        </w:tc>
        <w:tc>
          <w:tcPr>
            <w:tcW w:w="2545" w:type="dxa"/>
            <w:vAlign w:val="center"/>
          </w:tcPr>
          <w:p>
            <w:pPr>
              <w:pStyle w:val="64"/>
              <w:rPr>
                <w:rFonts w:hAnsi="宋体"/>
                <w:highlight w:val="none"/>
              </w:rPr>
            </w:pPr>
            <w:r>
              <w:rPr>
                <w:rFonts w:hint="eastAsia" w:hAnsi="宋体"/>
                <w:highlight w:val="none"/>
              </w:rPr>
              <w:t>尾矿库中心北侧50m</w:t>
            </w:r>
          </w:p>
        </w:tc>
        <w:tc>
          <w:tcPr>
            <w:tcW w:w="1276" w:type="dxa"/>
            <w:vMerge w:val="restart"/>
            <w:vAlign w:val="center"/>
          </w:tcPr>
          <w:p>
            <w:pPr>
              <w:pStyle w:val="64"/>
              <w:rPr>
                <w:rFonts w:hAnsi="宋体"/>
                <w:highlight w:val="none"/>
              </w:rPr>
            </w:pPr>
            <w:r>
              <w:rPr>
                <w:rFonts w:hint="eastAsia" w:hAnsi="宋体"/>
                <w:bCs/>
                <w:highlight w:val="none"/>
              </w:rPr>
              <w:t>0-0.2m</w:t>
            </w:r>
          </w:p>
        </w:tc>
        <w:tc>
          <w:tcPr>
            <w:tcW w:w="3954" w:type="dxa"/>
            <w:vMerge w:val="continue"/>
            <w:vAlign w:val="center"/>
          </w:tcPr>
          <w:p>
            <w:pPr>
              <w:pStyle w:val="64"/>
              <w:rPr>
                <w:rFonts w:hAnsi="宋体"/>
                <w:highlight w:val="none"/>
              </w:rPr>
            </w:pPr>
          </w:p>
        </w:tc>
        <w:tc>
          <w:tcPr>
            <w:tcW w:w="634" w:type="dxa"/>
            <w:vMerge w:val="restart"/>
            <w:vAlign w:val="center"/>
          </w:tcPr>
          <w:p>
            <w:pPr>
              <w:pStyle w:val="64"/>
              <w:rPr>
                <w:rFonts w:hAnsi="宋体"/>
                <w:bCs/>
                <w:highlight w:val="none"/>
              </w:rPr>
            </w:pPr>
            <w:r>
              <w:rPr>
                <w:rFonts w:hint="eastAsia" w:hAnsi="宋体"/>
                <w:bCs/>
                <w:highlight w:val="none"/>
              </w:rPr>
              <w:t>表层样点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8#</w:t>
            </w:r>
          </w:p>
        </w:tc>
        <w:tc>
          <w:tcPr>
            <w:tcW w:w="2545" w:type="dxa"/>
            <w:vAlign w:val="center"/>
          </w:tcPr>
          <w:p>
            <w:pPr>
              <w:pStyle w:val="64"/>
              <w:rPr>
                <w:rFonts w:hAnsi="宋体"/>
                <w:highlight w:val="none"/>
              </w:rPr>
            </w:pPr>
            <w:r>
              <w:rPr>
                <w:rFonts w:hint="eastAsia" w:hAnsi="宋体"/>
                <w:highlight w:val="none"/>
              </w:rPr>
              <w:t>尾矿库外西北侧距离库区西北边界10m</w:t>
            </w:r>
          </w:p>
        </w:tc>
        <w:tc>
          <w:tcPr>
            <w:tcW w:w="1276" w:type="dxa"/>
            <w:vMerge w:val="continue"/>
            <w:vAlign w:val="center"/>
          </w:tcPr>
          <w:p>
            <w:pPr>
              <w:pStyle w:val="64"/>
              <w:rPr>
                <w:rFonts w:hAnsi="宋体"/>
                <w:bCs/>
                <w:highlight w:val="none"/>
              </w:rPr>
            </w:pPr>
          </w:p>
        </w:tc>
        <w:tc>
          <w:tcPr>
            <w:tcW w:w="3954" w:type="dxa"/>
            <w:vMerge w:val="continue"/>
            <w:vAlign w:val="center"/>
          </w:tcPr>
          <w:p>
            <w:pPr>
              <w:pStyle w:val="64"/>
              <w:rPr>
                <w:rFonts w:hAnsi="宋体"/>
                <w:highlight w:val="none"/>
              </w:rPr>
            </w:pPr>
          </w:p>
        </w:tc>
        <w:tc>
          <w:tcPr>
            <w:tcW w:w="634" w:type="dxa"/>
            <w:vMerge w:val="continue"/>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41" w:type="dxa"/>
            <w:vAlign w:val="center"/>
          </w:tcPr>
          <w:p>
            <w:pPr>
              <w:pStyle w:val="64"/>
              <w:rPr>
                <w:rFonts w:hAnsi="宋体"/>
                <w:highlight w:val="none"/>
              </w:rPr>
            </w:pPr>
            <w:r>
              <w:rPr>
                <w:rFonts w:hint="eastAsia" w:hAnsi="宋体"/>
                <w:highlight w:val="none"/>
              </w:rPr>
              <w:t>9#</w:t>
            </w:r>
          </w:p>
        </w:tc>
        <w:tc>
          <w:tcPr>
            <w:tcW w:w="2545" w:type="dxa"/>
            <w:vAlign w:val="center"/>
          </w:tcPr>
          <w:p>
            <w:pPr>
              <w:pStyle w:val="64"/>
              <w:rPr>
                <w:rFonts w:hAnsi="宋体"/>
                <w:highlight w:val="none"/>
              </w:rPr>
            </w:pPr>
            <w:r>
              <w:rPr>
                <w:rFonts w:hint="eastAsia" w:hAnsi="宋体"/>
                <w:highlight w:val="none"/>
              </w:rPr>
              <w:t>尾矿库外东南侧距离库区东南边界10m</w:t>
            </w:r>
          </w:p>
        </w:tc>
        <w:tc>
          <w:tcPr>
            <w:tcW w:w="1276" w:type="dxa"/>
            <w:vMerge w:val="continue"/>
            <w:vAlign w:val="center"/>
          </w:tcPr>
          <w:p>
            <w:pPr>
              <w:pStyle w:val="64"/>
              <w:rPr>
                <w:rFonts w:hAnsi="宋体"/>
                <w:bCs/>
                <w:highlight w:val="none"/>
              </w:rPr>
            </w:pPr>
          </w:p>
        </w:tc>
        <w:tc>
          <w:tcPr>
            <w:tcW w:w="3954" w:type="dxa"/>
            <w:vMerge w:val="continue"/>
            <w:vAlign w:val="center"/>
          </w:tcPr>
          <w:p>
            <w:pPr>
              <w:pStyle w:val="64"/>
              <w:rPr>
                <w:rFonts w:hAnsi="宋体"/>
                <w:highlight w:val="none"/>
              </w:rPr>
            </w:pPr>
          </w:p>
        </w:tc>
        <w:tc>
          <w:tcPr>
            <w:tcW w:w="634" w:type="dxa"/>
            <w:vMerge w:val="continue"/>
            <w:vAlign w:val="center"/>
          </w:tcPr>
          <w:p>
            <w:pPr>
              <w:pStyle w:val="64"/>
              <w:rPr>
                <w:rFonts w:hAnsi="宋体"/>
                <w:bCs/>
                <w:highlight w:val="none"/>
              </w:rPr>
            </w:pPr>
          </w:p>
        </w:tc>
      </w:tr>
    </w:tbl>
    <w:p>
      <w:pPr>
        <w:adjustRightInd w:val="0"/>
        <w:snapToGrid w:val="0"/>
        <w:ind w:firstLine="480"/>
        <w:rPr>
          <w:rFonts w:ascii="宋体" w:hAnsi="宋体"/>
          <w:kern w:val="0"/>
          <w:szCs w:val="20"/>
          <w:highlight w:val="none"/>
        </w:rPr>
      </w:pPr>
      <w:bookmarkStart w:id="145" w:name="_Toc5181524"/>
      <w:r>
        <w:rPr>
          <w:rFonts w:ascii="宋体" w:hAnsi="宋体"/>
          <w:kern w:val="0"/>
          <w:szCs w:val="20"/>
          <w:highlight w:val="none"/>
        </w:rPr>
        <w:t>2</w:t>
      </w:r>
      <w:r>
        <w:rPr>
          <w:rFonts w:hint="eastAsia" w:ascii="宋体" w:hAnsi="宋体"/>
          <w:kern w:val="0"/>
          <w:szCs w:val="20"/>
          <w:highlight w:val="none"/>
        </w:rPr>
        <w:t>、监测项目、评价标准值及监测分析方法列于表</w:t>
      </w:r>
      <w:r>
        <w:rPr>
          <w:rFonts w:ascii="宋体" w:hAnsi="宋体"/>
          <w:kern w:val="0"/>
          <w:highlight w:val="none"/>
        </w:rPr>
        <w:t>4.3-</w:t>
      </w:r>
      <w:r>
        <w:rPr>
          <w:rFonts w:hint="eastAsia" w:ascii="宋体" w:hAnsi="宋体"/>
          <w:kern w:val="0"/>
          <w:highlight w:val="none"/>
        </w:rPr>
        <w:t>18</w:t>
      </w:r>
      <w:r>
        <w:rPr>
          <w:rFonts w:hint="eastAsia" w:ascii="宋体" w:hAnsi="宋体"/>
          <w:kern w:val="0"/>
          <w:szCs w:val="20"/>
          <w:highlight w:val="none"/>
        </w:rPr>
        <w:t>。</w:t>
      </w:r>
    </w:p>
    <w:p>
      <w:pPr>
        <w:pStyle w:val="65"/>
        <w:rPr>
          <w:rFonts w:hAnsi="宋体"/>
          <w:highlight w:val="none"/>
        </w:rPr>
      </w:pPr>
      <w:r>
        <w:rPr>
          <w:rFonts w:hint="eastAsia" w:hAnsi="宋体"/>
          <w:highlight w:val="none"/>
        </w:rPr>
        <w:t>表</w:t>
      </w:r>
      <w:r>
        <w:rPr>
          <w:rFonts w:hAnsi="宋体"/>
          <w:kern w:val="0"/>
          <w:highlight w:val="none"/>
        </w:rPr>
        <w:t>4.3-</w:t>
      </w:r>
      <w:r>
        <w:rPr>
          <w:rFonts w:hint="eastAsia" w:hAnsi="宋体"/>
          <w:kern w:val="0"/>
          <w:highlight w:val="none"/>
        </w:rPr>
        <w:t>18</w:t>
      </w:r>
      <w:r>
        <w:rPr>
          <w:rFonts w:hAnsi="宋体"/>
          <w:highlight w:val="none"/>
        </w:rPr>
        <w:t xml:space="preserve">  </w:t>
      </w:r>
      <w:r>
        <w:rPr>
          <w:rFonts w:hint="eastAsia" w:hAnsi="宋体"/>
          <w:highlight w:val="none"/>
        </w:rPr>
        <w:t>监测项目、评价标准值及分析方法</w:t>
      </w:r>
    </w:p>
    <w:tbl>
      <w:tblPr>
        <w:tblStyle w:val="44"/>
        <w:tblW w:w="875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36"/>
        <w:gridCol w:w="594"/>
        <w:gridCol w:w="1414"/>
        <w:gridCol w:w="2102"/>
        <w:gridCol w:w="2392"/>
        <w:gridCol w:w="860"/>
        <w:gridCol w:w="85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序号</w:t>
            </w:r>
          </w:p>
        </w:tc>
        <w:tc>
          <w:tcPr>
            <w:tcW w:w="2008" w:type="dxa"/>
            <w:gridSpan w:val="2"/>
            <w:vAlign w:val="center"/>
          </w:tcPr>
          <w:p>
            <w:pPr>
              <w:pStyle w:val="64"/>
              <w:rPr>
                <w:rFonts w:hAnsi="宋体"/>
                <w:highlight w:val="none"/>
                <w:lang w:eastAsia="en-US"/>
              </w:rPr>
            </w:pPr>
            <w:r>
              <w:rPr>
                <w:rFonts w:hAnsi="宋体"/>
                <w:highlight w:val="none"/>
                <w:lang w:eastAsia="en-US"/>
              </w:rPr>
              <w:t>监测项目</w:t>
            </w:r>
          </w:p>
        </w:tc>
        <w:tc>
          <w:tcPr>
            <w:tcW w:w="2102" w:type="dxa"/>
            <w:vAlign w:val="center"/>
          </w:tcPr>
          <w:p>
            <w:pPr>
              <w:pStyle w:val="64"/>
              <w:rPr>
                <w:rFonts w:hAnsi="宋体"/>
                <w:highlight w:val="none"/>
                <w:lang w:eastAsia="en-US"/>
              </w:rPr>
            </w:pPr>
            <w:r>
              <w:rPr>
                <w:rFonts w:hAnsi="宋体"/>
                <w:highlight w:val="none"/>
                <w:lang w:eastAsia="en-US"/>
              </w:rPr>
              <w:t>分析方法</w:t>
            </w:r>
          </w:p>
        </w:tc>
        <w:tc>
          <w:tcPr>
            <w:tcW w:w="2392" w:type="dxa"/>
            <w:vAlign w:val="center"/>
          </w:tcPr>
          <w:p>
            <w:pPr>
              <w:pStyle w:val="64"/>
              <w:rPr>
                <w:rFonts w:hAnsi="宋体"/>
                <w:highlight w:val="none"/>
              </w:rPr>
            </w:pPr>
            <w:r>
              <w:rPr>
                <w:rFonts w:hAnsi="宋体"/>
                <w:highlight w:val="none"/>
              </w:rPr>
              <w:t>主要仪器型号及管理编号</w:t>
            </w:r>
          </w:p>
        </w:tc>
        <w:tc>
          <w:tcPr>
            <w:tcW w:w="860" w:type="dxa"/>
            <w:vAlign w:val="center"/>
          </w:tcPr>
          <w:p>
            <w:pPr>
              <w:pStyle w:val="64"/>
              <w:rPr>
                <w:rFonts w:hAnsi="宋体"/>
                <w:highlight w:val="none"/>
                <w:lang w:eastAsia="en-US"/>
              </w:rPr>
            </w:pPr>
            <w:r>
              <w:rPr>
                <w:rFonts w:hAnsi="宋体"/>
                <w:highlight w:val="none"/>
                <w:lang w:eastAsia="en-US"/>
              </w:rPr>
              <w:t>检出限</w:t>
            </w:r>
          </w:p>
        </w:tc>
        <w:tc>
          <w:tcPr>
            <w:tcW w:w="856" w:type="dxa"/>
            <w:vAlign w:val="center"/>
          </w:tcPr>
          <w:p>
            <w:pPr>
              <w:pStyle w:val="64"/>
              <w:rPr>
                <w:rFonts w:hAnsi="宋体"/>
                <w:highlight w:val="none"/>
              </w:rPr>
            </w:pPr>
            <w:r>
              <w:rPr>
                <w:rFonts w:hint="eastAsia" w:hAnsi="宋体"/>
                <w:highlight w:val="none"/>
              </w:rPr>
              <w:t>筛选值</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w:t>
            </w:r>
          </w:p>
        </w:tc>
        <w:tc>
          <w:tcPr>
            <w:tcW w:w="594" w:type="dxa"/>
            <w:vMerge w:val="restart"/>
            <w:vAlign w:val="center"/>
          </w:tcPr>
          <w:p>
            <w:pPr>
              <w:pStyle w:val="64"/>
              <w:rPr>
                <w:rFonts w:hAnsi="宋体"/>
                <w:highlight w:val="none"/>
              </w:rPr>
            </w:pPr>
            <w:r>
              <w:rPr>
                <w:rFonts w:hAnsi="宋体"/>
                <w:highlight w:val="none"/>
                <w:lang w:eastAsia="en-US"/>
              </w:rPr>
              <w:t>重金属和无机物</w:t>
            </w:r>
          </w:p>
        </w:tc>
        <w:tc>
          <w:tcPr>
            <w:tcW w:w="1414" w:type="dxa"/>
            <w:vAlign w:val="center"/>
          </w:tcPr>
          <w:p>
            <w:pPr>
              <w:pStyle w:val="64"/>
              <w:rPr>
                <w:rFonts w:hAnsi="宋体"/>
                <w:highlight w:val="none"/>
                <w:lang w:eastAsia="en-US"/>
              </w:rPr>
            </w:pPr>
            <w:r>
              <w:rPr>
                <w:rFonts w:hAnsi="宋体"/>
                <w:highlight w:val="none"/>
                <w:lang w:eastAsia="en-US"/>
              </w:rPr>
              <w:t>砷</w:t>
            </w:r>
            <w:r>
              <w:rPr>
                <w:rFonts w:hAnsi="宋体"/>
                <w:highlight w:val="none"/>
              </w:rPr>
              <w:t>（</w:t>
            </w:r>
            <w:r>
              <w:rPr>
                <w:rFonts w:hAnsi="宋体"/>
                <w:highlight w:val="none"/>
                <w:lang w:eastAsia="en-US"/>
              </w:rPr>
              <w:t>mg/kg</w:t>
            </w:r>
            <w:r>
              <w:rPr>
                <w:rFonts w:hAnsi="宋体"/>
                <w:highlight w:val="none"/>
              </w:rPr>
              <w:t>）</w:t>
            </w:r>
          </w:p>
        </w:tc>
        <w:tc>
          <w:tcPr>
            <w:tcW w:w="2102" w:type="dxa"/>
            <w:vAlign w:val="center"/>
          </w:tcPr>
          <w:p>
            <w:pPr>
              <w:pStyle w:val="64"/>
              <w:rPr>
                <w:rFonts w:hAnsi="宋体"/>
                <w:highlight w:val="none"/>
                <w:lang w:eastAsia="en-US"/>
              </w:rPr>
            </w:pPr>
            <w:r>
              <w:rPr>
                <w:rFonts w:hAnsi="宋体"/>
                <w:highlight w:val="none"/>
                <w:lang w:eastAsia="en-US"/>
              </w:rPr>
              <w:t>原子荧光法GB/T22105.2-2008</w:t>
            </w:r>
          </w:p>
        </w:tc>
        <w:tc>
          <w:tcPr>
            <w:tcW w:w="2392" w:type="dxa"/>
            <w:vAlign w:val="center"/>
          </w:tcPr>
          <w:p>
            <w:pPr>
              <w:pStyle w:val="64"/>
              <w:rPr>
                <w:rFonts w:hAnsi="宋体"/>
                <w:highlight w:val="none"/>
                <w:lang w:eastAsia="en-US"/>
              </w:rPr>
            </w:pPr>
            <w:r>
              <w:rPr>
                <w:rFonts w:hAnsi="宋体"/>
                <w:highlight w:val="none"/>
                <w:lang w:eastAsia="en-US"/>
              </w:rPr>
              <w:t>AFS-2202E 型原子荧光光度计（YFJC/B18009）</w:t>
            </w:r>
          </w:p>
        </w:tc>
        <w:tc>
          <w:tcPr>
            <w:tcW w:w="860" w:type="dxa"/>
            <w:vAlign w:val="center"/>
          </w:tcPr>
          <w:p>
            <w:pPr>
              <w:pStyle w:val="64"/>
              <w:rPr>
                <w:rFonts w:hAnsi="宋体"/>
                <w:highlight w:val="none"/>
                <w:lang w:eastAsia="en-US"/>
              </w:rPr>
            </w:pPr>
            <w:r>
              <w:rPr>
                <w:rFonts w:hAnsi="宋体"/>
                <w:highlight w:val="none"/>
                <w:lang w:eastAsia="en-US"/>
              </w:rPr>
              <w:t>0.01</w:t>
            </w:r>
          </w:p>
        </w:tc>
        <w:tc>
          <w:tcPr>
            <w:tcW w:w="856" w:type="dxa"/>
            <w:vAlign w:val="center"/>
          </w:tcPr>
          <w:p>
            <w:pPr>
              <w:pStyle w:val="64"/>
              <w:rPr>
                <w:rFonts w:hAnsi="宋体"/>
                <w:highlight w:val="none"/>
              </w:rPr>
            </w:pPr>
            <w:r>
              <w:rPr>
                <w:rFonts w:hint="eastAsia" w:hAnsi="宋体"/>
                <w:highlight w:val="none"/>
              </w:rPr>
              <w:t>60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镉（mg/kg）</w:t>
            </w:r>
          </w:p>
        </w:tc>
        <w:tc>
          <w:tcPr>
            <w:tcW w:w="2102" w:type="dxa"/>
            <w:vAlign w:val="center"/>
          </w:tcPr>
          <w:p>
            <w:pPr>
              <w:pStyle w:val="64"/>
              <w:rPr>
                <w:rFonts w:hAnsi="宋体"/>
                <w:highlight w:val="none"/>
              </w:rPr>
            </w:pPr>
            <w:r>
              <w:rPr>
                <w:rFonts w:hAnsi="宋体"/>
                <w:highlight w:val="none"/>
              </w:rPr>
              <w:t>石墨炉原子吸收分光光度法GB/T17141-1997</w:t>
            </w:r>
          </w:p>
        </w:tc>
        <w:tc>
          <w:tcPr>
            <w:tcW w:w="2392" w:type="dxa"/>
            <w:vAlign w:val="center"/>
          </w:tcPr>
          <w:p>
            <w:pPr>
              <w:pStyle w:val="64"/>
              <w:rPr>
                <w:rFonts w:hAnsi="宋体"/>
                <w:highlight w:val="none"/>
                <w:lang w:eastAsia="en-US"/>
              </w:rPr>
            </w:pPr>
            <w:r>
              <w:rPr>
                <w:rFonts w:hAnsi="宋体"/>
                <w:highlight w:val="none"/>
                <w:lang w:eastAsia="en-US"/>
              </w:rPr>
              <w:t>WFX-130A 型原子吸收分光光度计（YFJC/B18006）</w:t>
            </w:r>
          </w:p>
        </w:tc>
        <w:tc>
          <w:tcPr>
            <w:tcW w:w="860" w:type="dxa"/>
            <w:vAlign w:val="center"/>
          </w:tcPr>
          <w:p>
            <w:pPr>
              <w:pStyle w:val="64"/>
              <w:rPr>
                <w:rFonts w:hAnsi="宋体"/>
                <w:highlight w:val="none"/>
                <w:lang w:eastAsia="en-US"/>
              </w:rPr>
            </w:pPr>
            <w:r>
              <w:rPr>
                <w:rFonts w:hAnsi="宋体"/>
                <w:highlight w:val="none"/>
                <w:lang w:eastAsia="en-US"/>
              </w:rPr>
              <w:t>0.01</w:t>
            </w:r>
          </w:p>
        </w:tc>
        <w:tc>
          <w:tcPr>
            <w:tcW w:w="856" w:type="dxa"/>
            <w:vAlign w:val="center"/>
          </w:tcPr>
          <w:p>
            <w:pPr>
              <w:pStyle w:val="64"/>
              <w:rPr>
                <w:rFonts w:hAnsi="宋体"/>
                <w:highlight w:val="none"/>
              </w:rPr>
            </w:pPr>
            <w:r>
              <w:rPr>
                <w:rFonts w:hint="eastAsia" w:hAnsi="宋体"/>
                <w:highlight w:val="none"/>
              </w:rPr>
              <w:t>65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3</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六价铬（mg/kg）</w:t>
            </w:r>
          </w:p>
        </w:tc>
        <w:tc>
          <w:tcPr>
            <w:tcW w:w="2102" w:type="dxa"/>
            <w:vAlign w:val="center"/>
          </w:tcPr>
          <w:p>
            <w:pPr>
              <w:pStyle w:val="64"/>
              <w:rPr>
                <w:rFonts w:hAnsi="宋体"/>
                <w:highlight w:val="none"/>
              </w:rPr>
            </w:pPr>
            <w:r>
              <w:rPr>
                <w:rFonts w:hAnsi="宋体"/>
                <w:highlight w:val="none"/>
              </w:rPr>
              <w:t>碱消解/火焰原子吸收分光光度法HJ687-2014</w:t>
            </w:r>
          </w:p>
        </w:tc>
        <w:tc>
          <w:tcPr>
            <w:tcW w:w="2392" w:type="dxa"/>
            <w:vAlign w:val="center"/>
          </w:tcPr>
          <w:p>
            <w:pPr>
              <w:pStyle w:val="64"/>
              <w:rPr>
                <w:rFonts w:hAnsi="宋体"/>
                <w:highlight w:val="none"/>
                <w:lang w:eastAsia="en-US"/>
              </w:rPr>
            </w:pPr>
            <w:r>
              <w:rPr>
                <w:rFonts w:hAnsi="宋体"/>
                <w:highlight w:val="none"/>
              </w:rPr>
              <w:t>SZCL型恒温磁力搅拌器</w:t>
            </w:r>
            <w:r>
              <w:rPr>
                <w:rFonts w:hAnsi="宋体"/>
                <w:highlight w:val="none"/>
                <w:lang w:eastAsia="en-US"/>
              </w:rPr>
              <w:t>（YFJC/B18240）WFX-130A 型原子吸收分光光度计（YFJC/B18006）</w:t>
            </w:r>
          </w:p>
        </w:tc>
        <w:tc>
          <w:tcPr>
            <w:tcW w:w="860" w:type="dxa"/>
            <w:vAlign w:val="center"/>
          </w:tcPr>
          <w:p>
            <w:pPr>
              <w:pStyle w:val="64"/>
              <w:rPr>
                <w:rFonts w:hAnsi="宋体"/>
                <w:highlight w:val="none"/>
                <w:lang w:eastAsia="en-US"/>
              </w:rPr>
            </w:pPr>
            <w:r>
              <w:rPr>
                <w:rFonts w:hAnsi="宋体"/>
                <w:highlight w:val="none"/>
                <w:lang w:eastAsia="en-US"/>
              </w:rPr>
              <w:t>2</w:t>
            </w:r>
          </w:p>
        </w:tc>
        <w:tc>
          <w:tcPr>
            <w:tcW w:w="856" w:type="dxa"/>
            <w:vAlign w:val="center"/>
          </w:tcPr>
          <w:p>
            <w:pPr>
              <w:pStyle w:val="64"/>
              <w:rPr>
                <w:rFonts w:hAnsi="宋体"/>
                <w:highlight w:val="none"/>
              </w:rPr>
            </w:pPr>
            <w:r>
              <w:rPr>
                <w:rFonts w:hint="eastAsia" w:hAnsi="宋体"/>
                <w:highlight w:val="none"/>
              </w:rPr>
              <w:t>5.7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4</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铜（mg/kg）</w:t>
            </w:r>
          </w:p>
        </w:tc>
        <w:tc>
          <w:tcPr>
            <w:tcW w:w="2102" w:type="dxa"/>
            <w:vAlign w:val="center"/>
          </w:tcPr>
          <w:p>
            <w:pPr>
              <w:pStyle w:val="64"/>
              <w:rPr>
                <w:rFonts w:hAnsi="宋体"/>
                <w:highlight w:val="none"/>
                <w:lang w:eastAsia="en-US"/>
              </w:rPr>
            </w:pPr>
            <w:r>
              <w:rPr>
                <w:rFonts w:hAnsi="宋体"/>
                <w:highlight w:val="none"/>
                <w:lang w:eastAsia="en-US"/>
              </w:rPr>
              <w:t>火焰原子吸收分光光度法 GB/T17138-1997</w:t>
            </w:r>
          </w:p>
        </w:tc>
        <w:tc>
          <w:tcPr>
            <w:tcW w:w="2392" w:type="dxa"/>
            <w:vAlign w:val="center"/>
          </w:tcPr>
          <w:p>
            <w:pPr>
              <w:pStyle w:val="64"/>
              <w:rPr>
                <w:rFonts w:hAnsi="宋体"/>
                <w:highlight w:val="none"/>
                <w:lang w:eastAsia="en-US"/>
              </w:rPr>
            </w:pPr>
            <w:r>
              <w:rPr>
                <w:rFonts w:hAnsi="宋体"/>
                <w:highlight w:val="none"/>
                <w:lang w:eastAsia="en-US"/>
              </w:rPr>
              <w:t>WFX-130A 型原子吸收分光光度计（YFJC/B18006）</w:t>
            </w:r>
          </w:p>
        </w:tc>
        <w:tc>
          <w:tcPr>
            <w:tcW w:w="860" w:type="dxa"/>
            <w:vAlign w:val="center"/>
          </w:tcPr>
          <w:p>
            <w:pPr>
              <w:pStyle w:val="64"/>
              <w:rPr>
                <w:rFonts w:hAnsi="宋体"/>
                <w:highlight w:val="none"/>
                <w:lang w:eastAsia="en-US"/>
              </w:rPr>
            </w:pPr>
            <w:r>
              <w:rPr>
                <w:rFonts w:hAnsi="宋体"/>
                <w:highlight w:val="none"/>
                <w:lang w:eastAsia="en-US"/>
              </w:rPr>
              <w:t>1</w:t>
            </w:r>
          </w:p>
        </w:tc>
        <w:tc>
          <w:tcPr>
            <w:tcW w:w="856" w:type="dxa"/>
            <w:vAlign w:val="center"/>
          </w:tcPr>
          <w:p>
            <w:pPr>
              <w:pStyle w:val="64"/>
              <w:rPr>
                <w:rFonts w:hAnsi="宋体"/>
                <w:highlight w:val="none"/>
              </w:rPr>
            </w:pPr>
            <w:r>
              <w:rPr>
                <w:rFonts w:hint="eastAsia" w:hAnsi="宋体"/>
                <w:highlight w:val="none"/>
              </w:rPr>
              <w:t>18000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5</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铅（mg/kg）</w:t>
            </w:r>
          </w:p>
        </w:tc>
        <w:tc>
          <w:tcPr>
            <w:tcW w:w="2102" w:type="dxa"/>
            <w:vAlign w:val="center"/>
          </w:tcPr>
          <w:p>
            <w:pPr>
              <w:pStyle w:val="64"/>
              <w:rPr>
                <w:rFonts w:hAnsi="宋体"/>
                <w:highlight w:val="none"/>
                <w:lang w:eastAsia="en-US"/>
              </w:rPr>
            </w:pPr>
            <w:r>
              <w:rPr>
                <w:rFonts w:hAnsi="宋体"/>
                <w:highlight w:val="none"/>
                <w:lang w:eastAsia="en-US"/>
              </w:rPr>
              <w:t>石墨炉原子吸收分光光度法 GB/T17141-1997</w:t>
            </w:r>
          </w:p>
        </w:tc>
        <w:tc>
          <w:tcPr>
            <w:tcW w:w="2392" w:type="dxa"/>
            <w:vAlign w:val="center"/>
          </w:tcPr>
          <w:p>
            <w:pPr>
              <w:pStyle w:val="64"/>
              <w:rPr>
                <w:rFonts w:hAnsi="宋体"/>
                <w:highlight w:val="none"/>
                <w:lang w:eastAsia="en-US"/>
              </w:rPr>
            </w:pPr>
            <w:r>
              <w:rPr>
                <w:rFonts w:hAnsi="宋体"/>
                <w:highlight w:val="none"/>
                <w:lang w:eastAsia="en-US"/>
              </w:rPr>
              <w:t>WFX-130A 型原子吸收分光光度计（YFJC/B18006）</w:t>
            </w: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800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6</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汞（mg/kg）</w:t>
            </w:r>
          </w:p>
        </w:tc>
        <w:tc>
          <w:tcPr>
            <w:tcW w:w="2102" w:type="dxa"/>
            <w:vAlign w:val="center"/>
          </w:tcPr>
          <w:p>
            <w:pPr>
              <w:pStyle w:val="64"/>
              <w:rPr>
                <w:rFonts w:hAnsi="宋体"/>
                <w:highlight w:val="none"/>
                <w:lang w:eastAsia="en-US"/>
              </w:rPr>
            </w:pPr>
            <w:r>
              <w:rPr>
                <w:rFonts w:hAnsi="宋体"/>
                <w:highlight w:val="none"/>
                <w:lang w:eastAsia="en-US"/>
              </w:rPr>
              <w:t>原子荧光法GB/T22105.1-2008</w:t>
            </w:r>
          </w:p>
        </w:tc>
        <w:tc>
          <w:tcPr>
            <w:tcW w:w="2392" w:type="dxa"/>
            <w:vAlign w:val="center"/>
          </w:tcPr>
          <w:p>
            <w:pPr>
              <w:pStyle w:val="64"/>
              <w:rPr>
                <w:rFonts w:hAnsi="宋体"/>
                <w:highlight w:val="none"/>
                <w:lang w:eastAsia="en-US"/>
              </w:rPr>
            </w:pPr>
            <w:r>
              <w:rPr>
                <w:rFonts w:hAnsi="宋体"/>
                <w:highlight w:val="none"/>
                <w:lang w:eastAsia="en-US"/>
              </w:rPr>
              <w:t>AFS-2202E 型原子荧光光度计（YFJC/B18009）</w:t>
            </w:r>
          </w:p>
        </w:tc>
        <w:tc>
          <w:tcPr>
            <w:tcW w:w="860" w:type="dxa"/>
            <w:vAlign w:val="center"/>
          </w:tcPr>
          <w:p>
            <w:pPr>
              <w:pStyle w:val="64"/>
              <w:rPr>
                <w:rFonts w:hAnsi="宋体"/>
                <w:highlight w:val="none"/>
                <w:lang w:eastAsia="en-US"/>
              </w:rPr>
            </w:pPr>
            <w:r>
              <w:rPr>
                <w:rFonts w:hAnsi="宋体"/>
                <w:highlight w:val="none"/>
                <w:lang w:eastAsia="en-US"/>
              </w:rPr>
              <w:t>0.002</w:t>
            </w:r>
          </w:p>
        </w:tc>
        <w:tc>
          <w:tcPr>
            <w:tcW w:w="856" w:type="dxa"/>
            <w:vAlign w:val="center"/>
          </w:tcPr>
          <w:p>
            <w:pPr>
              <w:pStyle w:val="64"/>
              <w:rPr>
                <w:rFonts w:hAnsi="宋体"/>
                <w:highlight w:val="none"/>
              </w:rPr>
            </w:pPr>
            <w:r>
              <w:rPr>
                <w:rFonts w:hint="eastAsia" w:hAnsi="宋体"/>
                <w:highlight w:val="none"/>
              </w:rPr>
              <w:t>38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7</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镍（mg/kg）</w:t>
            </w:r>
          </w:p>
        </w:tc>
        <w:tc>
          <w:tcPr>
            <w:tcW w:w="2102" w:type="dxa"/>
            <w:vAlign w:val="center"/>
          </w:tcPr>
          <w:p>
            <w:pPr>
              <w:pStyle w:val="64"/>
              <w:rPr>
                <w:rFonts w:hAnsi="宋体"/>
                <w:highlight w:val="none"/>
                <w:lang w:eastAsia="en-US"/>
              </w:rPr>
            </w:pPr>
            <w:r>
              <w:rPr>
                <w:rFonts w:hAnsi="宋体"/>
                <w:highlight w:val="none"/>
                <w:lang w:eastAsia="en-US"/>
              </w:rPr>
              <w:t>火焰原子吸收分光光度法 GB/T17139-1997</w:t>
            </w:r>
          </w:p>
        </w:tc>
        <w:tc>
          <w:tcPr>
            <w:tcW w:w="2392" w:type="dxa"/>
            <w:vAlign w:val="center"/>
          </w:tcPr>
          <w:p>
            <w:pPr>
              <w:pStyle w:val="64"/>
              <w:rPr>
                <w:rFonts w:hAnsi="宋体"/>
                <w:highlight w:val="none"/>
                <w:lang w:eastAsia="en-US"/>
              </w:rPr>
            </w:pPr>
            <w:r>
              <w:rPr>
                <w:rFonts w:hAnsi="宋体"/>
                <w:highlight w:val="none"/>
                <w:lang w:eastAsia="en-US"/>
              </w:rPr>
              <w:t>WFX-130A 型原子吸收分光光度计（YFJC/B18006）</w:t>
            </w:r>
          </w:p>
        </w:tc>
        <w:tc>
          <w:tcPr>
            <w:tcW w:w="860" w:type="dxa"/>
            <w:vAlign w:val="center"/>
          </w:tcPr>
          <w:p>
            <w:pPr>
              <w:pStyle w:val="64"/>
              <w:rPr>
                <w:rFonts w:hAnsi="宋体"/>
                <w:highlight w:val="none"/>
                <w:lang w:eastAsia="en-US"/>
              </w:rPr>
            </w:pPr>
            <w:r>
              <w:rPr>
                <w:rFonts w:hAnsi="宋体"/>
                <w:highlight w:val="none"/>
                <w:lang w:eastAsia="en-US"/>
              </w:rPr>
              <w:t>5</w:t>
            </w:r>
          </w:p>
        </w:tc>
        <w:tc>
          <w:tcPr>
            <w:tcW w:w="856" w:type="dxa"/>
            <w:vAlign w:val="center"/>
          </w:tcPr>
          <w:p>
            <w:pPr>
              <w:pStyle w:val="64"/>
              <w:rPr>
                <w:rFonts w:hAnsi="宋体"/>
                <w:highlight w:val="none"/>
              </w:rPr>
            </w:pPr>
            <w:r>
              <w:rPr>
                <w:rFonts w:hint="eastAsia" w:hAnsi="宋体"/>
                <w:highlight w:val="none"/>
              </w:rPr>
              <w:t>900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8</w:t>
            </w:r>
          </w:p>
        </w:tc>
        <w:tc>
          <w:tcPr>
            <w:tcW w:w="594" w:type="dxa"/>
            <w:vMerge w:val="restart"/>
            <w:vAlign w:val="center"/>
          </w:tcPr>
          <w:p>
            <w:pPr>
              <w:pStyle w:val="64"/>
              <w:rPr>
                <w:rFonts w:hAnsi="宋体"/>
                <w:highlight w:val="none"/>
              </w:rPr>
            </w:pPr>
            <w:r>
              <w:rPr>
                <w:rFonts w:hAnsi="宋体"/>
                <w:highlight w:val="none"/>
                <w:lang w:eastAsia="en-US"/>
              </w:rPr>
              <w:t>挥发性有机物</w:t>
            </w:r>
          </w:p>
        </w:tc>
        <w:tc>
          <w:tcPr>
            <w:tcW w:w="1414" w:type="dxa"/>
            <w:vAlign w:val="center"/>
          </w:tcPr>
          <w:p>
            <w:pPr>
              <w:pStyle w:val="64"/>
              <w:rPr>
                <w:rFonts w:hAnsi="宋体"/>
                <w:highlight w:val="none"/>
                <w:lang w:eastAsia="en-US"/>
              </w:rPr>
            </w:pPr>
            <w:r>
              <w:rPr>
                <w:rFonts w:hAnsi="宋体"/>
                <w:highlight w:val="none"/>
                <w:lang w:eastAsia="en-US"/>
              </w:rPr>
              <w:t>四氯化碳</w:t>
            </w:r>
          </w:p>
          <w:p>
            <w:pPr>
              <w:pStyle w:val="64"/>
              <w:rPr>
                <w:rFonts w:hAnsi="宋体"/>
                <w:highlight w:val="none"/>
                <w:lang w:eastAsia="en-US"/>
              </w:rPr>
            </w:pPr>
            <w:r>
              <w:rPr>
                <w:rFonts w:hAnsi="宋体"/>
                <w:highlight w:val="none"/>
                <w:lang w:eastAsia="en-US"/>
              </w:rPr>
              <w:t>（mg/kg）</w:t>
            </w:r>
          </w:p>
        </w:tc>
        <w:tc>
          <w:tcPr>
            <w:tcW w:w="2102" w:type="dxa"/>
            <w:vMerge w:val="restart"/>
            <w:vAlign w:val="center"/>
          </w:tcPr>
          <w:p>
            <w:pPr>
              <w:pStyle w:val="64"/>
              <w:rPr>
                <w:rFonts w:hAnsi="宋体"/>
                <w:highlight w:val="none"/>
              </w:rPr>
            </w:pPr>
            <w:r>
              <w:rPr>
                <w:rFonts w:hAnsi="宋体"/>
                <w:highlight w:val="none"/>
              </w:rPr>
              <w:t>吹扫捕集/气相色谱-质谱法HJ605-2011</w:t>
            </w:r>
          </w:p>
        </w:tc>
        <w:tc>
          <w:tcPr>
            <w:tcW w:w="2392" w:type="dxa"/>
            <w:vMerge w:val="restart"/>
            <w:vAlign w:val="center"/>
          </w:tcPr>
          <w:p>
            <w:pPr>
              <w:pStyle w:val="64"/>
              <w:rPr>
                <w:rFonts w:hAnsi="宋体"/>
                <w:highlight w:val="none"/>
              </w:rPr>
            </w:pPr>
            <w:r>
              <w:rPr>
                <w:rFonts w:hAnsi="宋体"/>
                <w:highlight w:val="none"/>
              </w:rPr>
              <w:t>5977气相色谱-质谱联用仪（YFJC/B18005）</w:t>
            </w:r>
          </w:p>
        </w:tc>
        <w:tc>
          <w:tcPr>
            <w:tcW w:w="860" w:type="dxa"/>
            <w:vAlign w:val="center"/>
          </w:tcPr>
          <w:p>
            <w:pPr>
              <w:pStyle w:val="64"/>
              <w:rPr>
                <w:rFonts w:hAnsi="宋体"/>
                <w:highlight w:val="none"/>
                <w:lang w:eastAsia="en-US"/>
              </w:rPr>
            </w:pPr>
            <w:r>
              <w:rPr>
                <w:rFonts w:hAnsi="宋体"/>
                <w:highlight w:val="none"/>
                <w:lang w:eastAsia="en-US"/>
              </w:rPr>
              <w:t>1.3×10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2.8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9</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氯仿（mg/kg）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1.1×10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0.9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10</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氯甲烷（mg/kg）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1.0×10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37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11</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1,1-二氯乙烷</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12</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1,2-二氯乙烷</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1.3×10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13</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1,1-二氯乙烯</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1.0×10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66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14</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顺-1,2-二氯乙</w:t>
            </w:r>
          </w:p>
          <w:p>
            <w:pPr>
              <w:pStyle w:val="64"/>
              <w:rPr>
                <w:rFonts w:hAnsi="宋体"/>
                <w:highlight w:val="none"/>
                <w:lang w:eastAsia="en-US"/>
              </w:rPr>
            </w:pPr>
            <w:r>
              <w:rPr>
                <w:rFonts w:hAnsi="宋体"/>
                <w:highlight w:val="none"/>
                <w:lang w:eastAsia="en-US"/>
              </w:rPr>
              <w:t>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1.3×10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596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15</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反1,2-二氯乙</w:t>
            </w:r>
          </w:p>
          <w:p>
            <w:pPr>
              <w:pStyle w:val="64"/>
              <w:rPr>
                <w:rFonts w:hAnsi="宋体"/>
                <w:highlight w:val="none"/>
                <w:lang w:eastAsia="en-US"/>
              </w:rPr>
            </w:pPr>
            <w:r>
              <w:rPr>
                <w:rFonts w:hAnsi="宋体"/>
                <w:highlight w:val="none"/>
                <w:lang w:eastAsia="en-US"/>
              </w:rPr>
              <w:t>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1.4×10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54</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16</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二氯甲烷</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1.5×10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616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17</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1,2-二氯丙烷</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1.1×10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18</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1,1,1,2-四氯乙烷（mg/kg）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19</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1,1,2,2-四氯乙烷（mg/kg）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vertAlign w:val="superscript"/>
                <w:lang w:eastAsia="en-US"/>
              </w:rPr>
            </w:pPr>
            <w:r>
              <w:rPr>
                <w:rFonts w:hAnsi="宋体"/>
                <w:highlight w:val="none"/>
              </w:rPr>
              <w:t>1.2×10</w:t>
            </w:r>
            <w:r>
              <w:rPr>
                <w:rFonts w:hAnsi="宋体"/>
                <w:highlight w:val="none"/>
                <w:vertAlign w:val="superscript"/>
              </w:rPr>
              <w:t>-3</w:t>
            </w:r>
          </w:p>
        </w:tc>
        <w:tc>
          <w:tcPr>
            <w:tcW w:w="856" w:type="dxa"/>
            <w:vAlign w:val="center"/>
          </w:tcPr>
          <w:p>
            <w:pPr>
              <w:pStyle w:val="64"/>
              <w:rPr>
                <w:rFonts w:hAnsi="宋体"/>
                <w:highlight w:val="none"/>
                <w:vertAlign w:val="superscript"/>
                <w:lang w:eastAsia="en-US"/>
              </w:rPr>
            </w:pPr>
            <w:r>
              <w:rPr>
                <w:rFonts w:hint="eastAsia" w:hAnsi="宋体"/>
                <w:highlight w:val="none"/>
              </w:rPr>
              <w:t>6.8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20</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四氯乙烯</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1.4×10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21</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1,1,1-三氯乙烷（mg/kg）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1.3×10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840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22</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1,1,2-三氯乙烷（mg/kg）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2.8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23</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三氯乙烯</w:t>
            </w:r>
          </w:p>
          <w:p>
            <w:pPr>
              <w:pStyle w:val="64"/>
              <w:rPr>
                <w:rFonts w:hAnsi="宋体"/>
                <w:highlight w:val="none"/>
                <w:lang w:eastAsia="en-US"/>
              </w:rPr>
            </w:pPr>
            <w:r>
              <w:rPr>
                <w:rFonts w:hAnsi="宋体"/>
                <w:highlight w:val="none"/>
                <w:lang w:eastAsia="en-US"/>
              </w:rPr>
              <w:t>（mg/kg）</w:t>
            </w:r>
          </w:p>
        </w:tc>
        <w:tc>
          <w:tcPr>
            <w:tcW w:w="2102" w:type="dxa"/>
            <w:vMerge w:val="restart"/>
            <w:vAlign w:val="center"/>
          </w:tcPr>
          <w:p>
            <w:pPr>
              <w:pStyle w:val="64"/>
              <w:rPr>
                <w:rFonts w:hAnsi="宋体"/>
                <w:highlight w:val="none"/>
              </w:rPr>
            </w:pPr>
            <w:r>
              <w:rPr>
                <w:rFonts w:hAnsi="宋体"/>
                <w:highlight w:val="none"/>
              </w:rPr>
              <w:t>吹扫捕集/气相色谱-质谱法HJ605-2011</w:t>
            </w:r>
          </w:p>
        </w:tc>
        <w:tc>
          <w:tcPr>
            <w:tcW w:w="2392" w:type="dxa"/>
            <w:vMerge w:val="restart"/>
            <w:vAlign w:val="center"/>
          </w:tcPr>
          <w:p>
            <w:pPr>
              <w:pStyle w:val="64"/>
              <w:rPr>
                <w:rFonts w:hAnsi="宋体"/>
                <w:highlight w:val="none"/>
              </w:rPr>
            </w:pPr>
            <w:r>
              <w:rPr>
                <w:rFonts w:hAnsi="宋体"/>
                <w:highlight w:val="none"/>
              </w:rPr>
              <w:t>5977</w:t>
            </w:r>
            <w:r>
              <w:rPr>
                <w:rFonts w:hint="eastAsia" w:hAnsi="宋体"/>
                <w:highlight w:val="none"/>
              </w:rPr>
              <w:t xml:space="preserve"> </w:t>
            </w:r>
            <w:r>
              <w:rPr>
                <w:rFonts w:hAnsi="宋体"/>
                <w:highlight w:val="none"/>
              </w:rPr>
              <w:t>气相色谱-质谱联用仪（YFJC/B18005）</w:t>
            </w: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2.8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24</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1,2,3-三氯丙烷（mg/kg）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0.5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25</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氯乙烯（mg/kg）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1.0×10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0.43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26</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1.9×10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4</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27</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氯苯（mg/kg）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270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28</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1,2-二氯苯</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1.5×10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560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29</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1,4-二氯苯</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1.5×10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30</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乙苯（mg/kg）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28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31</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苯乙烯（mg/kg）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1.1×10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1290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32</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甲苯（mg/kg）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1.3×10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1200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33</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rPr>
            </w:pPr>
            <w:r>
              <w:rPr>
                <w:rFonts w:hAnsi="宋体"/>
                <w:highlight w:val="none"/>
              </w:rPr>
              <w:t>间</w:t>
            </w:r>
            <w:r>
              <w:rPr>
                <w:rFonts w:hint="eastAsia" w:hAnsi="宋体"/>
                <w:highlight w:val="none"/>
              </w:rPr>
              <w:t>，</w:t>
            </w:r>
            <w:r>
              <w:rPr>
                <w:rFonts w:hAnsi="宋体"/>
                <w:highlight w:val="none"/>
              </w:rPr>
              <w:t>对二甲苯（mg/kg）</w:t>
            </w:r>
          </w:p>
        </w:tc>
        <w:tc>
          <w:tcPr>
            <w:tcW w:w="2102" w:type="dxa"/>
            <w:vMerge w:val="continue"/>
            <w:vAlign w:val="center"/>
          </w:tcPr>
          <w:p>
            <w:pPr>
              <w:pStyle w:val="64"/>
              <w:rPr>
                <w:rFonts w:hAnsi="宋体"/>
                <w:highlight w:val="none"/>
              </w:rPr>
            </w:pPr>
          </w:p>
        </w:tc>
        <w:tc>
          <w:tcPr>
            <w:tcW w:w="2392" w:type="dxa"/>
            <w:vMerge w:val="continue"/>
            <w:vAlign w:val="center"/>
          </w:tcPr>
          <w:p>
            <w:pPr>
              <w:pStyle w:val="64"/>
              <w:rPr>
                <w:rFonts w:hAnsi="宋体"/>
                <w:highlight w:val="none"/>
              </w:rPr>
            </w:pPr>
          </w:p>
        </w:tc>
        <w:tc>
          <w:tcPr>
            <w:tcW w:w="860" w:type="dxa"/>
            <w:vAlign w:val="center"/>
          </w:tcPr>
          <w:p>
            <w:pPr>
              <w:pStyle w:val="64"/>
              <w:rPr>
                <w:rFonts w:hAnsi="宋体"/>
                <w:highlight w:val="none"/>
                <w:lang w:eastAsia="en-US"/>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570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34</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邻二甲苯</w:t>
            </w:r>
          </w:p>
          <w:p>
            <w:pPr>
              <w:pStyle w:val="64"/>
              <w:rPr>
                <w:rFonts w:hAnsi="宋体"/>
                <w:highlight w:val="none"/>
                <w:lang w:eastAsia="en-US"/>
              </w:rPr>
            </w:pPr>
            <w:r>
              <w:rPr>
                <w:rFonts w:hAnsi="宋体"/>
                <w:highlight w:val="none"/>
                <w:lang w:eastAsia="en-US"/>
              </w:rPr>
              <w:t>（mg/kg）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rPr>
            </w:pPr>
            <w:r>
              <w:rPr>
                <w:rFonts w:hAnsi="宋体"/>
                <w:highlight w:val="none"/>
                <w:lang w:eastAsia="en-US"/>
              </w:rPr>
              <w:t>1.2×10</w:t>
            </w:r>
            <w:r>
              <w:rPr>
                <w:rFonts w:hAnsi="宋体"/>
                <w:highlight w:val="none"/>
                <w:vertAlign w:val="superscript"/>
                <w:lang w:eastAsia="en-US"/>
              </w:rPr>
              <w:t>-3</w:t>
            </w:r>
          </w:p>
        </w:tc>
        <w:tc>
          <w:tcPr>
            <w:tcW w:w="856" w:type="dxa"/>
            <w:vAlign w:val="center"/>
          </w:tcPr>
          <w:p>
            <w:pPr>
              <w:pStyle w:val="64"/>
              <w:rPr>
                <w:rFonts w:hAnsi="宋体"/>
                <w:highlight w:val="none"/>
              </w:rPr>
            </w:pPr>
            <w:r>
              <w:rPr>
                <w:rFonts w:hint="eastAsia" w:hAnsi="宋体"/>
                <w:highlight w:val="none"/>
              </w:rPr>
              <w:t>640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35</w:t>
            </w:r>
          </w:p>
        </w:tc>
        <w:tc>
          <w:tcPr>
            <w:tcW w:w="594" w:type="dxa"/>
            <w:vMerge w:val="restart"/>
            <w:vAlign w:val="center"/>
          </w:tcPr>
          <w:p>
            <w:pPr>
              <w:pStyle w:val="64"/>
              <w:rPr>
                <w:rFonts w:hAnsi="宋体"/>
                <w:highlight w:val="none"/>
              </w:rPr>
            </w:pPr>
            <w:r>
              <w:rPr>
                <w:rFonts w:hAnsi="宋体"/>
                <w:highlight w:val="none"/>
              </w:rPr>
              <w:t>半挥发性有机物</w:t>
            </w:r>
          </w:p>
        </w:tc>
        <w:tc>
          <w:tcPr>
            <w:tcW w:w="1414" w:type="dxa"/>
            <w:vAlign w:val="center"/>
          </w:tcPr>
          <w:p>
            <w:pPr>
              <w:pStyle w:val="64"/>
              <w:rPr>
                <w:rFonts w:hAnsi="宋体"/>
                <w:highlight w:val="none"/>
                <w:lang w:eastAsia="en-US"/>
              </w:rPr>
            </w:pPr>
            <w:r>
              <w:rPr>
                <w:rFonts w:hAnsi="宋体"/>
                <w:highlight w:val="none"/>
                <w:lang w:eastAsia="en-US"/>
              </w:rPr>
              <w:t>硝基苯（mg/kg）</w:t>
            </w:r>
          </w:p>
        </w:tc>
        <w:tc>
          <w:tcPr>
            <w:tcW w:w="2102" w:type="dxa"/>
            <w:vMerge w:val="restart"/>
            <w:vAlign w:val="center"/>
          </w:tcPr>
          <w:p>
            <w:pPr>
              <w:pStyle w:val="64"/>
              <w:rPr>
                <w:rFonts w:hAnsi="宋体"/>
                <w:highlight w:val="none"/>
                <w:lang w:eastAsia="en-US"/>
              </w:rPr>
            </w:pPr>
            <w:r>
              <w:rPr>
                <w:rFonts w:hAnsi="宋体"/>
                <w:highlight w:val="none"/>
                <w:lang w:eastAsia="en-US"/>
              </w:rPr>
              <w:t>气相色谱-质谱法HJ834-2017</w:t>
            </w:r>
          </w:p>
        </w:tc>
        <w:tc>
          <w:tcPr>
            <w:tcW w:w="2392" w:type="dxa"/>
            <w:vMerge w:val="restart"/>
            <w:vAlign w:val="center"/>
          </w:tcPr>
          <w:p>
            <w:pPr>
              <w:pStyle w:val="64"/>
              <w:rPr>
                <w:rFonts w:hAnsi="宋体"/>
                <w:highlight w:val="none"/>
              </w:rPr>
            </w:pPr>
            <w:r>
              <w:rPr>
                <w:rFonts w:hAnsi="宋体"/>
                <w:highlight w:val="none"/>
              </w:rPr>
              <w:t>5977气相色谱-质谱联用仪（YFJC/B18005）</w:t>
            </w:r>
          </w:p>
        </w:tc>
        <w:tc>
          <w:tcPr>
            <w:tcW w:w="860" w:type="dxa"/>
            <w:vAlign w:val="center"/>
          </w:tcPr>
          <w:p>
            <w:pPr>
              <w:pStyle w:val="64"/>
              <w:rPr>
                <w:rFonts w:hAnsi="宋体"/>
                <w:highlight w:val="none"/>
                <w:lang w:eastAsia="en-US"/>
              </w:rPr>
            </w:pPr>
            <w:r>
              <w:rPr>
                <w:rFonts w:hAnsi="宋体"/>
                <w:highlight w:val="none"/>
                <w:lang w:eastAsia="en-US"/>
              </w:rPr>
              <w:t>0.09</w:t>
            </w:r>
          </w:p>
        </w:tc>
        <w:tc>
          <w:tcPr>
            <w:tcW w:w="856" w:type="dxa"/>
            <w:vAlign w:val="center"/>
          </w:tcPr>
          <w:p>
            <w:pPr>
              <w:pStyle w:val="64"/>
              <w:rPr>
                <w:rFonts w:hAnsi="宋体"/>
                <w:highlight w:val="none"/>
              </w:rPr>
            </w:pPr>
            <w:r>
              <w:rPr>
                <w:rFonts w:hint="eastAsia" w:hAnsi="宋体"/>
                <w:highlight w:val="none"/>
              </w:rPr>
              <w:t>76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36</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苯胺（mg/kg）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0.005</w:t>
            </w:r>
          </w:p>
        </w:tc>
        <w:tc>
          <w:tcPr>
            <w:tcW w:w="856" w:type="dxa"/>
            <w:vAlign w:val="center"/>
          </w:tcPr>
          <w:p>
            <w:pPr>
              <w:pStyle w:val="64"/>
              <w:rPr>
                <w:rFonts w:hAnsi="宋体"/>
                <w:highlight w:val="none"/>
              </w:rPr>
            </w:pPr>
            <w:r>
              <w:rPr>
                <w:rFonts w:hint="eastAsia" w:hAnsi="宋体"/>
                <w:highlight w:val="none"/>
              </w:rPr>
              <w:t>260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37</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2-氯苯酚（mg/kg）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0.06</w:t>
            </w:r>
          </w:p>
        </w:tc>
        <w:tc>
          <w:tcPr>
            <w:tcW w:w="856" w:type="dxa"/>
            <w:vAlign w:val="center"/>
          </w:tcPr>
          <w:p>
            <w:pPr>
              <w:pStyle w:val="64"/>
              <w:rPr>
                <w:rFonts w:hAnsi="宋体"/>
                <w:highlight w:val="none"/>
              </w:rPr>
            </w:pPr>
            <w:r>
              <w:rPr>
                <w:rFonts w:hint="eastAsia" w:hAnsi="宋体"/>
                <w:highlight w:val="none"/>
              </w:rPr>
              <w:t>2256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38</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苯并[a]蒽（mg/kg）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39</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苯并[a]芘（mg/kg）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40</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rPr>
            </w:pPr>
            <w:r>
              <w:rPr>
                <w:rFonts w:hAnsi="宋体"/>
                <w:highlight w:val="none"/>
              </w:rPr>
              <w:t>苯并[b]荧蒽（mg/kg）</w:t>
            </w:r>
          </w:p>
        </w:tc>
        <w:tc>
          <w:tcPr>
            <w:tcW w:w="2102" w:type="dxa"/>
            <w:vMerge w:val="continue"/>
            <w:vAlign w:val="center"/>
          </w:tcPr>
          <w:p>
            <w:pPr>
              <w:pStyle w:val="64"/>
              <w:rPr>
                <w:rFonts w:hAnsi="宋体"/>
                <w:highlight w:val="none"/>
              </w:rPr>
            </w:pPr>
          </w:p>
        </w:tc>
        <w:tc>
          <w:tcPr>
            <w:tcW w:w="2392" w:type="dxa"/>
            <w:vMerge w:val="continue"/>
            <w:vAlign w:val="center"/>
          </w:tcPr>
          <w:p>
            <w:pPr>
              <w:pStyle w:val="64"/>
              <w:rPr>
                <w:rFonts w:hAnsi="宋体"/>
                <w:highlight w:val="none"/>
              </w:rPr>
            </w:pPr>
          </w:p>
        </w:tc>
        <w:tc>
          <w:tcPr>
            <w:tcW w:w="860" w:type="dxa"/>
            <w:vAlign w:val="center"/>
          </w:tcPr>
          <w:p>
            <w:pPr>
              <w:pStyle w:val="64"/>
              <w:rPr>
                <w:rFonts w:hAnsi="宋体"/>
                <w:highlight w:val="none"/>
                <w:lang w:eastAsia="en-US"/>
              </w:rPr>
            </w:pPr>
            <w:r>
              <w:rPr>
                <w:rFonts w:hAnsi="宋体"/>
                <w:highlight w:val="none"/>
                <w:lang w:eastAsia="en-US"/>
              </w:rPr>
              <w:t>0.2</w:t>
            </w:r>
          </w:p>
        </w:tc>
        <w:tc>
          <w:tcPr>
            <w:tcW w:w="856" w:type="dxa"/>
            <w:vAlign w:val="center"/>
          </w:tcPr>
          <w:p>
            <w:pPr>
              <w:pStyle w:val="64"/>
              <w:rPr>
                <w:rFonts w:hAnsi="宋体"/>
                <w:highlight w:val="none"/>
              </w:rPr>
            </w:pPr>
            <w:r>
              <w:rPr>
                <w:rFonts w:hint="eastAsia" w:hAnsi="宋体"/>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41</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rPr>
            </w:pPr>
            <w:r>
              <w:rPr>
                <w:rFonts w:hAnsi="宋体"/>
                <w:highlight w:val="none"/>
              </w:rPr>
              <w:t>苯并[k]荧蒽（mg/kg）</w:t>
            </w:r>
          </w:p>
        </w:tc>
        <w:tc>
          <w:tcPr>
            <w:tcW w:w="2102" w:type="dxa"/>
            <w:vMerge w:val="continue"/>
            <w:vAlign w:val="center"/>
          </w:tcPr>
          <w:p>
            <w:pPr>
              <w:pStyle w:val="64"/>
              <w:rPr>
                <w:rFonts w:hAnsi="宋体"/>
                <w:highlight w:val="none"/>
              </w:rPr>
            </w:pPr>
          </w:p>
        </w:tc>
        <w:tc>
          <w:tcPr>
            <w:tcW w:w="2392" w:type="dxa"/>
            <w:vMerge w:val="continue"/>
            <w:vAlign w:val="center"/>
          </w:tcPr>
          <w:p>
            <w:pPr>
              <w:pStyle w:val="64"/>
              <w:rPr>
                <w:rFonts w:hAnsi="宋体"/>
                <w:highlight w:val="none"/>
              </w:rPr>
            </w:pP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151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42</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䓛（mg/kg）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1293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36" w:type="dxa"/>
            <w:vAlign w:val="center"/>
          </w:tcPr>
          <w:p>
            <w:pPr>
              <w:pStyle w:val="64"/>
              <w:rPr>
                <w:rFonts w:hAnsi="宋体"/>
                <w:highlight w:val="none"/>
                <w:lang w:eastAsia="en-US"/>
              </w:rPr>
            </w:pPr>
            <w:r>
              <w:rPr>
                <w:rFonts w:hAnsi="宋体"/>
                <w:highlight w:val="none"/>
                <w:lang w:eastAsia="en-US"/>
              </w:rPr>
              <w:t>43</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二苯并[a,h]蒽</w:t>
            </w:r>
          </w:p>
          <w:p>
            <w:pPr>
              <w:pStyle w:val="64"/>
              <w:rPr>
                <w:rFonts w:hAnsi="宋体"/>
                <w:highlight w:val="none"/>
                <w:lang w:eastAsia="en-US"/>
              </w:rPr>
            </w:pPr>
            <w:r>
              <w:rPr>
                <w:rFonts w:hAnsi="宋体"/>
                <w:highlight w:val="none"/>
                <w:lang w:eastAsia="en-US"/>
              </w:rPr>
              <w:t>（mg/kg）</w:t>
            </w:r>
          </w:p>
        </w:tc>
        <w:tc>
          <w:tcPr>
            <w:tcW w:w="2102" w:type="dxa"/>
            <w:vMerge w:val="restart"/>
            <w:vAlign w:val="center"/>
          </w:tcPr>
          <w:p>
            <w:pPr>
              <w:pStyle w:val="64"/>
              <w:rPr>
                <w:rFonts w:hAnsi="宋体"/>
                <w:highlight w:val="none"/>
                <w:lang w:eastAsia="en-US"/>
              </w:rPr>
            </w:pPr>
            <w:r>
              <w:rPr>
                <w:rFonts w:hAnsi="宋体"/>
                <w:highlight w:val="none"/>
                <w:lang w:eastAsia="en-US"/>
              </w:rPr>
              <w:t>气相色谱-质谱法HJ834-2017</w:t>
            </w:r>
          </w:p>
        </w:tc>
        <w:tc>
          <w:tcPr>
            <w:tcW w:w="2392" w:type="dxa"/>
            <w:vMerge w:val="restart"/>
            <w:vAlign w:val="center"/>
          </w:tcPr>
          <w:p>
            <w:pPr>
              <w:pStyle w:val="64"/>
              <w:rPr>
                <w:rFonts w:hAnsi="宋体"/>
                <w:highlight w:val="none"/>
              </w:rPr>
            </w:pPr>
            <w:r>
              <w:rPr>
                <w:rFonts w:hAnsi="宋体"/>
                <w:highlight w:val="none"/>
              </w:rPr>
              <w:t>5977气相色谱-质谱联用仪（YFJC/B18005）</w:t>
            </w: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44</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茚并[1,2,3-cd]芘（mg/kg）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0.1</w:t>
            </w:r>
          </w:p>
        </w:tc>
        <w:tc>
          <w:tcPr>
            <w:tcW w:w="856" w:type="dxa"/>
            <w:vAlign w:val="center"/>
          </w:tcPr>
          <w:p>
            <w:pPr>
              <w:pStyle w:val="64"/>
              <w:rPr>
                <w:rFonts w:hAnsi="宋体"/>
                <w:highlight w:val="none"/>
              </w:rPr>
            </w:pPr>
            <w:r>
              <w:rPr>
                <w:rFonts w:hint="eastAsia" w:hAnsi="宋体"/>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536" w:type="dxa"/>
            <w:vAlign w:val="center"/>
          </w:tcPr>
          <w:p>
            <w:pPr>
              <w:pStyle w:val="64"/>
              <w:rPr>
                <w:rFonts w:hAnsi="宋体"/>
                <w:highlight w:val="none"/>
                <w:lang w:eastAsia="en-US"/>
              </w:rPr>
            </w:pPr>
            <w:r>
              <w:rPr>
                <w:rFonts w:hAnsi="宋体"/>
                <w:highlight w:val="none"/>
                <w:lang w:eastAsia="en-US"/>
              </w:rPr>
              <w:t>45</w:t>
            </w:r>
          </w:p>
        </w:tc>
        <w:tc>
          <w:tcPr>
            <w:tcW w:w="594" w:type="dxa"/>
            <w:vMerge w:val="continue"/>
            <w:vAlign w:val="center"/>
          </w:tcPr>
          <w:p>
            <w:pPr>
              <w:pStyle w:val="64"/>
              <w:rPr>
                <w:rFonts w:hAnsi="宋体"/>
                <w:highlight w:val="none"/>
                <w:lang w:eastAsia="en-US"/>
              </w:rPr>
            </w:pPr>
          </w:p>
        </w:tc>
        <w:tc>
          <w:tcPr>
            <w:tcW w:w="1414" w:type="dxa"/>
            <w:vAlign w:val="center"/>
          </w:tcPr>
          <w:p>
            <w:pPr>
              <w:pStyle w:val="64"/>
              <w:rPr>
                <w:rFonts w:hAnsi="宋体"/>
                <w:highlight w:val="none"/>
                <w:lang w:eastAsia="en-US"/>
              </w:rPr>
            </w:pPr>
            <w:r>
              <w:rPr>
                <w:rFonts w:hAnsi="宋体"/>
                <w:highlight w:val="none"/>
                <w:lang w:eastAsia="en-US"/>
              </w:rPr>
              <w:t>萘（mg/kg）</w:t>
            </w:r>
          </w:p>
        </w:tc>
        <w:tc>
          <w:tcPr>
            <w:tcW w:w="2102" w:type="dxa"/>
            <w:vMerge w:val="continue"/>
            <w:vAlign w:val="center"/>
          </w:tcPr>
          <w:p>
            <w:pPr>
              <w:pStyle w:val="64"/>
              <w:rPr>
                <w:rFonts w:hAnsi="宋体"/>
                <w:highlight w:val="none"/>
                <w:lang w:eastAsia="en-US"/>
              </w:rPr>
            </w:pPr>
          </w:p>
        </w:tc>
        <w:tc>
          <w:tcPr>
            <w:tcW w:w="2392" w:type="dxa"/>
            <w:vMerge w:val="continue"/>
            <w:vAlign w:val="center"/>
          </w:tcPr>
          <w:p>
            <w:pPr>
              <w:pStyle w:val="64"/>
              <w:rPr>
                <w:rFonts w:hAnsi="宋体"/>
                <w:highlight w:val="none"/>
                <w:lang w:eastAsia="en-US"/>
              </w:rPr>
            </w:pPr>
          </w:p>
        </w:tc>
        <w:tc>
          <w:tcPr>
            <w:tcW w:w="860" w:type="dxa"/>
            <w:vAlign w:val="center"/>
          </w:tcPr>
          <w:p>
            <w:pPr>
              <w:pStyle w:val="64"/>
              <w:rPr>
                <w:rFonts w:hAnsi="宋体"/>
                <w:highlight w:val="none"/>
                <w:lang w:eastAsia="en-US"/>
              </w:rPr>
            </w:pPr>
            <w:r>
              <w:rPr>
                <w:rFonts w:hAnsi="宋体"/>
                <w:highlight w:val="none"/>
                <w:lang w:eastAsia="en-US"/>
              </w:rPr>
              <w:t>0.09</w:t>
            </w:r>
          </w:p>
        </w:tc>
        <w:tc>
          <w:tcPr>
            <w:tcW w:w="856" w:type="dxa"/>
            <w:vAlign w:val="center"/>
          </w:tcPr>
          <w:p>
            <w:pPr>
              <w:pStyle w:val="64"/>
              <w:rPr>
                <w:rFonts w:hAnsi="宋体"/>
                <w:highlight w:val="none"/>
              </w:rPr>
            </w:pPr>
            <w:r>
              <w:rPr>
                <w:rFonts w:hint="eastAsia" w:hAnsi="宋体"/>
                <w:highlight w:val="none"/>
              </w:rPr>
              <w:t>70</w:t>
            </w:r>
          </w:p>
        </w:tc>
      </w:tr>
    </w:tbl>
    <w:p>
      <w:pPr>
        <w:pStyle w:val="65"/>
        <w:rPr>
          <w:rFonts w:hAnsi="宋体"/>
          <w:highlight w:val="none"/>
        </w:rPr>
      </w:pPr>
      <w:r>
        <w:rPr>
          <w:rFonts w:hint="eastAsia" w:hAnsi="宋体"/>
          <w:highlight w:val="none"/>
        </w:rPr>
        <w:t>续表</w:t>
      </w:r>
      <w:r>
        <w:rPr>
          <w:rFonts w:hAnsi="宋体"/>
          <w:kern w:val="0"/>
          <w:highlight w:val="none"/>
        </w:rPr>
        <w:t>4.3-</w:t>
      </w:r>
      <w:r>
        <w:rPr>
          <w:rFonts w:hint="eastAsia" w:hAnsi="宋体"/>
          <w:kern w:val="0"/>
          <w:highlight w:val="none"/>
        </w:rPr>
        <w:t>18</w:t>
      </w:r>
      <w:r>
        <w:rPr>
          <w:rFonts w:hAnsi="宋体"/>
          <w:highlight w:val="none"/>
        </w:rPr>
        <w:t xml:space="preserve">  </w:t>
      </w:r>
      <w:r>
        <w:rPr>
          <w:rFonts w:hint="eastAsia" w:hAnsi="宋体"/>
          <w:highlight w:val="none"/>
        </w:rPr>
        <w:t>监测项目、评价标准值及分析方法</w:t>
      </w:r>
    </w:p>
    <w:tbl>
      <w:tblPr>
        <w:tblStyle w:val="44"/>
        <w:tblW w:w="875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424"/>
        <w:gridCol w:w="546"/>
        <w:gridCol w:w="6544"/>
        <w:gridCol w:w="124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序号</w:t>
            </w:r>
          </w:p>
        </w:tc>
        <w:tc>
          <w:tcPr>
            <w:tcW w:w="546" w:type="dxa"/>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监测项目</w:t>
            </w:r>
          </w:p>
        </w:tc>
        <w:tc>
          <w:tcPr>
            <w:tcW w:w="6544" w:type="dxa"/>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分析方法</w:t>
            </w:r>
          </w:p>
        </w:tc>
        <w:tc>
          <w:tcPr>
            <w:tcW w:w="1240"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标准编号</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1</w:t>
            </w:r>
          </w:p>
        </w:tc>
        <w:tc>
          <w:tcPr>
            <w:tcW w:w="546" w:type="dxa"/>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镉</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土壤质量铅、镉的测定</w:t>
            </w:r>
            <w:r>
              <w:rPr>
                <w:rFonts w:ascii="宋体" w:hAnsi="宋体"/>
                <w:kern w:val="0"/>
                <w:sz w:val="21"/>
                <w:highlight w:val="none"/>
              </w:rPr>
              <w:t xml:space="preserve">  </w:t>
            </w:r>
            <w:r>
              <w:rPr>
                <w:rFonts w:hint="eastAsia" w:ascii="宋体" w:hAnsi="宋体"/>
                <w:kern w:val="0"/>
                <w:sz w:val="21"/>
                <w:highlight w:val="none"/>
              </w:rPr>
              <w:t>石墨炉原子吸收分光亮度法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GB/T17141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restart"/>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2</w:t>
            </w:r>
          </w:p>
        </w:tc>
        <w:tc>
          <w:tcPr>
            <w:tcW w:w="546" w:type="dxa"/>
            <w:vMerge w:val="restart"/>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砷</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土壤和沉积物</w:t>
            </w:r>
            <w:r>
              <w:rPr>
                <w:rFonts w:ascii="宋体" w:hAnsi="宋体" w:cs="宋体"/>
                <w:kern w:val="0"/>
                <w:sz w:val="21"/>
                <w:highlight w:val="none"/>
              </w:rPr>
              <w:t>12</w:t>
            </w:r>
            <w:r>
              <w:rPr>
                <w:rFonts w:hint="eastAsia" w:ascii="宋体" w:hAnsi="宋体" w:cs="宋体"/>
                <w:kern w:val="0"/>
                <w:sz w:val="21"/>
                <w:highlight w:val="none"/>
              </w:rPr>
              <w:t>种金属元素的测定</w:t>
            </w:r>
            <w:r>
              <w:rPr>
                <w:rFonts w:ascii="宋体" w:hAnsi="宋体" w:cs="宋体"/>
                <w:kern w:val="0"/>
                <w:sz w:val="21"/>
                <w:highlight w:val="none"/>
              </w:rPr>
              <w:t xml:space="preserve">  </w:t>
            </w:r>
            <w:r>
              <w:rPr>
                <w:rFonts w:hint="eastAsia" w:ascii="宋体" w:hAnsi="宋体" w:cs="宋体"/>
                <w:kern w:val="0"/>
                <w:sz w:val="21"/>
                <w:highlight w:val="none"/>
              </w:rPr>
              <w:t>王水提取一电感祸合等离子体质谱法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HJ803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土壤和沉积物汞、砷、硒、铋、锑的测定</w:t>
            </w:r>
            <w:r>
              <w:rPr>
                <w:rFonts w:ascii="宋体" w:hAnsi="宋体" w:cs="宋体"/>
                <w:kern w:val="0"/>
                <w:sz w:val="21"/>
                <w:highlight w:val="none"/>
              </w:rPr>
              <w:t xml:space="preserve">  </w:t>
            </w:r>
            <w:r>
              <w:rPr>
                <w:rFonts w:hint="eastAsia" w:ascii="宋体" w:hAnsi="宋体" w:cs="宋体"/>
                <w:kern w:val="0"/>
                <w:sz w:val="21"/>
                <w:highlight w:val="none"/>
              </w:rPr>
              <w:t>微波消解／原子荧光法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HJ680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土壤质量总汞、总砷、总铅的测定</w:t>
            </w:r>
            <w:r>
              <w:rPr>
                <w:rFonts w:ascii="宋体" w:hAnsi="宋体" w:cs="宋体"/>
                <w:kern w:val="0"/>
                <w:sz w:val="21"/>
                <w:highlight w:val="none"/>
              </w:rPr>
              <w:t xml:space="preserve"> </w:t>
            </w:r>
            <w:r>
              <w:rPr>
                <w:rFonts w:hint="eastAsia" w:ascii="宋体" w:hAnsi="宋体" w:cs="宋体"/>
                <w:kern w:val="0"/>
                <w:sz w:val="21"/>
                <w:highlight w:val="none"/>
              </w:rPr>
              <w:t>原子荧光法第</w:t>
            </w:r>
            <w:r>
              <w:rPr>
                <w:rFonts w:ascii="宋体" w:hAnsi="宋体" w:cs="宋体"/>
                <w:kern w:val="0"/>
                <w:sz w:val="21"/>
                <w:highlight w:val="none"/>
              </w:rPr>
              <w:t>2</w:t>
            </w:r>
            <w:r>
              <w:rPr>
                <w:rFonts w:hint="eastAsia" w:ascii="宋体" w:hAnsi="宋体" w:cs="宋体"/>
                <w:kern w:val="0"/>
                <w:sz w:val="21"/>
                <w:highlight w:val="none"/>
              </w:rPr>
              <w:t>部分：土壤中总砷的测</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GB/T22105.2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restart"/>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3</w:t>
            </w:r>
          </w:p>
        </w:tc>
        <w:tc>
          <w:tcPr>
            <w:tcW w:w="546" w:type="dxa"/>
            <w:vMerge w:val="restart"/>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汞</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土壤和沉积物汞、砷、硒、铋、锑的测定</w:t>
            </w:r>
            <w:r>
              <w:rPr>
                <w:rFonts w:ascii="宋体" w:hAnsi="宋体" w:cs="宋体"/>
                <w:kern w:val="0"/>
                <w:sz w:val="21"/>
                <w:highlight w:val="none"/>
              </w:rPr>
              <w:t xml:space="preserve">  </w:t>
            </w:r>
            <w:r>
              <w:rPr>
                <w:rFonts w:hint="eastAsia" w:ascii="宋体" w:hAnsi="宋体" w:cs="宋体"/>
                <w:kern w:val="0"/>
                <w:sz w:val="21"/>
                <w:highlight w:val="none"/>
              </w:rPr>
              <w:t>微波消解／原子荧光法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HJ680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土壤质量</w:t>
            </w:r>
            <w:r>
              <w:rPr>
                <w:rFonts w:ascii="宋体" w:hAnsi="宋体" w:cs="宋体"/>
                <w:kern w:val="0"/>
                <w:sz w:val="21"/>
                <w:highlight w:val="none"/>
              </w:rPr>
              <w:t xml:space="preserve">  </w:t>
            </w:r>
            <w:r>
              <w:rPr>
                <w:rFonts w:hint="eastAsia" w:ascii="宋体" w:hAnsi="宋体" w:cs="宋体"/>
                <w:kern w:val="0"/>
                <w:sz w:val="21"/>
                <w:highlight w:val="none"/>
              </w:rPr>
              <w:t>总汞、总砷、总铅的测定</w:t>
            </w:r>
            <w:r>
              <w:rPr>
                <w:rFonts w:ascii="宋体" w:hAnsi="宋体" w:cs="宋体"/>
                <w:kern w:val="0"/>
                <w:sz w:val="21"/>
                <w:highlight w:val="none"/>
              </w:rPr>
              <w:t xml:space="preserve">  </w:t>
            </w:r>
            <w:r>
              <w:rPr>
                <w:rFonts w:hint="eastAsia" w:ascii="宋体" w:hAnsi="宋体" w:cs="宋体"/>
                <w:kern w:val="0"/>
                <w:sz w:val="21"/>
                <w:highlight w:val="none"/>
              </w:rPr>
              <w:t>原子荧光法第</w:t>
            </w:r>
            <w:r>
              <w:rPr>
                <w:rFonts w:ascii="宋体" w:hAnsi="宋体" w:cs="宋体"/>
                <w:kern w:val="0"/>
                <w:sz w:val="21"/>
                <w:highlight w:val="none"/>
              </w:rPr>
              <w:t>l</w:t>
            </w:r>
            <w:r>
              <w:rPr>
                <w:rFonts w:hint="eastAsia" w:ascii="宋体" w:hAnsi="宋体" w:cs="宋体"/>
                <w:kern w:val="0"/>
                <w:sz w:val="21"/>
                <w:highlight w:val="none"/>
              </w:rPr>
              <w:t>部分：土壤中总汞的测定</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GB/T22105.1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土壤质量</w:t>
            </w:r>
            <w:r>
              <w:rPr>
                <w:rFonts w:ascii="宋体" w:hAnsi="宋体" w:cs="宋体"/>
                <w:kern w:val="0"/>
                <w:sz w:val="21"/>
                <w:highlight w:val="none"/>
              </w:rPr>
              <w:t xml:space="preserve">  </w:t>
            </w:r>
            <w:r>
              <w:rPr>
                <w:rFonts w:hint="eastAsia" w:ascii="宋体" w:hAnsi="宋体" w:cs="宋体"/>
                <w:kern w:val="0"/>
                <w:sz w:val="21"/>
                <w:highlight w:val="none"/>
              </w:rPr>
              <w:t>总汞的测定</w:t>
            </w:r>
            <w:r>
              <w:rPr>
                <w:rFonts w:ascii="宋体" w:hAnsi="宋体" w:cs="宋体"/>
                <w:kern w:val="0"/>
                <w:sz w:val="21"/>
                <w:highlight w:val="none"/>
              </w:rPr>
              <w:t xml:space="preserve">  </w:t>
            </w:r>
            <w:r>
              <w:rPr>
                <w:rFonts w:hint="eastAsia" w:ascii="宋体" w:hAnsi="宋体" w:cs="宋体"/>
                <w:kern w:val="0"/>
                <w:sz w:val="21"/>
                <w:highlight w:val="none"/>
              </w:rPr>
              <w:t>冷原子吸收分光亮度法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GB/T17136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cs="宋体"/>
                <w:kern w:val="0"/>
                <w:sz w:val="21"/>
                <w:highlight w:val="none"/>
              </w:rPr>
            </w:pPr>
            <w:r>
              <w:rPr>
                <w:rFonts w:hint="eastAsia" w:ascii="宋体" w:hAnsi="宋体" w:cs="宋体"/>
                <w:kern w:val="0"/>
                <w:sz w:val="21"/>
                <w:highlight w:val="none"/>
              </w:rPr>
              <w:t>土壤和沉积物</w:t>
            </w:r>
            <w:r>
              <w:rPr>
                <w:rFonts w:ascii="宋体" w:hAnsi="宋体" w:cs="宋体"/>
                <w:kern w:val="0"/>
                <w:sz w:val="21"/>
                <w:highlight w:val="none"/>
              </w:rPr>
              <w:t xml:space="preserve">  </w:t>
            </w:r>
            <w:r>
              <w:rPr>
                <w:rFonts w:hint="eastAsia" w:ascii="宋体" w:hAnsi="宋体" w:cs="宋体"/>
                <w:kern w:val="0"/>
                <w:sz w:val="21"/>
                <w:highlight w:val="none"/>
              </w:rPr>
              <w:t>总汞的测定</w:t>
            </w:r>
            <w:r>
              <w:rPr>
                <w:rFonts w:ascii="宋体" w:hAnsi="宋体" w:cs="宋体"/>
                <w:kern w:val="0"/>
                <w:sz w:val="21"/>
                <w:highlight w:val="none"/>
              </w:rPr>
              <w:t xml:space="preserve">  </w:t>
            </w:r>
            <w:r>
              <w:rPr>
                <w:rFonts w:hint="eastAsia" w:ascii="宋体" w:hAnsi="宋体" w:cs="宋体"/>
                <w:kern w:val="0"/>
                <w:sz w:val="21"/>
                <w:highlight w:val="none"/>
              </w:rPr>
              <w:t>催化热解一冷原子吸收分光亮度法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HJ923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restart"/>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4</w:t>
            </w:r>
          </w:p>
        </w:tc>
        <w:tc>
          <w:tcPr>
            <w:tcW w:w="546" w:type="dxa"/>
            <w:vMerge w:val="restart"/>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铬</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土壤总铬的测定火焰原子吸收分光亮度法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HJ491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lang w:eastAsia="en-US"/>
              </w:rPr>
            </w:pPr>
          </w:p>
        </w:tc>
        <w:tc>
          <w:tcPr>
            <w:tcW w:w="546" w:type="dxa"/>
            <w:vMerge w:val="continue"/>
            <w:vAlign w:val="center"/>
          </w:tcPr>
          <w:p>
            <w:pPr>
              <w:spacing w:line="320" w:lineRule="exact"/>
              <w:ind w:firstLine="0" w:firstLineChars="0"/>
              <w:jc w:val="center"/>
              <w:rPr>
                <w:rFonts w:ascii="宋体" w:hAnsi="宋体"/>
                <w:kern w:val="0"/>
                <w:sz w:val="21"/>
                <w:highlight w:val="none"/>
                <w:lang w:eastAsia="en-US"/>
              </w:rPr>
            </w:pPr>
          </w:p>
        </w:tc>
        <w:tc>
          <w:tcPr>
            <w:tcW w:w="6544" w:type="dxa"/>
            <w:vAlign w:val="center"/>
          </w:tcPr>
          <w:p>
            <w:pPr>
              <w:spacing w:line="320" w:lineRule="exact"/>
              <w:ind w:firstLine="0" w:firstLineChars="0"/>
              <w:jc w:val="center"/>
              <w:rPr>
                <w:rFonts w:ascii="宋体" w:hAnsi="宋体" w:cs="宋体"/>
                <w:kern w:val="0"/>
                <w:sz w:val="21"/>
                <w:highlight w:val="none"/>
              </w:rPr>
            </w:pPr>
            <w:r>
              <w:rPr>
                <w:rFonts w:hint="eastAsia" w:ascii="宋体" w:hAnsi="宋体" w:cs="宋体"/>
                <w:kern w:val="0"/>
                <w:sz w:val="21"/>
                <w:highlight w:val="none"/>
              </w:rPr>
              <w:t>土壤和沉积物无机元素的测定波长色散</w:t>
            </w:r>
            <w:r>
              <w:rPr>
                <w:rFonts w:ascii="宋体" w:hAnsi="宋体" w:cs="宋体"/>
                <w:kern w:val="0"/>
                <w:sz w:val="21"/>
                <w:highlight w:val="none"/>
              </w:rPr>
              <w:t>X</w:t>
            </w:r>
            <w:r>
              <w:rPr>
                <w:rFonts w:hint="eastAsia" w:ascii="宋体" w:hAnsi="宋体" w:cs="宋体"/>
                <w:kern w:val="0"/>
                <w:sz w:val="21"/>
                <w:highlight w:val="none"/>
              </w:rPr>
              <w:t>射线荧光光谱法</w:t>
            </w:r>
          </w:p>
        </w:tc>
        <w:tc>
          <w:tcPr>
            <w:tcW w:w="1240" w:type="dxa"/>
            <w:vAlign w:val="center"/>
          </w:tcPr>
          <w:p>
            <w:pPr>
              <w:spacing w:line="320" w:lineRule="exact"/>
              <w:ind w:firstLine="0" w:firstLineChars="0"/>
              <w:jc w:val="center"/>
              <w:rPr>
                <w:rFonts w:ascii="宋体" w:hAnsi="宋体" w:cs="宋体"/>
                <w:kern w:val="0"/>
                <w:sz w:val="21"/>
                <w:highlight w:val="none"/>
              </w:rPr>
            </w:pPr>
            <w:r>
              <w:rPr>
                <w:rFonts w:ascii="宋体" w:hAnsi="宋体" w:cs="宋体"/>
                <w:kern w:val="0"/>
                <w:sz w:val="21"/>
                <w:highlight w:val="none"/>
              </w:rPr>
              <w:t>HJ780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24" w:type="dxa"/>
            <w:vMerge w:val="restart"/>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5</w:t>
            </w:r>
          </w:p>
        </w:tc>
        <w:tc>
          <w:tcPr>
            <w:tcW w:w="546" w:type="dxa"/>
            <w:vMerge w:val="restart"/>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铜</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土壤和沉积物无机元素的测定</w:t>
            </w:r>
            <w:r>
              <w:rPr>
                <w:rFonts w:ascii="宋体" w:hAnsi="宋体" w:cs="宋体"/>
                <w:kern w:val="0"/>
                <w:sz w:val="21"/>
                <w:highlight w:val="none"/>
              </w:rPr>
              <w:t xml:space="preserve">  </w:t>
            </w:r>
            <w:r>
              <w:rPr>
                <w:rFonts w:hint="eastAsia" w:ascii="宋体" w:hAnsi="宋体" w:cs="宋体"/>
                <w:kern w:val="0"/>
                <w:sz w:val="21"/>
                <w:highlight w:val="none"/>
              </w:rPr>
              <w:t>波长色散</w:t>
            </w:r>
            <w:r>
              <w:rPr>
                <w:rFonts w:ascii="宋体" w:hAnsi="宋体" w:cs="宋体"/>
                <w:kern w:val="0"/>
                <w:sz w:val="21"/>
                <w:highlight w:val="none"/>
              </w:rPr>
              <w:t>X</w:t>
            </w:r>
            <w:r>
              <w:rPr>
                <w:rFonts w:hint="eastAsia" w:ascii="宋体" w:hAnsi="宋体" w:cs="宋体"/>
                <w:kern w:val="0"/>
                <w:sz w:val="21"/>
                <w:highlight w:val="none"/>
              </w:rPr>
              <w:t>射线荧光光谱法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GB/T17138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土壤质量</w:t>
            </w:r>
            <w:r>
              <w:rPr>
                <w:rFonts w:ascii="宋体" w:hAnsi="宋体" w:cs="宋体"/>
                <w:kern w:val="0"/>
                <w:sz w:val="21"/>
                <w:highlight w:val="none"/>
              </w:rPr>
              <w:t xml:space="preserve">  </w:t>
            </w:r>
            <w:r>
              <w:rPr>
                <w:rFonts w:hint="eastAsia" w:ascii="宋体" w:hAnsi="宋体" w:cs="宋体"/>
                <w:kern w:val="0"/>
                <w:sz w:val="21"/>
                <w:highlight w:val="none"/>
              </w:rPr>
              <w:t>铜、锌的测定</w:t>
            </w:r>
            <w:r>
              <w:rPr>
                <w:rFonts w:ascii="宋体" w:hAnsi="宋体" w:cs="宋体"/>
                <w:kern w:val="0"/>
                <w:sz w:val="21"/>
                <w:highlight w:val="none"/>
              </w:rPr>
              <w:t xml:space="preserve">  </w:t>
            </w:r>
            <w:r>
              <w:rPr>
                <w:rFonts w:hint="eastAsia" w:ascii="宋体" w:hAnsi="宋体" w:cs="宋体"/>
                <w:kern w:val="0"/>
                <w:sz w:val="21"/>
                <w:highlight w:val="none"/>
              </w:rPr>
              <w:t>火焰原子吸收分光亮度法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HJ780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restart"/>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6</w:t>
            </w:r>
          </w:p>
        </w:tc>
        <w:tc>
          <w:tcPr>
            <w:tcW w:w="546" w:type="dxa"/>
            <w:vMerge w:val="restart"/>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铅</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土壤质量铅、镉的测定</w:t>
            </w:r>
            <w:r>
              <w:rPr>
                <w:rFonts w:ascii="宋体" w:hAnsi="宋体" w:cs="宋体"/>
                <w:kern w:val="0"/>
                <w:sz w:val="21"/>
                <w:highlight w:val="none"/>
              </w:rPr>
              <w:t xml:space="preserve">  </w:t>
            </w:r>
            <w:r>
              <w:rPr>
                <w:rFonts w:hint="eastAsia" w:ascii="宋体" w:hAnsi="宋体" w:cs="宋体"/>
                <w:kern w:val="0"/>
                <w:sz w:val="21"/>
                <w:highlight w:val="none"/>
              </w:rPr>
              <w:t>石墨炉原子吸收分光亮度法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cs="宋体"/>
                <w:kern w:val="0"/>
                <w:sz w:val="21"/>
                <w:highlight w:val="none"/>
              </w:rPr>
              <w:t>GB/T17141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lang w:eastAsia="en-US"/>
              </w:rPr>
            </w:pPr>
          </w:p>
        </w:tc>
        <w:tc>
          <w:tcPr>
            <w:tcW w:w="546" w:type="dxa"/>
            <w:vMerge w:val="continue"/>
            <w:vAlign w:val="center"/>
          </w:tcPr>
          <w:p>
            <w:pPr>
              <w:spacing w:line="320" w:lineRule="exact"/>
              <w:ind w:firstLine="0" w:firstLineChars="0"/>
              <w:jc w:val="center"/>
              <w:rPr>
                <w:rFonts w:ascii="宋体" w:hAnsi="宋体"/>
                <w:kern w:val="0"/>
                <w:sz w:val="21"/>
                <w:highlight w:val="none"/>
                <w:lang w:eastAsia="en-US"/>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cs="宋体"/>
                <w:kern w:val="0"/>
                <w:sz w:val="21"/>
                <w:highlight w:val="none"/>
              </w:rPr>
              <w:t>土壤和沉积物无机元素的测定波长色散</w:t>
            </w:r>
            <w:r>
              <w:rPr>
                <w:rFonts w:ascii="宋体" w:hAnsi="宋体" w:cs="宋体"/>
                <w:kern w:val="0"/>
                <w:sz w:val="21"/>
                <w:highlight w:val="none"/>
              </w:rPr>
              <w:t>X</w:t>
            </w:r>
            <w:r>
              <w:rPr>
                <w:rFonts w:hint="eastAsia" w:ascii="宋体" w:hAnsi="宋体" w:cs="宋体"/>
                <w:kern w:val="0"/>
                <w:sz w:val="21"/>
                <w:highlight w:val="none"/>
              </w:rPr>
              <w:t>射线荧光光谱法</w:t>
            </w:r>
          </w:p>
        </w:tc>
        <w:tc>
          <w:tcPr>
            <w:tcW w:w="1240" w:type="dxa"/>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80" w:firstLineChars="0"/>
              <w:jc w:val="left"/>
              <w:rPr>
                <w:rFonts w:ascii="宋体" w:hAnsi="宋体"/>
                <w:highlight w:val="none"/>
              </w:rPr>
            </w:pPr>
            <w:r>
              <w:rPr>
                <w:rFonts w:ascii="宋体" w:hAnsi="宋体" w:cs="宋体"/>
                <w:kern w:val="0"/>
                <w:highlight w:val="none"/>
              </w:rPr>
              <w:t>HJ780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24" w:type="dxa"/>
            <w:vMerge w:val="restart"/>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7</w:t>
            </w:r>
          </w:p>
        </w:tc>
        <w:tc>
          <w:tcPr>
            <w:tcW w:w="546" w:type="dxa"/>
            <w:vMerge w:val="restart"/>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镍</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土壤质量镍的测定火焰原子吸收分光亮度法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GB</w:t>
            </w:r>
            <w:r>
              <w:rPr>
                <w:rFonts w:hint="eastAsia" w:ascii="宋体" w:hAnsi="宋体"/>
                <w:kern w:val="0"/>
                <w:sz w:val="21"/>
                <w:highlight w:val="none"/>
              </w:rPr>
              <w:t>厂</w:t>
            </w:r>
            <w:r>
              <w:rPr>
                <w:rFonts w:ascii="宋体" w:hAnsi="宋体"/>
                <w:kern w:val="0"/>
                <w:sz w:val="21"/>
                <w:highlight w:val="none"/>
              </w:rPr>
              <w:t>T17139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土壤和沉积物无机元素的测定波长色散</w:t>
            </w:r>
            <w:r>
              <w:rPr>
                <w:rFonts w:ascii="宋体" w:hAnsi="宋体"/>
                <w:kern w:val="0"/>
                <w:sz w:val="21"/>
                <w:highlight w:val="none"/>
              </w:rPr>
              <w:t>X</w:t>
            </w:r>
            <w:r>
              <w:rPr>
                <w:rFonts w:hint="eastAsia" w:ascii="宋体" w:hAnsi="宋体"/>
                <w:kern w:val="0"/>
                <w:sz w:val="21"/>
                <w:highlight w:val="none"/>
              </w:rPr>
              <w:t>射线荧光光谱法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HJ780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restart"/>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8</w:t>
            </w:r>
          </w:p>
        </w:tc>
        <w:tc>
          <w:tcPr>
            <w:tcW w:w="546" w:type="dxa"/>
            <w:vMerge w:val="restart"/>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锌</w:t>
            </w: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土壤质量铜、锌的测定火焰原子吸收分光亮度法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GBZT17138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424" w:type="dxa"/>
            <w:vMerge w:val="continue"/>
            <w:vAlign w:val="center"/>
          </w:tcPr>
          <w:p>
            <w:pPr>
              <w:spacing w:line="320" w:lineRule="exact"/>
              <w:ind w:firstLine="0" w:firstLineChars="0"/>
              <w:jc w:val="center"/>
              <w:rPr>
                <w:rFonts w:ascii="宋体" w:hAnsi="宋体"/>
                <w:kern w:val="0"/>
                <w:sz w:val="21"/>
                <w:highlight w:val="none"/>
              </w:rPr>
            </w:pPr>
          </w:p>
        </w:tc>
        <w:tc>
          <w:tcPr>
            <w:tcW w:w="546" w:type="dxa"/>
            <w:vMerge w:val="continue"/>
            <w:vAlign w:val="center"/>
          </w:tcPr>
          <w:p>
            <w:pPr>
              <w:spacing w:line="320" w:lineRule="exact"/>
              <w:ind w:firstLine="0" w:firstLineChars="0"/>
              <w:jc w:val="center"/>
              <w:rPr>
                <w:rFonts w:ascii="宋体" w:hAnsi="宋体"/>
                <w:kern w:val="0"/>
                <w:sz w:val="21"/>
                <w:highlight w:val="none"/>
              </w:rPr>
            </w:pPr>
          </w:p>
        </w:tc>
        <w:tc>
          <w:tcPr>
            <w:tcW w:w="654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土壤和沉积物无机元素的测定波长色散</w:t>
            </w:r>
            <w:r>
              <w:rPr>
                <w:rFonts w:ascii="宋体" w:hAnsi="宋体"/>
                <w:kern w:val="0"/>
                <w:sz w:val="21"/>
                <w:highlight w:val="none"/>
              </w:rPr>
              <w:t>X</w:t>
            </w:r>
            <w:r>
              <w:rPr>
                <w:rFonts w:hint="eastAsia" w:ascii="宋体" w:hAnsi="宋体"/>
                <w:kern w:val="0"/>
                <w:sz w:val="21"/>
                <w:highlight w:val="none"/>
              </w:rPr>
              <w:t>射线荧光光谱法</w:t>
            </w:r>
          </w:p>
        </w:tc>
        <w:tc>
          <w:tcPr>
            <w:tcW w:w="1240"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HJ780</w:t>
            </w:r>
          </w:p>
        </w:tc>
      </w:tr>
    </w:tbl>
    <w:p>
      <w:pPr>
        <w:adjustRightInd w:val="0"/>
        <w:snapToGrid w:val="0"/>
        <w:ind w:firstLine="480"/>
        <w:rPr>
          <w:rFonts w:ascii="宋体" w:hAnsi="宋体"/>
          <w:kern w:val="0"/>
          <w:szCs w:val="20"/>
          <w:highlight w:val="none"/>
        </w:rPr>
      </w:pPr>
      <w:r>
        <w:rPr>
          <w:rFonts w:ascii="宋体" w:hAnsi="宋体"/>
          <w:kern w:val="0"/>
          <w:szCs w:val="20"/>
          <w:highlight w:val="none"/>
        </w:rPr>
        <w:t>3</w:t>
      </w:r>
      <w:r>
        <w:rPr>
          <w:rFonts w:hint="eastAsia" w:ascii="宋体" w:hAnsi="宋体"/>
          <w:kern w:val="0"/>
          <w:szCs w:val="20"/>
          <w:highlight w:val="none"/>
        </w:rPr>
        <w:t>、监测时间和频率</w:t>
      </w:r>
    </w:p>
    <w:p>
      <w:pPr>
        <w:adjustRightInd w:val="0"/>
        <w:snapToGrid w:val="0"/>
        <w:ind w:firstLine="480"/>
        <w:rPr>
          <w:rFonts w:ascii="宋体" w:hAnsi="宋体"/>
          <w:kern w:val="0"/>
          <w:szCs w:val="20"/>
          <w:highlight w:val="none"/>
        </w:rPr>
      </w:pPr>
      <w:r>
        <w:rPr>
          <w:rFonts w:hint="eastAsia" w:ascii="宋体" w:hAnsi="宋体"/>
          <w:kern w:val="0"/>
          <w:szCs w:val="20"/>
          <w:highlight w:val="none"/>
        </w:rPr>
        <w:t>监测时间拟定在</w:t>
      </w:r>
      <w:r>
        <w:rPr>
          <w:rFonts w:ascii="宋体" w:hAnsi="宋体"/>
          <w:kern w:val="0"/>
          <w:szCs w:val="20"/>
          <w:highlight w:val="none"/>
        </w:rPr>
        <w:t>20</w:t>
      </w:r>
      <w:r>
        <w:rPr>
          <w:rFonts w:hint="eastAsia" w:ascii="宋体" w:hAnsi="宋体"/>
          <w:kern w:val="0"/>
          <w:szCs w:val="20"/>
          <w:highlight w:val="none"/>
        </w:rPr>
        <w:t>21年3月21日。共监测一天，每天一次。同时测定</w:t>
      </w:r>
      <w:r>
        <w:rPr>
          <w:rFonts w:ascii="宋体" w:hAnsi="宋体"/>
          <w:kern w:val="0"/>
          <w:szCs w:val="20"/>
          <w:highlight w:val="none"/>
        </w:rPr>
        <w:t>pH</w:t>
      </w:r>
      <w:r>
        <w:rPr>
          <w:rFonts w:hint="eastAsia" w:ascii="宋体" w:hAnsi="宋体"/>
          <w:kern w:val="0"/>
          <w:szCs w:val="20"/>
          <w:highlight w:val="none"/>
        </w:rPr>
        <w:t>值、阳离子交换量、氧化还原电位、饱和导水率、土壤容重、孔隙度。现场记录颜色、结构、质地、砂砾含量、其他异物。</w:t>
      </w:r>
    </w:p>
    <w:p>
      <w:pPr>
        <w:adjustRightInd w:val="0"/>
        <w:snapToGrid w:val="0"/>
        <w:ind w:firstLine="480"/>
        <w:rPr>
          <w:rFonts w:ascii="宋体" w:hAnsi="宋体"/>
          <w:kern w:val="0"/>
          <w:szCs w:val="20"/>
          <w:highlight w:val="none"/>
        </w:rPr>
      </w:pPr>
      <w:r>
        <w:rPr>
          <w:rFonts w:ascii="宋体" w:hAnsi="宋体"/>
          <w:kern w:val="0"/>
          <w:szCs w:val="20"/>
          <w:highlight w:val="none"/>
        </w:rPr>
        <w:t>4</w:t>
      </w:r>
      <w:r>
        <w:rPr>
          <w:rFonts w:hint="eastAsia" w:ascii="宋体" w:hAnsi="宋体"/>
          <w:kern w:val="0"/>
          <w:szCs w:val="20"/>
          <w:highlight w:val="none"/>
        </w:rPr>
        <w:t>、监测方法</w:t>
      </w:r>
    </w:p>
    <w:p>
      <w:pPr>
        <w:adjustRightInd w:val="0"/>
        <w:snapToGrid w:val="0"/>
        <w:ind w:firstLine="480"/>
        <w:rPr>
          <w:rFonts w:ascii="宋体" w:hAnsi="宋体"/>
          <w:kern w:val="0"/>
          <w:szCs w:val="20"/>
          <w:highlight w:val="none"/>
        </w:rPr>
      </w:pPr>
      <w:r>
        <w:rPr>
          <w:rFonts w:hint="eastAsia" w:ascii="宋体" w:hAnsi="宋体"/>
          <w:kern w:val="0"/>
          <w:szCs w:val="20"/>
          <w:highlight w:val="none"/>
        </w:rPr>
        <w:t>土壤监测取样方法参照</w:t>
      </w:r>
      <w:r>
        <w:rPr>
          <w:rFonts w:ascii="宋体" w:hAnsi="宋体"/>
          <w:kern w:val="0"/>
          <w:szCs w:val="20"/>
          <w:highlight w:val="none"/>
        </w:rPr>
        <w:t>GB/T32740</w:t>
      </w:r>
      <w:r>
        <w:rPr>
          <w:rFonts w:hint="eastAsia" w:ascii="宋体" w:hAnsi="宋体"/>
          <w:kern w:val="0"/>
          <w:szCs w:val="20"/>
          <w:highlight w:val="none"/>
        </w:rPr>
        <w:t>、</w:t>
      </w:r>
      <w:r>
        <w:rPr>
          <w:rFonts w:ascii="宋体" w:hAnsi="宋体"/>
          <w:kern w:val="0"/>
          <w:szCs w:val="20"/>
          <w:highlight w:val="none"/>
        </w:rPr>
        <w:t>HJ25.1</w:t>
      </w:r>
      <w:r>
        <w:rPr>
          <w:rFonts w:hint="eastAsia" w:ascii="宋体" w:hAnsi="宋体"/>
          <w:kern w:val="0"/>
          <w:szCs w:val="20"/>
          <w:highlight w:val="none"/>
        </w:rPr>
        <w:t>、</w:t>
      </w:r>
      <w:r>
        <w:rPr>
          <w:rFonts w:ascii="宋体" w:hAnsi="宋体"/>
          <w:kern w:val="0"/>
          <w:szCs w:val="20"/>
          <w:highlight w:val="none"/>
        </w:rPr>
        <w:t>HJ25.2</w:t>
      </w:r>
      <w:r>
        <w:rPr>
          <w:rFonts w:hint="eastAsia" w:ascii="宋体" w:hAnsi="宋体"/>
          <w:kern w:val="0"/>
          <w:szCs w:val="20"/>
          <w:highlight w:val="none"/>
        </w:rPr>
        <w:t>、</w:t>
      </w:r>
      <w:r>
        <w:rPr>
          <w:rFonts w:ascii="宋体" w:hAnsi="宋体"/>
          <w:kern w:val="0"/>
          <w:szCs w:val="20"/>
          <w:highlight w:val="none"/>
        </w:rPr>
        <w:t>HJ/T166</w:t>
      </w:r>
      <w:r>
        <w:rPr>
          <w:rFonts w:hint="eastAsia" w:ascii="宋体" w:hAnsi="宋体"/>
          <w:kern w:val="0"/>
          <w:szCs w:val="20"/>
          <w:highlight w:val="none"/>
        </w:rPr>
        <w:t>、</w:t>
      </w:r>
      <w:r>
        <w:rPr>
          <w:rFonts w:ascii="宋体" w:hAnsi="宋体"/>
          <w:kern w:val="0"/>
          <w:szCs w:val="20"/>
          <w:highlight w:val="none"/>
        </w:rPr>
        <w:t>NY/T395</w:t>
      </w:r>
      <w:r>
        <w:rPr>
          <w:rFonts w:hint="eastAsia" w:ascii="宋体" w:hAnsi="宋体"/>
          <w:kern w:val="0"/>
          <w:szCs w:val="20"/>
          <w:highlight w:val="none"/>
        </w:rPr>
        <w:t>等标准执行。</w:t>
      </w:r>
    </w:p>
    <w:p>
      <w:pPr>
        <w:adjustRightInd w:val="0"/>
        <w:snapToGrid w:val="0"/>
        <w:ind w:firstLine="480"/>
        <w:rPr>
          <w:rFonts w:ascii="宋体" w:hAnsi="宋体"/>
          <w:kern w:val="0"/>
          <w:szCs w:val="22"/>
          <w:highlight w:val="none"/>
        </w:rPr>
      </w:pPr>
      <w:r>
        <w:rPr>
          <w:rFonts w:ascii="宋体" w:hAnsi="宋体"/>
          <w:kern w:val="0"/>
          <w:szCs w:val="22"/>
          <w:highlight w:val="none"/>
        </w:rPr>
        <w:t>5</w:t>
      </w:r>
      <w:r>
        <w:rPr>
          <w:rFonts w:hint="eastAsia" w:ascii="宋体" w:hAnsi="宋体"/>
          <w:kern w:val="0"/>
          <w:szCs w:val="22"/>
          <w:highlight w:val="none"/>
        </w:rPr>
        <w:t>、监测结果统计分析</w:t>
      </w:r>
    </w:p>
    <w:p>
      <w:pPr>
        <w:pStyle w:val="62"/>
        <w:ind w:firstLine="480"/>
        <w:rPr>
          <w:rFonts w:hAnsi="宋体"/>
          <w:highlight w:val="none"/>
        </w:rPr>
      </w:pPr>
      <w:r>
        <w:rPr>
          <w:rFonts w:hint="eastAsia" w:hAnsi="宋体"/>
          <w:highlight w:val="none"/>
        </w:rPr>
        <w:t>评价区土壤现状监测结果分别列于表</w:t>
      </w:r>
      <w:r>
        <w:rPr>
          <w:rFonts w:hAnsi="宋体"/>
          <w:kern w:val="0"/>
          <w:highlight w:val="none"/>
        </w:rPr>
        <w:t>4.3-</w:t>
      </w:r>
      <w:r>
        <w:rPr>
          <w:rFonts w:hint="eastAsia" w:hAnsi="宋体"/>
          <w:kern w:val="0"/>
          <w:highlight w:val="none"/>
        </w:rPr>
        <w:t>19。</w:t>
      </w:r>
    </w:p>
    <w:p>
      <w:pPr>
        <w:ind w:firstLine="480"/>
        <w:jc w:val="center"/>
        <w:rPr>
          <w:rFonts w:ascii="宋体" w:hAnsi="宋体"/>
          <w:bCs/>
          <w:szCs w:val="22"/>
          <w:highlight w:val="none"/>
        </w:rPr>
      </w:pPr>
      <w:r>
        <w:rPr>
          <w:rFonts w:ascii="宋体" w:hAnsi="宋体"/>
          <w:bCs/>
          <w:szCs w:val="22"/>
          <w:highlight w:val="none"/>
        </w:rPr>
        <w:t>表</w:t>
      </w:r>
      <w:r>
        <w:rPr>
          <w:rFonts w:ascii="宋体" w:hAnsi="宋体"/>
          <w:kern w:val="0"/>
          <w:highlight w:val="none"/>
        </w:rPr>
        <w:t>4.3-</w:t>
      </w:r>
      <w:r>
        <w:rPr>
          <w:rFonts w:hint="eastAsia" w:ascii="宋体" w:hAnsi="宋体"/>
          <w:kern w:val="0"/>
          <w:highlight w:val="none"/>
        </w:rPr>
        <w:t>19</w:t>
      </w:r>
      <w:r>
        <w:rPr>
          <w:rFonts w:hint="eastAsia" w:ascii="宋体" w:hAnsi="宋体"/>
          <w:bCs/>
          <w:szCs w:val="22"/>
          <w:highlight w:val="none"/>
        </w:rPr>
        <w:t xml:space="preserve">  </w:t>
      </w:r>
      <w:r>
        <w:rPr>
          <w:rFonts w:ascii="宋体" w:hAnsi="宋体"/>
          <w:bCs/>
          <w:szCs w:val="22"/>
          <w:highlight w:val="none"/>
        </w:rPr>
        <w:t>土壤监测结果统计表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59"/>
        <w:gridCol w:w="2891"/>
        <w:gridCol w:w="1701"/>
        <w:gridCol w:w="1702"/>
        <w:gridCol w:w="16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Merge w:val="restart"/>
            <w:vAlign w:val="center"/>
          </w:tcPr>
          <w:p>
            <w:pPr>
              <w:pStyle w:val="64"/>
              <w:rPr>
                <w:highlight w:val="none"/>
              </w:rPr>
            </w:pPr>
            <w:r>
              <w:rPr>
                <w:rFonts w:hint="eastAsia"/>
                <w:highlight w:val="none"/>
              </w:rPr>
              <w:t>检测项目</w:t>
            </w:r>
          </w:p>
        </w:tc>
        <w:tc>
          <w:tcPr>
            <w:tcW w:w="5100" w:type="dxa"/>
            <w:gridSpan w:val="3"/>
            <w:vAlign w:val="center"/>
          </w:tcPr>
          <w:p>
            <w:pPr>
              <w:pStyle w:val="64"/>
              <w:rPr>
                <w:highlight w:val="none"/>
              </w:rPr>
            </w:pPr>
            <w:r>
              <w:rPr>
                <w:rFonts w:hint="eastAsia"/>
                <w:highlight w:val="none"/>
              </w:rPr>
              <w:t>采样位置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Merge w:val="continue"/>
            <w:vAlign w:val="center"/>
          </w:tcPr>
          <w:p>
            <w:pPr>
              <w:pStyle w:val="64"/>
              <w:rPr>
                <w:highlight w:val="none"/>
              </w:rPr>
            </w:pPr>
          </w:p>
        </w:tc>
        <w:tc>
          <w:tcPr>
            <w:tcW w:w="1701" w:type="dxa"/>
            <w:vAlign w:val="center"/>
          </w:tcPr>
          <w:p>
            <w:pPr>
              <w:pStyle w:val="64"/>
              <w:rPr>
                <w:color w:val="000000"/>
                <w:highlight w:val="none"/>
                <w:lang w:bidi="ar"/>
              </w:rPr>
            </w:pPr>
            <w:r>
              <w:rPr>
                <w:color w:val="000000"/>
                <w:highlight w:val="none"/>
                <w:lang w:bidi="ar"/>
              </w:rPr>
              <w:t>1#0-0.2m</w:t>
            </w:r>
          </w:p>
        </w:tc>
        <w:tc>
          <w:tcPr>
            <w:tcW w:w="1702" w:type="dxa"/>
            <w:vAlign w:val="center"/>
          </w:tcPr>
          <w:p>
            <w:pPr>
              <w:pStyle w:val="64"/>
              <w:rPr>
                <w:highlight w:val="none"/>
              </w:rPr>
            </w:pPr>
            <w:r>
              <w:rPr>
                <w:color w:val="000000"/>
                <w:highlight w:val="none"/>
                <w:lang w:bidi="ar"/>
              </w:rPr>
              <w:t>2#0-0.2m</w:t>
            </w:r>
          </w:p>
        </w:tc>
        <w:tc>
          <w:tcPr>
            <w:tcW w:w="1697" w:type="dxa"/>
            <w:vAlign w:val="center"/>
          </w:tcPr>
          <w:p>
            <w:pPr>
              <w:pStyle w:val="64"/>
              <w:rPr>
                <w:highlight w:val="none"/>
              </w:rPr>
            </w:pPr>
            <w:r>
              <w:rPr>
                <w:color w:val="000000"/>
                <w:highlight w:val="none"/>
                <w:lang w:bidi="ar"/>
              </w:rPr>
              <w:t>3#0-0.2m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镉（</w:t>
            </w:r>
            <w:r>
              <w:rPr>
                <w:highlight w:val="none"/>
              </w:rPr>
              <w:t>mg/kg</w:t>
            </w:r>
            <w:r>
              <w:rPr>
                <w:rFonts w:hint="eastAsia"/>
                <w:highlight w:val="none"/>
              </w:rPr>
              <w:t>）</w:t>
            </w:r>
          </w:p>
        </w:tc>
        <w:tc>
          <w:tcPr>
            <w:tcW w:w="1701" w:type="dxa"/>
            <w:vAlign w:val="center"/>
          </w:tcPr>
          <w:p>
            <w:pPr>
              <w:pStyle w:val="64"/>
              <w:rPr>
                <w:color w:val="000000"/>
                <w:highlight w:val="none"/>
                <w:lang w:bidi="ar"/>
              </w:rPr>
            </w:pPr>
            <w:r>
              <w:rPr>
                <w:color w:val="000000"/>
                <w:highlight w:val="none"/>
                <w:lang w:bidi="ar"/>
              </w:rPr>
              <w:t>0.158</w:t>
            </w:r>
          </w:p>
        </w:tc>
        <w:tc>
          <w:tcPr>
            <w:tcW w:w="1702" w:type="dxa"/>
            <w:vAlign w:val="center"/>
          </w:tcPr>
          <w:p>
            <w:pPr>
              <w:pStyle w:val="64"/>
              <w:rPr>
                <w:color w:val="000000"/>
                <w:highlight w:val="none"/>
                <w:lang w:bidi="ar"/>
              </w:rPr>
            </w:pPr>
            <w:r>
              <w:rPr>
                <w:color w:val="000000"/>
                <w:highlight w:val="none"/>
                <w:lang w:bidi="ar"/>
              </w:rPr>
              <w:t>0.130</w:t>
            </w:r>
          </w:p>
        </w:tc>
        <w:tc>
          <w:tcPr>
            <w:tcW w:w="1697" w:type="dxa"/>
            <w:vAlign w:val="center"/>
          </w:tcPr>
          <w:p>
            <w:pPr>
              <w:pStyle w:val="64"/>
              <w:rPr>
                <w:color w:val="000000"/>
                <w:highlight w:val="none"/>
                <w:lang w:bidi="ar"/>
              </w:rPr>
            </w:pPr>
            <w:r>
              <w:rPr>
                <w:color w:val="000000"/>
                <w:highlight w:val="none"/>
                <w:lang w:bidi="ar"/>
              </w:rPr>
              <w:t>0.109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铅（</w:t>
            </w:r>
            <w:r>
              <w:rPr>
                <w:highlight w:val="none"/>
              </w:rPr>
              <w:t>mg/kg</w:t>
            </w:r>
            <w:r>
              <w:rPr>
                <w:rFonts w:hint="eastAsia"/>
                <w:highlight w:val="none"/>
              </w:rPr>
              <w:t>）</w:t>
            </w:r>
          </w:p>
        </w:tc>
        <w:tc>
          <w:tcPr>
            <w:tcW w:w="1701" w:type="dxa"/>
            <w:vAlign w:val="center"/>
          </w:tcPr>
          <w:p>
            <w:pPr>
              <w:pStyle w:val="64"/>
              <w:rPr>
                <w:color w:val="000000"/>
                <w:highlight w:val="none"/>
                <w:lang w:bidi="ar"/>
              </w:rPr>
            </w:pPr>
            <w:r>
              <w:rPr>
                <w:color w:val="000000"/>
                <w:highlight w:val="none"/>
                <w:lang w:bidi="ar"/>
              </w:rPr>
              <w:t>12.6</w:t>
            </w:r>
          </w:p>
        </w:tc>
        <w:tc>
          <w:tcPr>
            <w:tcW w:w="1702" w:type="dxa"/>
            <w:vAlign w:val="center"/>
          </w:tcPr>
          <w:p>
            <w:pPr>
              <w:pStyle w:val="64"/>
              <w:rPr>
                <w:color w:val="000000"/>
                <w:highlight w:val="none"/>
                <w:lang w:bidi="ar"/>
              </w:rPr>
            </w:pPr>
            <w:r>
              <w:rPr>
                <w:color w:val="000000"/>
                <w:highlight w:val="none"/>
                <w:lang w:bidi="ar"/>
              </w:rPr>
              <w:t>12.9</w:t>
            </w:r>
          </w:p>
        </w:tc>
        <w:tc>
          <w:tcPr>
            <w:tcW w:w="1697" w:type="dxa"/>
            <w:vAlign w:val="center"/>
          </w:tcPr>
          <w:p>
            <w:pPr>
              <w:pStyle w:val="64"/>
              <w:rPr>
                <w:color w:val="000000"/>
                <w:highlight w:val="none"/>
                <w:lang w:bidi="ar"/>
              </w:rPr>
            </w:pPr>
            <w:r>
              <w:rPr>
                <w:color w:val="000000"/>
                <w:highlight w:val="none"/>
                <w:lang w:bidi="ar"/>
              </w:rPr>
              <w:t>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铜（</w:t>
            </w:r>
            <w:r>
              <w:rPr>
                <w:highlight w:val="none"/>
              </w:rPr>
              <w:t>mg/kg</w:t>
            </w:r>
            <w:r>
              <w:rPr>
                <w:rFonts w:hint="eastAsia"/>
                <w:highlight w:val="none"/>
              </w:rPr>
              <w:t>）</w:t>
            </w:r>
          </w:p>
        </w:tc>
        <w:tc>
          <w:tcPr>
            <w:tcW w:w="1701" w:type="dxa"/>
            <w:vAlign w:val="center"/>
          </w:tcPr>
          <w:p>
            <w:pPr>
              <w:pStyle w:val="64"/>
              <w:rPr>
                <w:highlight w:val="none"/>
                <w:lang w:bidi="ar"/>
              </w:rPr>
            </w:pPr>
            <w:r>
              <w:rPr>
                <w:color w:val="000000"/>
                <w:highlight w:val="none"/>
                <w:lang w:bidi="ar"/>
              </w:rPr>
              <w:t>70.6</w:t>
            </w:r>
          </w:p>
        </w:tc>
        <w:tc>
          <w:tcPr>
            <w:tcW w:w="1702" w:type="dxa"/>
            <w:vAlign w:val="center"/>
          </w:tcPr>
          <w:p>
            <w:pPr>
              <w:pStyle w:val="64"/>
              <w:rPr>
                <w:color w:val="000000"/>
                <w:highlight w:val="none"/>
                <w:lang w:bidi="ar"/>
              </w:rPr>
            </w:pPr>
            <w:r>
              <w:rPr>
                <w:color w:val="000000"/>
                <w:highlight w:val="none"/>
                <w:lang w:bidi="ar"/>
              </w:rPr>
              <w:t>50.5</w:t>
            </w:r>
          </w:p>
        </w:tc>
        <w:tc>
          <w:tcPr>
            <w:tcW w:w="1697" w:type="dxa"/>
            <w:vAlign w:val="center"/>
          </w:tcPr>
          <w:p>
            <w:pPr>
              <w:pStyle w:val="64"/>
              <w:rPr>
                <w:color w:val="000000"/>
                <w:highlight w:val="none"/>
                <w:lang w:bidi="ar"/>
              </w:rPr>
            </w:pPr>
            <w:r>
              <w:rPr>
                <w:color w:val="000000"/>
                <w:highlight w:val="none"/>
                <w:lang w:bidi="ar"/>
              </w:rPr>
              <w:t>49.6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砷（</w:t>
            </w:r>
            <w:r>
              <w:rPr>
                <w:highlight w:val="none"/>
              </w:rPr>
              <w:t>mg/kg</w:t>
            </w:r>
            <w:r>
              <w:rPr>
                <w:rFonts w:hint="eastAsia"/>
                <w:highlight w:val="none"/>
              </w:rPr>
              <w:t>）</w:t>
            </w:r>
          </w:p>
        </w:tc>
        <w:tc>
          <w:tcPr>
            <w:tcW w:w="1701" w:type="dxa"/>
            <w:vAlign w:val="center"/>
          </w:tcPr>
          <w:p>
            <w:pPr>
              <w:pStyle w:val="64"/>
              <w:rPr>
                <w:highlight w:val="none"/>
                <w:lang w:bidi="ar"/>
              </w:rPr>
            </w:pPr>
            <w:r>
              <w:rPr>
                <w:color w:val="000000"/>
                <w:highlight w:val="none"/>
                <w:lang w:bidi="ar"/>
              </w:rPr>
              <w:t>17.3</w:t>
            </w:r>
          </w:p>
        </w:tc>
        <w:tc>
          <w:tcPr>
            <w:tcW w:w="1702" w:type="dxa"/>
            <w:vAlign w:val="center"/>
          </w:tcPr>
          <w:p>
            <w:pPr>
              <w:pStyle w:val="64"/>
              <w:rPr>
                <w:color w:val="000000"/>
                <w:highlight w:val="none"/>
                <w:lang w:bidi="ar"/>
              </w:rPr>
            </w:pPr>
            <w:r>
              <w:rPr>
                <w:color w:val="000000"/>
                <w:highlight w:val="none"/>
                <w:lang w:bidi="ar"/>
              </w:rPr>
              <w:t>14.4</w:t>
            </w:r>
          </w:p>
        </w:tc>
        <w:tc>
          <w:tcPr>
            <w:tcW w:w="1697" w:type="dxa"/>
            <w:vAlign w:val="center"/>
          </w:tcPr>
          <w:p>
            <w:pPr>
              <w:pStyle w:val="64"/>
              <w:rPr>
                <w:color w:val="000000"/>
                <w:highlight w:val="none"/>
                <w:lang w:bidi="ar"/>
              </w:rPr>
            </w:pPr>
            <w:r>
              <w:rPr>
                <w:color w:val="000000"/>
                <w:highlight w:val="none"/>
                <w:lang w:bidi="ar"/>
              </w:rPr>
              <w:t>12.6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镍（</w:t>
            </w:r>
            <w:r>
              <w:rPr>
                <w:highlight w:val="none"/>
              </w:rPr>
              <w:t>mg/kg</w:t>
            </w:r>
            <w:r>
              <w:rPr>
                <w:rFonts w:hint="eastAsia"/>
                <w:highlight w:val="none"/>
              </w:rPr>
              <w:t>）</w:t>
            </w:r>
          </w:p>
        </w:tc>
        <w:tc>
          <w:tcPr>
            <w:tcW w:w="1701" w:type="dxa"/>
            <w:vAlign w:val="center"/>
          </w:tcPr>
          <w:p>
            <w:pPr>
              <w:pStyle w:val="64"/>
              <w:rPr>
                <w:highlight w:val="none"/>
                <w:lang w:bidi="ar"/>
              </w:rPr>
            </w:pPr>
            <w:r>
              <w:rPr>
                <w:color w:val="000000"/>
                <w:highlight w:val="none"/>
                <w:lang w:bidi="ar"/>
              </w:rPr>
              <w:t>20.9</w:t>
            </w:r>
          </w:p>
        </w:tc>
        <w:tc>
          <w:tcPr>
            <w:tcW w:w="1702" w:type="dxa"/>
            <w:vAlign w:val="center"/>
          </w:tcPr>
          <w:p>
            <w:pPr>
              <w:pStyle w:val="64"/>
              <w:rPr>
                <w:color w:val="000000"/>
                <w:highlight w:val="none"/>
                <w:lang w:bidi="ar"/>
              </w:rPr>
            </w:pPr>
            <w:r>
              <w:rPr>
                <w:color w:val="000000"/>
                <w:highlight w:val="none"/>
                <w:lang w:bidi="ar"/>
              </w:rPr>
              <w:t>21.3</w:t>
            </w:r>
          </w:p>
        </w:tc>
        <w:tc>
          <w:tcPr>
            <w:tcW w:w="1697" w:type="dxa"/>
            <w:vAlign w:val="center"/>
          </w:tcPr>
          <w:p>
            <w:pPr>
              <w:pStyle w:val="64"/>
              <w:rPr>
                <w:color w:val="000000"/>
                <w:highlight w:val="none"/>
                <w:lang w:bidi="ar"/>
              </w:rPr>
            </w:pPr>
            <w:r>
              <w:rPr>
                <w:color w:val="000000"/>
                <w:highlight w:val="none"/>
                <w:lang w:bidi="ar"/>
              </w:rPr>
              <w:t>16.1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汞（</w:t>
            </w:r>
            <w:r>
              <w:rPr>
                <w:highlight w:val="none"/>
              </w:rPr>
              <w:t>mg/kg</w:t>
            </w:r>
            <w:r>
              <w:rPr>
                <w:rFonts w:hint="eastAsia"/>
                <w:highlight w:val="none"/>
              </w:rPr>
              <w:t>）</w:t>
            </w:r>
          </w:p>
        </w:tc>
        <w:tc>
          <w:tcPr>
            <w:tcW w:w="1701" w:type="dxa"/>
            <w:vAlign w:val="center"/>
          </w:tcPr>
          <w:p>
            <w:pPr>
              <w:pStyle w:val="64"/>
              <w:rPr>
                <w:highlight w:val="none"/>
                <w:lang w:bidi="ar"/>
              </w:rPr>
            </w:pPr>
            <w:r>
              <w:rPr>
                <w:color w:val="000000"/>
                <w:highlight w:val="none"/>
                <w:lang w:bidi="ar"/>
              </w:rPr>
              <w:t>0.017</w:t>
            </w:r>
          </w:p>
        </w:tc>
        <w:tc>
          <w:tcPr>
            <w:tcW w:w="1702" w:type="dxa"/>
            <w:vAlign w:val="center"/>
          </w:tcPr>
          <w:p>
            <w:pPr>
              <w:pStyle w:val="64"/>
              <w:rPr>
                <w:color w:val="000000"/>
                <w:highlight w:val="none"/>
                <w:lang w:bidi="ar"/>
              </w:rPr>
            </w:pPr>
            <w:r>
              <w:rPr>
                <w:color w:val="000000"/>
                <w:highlight w:val="none"/>
                <w:lang w:bidi="ar"/>
              </w:rPr>
              <w:t>0.014</w:t>
            </w:r>
          </w:p>
        </w:tc>
        <w:tc>
          <w:tcPr>
            <w:tcW w:w="1697" w:type="dxa"/>
            <w:vAlign w:val="center"/>
          </w:tcPr>
          <w:p>
            <w:pPr>
              <w:pStyle w:val="64"/>
              <w:rPr>
                <w:color w:val="000000"/>
                <w:highlight w:val="none"/>
                <w:lang w:bidi="ar"/>
              </w:rPr>
            </w:pPr>
            <w:r>
              <w:rPr>
                <w:color w:val="000000"/>
                <w:highlight w:val="none"/>
                <w:lang w:bidi="ar"/>
              </w:rPr>
              <w:t>0.019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六价铬（</w:t>
            </w:r>
            <w:r>
              <w:rPr>
                <w:highlight w:val="none"/>
              </w:rPr>
              <w:t>mg/kg</w:t>
            </w:r>
            <w:r>
              <w:rPr>
                <w:rFonts w:hint="eastAsia"/>
                <w:highlight w:val="none"/>
              </w:rPr>
              <w:t>）</w:t>
            </w:r>
          </w:p>
        </w:tc>
        <w:tc>
          <w:tcPr>
            <w:tcW w:w="1701" w:type="dxa"/>
            <w:vAlign w:val="center"/>
          </w:tcPr>
          <w:p>
            <w:pPr>
              <w:pStyle w:val="64"/>
              <w:rPr>
                <w:highlight w:val="none"/>
                <w:lang w:bidi="ar"/>
              </w:rPr>
            </w:pPr>
            <w:r>
              <w:rPr>
                <w:highlight w:val="none"/>
                <w:lang w:bidi="ar"/>
              </w:rPr>
              <w:t>&lt;2.00</w:t>
            </w:r>
          </w:p>
        </w:tc>
        <w:tc>
          <w:tcPr>
            <w:tcW w:w="1702" w:type="dxa"/>
            <w:vAlign w:val="center"/>
          </w:tcPr>
          <w:p>
            <w:pPr>
              <w:pStyle w:val="64"/>
              <w:rPr>
                <w:highlight w:val="none"/>
                <w:lang w:bidi="ar"/>
              </w:rPr>
            </w:pPr>
            <w:r>
              <w:rPr>
                <w:highlight w:val="none"/>
                <w:lang w:bidi="ar"/>
              </w:rPr>
              <w:t>&lt;2.00</w:t>
            </w:r>
          </w:p>
        </w:tc>
        <w:tc>
          <w:tcPr>
            <w:tcW w:w="1697" w:type="dxa"/>
            <w:vAlign w:val="center"/>
          </w:tcPr>
          <w:p>
            <w:pPr>
              <w:pStyle w:val="64"/>
              <w:rPr>
                <w:highlight w:val="none"/>
                <w:lang w:bidi="ar"/>
              </w:rPr>
            </w:pPr>
            <w:r>
              <w:rPr>
                <w:highlight w:val="none"/>
                <w:lang w:bidi="ar"/>
              </w:rPr>
              <w:t>&lt;2.00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pStyle w:val="64"/>
              <w:rPr>
                <w:highlight w:val="none"/>
              </w:rPr>
            </w:pPr>
            <w:r>
              <w:rPr>
                <w:rFonts w:hint="eastAsia"/>
                <w:highlight w:val="none"/>
              </w:rPr>
              <w:t>挥发性有机物</w:t>
            </w:r>
          </w:p>
        </w:tc>
        <w:tc>
          <w:tcPr>
            <w:tcW w:w="2891" w:type="dxa"/>
            <w:vAlign w:val="center"/>
          </w:tcPr>
          <w:p>
            <w:pPr>
              <w:pStyle w:val="64"/>
              <w:rPr>
                <w:highlight w:val="none"/>
              </w:rPr>
            </w:pPr>
            <w:r>
              <w:rPr>
                <w:rFonts w:hint="eastAsia"/>
                <w:highlight w:val="none"/>
              </w:rPr>
              <w:t>四氯化碳（</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&lt;1.3×10</w:t>
            </w:r>
            <w:r>
              <w:rPr>
                <w:highlight w:val="none"/>
                <w:vertAlign w:val="superscript"/>
                <w:lang w:bidi="ar"/>
              </w:rPr>
              <w:t>-3</w:t>
            </w:r>
          </w:p>
        </w:tc>
        <w:tc>
          <w:tcPr>
            <w:tcW w:w="1702" w:type="dxa"/>
            <w:vAlign w:val="center"/>
          </w:tcPr>
          <w:p>
            <w:pPr>
              <w:pStyle w:val="64"/>
              <w:rPr>
                <w:highlight w:val="none"/>
              </w:rPr>
            </w:pPr>
            <w:r>
              <w:rPr>
                <w:highlight w:val="none"/>
                <w:lang w:bidi="ar"/>
              </w:rPr>
              <w:t>&lt;1.3×10</w:t>
            </w:r>
            <w:r>
              <w:rPr>
                <w:highlight w:val="none"/>
                <w:vertAlign w:val="superscript"/>
                <w:lang w:bidi="ar"/>
              </w:rPr>
              <w:t>-3</w:t>
            </w:r>
          </w:p>
        </w:tc>
        <w:tc>
          <w:tcPr>
            <w:tcW w:w="1697" w:type="dxa"/>
            <w:vAlign w:val="center"/>
          </w:tcPr>
          <w:p>
            <w:pPr>
              <w:pStyle w:val="64"/>
              <w:rPr>
                <w:highlight w:val="none"/>
              </w:rPr>
            </w:pPr>
            <w:r>
              <w:rPr>
                <w:highlight w:val="none"/>
                <w:lang w:bidi="ar"/>
              </w:rPr>
              <w:t>&lt;1.3×10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氯仿（</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&lt;1.1×10</w:t>
            </w:r>
            <w:r>
              <w:rPr>
                <w:highlight w:val="none"/>
                <w:vertAlign w:val="superscript"/>
                <w:lang w:bidi="ar"/>
              </w:rPr>
              <w:t>-3</w:t>
            </w:r>
          </w:p>
        </w:tc>
        <w:tc>
          <w:tcPr>
            <w:tcW w:w="1702" w:type="dxa"/>
            <w:vAlign w:val="center"/>
          </w:tcPr>
          <w:p>
            <w:pPr>
              <w:pStyle w:val="64"/>
              <w:rPr>
                <w:highlight w:val="none"/>
              </w:rPr>
            </w:pPr>
            <w:r>
              <w:rPr>
                <w:highlight w:val="none"/>
                <w:lang w:bidi="ar"/>
              </w:rPr>
              <w:t>&lt;1.1×10</w:t>
            </w:r>
            <w:r>
              <w:rPr>
                <w:highlight w:val="none"/>
                <w:vertAlign w:val="superscript"/>
                <w:lang w:bidi="ar"/>
              </w:rPr>
              <w:t>-3</w:t>
            </w:r>
          </w:p>
        </w:tc>
        <w:tc>
          <w:tcPr>
            <w:tcW w:w="1697" w:type="dxa"/>
            <w:vAlign w:val="center"/>
          </w:tcPr>
          <w:p>
            <w:pPr>
              <w:pStyle w:val="64"/>
              <w:rPr>
                <w:highlight w:val="none"/>
              </w:rPr>
            </w:pPr>
            <w:r>
              <w:rPr>
                <w:highlight w:val="none"/>
                <w:lang w:bidi="ar"/>
              </w:rPr>
              <w:t>&lt;1.1×10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氯甲烷（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&lt;1.0×10</w:t>
            </w:r>
            <w:r>
              <w:rPr>
                <w:highlight w:val="none"/>
                <w:vertAlign w:val="superscript"/>
                <w:lang w:bidi="ar"/>
              </w:rPr>
              <w:t>-3</w:t>
            </w:r>
          </w:p>
        </w:tc>
        <w:tc>
          <w:tcPr>
            <w:tcW w:w="1702" w:type="dxa"/>
            <w:vAlign w:val="center"/>
          </w:tcPr>
          <w:p>
            <w:pPr>
              <w:pStyle w:val="64"/>
              <w:rPr>
                <w:highlight w:val="none"/>
              </w:rPr>
            </w:pPr>
            <w:r>
              <w:rPr>
                <w:highlight w:val="none"/>
                <w:lang w:bidi="ar"/>
              </w:rPr>
              <w:t>&lt;1.0×10</w:t>
            </w:r>
            <w:r>
              <w:rPr>
                <w:highlight w:val="none"/>
                <w:vertAlign w:val="superscript"/>
                <w:lang w:bidi="ar"/>
              </w:rPr>
              <w:t>-3</w:t>
            </w:r>
          </w:p>
        </w:tc>
        <w:tc>
          <w:tcPr>
            <w:tcW w:w="1697" w:type="dxa"/>
            <w:vAlign w:val="center"/>
          </w:tcPr>
          <w:p>
            <w:pPr>
              <w:pStyle w:val="64"/>
              <w:rPr>
                <w:highlight w:val="none"/>
              </w:rPr>
            </w:pPr>
            <w:r>
              <w:rPr>
                <w:highlight w:val="none"/>
                <w:lang w:bidi="ar"/>
              </w:rPr>
              <w:t>&lt;1.0×10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1-</w:t>
            </w:r>
            <w:r>
              <w:rPr>
                <w:rFonts w:hint="eastAsia"/>
                <w:highlight w:val="none"/>
              </w:rPr>
              <w:t>二氯乙烷（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2-</w:t>
            </w:r>
            <w:r>
              <w:rPr>
                <w:rFonts w:hint="eastAsia"/>
                <w:highlight w:val="none"/>
              </w:rPr>
              <w:t>二氯乙烷（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&lt;1.3×10</w:t>
            </w:r>
            <w:r>
              <w:rPr>
                <w:highlight w:val="none"/>
                <w:vertAlign w:val="superscript"/>
                <w:lang w:bidi="ar"/>
              </w:rPr>
              <w:t>-3</w:t>
            </w:r>
          </w:p>
        </w:tc>
        <w:tc>
          <w:tcPr>
            <w:tcW w:w="1702" w:type="dxa"/>
            <w:vAlign w:val="center"/>
          </w:tcPr>
          <w:p>
            <w:pPr>
              <w:pStyle w:val="64"/>
              <w:rPr>
                <w:highlight w:val="none"/>
              </w:rPr>
            </w:pPr>
            <w:r>
              <w:rPr>
                <w:highlight w:val="none"/>
                <w:lang w:bidi="ar"/>
              </w:rPr>
              <w:t>&lt;1.3×10</w:t>
            </w:r>
            <w:r>
              <w:rPr>
                <w:highlight w:val="none"/>
                <w:vertAlign w:val="superscript"/>
                <w:lang w:bidi="ar"/>
              </w:rPr>
              <w:t>-3</w:t>
            </w:r>
          </w:p>
        </w:tc>
        <w:tc>
          <w:tcPr>
            <w:tcW w:w="1697" w:type="dxa"/>
            <w:vAlign w:val="center"/>
          </w:tcPr>
          <w:p>
            <w:pPr>
              <w:pStyle w:val="64"/>
              <w:rPr>
                <w:highlight w:val="none"/>
              </w:rPr>
            </w:pPr>
            <w:r>
              <w:rPr>
                <w:highlight w:val="none"/>
                <w:lang w:bidi="ar"/>
              </w:rPr>
              <w:t>&lt;1.3×10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1</w:t>
            </w:r>
            <w:r>
              <w:rPr>
                <w:rFonts w:hint="eastAsia"/>
                <w:highlight w:val="none"/>
              </w:rPr>
              <w:t>二氯乙烯（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&lt;1.0×10</w:t>
            </w:r>
            <w:r>
              <w:rPr>
                <w:highlight w:val="none"/>
                <w:vertAlign w:val="superscript"/>
                <w:lang w:bidi="ar"/>
              </w:rPr>
              <w:t>-3</w:t>
            </w:r>
          </w:p>
        </w:tc>
        <w:tc>
          <w:tcPr>
            <w:tcW w:w="1702" w:type="dxa"/>
            <w:vAlign w:val="center"/>
          </w:tcPr>
          <w:p>
            <w:pPr>
              <w:pStyle w:val="64"/>
              <w:rPr>
                <w:highlight w:val="none"/>
              </w:rPr>
            </w:pPr>
            <w:r>
              <w:rPr>
                <w:highlight w:val="none"/>
                <w:lang w:bidi="ar"/>
              </w:rPr>
              <w:t>&lt;1.0×10</w:t>
            </w:r>
            <w:r>
              <w:rPr>
                <w:highlight w:val="none"/>
                <w:vertAlign w:val="superscript"/>
                <w:lang w:bidi="ar"/>
              </w:rPr>
              <w:t>-3</w:t>
            </w:r>
          </w:p>
        </w:tc>
        <w:tc>
          <w:tcPr>
            <w:tcW w:w="1697" w:type="dxa"/>
            <w:vAlign w:val="center"/>
          </w:tcPr>
          <w:p>
            <w:pPr>
              <w:pStyle w:val="64"/>
              <w:rPr>
                <w:highlight w:val="none"/>
              </w:rPr>
            </w:pPr>
            <w:r>
              <w:rPr>
                <w:highlight w:val="none"/>
                <w:lang w:bidi="ar"/>
              </w:rPr>
              <w:t>&lt;1.0×10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顺</w:t>
            </w:r>
            <w:r>
              <w:rPr>
                <w:highlight w:val="none"/>
              </w:rPr>
              <w:t>1</w:t>
            </w:r>
            <w:r>
              <w:rPr>
                <w:rFonts w:hint="eastAsia"/>
                <w:highlight w:val="none"/>
              </w:rPr>
              <w:t>，</w:t>
            </w:r>
            <w:r>
              <w:rPr>
                <w:highlight w:val="none"/>
              </w:rPr>
              <w:t>2</w:t>
            </w:r>
            <w:r>
              <w:rPr>
                <w:rFonts w:hint="eastAsia"/>
                <w:highlight w:val="none"/>
              </w:rPr>
              <w:t>二氯乙烯（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&lt;1.3×10</w:t>
            </w:r>
            <w:r>
              <w:rPr>
                <w:highlight w:val="none"/>
                <w:vertAlign w:val="superscript"/>
                <w:lang w:bidi="ar"/>
              </w:rPr>
              <w:t>-3</w:t>
            </w:r>
          </w:p>
        </w:tc>
        <w:tc>
          <w:tcPr>
            <w:tcW w:w="1702" w:type="dxa"/>
            <w:vAlign w:val="center"/>
          </w:tcPr>
          <w:p>
            <w:pPr>
              <w:pStyle w:val="64"/>
              <w:rPr>
                <w:highlight w:val="none"/>
              </w:rPr>
            </w:pPr>
            <w:r>
              <w:rPr>
                <w:highlight w:val="none"/>
                <w:lang w:bidi="ar"/>
              </w:rPr>
              <w:t>&lt;1.3×10</w:t>
            </w:r>
            <w:r>
              <w:rPr>
                <w:highlight w:val="none"/>
                <w:vertAlign w:val="superscript"/>
                <w:lang w:bidi="ar"/>
              </w:rPr>
              <w:t>-3</w:t>
            </w:r>
          </w:p>
        </w:tc>
        <w:tc>
          <w:tcPr>
            <w:tcW w:w="1697" w:type="dxa"/>
            <w:vAlign w:val="center"/>
          </w:tcPr>
          <w:p>
            <w:pPr>
              <w:pStyle w:val="64"/>
              <w:rPr>
                <w:highlight w:val="none"/>
              </w:rPr>
            </w:pPr>
            <w:r>
              <w:rPr>
                <w:highlight w:val="none"/>
                <w:lang w:bidi="ar"/>
              </w:rPr>
              <w:t>&lt;1.3×10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反</w:t>
            </w:r>
            <w:r>
              <w:rPr>
                <w:highlight w:val="none"/>
              </w:rPr>
              <w:t>1</w:t>
            </w:r>
            <w:r>
              <w:rPr>
                <w:rFonts w:hint="eastAsia"/>
                <w:highlight w:val="none"/>
              </w:rPr>
              <w:t>，</w:t>
            </w:r>
            <w:r>
              <w:rPr>
                <w:highlight w:val="none"/>
              </w:rPr>
              <w:t>2</w:t>
            </w:r>
            <w:r>
              <w:rPr>
                <w:rFonts w:hint="eastAsia"/>
                <w:highlight w:val="none"/>
              </w:rPr>
              <w:t>二氯乙烯（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&lt;1.4×10</w:t>
            </w:r>
            <w:r>
              <w:rPr>
                <w:highlight w:val="none"/>
                <w:vertAlign w:val="superscript"/>
                <w:lang w:bidi="ar"/>
              </w:rPr>
              <w:t>-3</w:t>
            </w:r>
          </w:p>
        </w:tc>
        <w:tc>
          <w:tcPr>
            <w:tcW w:w="1702" w:type="dxa"/>
            <w:vAlign w:val="center"/>
          </w:tcPr>
          <w:p>
            <w:pPr>
              <w:pStyle w:val="64"/>
              <w:rPr>
                <w:highlight w:val="none"/>
              </w:rPr>
            </w:pPr>
            <w:r>
              <w:rPr>
                <w:highlight w:val="none"/>
                <w:lang w:bidi="ar"/>
              </w:rPr>
              <w:t>&lt;1.4×10</w:t>
            </w:r>
            <w:r>
              <w:rPr>
                <w:highlight w:val="none"/>
                <w:vertAlign w:val="superscript"/>
                <w:lang w:bidi="ar"/>
              </w:rPr>
              <w:t>-3</w:t>
            </w:r>
          </w:p>
        </w:tc>
        <w:tc>
          <w:tcPr>
            <w:tcW w:w="1697" w:type="dxa"/>
            <w:vAlign w:val="center"/>
          </w:tcPr>
          <w:p>
            <w:pPr>
              <w:pStyle w:val="64"/>
              <w:rPr>
                <w:highlight w:val="none"/>
              </w:rPr>
            </w:pPr>
            <w:r>
              <w:rPr>
                <w:highlight w:val="none"/>
                <w:lang w:bidi="ar"/>
              </w:rPr>
              <w:t>&lt;1.4×10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二氯甲烷（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&lt;1.5×10</w:t>
            </w:r>
            <w:r>
              <w:rPr>
                <w:highlight w:val="none"/>
                <w:vertAlign w:val="superscript"/>
                <w:lang w:bidi="ar"/>
              </w:rPr>
              <w:t>-3</w:t>
            </w:r>
          </w:p>
        </w:tc>
        <w:tc>
          <w:tcPr>
            <w:tcW w:w="1702" w:type="dxa"/>
            <w:vAlign w:val="center"/>
          </w:tcPr>
          <w:p>
            <w:pPr>
              <w:pStyle w:val="64"/>
              <w:rPr>
                <w:highlight w:val="none"/>
              </w:rPr>
            </w:pPr>
            <w:r>
              <w:rPr>
                <w:highlight w:val="none"/>
                <w:lang w:bidi="ar"/>
              </w:rPr>
              <w:t>&lt;1.5×10</w:t>
            </w:r>
            <w:r>
              <w:rPr>
                <w:highlight w:val="none"/>
                <w:vertAlign w:val="superscript"/>
                <w:lang w:bidi="ar"/>
              </w:rPr>
              <w:t>-3</w:t>
            </w:r>
          </w:p>
        </w:tc>
        <w:tc>
          <w:tcPr>
            <w:tcW w:w="1697" w:type="dxa"/>
            <w:vAlign w:val="center"/>
          </w:tcPr>
          <w:p>
            <w:pPr>
              <w:pStyle w:val="64"/>
              <w:rPr>
                <w:highlight w:val="none"/>
              </w:rPr>
            </w:pPr>
            <w:r>
              <w:rPr>
                <w:highlight w:val="none"/>
                <w:lang w:bidi="ar"/>
              </w:rPr>
              <w:t>&lt;1.5×10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2-</w:t>
            </w:r>
            <w:r>
              <w:rPr>
                <w:rFonts w:hint="eastAsia"/>
                <w:highlight w:val="none"/>
              </w:rPr>
              <w:t>二氯丙烷（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&lt;1.1×10</w:t>
            </w:r>
            <w:r>
              <w:rPr>
                <w:highlight w:val="none"/>
                <w:vertAlign w:val="superscript"/>
                <w:lang w:bidi="ar"/>
              </w:rPr>
              <w:t>-3</w:t>
            </w:r>
          </w:p>
        </w:tc>
        <w:tc>
          <w:tcPr>
            <w:tcW w:w="1702" w:type="dxa"/>
            <w:vAlign w:val="center"/>
          </w:tcPr>
          <w:p>
            <w:pPr>
              <w:pStyle w:val="64"/>
              <w:rPr>
                <w:highlight w:val="none"/>
              </w:rPr>
            </w:pPr>
            <w:r>
              <w:rPr>
                <w:highlight w:val="none"/>
                <w:lang w:bidi="ar"/>
              </w:rPr>
              <w:t>&lt;1.1×10</w:t>
            </w:r>
            <w:r>
              <w:rPr>
                <w:highlight w:val="none"/>
                <w:vertAlign w:val="superscript"/>
                <w:lang w:bidi="ar"/>
              </w:rPr>
              <w:t>-3</w:t>
            </w:r>
          </w:p>
        </w:tc>
        <w:tc>
          <w:tcPr>
            <w:tcW w:w="1697" w:type="dxa"/>
            <w:vAlign w:val="center"/>
          </w:tcPr>
          <w:p>
            <w:pPr>
              <w:pStyle w:val="64"/>
              <w:rPr>
                <w:highlight w:val="none"/>
              </w:rPr>
            </w:pPr>
            <w:r>
              <w:rPr>
                <w:highlight w:val="none"/>
                <w:lang w:bidi="ar"/>
              </w:rPr>
              <w:t>&lt;1.1×10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1</w:t>
            </w:r>
            <w:r>
              <w:rPr>
                <w:rFonts w:hint="eastAsia"/>
                <w:highlight w:val="none"/>
              </w:rPr>
              <w:t>，</w:t>
            </w:r>
            <w:r>
              <w:rPr>
                <w:highlight w:val="none"/>
              </w:rPr>
              <w:t>1</w:t>
            </w:r>
            <w:r>
              <w:rPr>
                <w:rFonts w:hint="eastAsia"/>
                <w:highlight w:val="none"/>
              </w:rPr>
              <w:t>，</w:t>
            </w:r>
            <w:r>
              <w:rPr>
                <w:highlight w:val="none"/>
              </w:rPr>
              <w:t>2-</w:t>
            </w:r>
            <w:r>
              <w:rPr>
                <w:rFonts w:hint="eastAsia"/>
                <w:highlight w:val="none"/>
              </w:rPr>
              <w:t>四氯乙烷（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1</w:t>
            </w:r>
            <w:r>
              <w:rPr>
                <w:rFonts w:hint="eastAsia"/>
                <w:highlight w:val="none"/>
              </w:rPr>
              <w:t>，</w:t>
            </w:r>
            <w:r>
              <w:rPr>
                <w:highlight w:val="none"/>
              </w:rPr>
              <w:t>2</w:t>
            </w:r>
            <w:r>
              <w:rPr>
                <w:rFonts w:hint="eastAsia"/>
                <w:highlight w:val="none"/>
              </w:rPr>
              <w:t>，</w:t>
            </w:r>
            <w:r>
              <w:rPr>
                <w:highlight w:val="none"/>
              </w:rPr>
              <w:t>2-</w:t>
            </w:r>
            <w:r>
              <w:rPr>
                <w:rFonts w:hint="eastAsia"/>
                <w:highlight w:val="none"/>
              </w:rPr>
              <w:t>四氯乙烷（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四氯乙烯（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&lt;1.4×10</w:t>
            </w:r>
            <w:r>
              <w:rPr>
                <w:highlight w:val="none"/>
                <w:vertAlign w:val="superscript"/>
                <w:lang w:bidi="ar"/>
              </w:rPr>
              <w:t>-3</w:t>
            </w:r>
          </w:p>
        </w:tc>
        <w:tc>
          <w:tcPr>
            <w:tcW w:w="1702" w:type="dxa"/>
            <w:vAlign w:val="center"/>
          </w:tcPr>
          <w:p>
            <w:pPr>
              <w:pStyle w:val="64"/>
              <w:rPr>
                <w:highlight w:val="none"/>
              </w:rPr>
            </w:pPr>
            <w:r>
              <w:rPr>
                <w:highlight w:val="none"/>
                <w:lang w:bidi="ar"/>
              </w:rPr>
              <w:t>&lt;1.4×10</w:t>
            </w:r>
            <w:r>
              <w:rPr>
                <w:highlight w:val="none"/>
                <w:vertAlign w:val="superscript"/>
                <w:lang w:bidi="ar"/>
              </w:rPr>
              <w:t>-3</w:t>
            </w:r>
          </w:p>
        </w:tc>
        <w:tc>
          <w:tcPr>
            <w:tcW w:w="1697" w:type="dxa"/>
            <w:vAlign w:val="center"/>
          </w:tcPr>
          <w:p>
            <w:pPr>
              <w:pStyle w:val="64"/>
              <w:rPr>
                <w:highlight w:val="none"/>
              </w:rPr>
            </w:pPr>
            <w:r>
              <w:rPr>
                <w:highlight w:val="none"/>
                <w:lang w:bidi="ar"/>
              </w:rPr>
              <w:t>&lt;1.4×10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1</w:t>
            </w:r>
            <w:r>
              <w:rPr>
                <w:rFonts w:hint="eastAsia"/>
                <w:highlight w:val="none"/>
              </w:rPr>
              <w:t>，</w:t>
            </w:r>
            <w:r>
              <w:rPr>
                <w:highlight w:val="none"/>
              </w:rPr>
              <w:t>1-</w:t>
            </w:r>
            <w:r>
              <w:rPr>
                <w:rFonts w:hint="eastAsia"/>
                <w:highlight w:val="none"/>
              </w:rPr>
              <w:t>三氯乙烷（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&lt;1.3×10</w:t>
            </w:r>
            <w:r>
              <w:rPr>
                <w:highlight w:val="none"/>
                <w:vertAlign w:val="superscript"/>
                <w:lang w:bidi="ar"/>
              </w:rPr>
              <w:t>-3</w:t>
            </w:r>
          </w:p>
        </w:tc>
        <w:tc>
          <w:tcPr>
            <w:tcW w:w="1702" w:type="dxa"/>
            <w:vAlign w:val="center"/>
          </w:tcPr>
          <w:p>
            <w:pPr>
              <w:pStyle w:val="64"/>
              <w:rPr>
                <w:highlight w:val="none"/>
              </w:rPr>
            </w:pPr>
            <w:r>
              <w:rPr>
                <w:highlight w:val="none"/>
                <w:lang w:bidi="ar"/>
              </w:rPr>
              <w:t>&lt;1.3×10</w:t>
            </w:r>
            <w:r>
              <w:rPr>
                <w:highlight w:val="none"/>
                <w:vertAlign w:val="superscript"/>
                <w:lang w:bidi="ar"/>
              </w:rPr>
              <w:t>-3</w:t>
            </w:r>
          </w:p>
        </w:tc>
        <w:tc>
          <w:tcPr>
            <w:tcW w:w="1697" w:type="dxa"/>
            <w:vAlign w:val="center"/>
          </w:tcPr>
          <w:p>
            <w:pPr>
              <w:pStyle w:val="64"/>
              <w:rPr>
                <w:highlight w:val="none"/>
              </w:rPr>
            </w:pPr>
            <w:r>
              <w:rPr>
                <w:highlight w:val="none"/>
                <w:lang w:bidi="ar"/>
              </w:rPr>
              <w:t>&lt;1.3×10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1</w:t>
            </w:r>
            <w:r>
              <w:rPr>
                <w:rFonts w:hint="eastAsia"/>
                <w:highlight w:val="none"/>
              </w:rPr>
              <w:t>，</w:t>
            </w:r>
            <w:r>
              <w:rPr>
                <w:highlight w:val="none"/>
              </w:rPr>
              <w:t>2-</w:t>
            </w:r>
            <w:r>
              <w:rPr>
                <w:rFonts w:hint="eastAsia"/>
                <w:highlight w:val="none"/>
              </w:rPr>
              <w:t>三氯乙烷（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三氯乙烯（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2</w:t>
            </w:r>
            <w:r>
              <w:rPr>
                <w:rFonts w:hint="eastAsia"/>
                <w:highlight w:val="none"/>
              </w:rPr>
              <w:t>，</w:t>
            </w:r>
            <w:r>
              <w:rPr>
                <w:highlight w:val="none"/>
              </w:rPr>
              <w:t>3-</w:t>
            </w:r>
            <w:r>
              <w:rPr>
                <w:rFonts w:hint="eastAsia"/>
                <w:highlight w:val="none"/>
              </w:rPr>
              <w:t>三氯丙烷（</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&lt;1.0×10</w:t>
            </w:r>
            <w:r>
              <w:rPr>
                <w:highlight w:val="none"/>
                <w:vertAlign w:val="superscript"/>
                <w:lang w:bidi="ar"/>
              </w:rPr>
              <w:t>-3</w:t>
            </w:r>
          </w:p>
        </w:tc>
        <w:tc>
          <w:tcPr>
            <w:tcW w:w="1702" w:type="dxa"/>
            <w:vAlign w:val="center"/>
          </w:tcPr>
          <w:p>
            <w:pPr>
              <w:pStyle w:val="64"/>
              <w:rPr>
                <w:highlight w:val="none"/>
              </w:rPr>
            </w:pPr>
            <w:r>
              <w:rPr>
                <w:highlight w:val="none"/>
                <w:lang w:bidi="ar"/>
              </w:rPr>
              <w:t>&lt;1.0×10</w:t>
            </w:r>
            <w:r>
              <w:rPr>
                <w:highlight w:val="none"/>
                <w:vertAlign w:val="superscript"/>
                <w:lang w:bidi="ar"/>
              </w:rPr>
              <w:t>-3</w:t>
            </w:r>
          </w:p>
        </w:tc>
        <w:tc>
          <w:tcPr>
            <w:tcW w:w="1697" w:type="dxa"/>
            <w:vAlign w:val="center"/>
          </w:tcPr>
          <w:p>
            <w:pPr>
              <w:pStyle w:val="64"/>
              <w:rPr>
                <w:highlight w:val="none"/>
              </w:rPr>
            </w:pPr>
            <w:r>
              <w:rPr>
                <w:highlight w:val="none"/>
                <w:lang w:bidi="ar"/>
              </w:rPr>
              <w:t>&lt;1.0×10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&lt;1.9×10</w:t>
            </w:r>
            <w:r>
              <w:rPr>
                <w:highlight w:val="none"/>
                <w:vertAlign w:val="superscript"/>
                <w:lang w:bidi="ar"/>
              </w:rPr>
              <w:t>-3</w:t>
            </w:r>
          </w:p>
        </w:tc>
        <w:tc>
          <w:tcPr>
            <w:tcW w:w="1702" w:type="dxa"/>
            <w:vAlign w:val="center"/>
          </w:tcPr>
          <w:p>
            <w:pPr>
              <w:pStyle w:val="64"/>
              <w:rPr>
                <w:highlight w:val="none"/>
              </w:rPr>
            </w:pPr>
            <w:r>
              <w:rPr>
                <w:highlight w:val="none"/>
                <w:lang w:bidi="ar"/>
              </w:rPr>
              <w:t>&lt;1.9×10</w:t>
            </w:r>
            <w:r>
              <w:rPr>
                <w:highlight w:val="none"/>
                <w:vertAlign w:val="superscript"/>
                <w:lang w:bidi="ar"/>
              </w:rPr>
              <w:t>-3</w:t>
            </w:r>
          </w:p>
        </w:tc>
        <w:tc>
          <w:tcPr>
            <w:tcW w:w="1697" w:type="dxa"/>
            <w:vAlign w:val="center"/>
          </w:tcPr>
          <w:p>
            <w:pPr>
              <w:pStyle w:val="64"/>
              <w:rPr>
                <w:highlight w:val="none"/>
              </w:rPr>
            </w:pPr>
            <w:r>
              <w:rPr>
                <w:highlight w:val="none"/>
                <w:lang w:bidi="ar"/>
              </w:rPr>
              <w:t>&lt;1.9×10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氯苯（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1</w:t>
            </w:r>
            <w:r>
              <w:rPr>
                <w:rFonts w:hint="eastAsia"/>
                <w:highlight w:val="none"/>
              </w:rPr>
              <w:t>，</w:t>
            </w:r>
            <w:r>
              <w:rPr>
                <w:highlight w:val="none"/>
              </w:rPr>
              <w:t>2-</w:t>
            </w:r>
            <w:r>
              <w:rPr>
                <w:rFonts w:hint="eastAsia"/>
                <w:highlight w:val="none"/>
              </w:rPr>
              <w:t>二氯苯（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&lt;1.5×10</w:t>
            </w:r>
            <w:r>
              <w:rPr>
                <w:highlight w:val="none"/>
                <w:vertAlign w:val="superscript"/>
                <w:lang w:bidi="ar"/>
              </w:rPr>
              <w:t>-3</w:t>
            </w:r>
          </w:p>
        </w:tc>
        <w:tc>
          <w:tcPr>
            <w:tcW w:w="1702" w:type="dxa"/>
            <w:vAlign w:val="center"/>
          </w:tcPr>
          <w:p>
            <w:pPr>
              <w:pStyle w:val="64"/>
              <w:rPr>
                <w:highlight w:val="none"/>
              </w:rPr>
            </w:pPr>
            <w:r>
              <w:rPr>
                <w:highlight w:val="none"/>
                <w:lang w:bidi="ar"/>
              </w:rPr>
              <w:t>&lt;1.5×10</w:t>
            </w:r>
            <w:r>
              <w:rPr>
                <w:highlight w:val="none"/>
                <w:vertAlign w:val="superscript"/>
                <w:lang w:bidi="ar"/>
              </w:rPr>
              <w:t>-3</w:t>
            </w:r>
          </w:p>
        </w:tc>
        <w:tc>
          <w:tcPr>
            <w:tcW w:w="1697" w:type="dxa"/>
            <w:vAlign w:val="center"/>
          </w:tcPr>
          <w:p>
            <w:pPr>
              <w:pStyle w:val="64"/>
              <w:rPr>
                <w:highlight w:val="none"/>
              </w:rPr>
            </w:pPr>
            <w:r>
              <w:rPr>
                <w:highlight w:val="none"/>
                <w:lang w:bidi="ar"/>
              </w:rPr>
              <w:t>&lt;1.5×10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pStyle w:val="64"/>
              <w:rPr>
                <w:highlight w:val="none"/>
              </w:rPr>
            </w:pPr>
            <w:r>
              <w:rPr>
                <w:rFonts w:hint="eastAsia"/>
                <w:highlight w:val="none"/>
              </w:rPr>
              <w:t>挥发性有机物</w:t>
            </w:r>
          </w:p>
        </w:tc>
        <w:tc>
          <w:tcPr>
            <w:tcW w:w="2891" w:type="dxa"/>
            <w:vAlign w:val="center"/>
          </w:tcPr>
          <w:p>
            <w:pPr>
              <w:pStyle w:val="64"/>
              <w:rPr>
                <w:highlight w:val="none"/>
              </w:rPr>
            </w:pPr>
            <w:r>
              <w:rPr>
                <w:highlight w:val="none"/>
              </w:rPr>
              <w:t>1</w:t>
            </w:r>
            <w:r>
              <w:rPr>
                <w:rFonts w:hint="eastAsia"/>
                <w:highlight w:val="none"/>
              </w:rPr>
              <w:t>，</w:t>
            </w:r>
            <w:r>
              <w:rPr>
                <w:highlight w:val="none"/>
              </w:rPr>
              <w:t>4-</w:t>
            </w:r>
            <w:r>
              <w:rPr>
                <w:rFonts w:hint="eastAsia"/>
                <w:highlight w:val="none"/>
              </w:rPr>
              <w:t>二氯苯（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&lt;1.5×10</w:t>
            </w:r>
            <w:r>
              <w:rPr>
                <w:highlight w:val="none"/>
                <w:vertAlign w:val="superscript"/>
                <w:lang w:bidi="ar"/>
              </w:rPr>
              <w:t>-3</w:t>
            </w:r>
          </w:p>
        </w:tc>
        <w:tc>
          <w:tcPr>
            <w:tcW w:w="1702" w:type="dxa"/>
            <w:vAlign w:val="center"/>
          </w:tcPr>
          <w:p>
            <w:pPr>
              <w:pStyle w:val="64"/>
              <w:rPr>
                <w:highlight w:val="none"/>
              </w:rPr>
            </w:pPr>
            <w:r>
              <w:rPr>
                <w:highlight w:val="none"/>
                <w:lang w:bidi="ar"/>
              </w:rPr>
              <w:t>&lt;1.5×10</w:t>
            </w:r>
            <w:r>
              <w:rPr>
                <w:highlight w:val="none"/>
                <w:vertAlign w:val="superscript"/>
                <w:lang w:bidi="ar"/>
              </w:rPr>
              <w:t>-3</w:t>
            </w:r>
          </w:p>
        </w:tc>
        <w:tc>
          <w:tcPr>
            <w:tcW w:w="1697" w:type="dxa"/>
            <w:vAlign w:val="center"/>
          </w:tcPr>
          <w:p>
            <w:pPr>
              <w:pStyle w:val="64"/>
              <w:rPr>
                <w:highlight w:val="none"/>
              </w:rPr>
            </w:pPr>
            <w:r>
              <w:rPr>
                <w:highlight w:val="none"/>
                <w:lang w:bidi="ar"/>
              </w:rPr>
              <w:t>&lt;1.5×10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乙苯（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苯乙烯（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&lt;1.1×10</w:t>
            </w:r>
            <w:r>
              <w:rPr>
                <w:highlight w:val="none"/>
                <w:vertAlign w:val="superscript"/>
                <w:lang w:bidi="ar"/>
              </w:rPr>
              <w:t>-3</w:t>
            </w:r>
          </w:p>
        </w:tc>
        <w:tc>
          <w:tcPr>
            <w:tcW w:w="1702" w:type="dxa"/>
            <w:vAlign w:val="center"/>
          </w:tcPr>
          <w:p>
            <w:pPr>
              <w:pStyle w:val="64"/>
              <w:rPr>
                <w:highlight w:val="none"/>
              </w:rPr>
            </w:pPr>
            <w:r>
              <w:rPr>
                <w:highlight w:val="none"/>
                <w:lang w:bidi="ar"/>
              </w:rPr>
              <w:t>&lt;1.1×10</w:t>
            </w:r>
            <w:r>
              <w:rPr>
                <w:highlight w:val="none"/>
                <w:vertAlign w:val="superscript"/>
                <w:lang w:bidi="ar"/>
              </w:rPr>
              <w:t>-3</w:t>
            </w:r>
          </w:p>
        </w:tc>
        <w:tc>
          <w:tcPr>
            <w:tcW w:w="1697" w:type="dxa"/>
            <w:vAlign w:val="center"/>
          </w:tcPr>
          <w:p>
            <w:pPr>
              <w:pStyle w:val="64"/>
              <w:rPr>
                <w:highlight w:val="none"/>
              </w:rPr>
            </w:pPr>
            <w:r>
              <w:rPr>
                <w:highlight w:val="none"/>
                <w:lang w:bidi="ar"/>
              </w:rPr>
              <w:t>&lt;1.1×10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甲苯（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&lt;1.3×10</w:t>
            </w:r>
            <w:r>
              <w:rPr>
                <w:highlight w:val="none"/>
                <w:vertAlign w:val="superscript"/>
                <w:lang w:bidi="ar"/>
              </w:rPr>
              <w:t>-3</w:t>
            </w:r>
          </w:p>
        </w:tc>
        <w:tc>
          <w:tcPr>
            <w:tcW w:w="1702" w:type="dxa"/>
            <w:vAlign w:val="center"/>
          </w:tcPr>
          <w:p>
            <w:pPr>
              <w:pStyle w:val="64"/>
              <w:rPr>
                <w:highlight w:val="none"/>
              </w:rPr>
            </w:pPr>
            <w:r>
              <w:rPr>
                <w:highlight w:val="none"/>
                <w:lang w:bidi="ar"/>
              </w:rPr>
              <w:t>&lt;1.3×10</w:t>
            </w:r>
            <w:r>
              <w:rPr>
                <w:highlight w:val="none"/>
                <w:vertAlign w:val="superscript"/>
                <w:lang w:bidi="ar"/>
              </w:rPr>
              <w:t>-3</w:t>
            </w:r>
          </w:p>
        </w:tc>
        <w:tc>
          <w:tcPr>
            <w:tcW w:w="1697" w:type="dxa"/>
            <w:vAlign w:val="center"/>
          </w:tcPr>
          <w:p>
            <w:pPr>
              <w:pStyle w:val="64"/>
              <w:rPr>
                <w:highlight w:val="none"/>
              </w:rPr>
            </w:pPr>
            <w:r>
              <w:rPr>
                <w:highlight w:val="none"/>
                <w:lang w:bidi="ar"/>
              </w:rPr>
              <w:t>&lt;1.3×10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间二甲苯</w:t>
            </w:r>
            <w:r>
              <w:rPr>
                <w:highlight w:val="none"/>
              </w:rPr>
              <w:t>+</w:t>
            </w:r>
            <w:r>
              <w:rPr>
                <w:rFonts w:hint="eastAsia"/>
                <w:highlight w:val="none"/>
              </w:rPr>
              <w:t>对二甲苯（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邻二甲苯（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&lt;1.2×10</w:t>
            </w:r>
            <w:r>
              <w:rPr>
                <w:highlight w:val="none"/>
                <w:vertAlign w:val="superscript"/>
                <w:lang w:bidi="ar"/>
              </w:rPr>
              <w:t>-3</w:t>
            </w:r>
          </w:p>
        </w:tc>
        <w:tc>
          <w:tcPr>
            <w:tcW w:w="1702" w:type="dxa"/>
            <w:vAlign w:val="center"/>
          </w:tcPr>
          <w:p>
            <w:pPr>
              <w:pStyle w:val="64"/>
              <w:rPr>
                <w:highlight w:val="none"/>
              </w:rPr>
            </w:pPr>
            <w:r>
              <w:rPr>
                <w:highlight w:val="none"/>
                <w:lang w:bidi="ar"/>
              </w:rPr>
              <w:t>&lt;1.2×10</w:t>
            </w:r>
            <w:r>
              <w:rPr>
                <w:highlight w:val="none"/>
                <w:vertAlign w:val="superscript"/>
                <w:lang w:bidi="ar"/>
              </w:rPr>
              <w:t>-3</w:t>
            </w:r>
          </w:p>
        </w:tc>
        <w:tc>
          <w:tcPr>
            <w:tcW w:w="1697" w:type="dxa"/>
            <w:vAlign w:val="center"/>
          </w:tcPr>
          <w:p>
            <w:pPr>
              <w:pStyle w:val="64"/>
              <w:rPr>
                <w:highlight w:val="none"/>
              </w:rPr>
            </w:pPr>
            <w:r>
              <w:rPr>
                <w:highlight w:val="none"/>
                <w:lang w:bidi="ar"/>
              </w:rPr>
              <w:t>&lt;1.2×10</w:t>
            </w:r>
            <w:r>
              <w:rPr>
                <w:highlight w:val="none"/>
                <w:vertAlign w:val="superscript"/>
                <w:lang w:bidi="ar"/>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pStyle w:val="64"/>
              <w:rPr>
                <w:highlight w:val="none"/>
              </w:rPr>
            </w:pPr>
            <w:r>
              <w:rPr>
                <w:rFonts w:hint="eastAsia"/>
                <w:highlight w:val="none"/>
              </w:rPr>
              <w:t>半挥发性有机物</w:t>
            </w:r>
          </w:p>
        </w:tc>
        <w:tc>
          <w:tcPr>
            <w:tcW w:w="2891" w:type="dxa"/>
            <w:vAlign w:val="center"/>
          </w:tcPr>
          <w:p>
            <w:pPr>
              <w:pStyle w:val="64"/>
              <w:rPr>
                <w:highlight w:val="none"/>
              </w:rPr>
            </w:pPr>
            <w:r>
              <w:rPr>
                <w:rFonts w:hint="eastAsia"/>
                <w:highlight w:val="none"/>
              </w:rPr>
              <w:t>硝基苯（</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&lt;0.09</w:t>
            </w:r>
          </w:p>
        </w:tc>
        <w:tc>
          <w:tcPr>
            <w:tcW w:w="1702" w:type="dxa"/>
            <w:vAlign w:val="center"/>
          </w:tcPr>
          <w:p>
            <w:pPr>
              <w:pStyle w:val="64"/>
              <w:rPr>
                <w:highlight w:val="none"/>
              </w:rPr>
            </w:pPr>
            <w:r>
              <w:rPr>
                <w:highlight w:val="none"/>
                <w:lang w:bidi="ar"/>
              </w:rPr>
              <w:t>&lt;0.09</w:t>
            </w:r>
          </w:p>
        </w:tc>
        <w:tc>
          <w:tcPr>
            <w:tcW w:w="1697" w:type="dxa"/>
            <w:vAlign w:val="center"/>
          </w:tcPr>
          <w:p>
            <w:pPr>
              <w:pStyle w:val="64"/>
              <w:rPr>
                <w:highlight w:val="none"/>
              </w:rPr>
            </w:pPr>
            <w:r>
              <w:rPr>
                <w:highlight w:val="none"/>
                <w:lang w:bidi="ar"/>
              </w:rPr>
              <w:t>&lt;0.09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苯胺（</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&lt;0.08</w:t>
            </w:r>
          </w:p>
        </w:tc>
        <w:tc>
          <w:tcPr>
            <w:tcW w:w="1702" w:type="dxa"/>
            <w:vAlign w:val="center"/>
          </w:tcPr>
          <w:p>
            <w:pPr>
              <w:pStyle w:val="64"/>
              <w:rPr>
                <w:highlight w:val="none"/>
              </w:rPr>
            </w:pPr>
            <w:r>
              <w:rPr>
                <w:highlight w:val="none"/>
                <w:lang w:bidi="ar"/>
              </w:rPr>
              <w:t>&lt;0.08</w:t>
            </w:r>
          </w:p>
        </w:tc>
        <w:tc>
          <w:tcPr>
            <w:tcW w:w="1697" w:type="dxa"/>
            <w:vAlign w:val="center"/>
          </w:tcPr>
          <w:p>
            <w:pPr>
              <w:pStyle w:val="64"/>
              <w:rPr>
                <w:highlight w:val="none"/>
              </w:rPr>
            </w:pPr>
            <w:r>
              <w:rPr>
                <w:highlight w:val="none"/>
                <w:lang w:bidi="ar"/>
              </w:rPr>
              <w:t>&lt;0.08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highlight w:val="none"/>
              </w:rPr>
              <w:t>2-</w:t>
            </w:r>
            <w:r>
              <w:rPr>
                <w:rFonts w:hint="eastAsia"/>
                <w:highlight w:val="none"/>
              </w:rPr>
              <w:t>氯酚（</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&lt;0.06</w:t>
            </w:r>
          </w:p>
        </w:tc>
        <w:tc>
          <w:tcPr>
            <w:tcW w:w="1702" w:type="dxa"/>
            <w:vAlign w:val="center"/>
          </w:tcPr>
          <w:p>
            <w:pPr>
              <w:pStyle w:val="64"/>
              <w:rPr>
                <w:highlight w:val="none"/>
              </w:rPr>
            </w:pPr>
            <w:r>
              <w:rPr>
                <w:highlight w:val="none"/>
                <w:lang w:bidi="ar"/>
              </w:rPr>
              <w:t>&lt;0.06</w:t>
            </w:r>
          </w:p>
        </w:tc>
        <w:tc>
          <w:tcPr>
            <w:tcW w:w="1697" w:type="dxa"/>
            <w:vAlign w:val="center"/>
          </w:tcPr>
          <w:p>
            <w:pPr>
              <w:pStyle w:val="64"/>
              <w:rPr>
                <w:highlight w:val="none"/>
              </w:rPr>
            </w:pPr>
            <w:r>
              <w:rPr>
                <w:highlight w:val="none"/>
                <w:lang w:bidi="ar"/>
              </w:rPr>
              <w:t>&lt;0.06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苯并</w:t>
            </w:r>
            <w:r>
              <w:rPr>
                <w:highlight w:val="none"/>
              </w:rPr>
              <w:t>[a]</w:t>
            </w:r>
            <w:r>
              <w:rPr>
                <w:rFonts w:hint="eastAsia"/>
                <w:highlight w:val="none"/>
              </w:rPr>
              <w:t>蒽（</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&lt;0.1</w:t>
            </w:r>
          </w:p>
        </w:tc>
        <w:tc>
          <w:tcPr>
            <w:tcW w:w="1702" w:type="dxa"/>
            <w:vAlign w:val="center"/>
          </w:tcPr>
          <w:p>
            <w:pPr>
              <w:pStyle w:val="64"/>
              <w:rPr>
                <w:highlight w:val="none"/>
              </w:rPr>
            </w:pPr>
            <w:r>
              <w:rPr>
                <w:highlight w:val="none"/>
                <w:lang w:bidi="ar"/>
              </w:rPr>
              <w:t>&lt;0.1</w:t>
            </w:r>
          </w:p>
        </w:tc>
        <w:tc>
          <w:tcPr>
            <w:tcW w:w="1697" w:type="dxa"/>
            <w:vAlign w:val="center"/>
          </w:tcPr>
          <w:p>
            <w:pPr>
              <w:pStyle w:val="64"/>
              <w:rPr>
                <w:highlight w:val="none"/>
              </w:rPr>
            </w:pPr>
            <w:r>
              <w:rPr>
                <w:highlight w:val="none"/>
                <w:lang w:bidi="ar"/>
              </w:rPr>
              <w:t>&lt;0.1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苯并</w:t>
            </w:r>
            <w:r>
              <w:rPr>
                <w:highlight w:val="none"/>
              </w:rPr>
              <w:t>[a]</w:t>
            </w:r>
            <w:r>
              <w:rPr>
                <w:rFonts w:hint="eastAsia"/>
                <w:highlight w:val="none"/>
              </w:rPr>
              <w:t>芘（</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&lt;0.1</w:t>
            </w:r>
          </w:p>
        </w:tc>
        <w:tc>
          <w:tcPr>
            <w:tcW w:w="1702" w:type="dxa"/>
            <w:vAlign w:val="center"/>
          </w:tcPr>
          <w:p>
            <w:pPr>
              <w:pStyle w:val="64"/>
              <w:rPr>
                <w:highlight w:val="none"/>
              </w:rPr>
            </w:pPr>
            <w:r>
              <w:rPr>
                <w:highlight w:val="none"/>
                <w:lang w:bidi="ar"/>
              </w:rPr>
              <w:t>&lt;0.1</w:t>
            </w:r>
          </w:p>
        </w:tc>
        <w:tc>
          <w:tcPr>
            <w:tcW w:w="1697" w:type="dxa"/>
            <w:vAlign w:val="center"/>
          </w:tcPr>
          <w:p>
            <w:pPr>
              <w:pStyle w:val="64"/>
              <w:rPr>
                <w:highlight w:val="none"/>
              </w:rPr>
            </w:pPr>
            <w:r>
              <w:rPr>
                <w:highlight w:val="none"/>
                <w:lang w:bidi="ar"/>
              </w:rPr>
              <w:t>&lt;0.1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苯并</w:t>
            </w:r>
            <w:r>
              <w:rPr>
                <w:highlight w:val="none"/>
              </w:rPr>
              <w:t>[b]</w:t>
            </w:r>
            <w:r>
              <w:rPr>
                <w:rFonts w:hint="eastAsia"/>
                <w:highlight w:val="none"/>
              </w:rPr>
              <w:t>荧蒽（</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&lt;0.2</w:t>
            </w:r>
          </w:p>
        </w:tc>
        <w:tc>
          <w:tcPr>
            <w:tcW w:w="1702" w:type="dxa"/>
            <w:vAlign w:val="center"/>
          </w:tcPr>
          <w:p>
            <w:pPr>
              <w:pStyle w:val="64"/>
              <w:rPr>
                <w:highlight w:val="none"/>
              </w:rPr>
            </w:pPr>
            <w:r>
              <w:rPr>
                <w:highlight w:val="none"/>
                <w:lang w:bidi="ar"/>
              </w:rPr>
              <w:t>&lt;0.2</w:t>
            </w:r>
          </w:p>
        </w:tc>
        <w:tc>
          <w:tcPr>
            <w:tcW w:w="1697" w:type="dxa"/>
            <w:vAlign w:val="center"/>
          </w:tcPr>
          <w:p>
            <w:pPr>
              <w:pStyle w:val="64"/>
              <w:rPr>
                <w:highlight w:val="none"/>
              </w:rPr>
            </w:pPr>
            <w:r>
              <w:rPr>
                <w:highlight w:val="none"/>
                <w:lang w:bidi="ar"/>
              </w:rPr>
              <w:t>&lt;0.2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苯并</w:t>
            </w:r>
            <w:r>
              <w:rPr>
                <w:highlight w:val="none"/>
              </w:rPr>
              <w:t>[k]</w:t>
            </w:r>
            <w:r>
              <w:rPr>
                <w:rFonts w:hint="eastAsia"/>
                <w:highlight w:val="none"/>
              </w:rPr>
              <w:t>荧蒽（</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&lt;0.1</w:t>
            </w:r>
          </w:p>
        </w:tc>
        <w:tc>
          <w:tcPr>
            <w:tcW w:w="1702" w:type="dxa"/>
            <w:vAlign w:val="center"/>
          </w:tcPr>
          <w:p>
            <w:pPr>
              <w:pStyle w:val="64"/>
              <w:rPr>
                <w:highlight w:val="none"/>
              </w:rPr>
            </w:pPr>
            <w:r>
              <w:rPr>
                <w:highlight w:val="none"/>
                <w:lang w:bidi="ar"/>
              </w:rPr>
              <w:t>&lt;0.1</w:t>
            </w:r>
          </w:p>
        </w:tc>
        <w:tc>
          <w:tcPr>
            <w:tcW w:w="1697" w:type="dxa"/>
            <w:vAlign w:val="center"/>
          </w:tcPr>
          <w:p>
            <w:pPr>
              <w:pStyle w:val="64"/>
              <w:rPr>
                <w:highlight w:val="none"/>
              </w:rPr>
            </w:pPr>
            <w:r>
              <w:rPr>
                <w:highlight w:val="none"/>
                <w:lang w:bidi="ar"/>
              </w:rPr>
              <w:t>&lt;0.1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䓛（</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&lt;0.1</w:t>
            </w:r>
          </w:p>
        </w:tc>
        <w:tc>
          <w:tcPr>
            <w:tcW w:w="1702" w:type="dxa"/>
            <w:vAlign w:val="center"/>
          </w:tcPr>
          <w:p>
            <w:pPr>
              <w:pStyle w:val="64"/>
              <w:rPr>
                <w:highlight w:val="none"/>
              </w:rPr>
            </w:pPr>
            <w:r>
              <w:rPr>
                <w:highlight w:val="none"/>
                <w:lang w:bidi="ar"/>
              </w:rPr>
              <w:t>&lt;0.1</w:t>
            </w:r>
          </w:p>
        </w:tc>
        <w:tc>
          <w:tcPr>
            <w:tcW w:w="1697" w:type="dxa"/>
            <w:vAlign w:val="center"/>
          </w:tcPr>
          <w:p>
            <w:pPr>
              <w:pStyle w:val="64"/>
              <w:rPr>
                <w:highlight w:val="none"/>
              </w:rPr>
            </w:pPr>
            <w:r>
              <w:rPr>
                <w:highlight w:val="none"/>
                <w:lang w:bidi="ar"/>
              </w:rPr>
              <w:t>&lt;0.1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二苯并</w:t>
            </w:r>
            <w:r>
              <w:rPr>
                <w:highlight w:val="none"/>
              </w:rPr>
              <w:t>[a</w:t>
            </w:r>
            <w:r>
              <w:rPr>
                <w:rFonts w:hint="eastAsia"/>
                <w:highlight w:val="none"/>
              </w:rPr>
              <w:t>，</w:t>
            </w:r>
            <w:r>
              <w:rPr>
                <w:highlight w:val="none"/>
              </w:rPr>
              <w:t>h]</w:t>
            </w:r>
            <w:r>
              <w:rPr>
                <w:rFonts w:hint="eastAsia"/>
                <w:highlight w:val="none"/>
              </w:rPr>
              <w:t>蒽（</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&lt;0.1</w:t>
            </w:r>
          </w:p>
        </w:tc>
        <w:tc>
          <w:tcPr>
            <w:tcW w:w="1702" w:type="dxa"/>
            <w:vAlign w:val="center"/>
          </w:tcPr>
          <w:p>
            <w:pPr>
              <w:pStyle w:val="64"/>
              <w:rPr>
                <w:highlight w:val="none"/>
              </w:rPr>
            </w:pPr>
            <w:r>
              <w:rPr>
                <w:highlight w:val="none"/>
                <w:lang w:bidi="ar"/>
              </w:rPr>
              <w:t>&lt;0.1</w:t>
            </w:r>
          </w:p>
        </w:tc>
        <w:tc>
          <w:tcPr>
            <w:tcW w:w="1697" w:type="dxa"/>
            <w:vAlign w:val="center"/>
          </w:tcPr>
          <w:p>
            <w:pPr>
              <w:pStyle w:val="64"/>
              <w:rPr>
                <w:highlight w:val="none"/>
              </w:rPr>
            </w:pPr>
            <w:r>
              <w:rPr>
                <w:highlight w:val="none"/>
                <w:lang w:bidi="ar"/>
              </w:rPr>
              <w:t>&lt;0.1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茚并</w:t>
            </w:r>
            <w:r>
              <w:rPr>
                <w:highlight w:val="none"/>
              </w:rPr>
              <w:t>[1</w:t>
            </w:r>
            <w:r>
              <w:rPr>
                <w:rFonts w:hint="eastAsia"/>
                <w:highlight w:val="none"/>
              </w:rPr>
              <w:t>，</w:t>
            </w:r>
            <w:r>
              <w:rPr>
                <w:highlight w:val="none"/>
              </w:rPr>
              <w:t>2</w:t>
            </w:r>
            <w:r>
              <w:rPr>
                <w:rFonts w:hint="eastAsia"/>
                <w:highlight w:val="none"/>
              </w:rPr>
              <w:t>，</w:t>
            </w:r>
            <w:r>
              <w:rPr>
                <w:highlight w:val="none"/>
              </w:rPr>
              <w:t>3-cd]</w:t>
            </w:r>
            <w:r>
              <w:rPr>
                <w:rFonts w:hint="eastAsia"/>
                <w:highlight w:val="none"/>
              </w:rPr>
              <w:t>芘（</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&lt;0.1</w:t>
            </w:r>
          </w:p>
        </w:tc>
        <w:tc>
          <w:tcPr>
            <w:tcW w:w="1702" w:type="dxa"/>
            <w:vAlign w:val="center"/>
          </w:tcPr>
          <w:p>
            <w:pPr>
              <w:pStyle w:val="64"/>
              <w:rPr>
                <w:highlight w:val="none"/>
              </w:rPr>
            </w:pPr>
            <w:r>
              <w:rPr>
                <w:highlight w:val="none"/>
                <w:lang w:bidi="ar"/>
              </w:rPr>
              <w:t>&lt;0.1</w:t>
            </w:r>
          </w:p>
        </w:tc>
        <w:tc>
          <w:tcPr>
            <w:tcW w:w="1697" w:type="dxa"/>
            <w:vAlign w:val="center"/>
          </w:tcPr>
          <w:p>
            <w:pPr>
              <w:pStyle w:val="64"/>
              <w:rPr>
                <w:highlight w:val="none"/>
              </w:rPr>
            </w:pPr>
            <w:r>
              <w:rPr>
                <w:highlight w:val="none"/>
                <w:lang w:bidi="ar"/>
              </w:rPr>
              <w:t>&lt;0.1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pStyle w:val="64"/>
              <w:rPr>
                <w:highlight w:val="none"/>
              </w:rPr>
            </w:pPr>
          </w:p>
        </w:tc>
        <w:tc>
          <w:tcPr>
            <w:tcW w:w="2891" w:type="dxa"/>
            <w:vAlign w:val="center"/>
          </w:tcPr>
          <w:p>
            <w:pPr>
              <w:pStyle w:val="64"/>
              <w:rPr>
                <w:highlight w:val="none"/>
              </w:rPr>
            </w:pPr>
            <w:r>
              <w:rPr>
                <w:rFonts w:hint="eastAsia"/>
                <w:highlight w:val="none"/>
              </w:rPr>
              <w:t>萘（</w:t>
            </w:r>
            <w:r>
              <w:rPr>
                <w:highlight w:val="none"/>
              </w:rPr>
              <w:t>mg/kg</w:t>
            </w:r>
            <w:r>
              <w:rPr>
                <w:rFonts w:hint="eastAsia"/>
                <w:highlight w:val="none"/>
              </w:rPr>
              <w:t>）</w:t>
            </w:r>
          </w:p>
        </w:tc>
        <w:tc>
          <w:tcPr>
            <w:tcW w:w="1701" w:type="dxa"/>
            <w:vAlign w:val="center"/>
          </w:tcPr>
          <w:p>
            <w:pPr>
              <w:pStyle w:val="64"/>
              <w:rPr>
                <w:highlight w:val="none"/>
              </w:rPr>
            </w:pPr>
            <w:r>
              <w:rPr>
                <w:highlight w:val="none"/>
                <w:lang w:bidi="ar"/>
              </w:rPr>
              <w:t>&lt;0.09</w:t>
            </w:r>
          </w:p>
        </w:tc>
        <w:tc>
          <w:tcPr>
            <w:tcW w:w="1702" w:type="dxa"/>
            <w:vAlign w:val="center"/>
          </w:tcPr>
          <w:p>
            <w:pPr>
              <w:pStyle w:val="64"/>
              <w:rPr>
                <w:highlight w:val="none"/>
              </w:rPr>
            </w:pPr>
            <w:r>
              <w:rPr>
                <w:highlight w:val="none"/>
                <w:lang w:bidi="ar"/>
              </w:rPr>
              <w:t>&lt;0.09</w:t>
            </w:r>
          </w:p>
        </w:tc>
        <w:tc>
          <w:tcPr>
            <w:tcW w:w="1697" w:type="dxa"/>
            <w:vAlign w:val="center"/>
          </w:tcPr>
          <w:p>
            <w:pPr>
              <w:pStyle w:val="64"/>
              <w:rPr>
                <w:highlight w:val="none"/>
              </w:rPr>
            </w:pPr>
            <w:r>
              <w:rPr>
                <w:highlight w:val="none"/>
                <w:lang w:bidi="ar"/>
              </w:rPr>
              <w:t>&lt;0.09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石油烃（</w:t>
            </w:r>
            <w:r>
              <w:rPr>
                <w:highlight w:val="none"/>
              </w:rPr>
              <w:t>mg/kg</w:t>
            </w:r>
            <w:r>
              <w:rPr>
                <w:rFonts w:hint="eastAsia"/>
                <w:highlight w:val="none"/>
              </w:rPr>
              <w:t>）</w:t>
            </w:r>
          </w:p>
        </w:tc>
        <w:tc>
          <w:tcPr>
            <w:tcW w:w="1701" w:type="dxa"/>
            <w:vAlign w:val="center"/>
          </w:tcPr>
          <w:p>
            <w:pPr>
              <w:pStyle w:val="64"/>
              <w:rPr>
                <w:highlight w:val="none"/>
                <w:lang w:bidi="ar"/>
              </w:rPr>
            </w:pPr>
            <w:r>
              <w:rPr>
                <w:highlight w:val="none"/>
                <w:lang w:bidi="ar"/>
              </w:rPr>
              <w:t>&lt;6</w:t>
            </w:r>
          </w:p>
        </w:tc>
        <w:tc>
          <w:tcPr>
            <w:tcW w:w="1702" w:type="dxa"/>
            <w:vAlign w:val="center"/>
          </w:tcPr>
          <w:p>
            <w:pPr>
              <w:pStyle w:val="64"/>
              <w:rPr>
                <w:highlight w:val="none"/>
                <w:lang w:bidi="ar"/>
              </w:rPr>
            </w:pPr>
            <w:r>
              <w:rPr>
                <w:highlight w:val="none"/>
                <w:lang w:bidi="ar"/>
              </w:rPr>
              <w:t>&lt;6</w:t>
            </w:r>
          </w:p>
        </w:tc>
        <w:tc>
          <w:tcPr>
            <w:tcW w:w="1697" w:type="dxa"/>
            <w:vAlign w:val="center"/>
          </w:tcPr>
          <w:p>
            <w:pPr>
              <w:pStyle w:val="64"/>
              <w:rPr>
                <w:highlight w:val="none"/>
                <w:lang w:bidi="ar"/>
              </w:rPr>
            </w:pPr>
            <w:r>
              <w:rPr>
                <w:highlight w:val="none"/>
                <w:lang w:bidi="ar"/>
              </w:rPr>
              <w:t>&lt;6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highlight w:val="none"/>
              </w:rPr>
              <w:t>pH</w:t>
            </w:r>
            <w:r>
              <w:rPr>
                <w:rFonts w:hint="eastAsia"/>
                <w:highlight w:val="none"/>
              </w:rPr>
              <w:t>值</w:t>
            </w:r>
          </w:p>
        </w:tc>
        <w:tc>
          <w:tcPr>
            <w:tcW w:w="3403" w:type="dxa"/>
            <w:gridSpan w:val="2"/>
            <w:vMerge w:val="restart"/>
            <w:vAlign w:val="center"/>
          </w:tcPr>
          <w:p>
            <w:pPr>
              <w:pStyle w:val="64"/>
              <w:rPr>
                <w:color w:val="000000"/>
                <w:highlight w:val="none"/>
                <w:lang w:bidi="ar"/>
              </w:rPr>
            </w:pPr>
          </w:p>
        </w:tc>
        <w:tc>
          <w:tcPr>
            <w:tcW w:w="1697" w:type="dxa"/>
            <w:vAlign w:val="center"/>
          </w:tcPr>
          <w:p>
            <w:pPr>
              <w:pStyle w:val="64"/>
              <w:rPr>
                <w:color w:val="000000"/>
                <w:highlight w:val="none"/>
                <w:lang w:bidi="ar"/>
              </w:rPr>
            </w:pPr>
            <w:r>
              <w:rPr>
                <w:color w:val="000000"/>
                <w:highlight w:val="none"/>
                <w:lang w:bidi="ar"/>
              </w:rPr>
              <w:t>8.54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阳离子交换量（</w:t>
            </w:r>
            <w:r>
              <w:rPr>
                <w:highlight w:val="none"/>
              </w:rPr>
              <w:t>cmol</w:t>
            </w:r>
            <w:r>
              <w:rPr>
                <w:rFonts w:hint="eastAsia"/>
                <w:highlight w:val="none"/>
              </w:rPr>
              <w:t>（</w:t>
            </w:r>
            <w:r>
              <w:rPr>
                <w:highlight w:val="none"/>
              </w:rPr>
              <w:t>+</w:t>
            </w:r>
            <w:r>
              <w:rPr>
                <w:rFonts w:hint="eastAsia"/>
                <w:highlight w:val="none"/>
              </w:rPr>
              <w:t>）</w:t>
            </w:r>
            <w:r>
              <w:rPr>
                <w:highlight w:val="none"/>
              </w:rPr>
              <w:t>/kg</w:t>
            </w:r>
            <w:r>
              <w:rPr>
                <w:rFonts w:hint="eastAsia"/>
                <w:highlight w:val="none"/>
              </w:rPr>
              <w:t>）</w:t>
            </w:r>
          </w:p>
        </w:tc>
        <w:tc>
          <w:tcPr>
            <w:tcW w:w="3403" w:type="dxa"/>
            <w:gridSpan w:val="2"/>
            <w:vMerge w:val="continue"/>
            <w:vAlign w:val="center"/>
          </w:tcPr>
          <w:p>
            <w:pPr>
              <w:pStyle w:val="64"/>
              <w:rPr>
                <w:color w:val="000000"/>
                <w:highlight w:val="none"/>
                <w:lang w:bidi="ar"/>
              </w:rPr>
            </w:pPr>
          </w:p>
        </w:tc>
        <w:tc>
          <w:tcPr>
            <w:tcW w:w="1697" w:type="dxa"/>
            <w:vAlign w:val="center"/>
          </w:tcPr>
          <w:p>
            <w:pPr>
              <w:pStyle w:val="64"/>
              <w:rPr>
                <w:color w:val="000000"/>
                <w:highlight w:val="none"/>
                <w:lang w:bidi="ar"/>
              </w:rPr>
            </w:pPr>
            <w:r>
              <w:rPr>
                <w:color w:val="000000"/>
                <w:highlight w:val="none"/>
                <w:lang w:bidi="ar"/>
              </w:rPr>
              <w:t>16.7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氧化还原电位（</w:t>
            </w:r>
            <w:r>
              <w:rPr>
                <w:highlight w:val="none"/>
              </w:rPr>
              <w:t>mV</w:t>
            </w:r>
            <w:r>
              <w:rPr>
                <w:rFonts w:hint="eastAsia"/>
                <w:highlight w:val="none"/>
              </w:rPr>
              <w:t>）</w:t>
            </w:r>
          </w:p>
        </w:tc>
        <w:tc>
          <w:tcPr>
            <w:tcW w:w="3403" w:type="dxa"/>
            <w:gridSpan w:val="2"/>
            <w:vMerge w:val="continue"/>
            <w:vAlign w:val="center"/>
          </w:tcPr>
          <w:p>
            <w:pPr>
              <w:pStyle w:val="64"/>
              <w:rPr>
                <w:color w:val="000000"/>
                <w:highlight w:val="none"/>
                <w:lang w:bidi="ar"/>
              </w:rPr>
            </w:pPr>
          </w:p>
        </w:tc>
        <w:tc>
          <w:tcPr>
            <w:tcW w:w="1697" w:type="dxa"/>
            <w:vAlign w:val="center"/>
          </w:tcPr>
          <w:p>
            <w:pPr>
              <w:pStyle w:val="64"/>
              <w:rPr>
                <w:color w:val="000000"/>
                <w:highlight w:val="none"/>
                <w:lang w:bidi="ar"/>
              </w:rPr>
            </w:pPr>
            <w:r>
              <w:rPr>
                <w:color w:val="000000"/>
                <w:highlight w:val="none"/>
                <w:lang w:bidi="ar"/>
              </w:rPr>
              <w:t>489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饱和导水率（</w:t>
            </w:r>
            <w:r>
              <w:rPr>
                <w:highlight w:val="none"/>
              </w:rPr>
              <w:t>mm/min</w:t>
            </w:r>
            <w:r>
              <w:rPr>
                <w:rFonts w:hint="eastAsia"/>
                <w:highlight w:val="none"/>
              </w:rPr>
              <w:t>）</w:t>
            </w:r>
          </w:p>
        </w:tc>
        <w:tc>
          <w:tcPr>
            <w:tcW w:w="3403" w:type="dxa"/>
            <w:gridSpan w:val="2"/>
            <w:vMerge w:val="continue"/>
            <w:vAlign w:val="center"/>
          </w:tcPr>
          <w:p>
            <w:pPr>
              <w:pStyle w:val="64"/>
              <w:rPr>
                <w:color w:val="000000"/>
                <w:highlight w:val="none"/>
                <w:lang w:bidi="ar"/>
              </w:rPr>
            </w:pPr>
          </w:p>
        </w:tc>
        <w:tc>
          <w:tcPr>
            <w:tcW w:w="1697" w:type="dxa"/>
            <w:vAlign w:val="center"/>
          </w:tcPr>
          <w:p>
            <w:pPr>
              <w:pStyle w:val="64"/>
              <w:rPr>
                <w:color w:val="000000"/>
                <w:highlight w:val="none"/>
                <w:lang w:bidi="ar"/>
              </w:rPr>
            </w:pPr>
            <w:r>
              <w:rPr>
                <w:color w:val="000000"/>
                <w:highlight w:val="none"/>
                <w:lang w:bidi="ar"/>
              </w:rPr>
              <w:t>1.89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土壤容重（</w:t>
            </w:r>
            <w:r>
              <w:rPr>
                <w:highlight w:val="none"/>
              </w:rPr>
              <w:t>g/cm</w:t>
            </w:r>
            <w:r>
              <w:rPr>
                <w:highlight w:val="none"/>
                <w:vertAlign w:val="superscript"/>
              </w:rPr>
              <w:t>3</w:t>
            </w:r>
            <w:r>
              <w:rPr>
                <w:rFonts w:hint="eastAsia"/>
                <w:highlight w:val="none"/>
              </w:rPr>
              <w:t>）</w:t>
            </w:r>
          </w:p>
        </w:tc>
        <w:tc>
          <w:tcPr>
            <w:tcW w:w="3403" w:type="dxa"/>
            <w:gridSpan w:val="2"/>
            <w:vMerge w:val="continue"/>
            <w:vAlign w:val="center"/>
          </w:tcPr>
          <w:p>
            <w:pPr>
              <w:pStyle w:val="64"/>
              <w:rPr>
                <w:color w:val="000000"/>
                <w:highlight w:val="none"/>
                <w:lang w:bidi="ar"/>
              </w:rPr>
            </w:pPr>
          </w:p>
        </w:tc>
        <w:tc>
          <w:tcPr>
            <w:tcW w:w="1697" w:type="dxa"/>
            <w:vAlign w:val="center"/>
          </w:tcPr>
          <w:p>
            <w:pPr>
              <w:pStyle w:val="64"/>
              <w:rPr>
                <w:color w:val="000000"/>
                <w:highlight w:val="none"/>
                <w:lang w:bidi="ar"/>
              </w:rPr>
            </w:pPr>
            <w:r>
              <w:rPr>
                <w:color w:val="000000"/>
                <w:highlight w:val="none"/>
                <w:lang w:bidi="ar"/>
              </w:rPr>
              <w:t>1.06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50" w:type="dxa"/>
            <w:gridSpan w:val="2"/>
            <w:vAlign w:val="center"/>
          </w:tcPr>
          <w:p>
            <w:pPr>
              <w:pStyle w:val="64"/>
              <w:rPr>
                <w:highlight w:val="none"/>
              </w:rPr>
            </w:pPr>
            <w:r>
              <w:rPr>
                <w:rFonts w:hint="eastAsia"/>
                <w:highlight w:val="none"/>
              </w:rPr>
              <w:t>孔隙度（</w:t>
            </w:r>
            <w:r>
              <w:rPr>
                <w:highlight w:val="none"/>
              </w:rPr>
              <w:t>%</w:t>
            </w:r>
            <w:r>
              <w:rPr>
                <w:rFonts w:hint="eastAsia"/>
                <w:highlight w:val="none"/>
              </w:rPr>
              <w:t>）</w:t>
            </w:r>
          </w:p>
        </w:tc>
        <w:tc>
          <w:tcPr>
            <w:tcW w:w="3403" w:type="dxa"/>
            <w:gridSpan w:val="2"/>
            <w:vMerge w:val="continue"/>
            <w:vAlign w:val="center"/>
          </w:tcPr>
          <w:p>
            <w:pPr>
              <w:pStyle w:val="64"/>
              <w:rPr>
                <w:color w:val="000000"/>
                <w:highlight w:val="none"/>
                <w:lang w:bidi="ar"/>
              </w:rPr>
            </w:pPr>
          </w:p>
        </w:tc>
        <w:tc>
          <w:tcPr>
            <w:tcW w:w="1697" w:type="dxa"/>
            <w:vAlign w:val="center"/>
          </w:tcPr>
          <w:p>
            <w:pPr>
              <w:pStyle w:val="64"/>
              <w:rPr>
                <w:color w:val="000000"/>
                <w:highlight w:val="none"/>
                <w:lang w:bidi="ar"/>
              </w:rPr>
            </w:pPr>
            <w:r>
              <w:rPr>
                <w:color w:val="000000"/>
                <w:highlight w:val="none"/>
                <w:lang w:bidi="ar"/>
              </w:rPr>
              <w:t>58.9</w:t>
            </w:r>
          </w:p>
        </w:tc>
      </w:tr>
    </w:tbl>
    <w:p>
      <w:pPr>
        <w:ind w:firstLine="480"/>
        <w:jc w:val="center"/>
        <w:rPr>
          <w:rFonts w:ascii="宋体" w:hAnsi="宋体"/>
          <w:bCs/>
          <w:szCs w:val="22"/>
          <w:highlight w:val="none"/>
        </w:rPr>
      </w:pPr>
      <w:r>
        <w:rPr>
          <w:rFonts w:ascii="宋体" w:hAnsi="宋体"/>
          <w:bCs/>
          <w:szCs w:val="22"/>
          <w:highlight w:val="none"/>
        </w:rPr>
        <w:t>续表</w:t>
      </w:r>
      <w:r>
        <w:rPr>
          <w:rFonts w:ascii="宋体" w:hAnsi="宋体"/>
          <w:kern w:val="0"/>
          <w:highlight w:val="none"/>
        </w:rPr>
        <w:t>4.3-</w:t>
      </w:r>
      <w:r>
        <w:rPr>
          <w:rFonts w:hint="eastAsia" w:ascii="宋体" w:hAnsi="宋体"/>
          <w:kern w:val="0"/>
          <w:highlight w:val="none"/>
        </w:rPr>
        <w:t>19</w:t>
      </w:r>
      <w:r>
        <w:rPr>
          <w:rFonts w:hint="eastAsia" w:ascii="宋体" w:hAnsi="宋体"/>
          <w:bCs/>
          <w:szCs w:val="22"/>
          <w:highlight w:val="none"/>
        </w:rPr>
        <w:t xml:space="preserve">  </w:t>
      </w:r>
      <w:r>
        <w:rPr>
          <w:rFonts w:ascii="宋体" w:hAnsi="宋体"/>
          <w:bCs/>
          <w:szCs w:val="22"/>
          <w:highlight w:val="none"/>
        </w:rPr>
        <w:t>土壤监测结果统计表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1949"/>
        <w:gridCol w:w="1949"/>
        <w:gridCol w:w="194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restart"/>
            <w:vAlign w:val="center"/>
          </w:tcPr>
          <w:p>
            <w:pPr>
              <w:pStyle w:val="64"/>
              <w:rPr>
                <w:highlight w:val="none"/>
              </w:rPr>
            </w:pPr>
            <w:r>
              <w:rPr>
                <w:rFonts w:hint="eastAsia"/>
                <w:highlight w:val="none"/>
              </w:rPr>
              <w:t>检测项目</w:t>
            </w:r>
          </w:p>
        </w:tc>
        <w:tc>
          <w:tcPr>
            <w:tcW w:w="5847" w:type="dxa"/>
            <w:gridSpan w:val="3"/>
            <w:vAlign w:val="center"/>
          </w:tcPr>
          <w:p>
            <w:pPr>
              <w:pStyle w:val="64"/>
              <w:rPr>
                <w:highlight w:val="none"/>
              </w:rPr>
            </w:pPr>
            <w:r>
              <w:rPr>
                <w:rFonts w:hint="eastAsia"/>
                <w:highlight w:val="none"/>
              </w:rPr>
              <w:t>采样位置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continue"/>
            <w:vAlign w:val="center"/>
          </w:tcPr>
          <w:p>
            <w:pPr>
              <w:pStyle w:val="64"/>
              <w:rPr>
                <w:highlight w:val="none"/>
              </w:rPr>
            </w:pPr>
          </w:p>
        </w:tc>
        <w:tc>
          <w:tcPr>
            <w:tcW w:w="1949" w:type="dxa"/>
            <w:vAlign w:val="center"/>
          </w:tcPr>
          <w:p>
            <w:pPr>
              <w:pStyle w:val="64"/>
              <w:rPr>
                <w:color w:val="000000"/>
                <w:highlight w:val="none"/>
                <w:lang w:bidi="ar"/>
              </w:rPr>
            </w:pPr>
            <w:r>
              <w:rPr>
                <w:color w:val="000000"/>
                <w:highlight w:val="none"/>
                <w:lang w:bidi="ar"/>
              </w:rPr>
              <w:t>4#0-0.5m</w:t>
            </w:r>
          </w:p>
        </w:tc>
        <w:tc>
          <w:tcPr>
            <w:tcW w:w="1949" w:type="dxa"/>
            <w:vAlign w:val="center"/>
          </w:tcPr>
          <w:p>
            <w:pPr>
              <w:pStyle w:val="64"/>
              <w:rPr>
                <w:highlight w:val="none"/>
              </w:rPr>
            </w:pPr>
            <w:r>
              <w:rPr>
                <w:color w:val="000000"/>
                <w:highlight w:val="none"/>
                <w:lang w:bidi="ar"/>
              </w:rPr>
              <w:t>4#0.5-1.5m</w:t>
            </w:r>
          </w:p>
        </w:tc>
        <w:tc>
          <w:tcPr>
            <w:tcW w:w="1949" w:type="dxa"/>
            <w:vAlign w:val="center"/>
          </w:tcPr>
          <w:p>
            <w:pPr>
              <w:pStyle w:val="64"/>
              <w:rPr>
                <w:highlight w:val="none"/>
              </w:rPr>
            </w:pPr>
            <w:r>
              <w:rPr>
                <w:color w:val="000000"/>
                <w:highlight w:val="none"/>
                <w:lang w:bidi="ar"/>
              </w:rPr>
              <w:t>4#1.5-3.0m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镉（</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0.124</w:t>
            </w:r>
          </w:p>
        </w:tc>
        <w:tc>
          <w:tcPr>
            <w:tcW w:w="1949" w:type="dxa"/>
            <w:vAlign w:val="center"/>
          </w:tcPr>
          <w:p>
            <w:pPr>
              <w:pStyle w:val="64"/>
              <w:rPr>
                <w:highlight w:val="none"/>
                <w:lang w:bidi="ar"/>
              </w:rPr>
            </w:pPr>
            <w:r>
              <w:rPr>
                <w:color w:val="000000"/>
                <w:highlight w:val="none"/>
                <w:lang w:bidi="ar"/>
              </w:rPr>
              <w:t>0.105</w:t>
            </w:r>
          </w:p>
        </w:tc>
        <w:tc>
          <w:tcPr>
            <w:tcW w:w="1949" w:type="dxa"/>
            <w:vAlign w:val="center"/>
          </w:tcPr>
          <w:p>
            <w:pPr>
              <w:pStyle w:val="64"/>
              <w:rPr>
                <w:highlight w:val="none"/>
                <w:lang w:bidi="ar"/>
              </w:rPr>
            </w:pPr>
            <w:r>
              <w:rPr>
                <w:color w:val="000000"/>
                <w:highlight w:val="none"/>
                <w:lang w:bidi="ar"/>
              </w:rPr>
              <w:t>0.098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铅（</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13.4</w:t>
            </w:r>
          </w:p>
        </w:tc>
        <w:tc>
          <w:tcPr>
            <w:tcW w:w="1949" w:type="dxa"/>
            <w:vAlign w:val="center"/>
          </w:tcPr>
          <w:p>
            <w:pPr>
              <w:pStyle w:val="64"/>
              <w:rPr>
                <w:highlight w:val="none"/>
                <w:lang w:bidi="ar"/>
              </w:rPr>
            </w:pPr>
            <w:r>
              <w:rPr>
                <w:color w:val="000000"/>
                <w:highlight w:val="none"/>
                <w:lang w:bidi="ar"/>
              </w:rPr>
              <w:t>12.3</w:t>
            </w:r>
          </w:p>
        </w:tc>
        <w:tc>
          <w:tcPr>
            <w:tcW w:w="1949" w:type="dxa"/>
            <w:vAlign w:val="center"/>
          </w:tcPr>
          <w:p>
            <w:pPr>
              <w:pStyle w:val="64"/>
              <w:rPr>
                <w:highlight w:val="none"/>
                <w:lang w:bidi="ar"/>
              </w:rPr>
            </w:pPr>
            <w:r>
              <w:rPr>
                <w:color w:val="000000"/>
                <w:highlight w:val="none"/>
                <w:lang w:bidi="ar"/>
              </w:rPr>
              <w:t>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铜（</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49.6</w:t>
            </w:r>
          </w:p>
        </w:tc>
        <w:tc>
          <w:tcPr>
            <w:tcW w:w="1949" w:type="dxa"/>
            <w:vAlign w:val="center"/>
          </w:tcPr>
          <w:p>
            <w:pPr>
              <w:pStyle w:val="64"/>
              <w:rPr>
                <w:highlight w:val="none"/>
                <w:lang w:bidi="ar"/>
              </w:rPr>
            </w:pPr>
            <w:r>
              <w:rPr>
                <w:color w:val="000000"/>
                <w:highlight w:val="none"/>
                <w:lang w:bidi="ar"/>
              </w:rPr>
              <w:t>48.1</w:t>
            </w:r>
          </w:p>
        </w:tc>
        <w:tc>
          <w:tcPr>
            <w:tcW w:w="1949" w:type="dxa"/>
            <w:vAlign w:val="center"/>
          </w:tcPr>
          <w:p>
            <w:pPr>
              <w:pStyle w:val="64"/>
              <w:rPr>
                <w:highlight w:val="none"/>
                <w:lang w:bidi="ar"/>
              </w:rPr>
            </w:pPr>
            <w:r>
              <w:rPr>
                <w:color w:val="000000"/>
                <w:highlight w:val="none"/>
                <w:lang w:bidi="ar"/>
              </w:rPr>
              <w:t>34.2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砷（</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15.6</w:t>
            </w:r>
          </w:p>
        </w:tc>
        <w:tc>
          <w:tcPr>
            <w:tcW w:w="1949" w:type="dxa"/>
            <w:vAlign w:val="center"/>
          </w:tcPr>
          <w:p>
            <w:pPr>
              <w:pStyle w:val="64"/>
              <w:rPr>
                <w:highlight w:val="none"/>
                <w:lang w:bidi="ar"/>
              </w:rPr>
            </w:pPr>
            <w:r>
              <w:rPr>
                <w:color w:val="000000"/>
                <w:highlight w:val="none"/>
                <w:lang w:bidi="ar"/>
              </w:rPr>
              <w:t>15.1</w:t>
            </w:r>
          </w:p>
        </w:tc>
        <w:tc>
          <w:tcPr>
            <w:tcW w:w="1949" w:type="dxa"/>
            <w:vAlign w:val="center"/>
          </w:tcPr>
          <w:p>
            <w:pPr>
              <w:pStyle w:val="64"/>
              <w:rPr>
                <w:highlight w:val="none"/>
                <w:lang w:bidi="ar"/>
              </w:rPr>
            </w:pPr>
            <w:r>
              <w:rPr>
                <w:color w:val="000000"/>
                <w:highlight w:val="none"/>
                <w:lang w:bidi="ar"/>
              </w:rPr>
              <w:t>9.6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镍（</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21.6</w:t>
            </w:r>
          </w:p>
        </w:tc>
        <w:tc>
          <w:tcPr>
            <w:tcW w:w="1949" w:type="dxa"/>
            <w:vAlign w:val="center"/>
          </w:tcPr>
          <w:p>
            <w:pPr>
              <w:pStyle w:val="64"/>
              <w:rPr>
                <w:highlight w:val="none"/>
                <w:lang w:bidi="ar"/>
              </w:rPr>
            </w:pPr>
            <w:r>
              <w:rPr>
                <w:color w:val="000000"/>
                <w:highlight w:val="none"/>
                <w:lang w:bidi="ar"/>
              </w:rPr>
              <w:t>19.4</w:t>
            </w:r>
          </w:p>
        </w:tc>
        <w:tc>
          <w:tcPr>
            <w:tcW w:w="1949" w:type="dxa"/>
            <w:vAlign w:val="center"/>
          </w:tcPr>
          <w:p>
            <w:pPr>
              <w:pStyle w:val="64"/>
              <w:rPr>
                <w:highlight w:val="none"/>
                <w:lang w:bidi="ar"/>
              </w:rPr>
            </w:pPr>
            <w:r>
              <w:rPr>
                <w:color w:val="000000"/>
                <w:highlight w:val="none"/>
                <w:lang w:bidi="ar"/>
              </w:rPr>
              <w:t>12.4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锌（</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94.8</w:t>
            </w:r>
          </w:p>
        </w:tc>
        <w:tc>
          <w:tcPr>
            <w:tcW w:w="1949" w:type="dxa"/>
            <w:vAlign w:val="center"/>
          </w:tcPr>
          <w:p>
            <w:pPr>
              <w:pStyle w:val="64"/>
              <w:rPr>
                <w:highlight w:val="none"/>
                <w:lang w:bidi="ar"/>
              </w:rPr>
            </w:pPr>
            <w:r>
              <w:rPr>
                <w:color w:val="000000"/>
                <w:highlight w:val="none"/>
                <w:lang w:bidi="ar"/>
              </w:rPr>
              <w:t>90.1</w:t>
            </w:r>
          </w:p>
        </w:tc>
        <w:tc>
          <w:tcPr>
            <w:tcW w:w="1949" w:type="dxa"/>
            <w:vAlign w:val="center"/>
          </w:tcPr>
          <w:p>
            <w:pPr>
              <w:pStyle w:val="64"/>
              <w:rPr>
                <w:highlight w:val="none"/>
                <w:lang w:bidi="ar"/>
              </w:rPr>
            </w:pPr>
            <w:r>
              <w:rPr>
                <w:color w:val="000000"/>
                <w:highlight w:val="none"/>
                <w:lang w:bidi="ar"/>
              </w:rPr>
              <w:t>59.4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铬（</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28.6</w:t>
            </w:r>
          </w:p>
        </w:tc>
        <w:tc>
          <w:tcPr>
            <w:tcW w:w="1949" w:type="dxa"/>
            <w:vAlign w:val="center"/>
          </w:tcPr>
          <w:p>
            <w:pPr>
              <w:pStyle w:val="64"/>
              <w:rPr>
                <w:highlight w:val="none"/>
                <w:lang w:bidi="ar"/>
              </w:rPr>
            </w:pPr>
            <w:r>
              <w:rPr>
                <w:color w:val="000000"/>
                <w:highlight w:val="none"/>
                <w:lang w:bidi="ar"/>
              </w:rPr>
              <w:t>25.3</w:t>
            </w:r>
          </w:p>
        </w:tc>
        <w:tc>
          <w:tcPr>
            <w:tcW w:w="1949" w:type="dxa"/>
            <w:vAlign w:val="center"/>
          </w:tcPr>
          <w:p>
            <w:pPr>
              <w:pStyle w:val="64"/>
              <w:rPr>
                <w:highlight w:val="none"/>
                <w:lang w:bidi="ar"/>
              </w:rPr>
            </w:pPr>
            <w:r>
              <w:rPr>
                <w:color w:val="000000"/>
                <w:highlight w:val="none"/>
                <w:lang w:bidi="ar"/>
              </w:rPr>
              <w:t>17.4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汞（</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0.019</w:t>
            </w:r>
          </w:p>
        </w:tc>
        <w:tc>
          <w:tcPr>
            <w:tcW w:w="1949" w:type="dxa"/>
            <w:vAlign w:val="center"/>
          </w:tcPr>
          <w:p>
            <w:pPr>
              <w:pStyle w:val="64"/>
              <w:rPr>
                <w:highlight w:val="none"/>
                <w:lang w:bidi="ar"/>
              </w:rPr>
            </w:pPr>
            <w:r>
              <w:rPr>
                <w:color w:val="000000"/>
                <w:highlight w:val="none"/>
                <w:lang w:bidi="ar"/>
              </w:rPr>
              <w:t>0.010</w:t>
            </w:r>
          </w:p>
        </w:tc>
        <w:tc>
          <w:tcPr>
            <w:tcW w:w="1949" w:type="dxa"/>
            <w:vAlign w:val="center"/>
          </w:tcPr>
          <w:p>
            <w:pPr>
              <w:pStyle w:val="64"/>
              <w:rPr>
                <w:highlight w:val="none"/>
                <w:lang w:bidi="ar"/>
              </w:rPr>
            </w:pPr>
            <w:r>
              <w:rPr>
                <w:color w:val="000000"/>
                <w:highlight w:val="none"/>
                <w:lang w:bidi="ar"/>
              </w:rPr>
              <w:t>0.009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restart"/>
            <w:vAlign w:val="center"/>
          </w:tcPr>
          <w:p>
            <w:pPr>
              <w:pStyle w:val="64"/>
              <w:rPr>
                <w:highlight w:val="none"/>
              </w:rPr>
            </w:pPr>
            <w:r>
              <w:rPr>
                <w:rFonts w:hint="eastAsia"/>
                <w:highlight w:val="none"/>
              </w:rPr>
              <w:t>检测项目</w:t>
            </w:r>
          </w:p>
        </w:tc>
        <w:tc>
          <w:tcPr>
            <w:tcW w:w="5847" w:type="dxa"/>
            <w:gridSpan w:val="3"/>
            <w:vAlign w:val="center"/>
          </w:tcPr>
          <w:p>
            <w:pPr>
              <w:pStyle w:val="64"/>
              <w:rPr>
                <w:highlight w:val="none"/>
              </w:rPr>
            </w:pPr>
            <w:r>
              <w:rPr>
                <w:rFonts w:hint="eastAsia"/>
                <w:highlight w:val="none"/>
              </w:rPr>
              <w:t>采样位置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continue"/>
            <w:vAlign w:val="center"/>
          </w:tcPr>
          <w:p>
            <w:pPr>
              <w:pStyle w:val="64"/>
              <w:rPr>
                <w:highlight w:val="none"/>
              </w:rPr>
            </w:pPr>
          </w:p>
        </w:tc>
        <w:tc>
          <w:tcPr>
            <w:tcW w:w="1949" w:type="dxa"/>
            <w:vAlign w:val="center"/>
          </w:tcPr>
          <w:p>
            <w:pPr>
              <w:pStyle w:val="64"/>
              <w:rPr>
                <w:color w:val="000000"/>
                <w:highlight w:val="none"/>
                <w:lang w:bidi="ar"/>
              </w:rPr>
            </w:pPr>
            <w:r>
              <w:rPr>
                <w:color w:val="000000"/>
                <w:highlight w:val="none"/>
                <w:lang w:bidi="ar"/>
              </w:rPr>
              <w:t>5#0-0.5m</w:t>
            </w:r>
          </w:p>
        </w:tc>
        <w:tc>
          <w:tcPr>
            <w:tcW w:w="1949" w:type="dxa"/>
            <w:vAlign w:val="center"/>
          </w:tcPr>
          <w:p>
            <w:pPr>
              <w:pStyle w:val="64"/>
              <w:rPr>
                <w:highlight w:val="none"/>
              </w:rPr>
            </w:pPr>
            <w:r>
              <w:rPr>
                <w:color w:val="000000"/>
                <w:highlight w:val="none"/>
                <w:lang w:bidi="ar"/>
              </w:rPr>
              <w:t>5#0.5-1.5m</w:t>
            </w:r>
          </w:p>
        </w:tc>
        <w:tc>
          <w:tcPr>
            <w:tcW w:w="1949" w:type="dxa"/>
            <w:vAlign w:val="center"/>
          </w:tcPr>
          <w:p>
            <w:pPr>
              <w:pStyle w:val="64"/>
              <w:rPr>
                <w:highlight w:val="none"/>
              </w:rPr>
            </w:pPr>
            <w:r>
              <w:rPr>
                <w:color w:val="000000"/>
                <w:highlight w:val="none"/>
                <w:lang w:bidi="ar"/>
              </w:rPr>
              <w:t>5#1.5-3.0m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镉（</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0.113</w:t>
            </w:r>
          </w:p>
        </w:tc>
        <w:tc>
          <w:tcPr>
            <w:tcW w:w="1949" w:type="dxa"/>
            <w:vAlign w:val="center"/>
          </w:tcPr>
          <w:p>
            <w:pPr>
              <w:pStyle w:val="64"/>
              <w:rPr>
                <w:highlight w:val="none"/>
                <w:lang w:bidi="ar"/>
              </w:rPr>
            </w:pPr>
            <w:r>
              <w:rPr>
                <w:color w:val="000000"/>
                <w:highlight w:val="none"/>
                <w:lang w:bidi="ar"/>
              </w:rPr>
              <w:t>0.101</w:t>
            </w:r>
          </w:p>
        </w:tc>
        <w:tc>
          <w:tcPr>
            <w:tcW w:w="1949" w:type="dxa"/>
            <w:vAlign w:val="center"/>
          </w:tcPr>
          <w:p>
            <w:pPr>
              <w:pStyle w:val="64"/>
              <w:rPr>
                <w:highlight w:val="none"/>
                <w:lang w:bidi="ar"/>
              </w:rPr>
            </w:pPr>
            <w:r>
              <w:rPr>
                <w:color w:val="000000"/>
                <w:highlight w:val="none"/>
                <w:lang w:bidi="ar"/>
              </w:rPr>
              <w:t>0.080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铅（</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14.5</w:t>
            </w:r>
          </w:p>
        </w:tc>
        <w:tc>
          <w:tcPr>
            <w:tcW w:w="1949" w:type="dxa"/>
            <w:vAlign w:val="center"/>
          </w:tcPr>
          <w:p>
            <w:pPr>
              <w:pStyle w:val="64"/>
              <w:rPr>
                <w:highlight w:val="none"/>
                <w:lang w:bidi="ar"/>
              </w:rPr>
            </w:pPr>
            <w:r>
              <w:rPr>
                <w:color w:val="000000"/>
                <w:highlight w:val="none"/>
                <w:lang w:bidi="ar"/>
              </w:rPr>
              <w:t>12.6</w:t>
            </w:r>
          </w:p>
        </w:tc>
        <w:tc>
          <w:tcPr>
            <w:tcW w:w="1949" w:type="dxa"/>
            <w:vAlign w:val="center"/>
          </w:tcPr>
          <w:p>
            <w:pPr>
              <w:pStyle w:val="64"/>
              <w:rPr>
                <w:highlight w:val="none"/>
                <w:lang w:bidi="ar"/>
              </w:rPr>
            </w:pPr>
            <w:r>
              <w:rPr>
                <w:highlight w:val="none"/>
                <w:lang w:bidi="ar"/>
              </w:rPr>
              <w:t>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铜（</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51.4</w:t>
            </w:r>
          </w:p>
        </w:tc>
        <w:tc>
          <w:tcPr>
            <w:tcW w:w="1949" w:type="dxa"/>
            <w:vAlign w:val="center"/>
          </w:tcPr>
          <w:p>
            <w:pPr>
              <w:pStyle w:val="64"/>
              <w:rPr>
                <w:highlight w:val="none"/>
                <w:lang w:bidi="ar"/>
              </w:rPr>
            </w:pPr>
            <w:r>
              <w:rPr>
                <w:color w:val="000000"/>
                <w:highlight w:val="none"/>
                <w:lang w:bidi="ar"/>
              </w:rPr>
              <w:t>49.2</w:t>
            </w:r>
          </w:p>
        </w:tc>
        <w:tc>
          <w:tcPr>
            <w:tcW w:w="1949" w:type="dxa"/>
            <w:vAlign w:val="center"/>
          </w:tcPr>
          <w:p>
            <w:pPr>
              <w:pStyle w:val="64"/>
              <w:rPr>
                <w:highlight w:val="none"/>
                <w:lang w:bidi="ar"/>
              </w:rPr>
            </w:pPr>
            <w:r>
              <w:rPr>
                <w:color w:val="000000"/>
                <w:highlight w:val="none"/>
                <w:lang w:bidi="ar"/>
              </w:rPr>
              <w:t>35.6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砷（</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16.2</w:t>
            </w:r>
          </w:p>
        </w:tc>
        <w:tc>
          <w:tcPr>
            <w:tcW w:w="1949" w:type="dxa"/>
            <w:vAlign w:val="center"/>
          </w:tcPr>
          <w:p>
            <w:pPr>
              <w:pStyle w:val="64"/>
              <w:rPr>
                <w:highlight w:val="none"/>
                <w:lang w:bidi="ar"/>
              </w:rPr>
            </w:pPr>
            <w:r>
              <w:rPr>
                <w:color w:val="000000"/>
                <w:highlight w:val="none"/>
                <w:lang w:bidi="ar"/>
              </w:rPr>
              <w:t>14.8</w:t>
            </w:r>
          </w:p>
        </w:tc>
        <w:tc>
          <w:tcPr>
            <w:tcW w:w="1949" w:type="dxa"/>
            <w:vAlign w:val="center"/>
          </w:tcPr>
          <w:p>
            <w:pPr>
              <w:pStyle w:val="64"/>
              <w:rPr>
                <w:highlight w:val="none"/>
                <w:lang w:bidi="ar"/>
              </w:rPr>
            </w:pPr>
            <w:r>
              <w:rPr>
                <w:color w:val="000000"/>
                <w:highlight w:val="none"/>
                <w:lang w:bidi="ar"/>
              </w:rPr>
              <w:t>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镍（</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21.8</w:t>
            </w:r>
          </w:p>
        </w:tc>
        <w:tc>
          <w:tcPr>
            <w:tcW w:w="1949" w:type="dxa"/>
            <w:vAlign w:val="center"/>
          </w:tcPr>
          <w:p>
            <w:pPr>
              <w:pStyle w:val="64"/>
              <w:rPr>
                <w:highlight w:val="none"/>
                <w:lang w:bidi="ar"/>
              </w:rPr>
            </w:pPr>
            <w:r>
              <w:rPr>
                <w:color w:val="000000"/>
                <w:highlight w:val="none"/>
                <w:lang w:bidi="ar"/>
              </w:rPr>
              <w:t>18.9</w:t>
            </w:r>
          </w:p>
        </w:tc>
        <w:tc>
          <w:tcPr>
            <w:tcW w:w="1949" w:type="dxa"/>
            <w:vAlign w:val="center"/>
          </w:tcPr>
          <w:p>
            <w:pPr>
              <w:pStyle w:val="64"/>
              <w:rPr>
                <w:highlight w:val="none"/>
                <w:lang w:bidi="ar"/>
              </w:rPr>
            </w:pPr>
            <w:r>
              <w:rPr>
                <w:color w:val="000000"/>
                <w:highlight w:val="none"/>
                <w:lang w:bidi="ar"/>
              </w:rPr>
              <w:t>13.1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锌（</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93.8</w:t>
            </w:r>
          </w:p>
        </w:tc>
        <w:tc>
          <w:tcPr>
            <w:tcW w:w="1949" w:type="dxa"/>
            <w:vAlign w:val="center"/>
          </w:tcPr>
          <w:p>
            <w:pPr>
              <w:pStyle w:val="64"/>
              <w:rPr>
                <w:highlight w:val="none"/>
                <w:lang w:bidi="ar"/>
              </w:rPr>
            </w:pPr>
            <w:r>
              <w:rPr>
                <w:color w:val="000000"/>
                <w:highlight w:val="none"/>
                <w:lang w:bidi="ar"/>
              </w:rPr>
              <w:t>86.7</w:t>
            </w:r>
          </w:p>
        </w:tc>
        <w:tc>
          <w:tcPr>
            <w:tcW w:w="1949" w:type="dxa"/>
            <w:vAlign w:val="center"/>
          </w:tcPr>
          <w:p>
            <w:pPr>
              <w:pStyle w:val="64"/>
              <w:rPr>
                <w:highlight w:val="none"/>
                <w:lang w:bidi="ar"/>
              </w:rPr>
            </w:pPr>
            <w:r>
              <w:rPr>
                <w:color w:val="000000"/>
                <w:highlight w:val="none"/>
                <w:lang w:bidi="ar"/>
              </w:rPr>
              <w:t>58.2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铬（</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27.7</w:t>
            </w:r>
          </w:p>
        </w:tc>
        <w:tc>
          <w:tcPr>
            <w:tcW w:w="1949" w:type="dxa"/>
            <w:vAlign w:val="center"/>
          </w:tcPr>
          <w:p>
            <w:pPr>
              <w:pStyle w:val="64"/>
              <w:rPr>
                <w:highlight w:val="none"/>
                <w:lang w:bidi="ar"/>
              </w:rPr>
            </w:pPr>
            <w:r>
              <w:rPr>
                <w:color w:val="000000"/>
                <w:highlight w:val="none"/>
                <w:lang w:bidi="ar"/>
              </w:rPr>
              <w:t>24.8</w:t>
            </w:r>
          </w:p>
        </w:tc>
        <w:tc>
          <w:tcPr>
            <w:tcW w:w="1949" w:type="dxa"/>
            <w:vAlign w:val="center"/>
          </w:tcPr>
          <w:p>
            <w:pPr>
              <w:pStyle w:val="64"/>
              <w:rPr>
                <w:highlight w:val="none"/>
                <w:lang w:bidi="ar"/>
              </w:rPr>
            </w:pPr>
            <w:r>
              <w:rPr>
                <w:color w:val="000000"/>
                <w:highlight w:val="none"/>
                <w:lang w:bidi="ar"/>
              </w:rPr>
              <w:t>16.7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汞（</w:t>
            </w:r>
            <w:r>
              <w:rPr>
                <w:highlight w:val="none"/>
              </w:rPr>
              <w:t>mg/kg</w:t>
            </w:r>
            <w:r>
              <w:rPr>
                <w:rFonts w:hint="eastAsia"/>
                <w:highlight w:val="none"/>
              </w:rPr>
              <w:t>）</w:t>
            </w:r>
          </w:p>
        </w:tc>
        <w:tc>
          <w:tcPr>
            <w:tcW w:w="1949" w:type="dxa"/>
            <w:vAlign w:val="center"/>
          </w:tcPr>
          <w:p>
            <w:pPr>
              <w:pStyle w:val="64"/>
              <w:rPr>
                <w:highlight w:val="none"/>
                <w:lang w:bidi="ar"/>
              </w:rPr>
            </w:pPr>
            <w:r>
              <w:rPr>
                <w:color w:val="000000"/>
                <w:highlight w:val="none"/>
                <w:lang w:bidi="ar"/>
              </w:rPr>
              <w:t>0.017</w:t>
            </w:r>
          </w:p>
        </w:tc>
        <w:tc>
          <w:tcPr>
            <w:tcW w:w="1949" w:type="dxa"/>
            <w:vAlign w:val="center"/>
          </w:tcPr>
          <w:p>
            <w:pPr>
              <w:pStyle w:val="64"/>
              <w:rPr>
                <w:highlight w:val="none"/>
                <w:lang w:bidi="ar"/>
              </w:rPr>
            </w:pPr>
            <w:r>
              <w:rPr>
                <w:color w:val="000000"/>
                <w:highlight w:val="none"/>
                <w:lang w:bidi="ar"/>
              </w:rPr>
              <w:t>0.012</w:t>
            </w:r>
          </w:p>
        </w:tc>
        <w:tc>
          <w:tcPr>
            <w:tcW w:w="1949" w:type="dxa"/>
            <w:vAlign w:val="center"/>
          </w:tcPr>
          <w:p>
            <w:pPr>
              <w:pStyle w:val="64"/>
              <w:rPr>
                <w:highlight w:val="none"/>
                <w:lang w:bidi="ar"/>
              </w:rPr>
            </w:pPr>
            <w:r>
              <w:rPr>
                <w:color w:val="000000"/>
                <w:highlight w:val="none"/>
                <w:lang w:bidi="ar"/>
              </w:rPr>
              <w:t>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restart"/>
            <w:vAlign w:val="center"/>
          </w:tcPr>
          <w:p>
            <w:pPr>
              <w:pStyle w:val="64"/>
              <w:rPr>
                <w:highlight w:val="none"/>
              </w:rPr>
            </w:pPr>
            <w:r>
              <w:rPr>
                <w:rFonts w:hint="eastAsia"/>
                <w:highlight w:val="none"/>
              </w:rPr>
              <w:t>检测项目</w:t>
            </w:r>
          </w:p>
        </w:tc>
        <w:tc>
          <w:tcPr>
            <w:tcW w:w="5847" w:type="dxa"/>
            <w:gridSpan w:val="3"/>
            <w:vAlign w:val="center"/>
          </w:tcPr>
          <w:p>
            <w:pPr>
              <w:pStyle w:val="64"/>
              <w:rPr>
                <w:color w:val="000000"/>
                <w:highlight w:val="none"/>
                <w:lang w:bidi="ar"/>
              </w:rPr>
            </w:pPr>
            <w:r>
              <w:rPr>
                <w:rFonts w:hint="eastAsia"/>
                <w:highlight w:val="none"/>
              </w:rPr>
              <w:t>采样位置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continue"/>
            <w:vAlign w:val="center"/>
          </w:tcPr>
          <w:p>
            <w:pPr>
              <w:pStyle w:val="64"/>
              <w:rPr>
                <w:highlight w:val="none"/>
              </w:rPr>
            </w:pPr>
          </w:p>
        </w:tc>
        <w:tc>
          <w:tcPr>
            <w:tcW w:w="1949" w:type="dxa"/>
            <w:vAlign w:val="center"/>
          </w:tcPr>
          <w:p>
            <w:pPr>
              <w:pStyle w:val="64"/>
              <w:rPr>
                <w:color w:val="000000"/>
                <w:highlight w:val="none"/>
                <w:lang w:bidi="ar"/>
              </w:rPr>
            </w:pPr>
            <w:r>
              <w:rPr>
                <w:color w:val="000000"/>
                <w:highlight w:val="none"/>
                <w:lang w:bidi="ar"/>
              </w:rPr>
              <w:t>6#0-0.5m</w:t>
            </w:r>
          </w:p>
        </w:tc>
        <w:tc>
          <w:tcPr>
            <w:tcW w:w="1949" w:type="dxa"/>
            <w:vAlign w:val="center"/>
          </w:tcPr>
          <w:p>
            <w:pPr>
              <w:pStyle w:val="64"/>
              <w:rPr>
                <w:color w:val="000000"/>
                <w:highlight w:val="none"/>
                <w:lang w:bidi="ar"/>
              </w:rPr>
            </w:pPr>
            <w:r>
              <w:rPr>
                <w:color w:val="000000"/>
                <w:highlight w:val="none"/>
                <w:lang w:bidi="ar"/>
              </w:rPr>
              <w:t>6#0.5-1.5m</w:t>
            </w:r>
          </w:p>
        </w:tc>
        <w:tc>
          <w:tcPr>
            <w:tcW w:w="1949" w:type="dxa"/>
            <w:vAlign w:val="center"/>
          </w:tcPr>
          <w:p>
            <w:pPr>
              <w:pStyle w:val="64"/>
              <w:rPr>
                <w:color w:val="000000"/>
                <w:highlight w:val="none"/>
                <w:lang w:bidi="ar"/>
              </w:rPr>
            </w:pPr>
            <w:r>
              <w:rPr>
                <w:color w:val="000000"/>
                <w:highlight w:val="none"/>
                <w:lang w:bidi="ar"/>
              </w:rPr>
              <w:t>6#1.5-3.0m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镉（</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0.123</w:t>
            </w:r>
          </w:p>
        </w:tc>
        <w:tc>
          <w:tcPr>
            <w:tcW w:w="1949" w:type="dxa"/>
            <w:vAlign w:val="center"/>
          </w:tcPr>
          <w:p>
            <w:pPr>
              <w:pStyle w:val="64"/>
              <w:rPr>
                <w:color w:val="000000"/>
                <w:highlight w:val="none"/>
                <w:lang w:bidi="ar"/>
              </w:rPr>
            </w:pPr>
            <w:r>
              <w:rPr>
                <w:color w:val="000000"/>
                <w:highlight w:val="none"/>
                <w:lang w:bidi="ar"/>
              </w:rPr>
              <w:t>0.114</w:t>
            </w:r>
          </w:p>
        </w:tc>
        <w:tc>
          <w:tcPr>
            <w:tcW w:w="1949" w:type="dxa"/>
            <w:vAlign w:val="center"/>
          </w:tcPr>
          <w:p>
            <w:pPr>
              <w:pStyle w:val="64"/>
              <w:rPr>
                <w:color w:val="000000"/>
                <w:highlight w:val="none"/>
                <w:lang w:bidi="ar"/>
              </w:rPr>
            </w:pPr>
            <w:r>
              <w:rPr>
                <w:color w:val="000000"/>
                <w:highlight w:val="none"/>
                <w:lang w:bidi="ar"/>
              </w:rPr>
              <w:t>0.089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铅（</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14.1</w:t>
            </w:r>
          </w:p>
        </w:tc>
        <w:tc>
          <w:tcPr>
            <w:tcW w:w="1949" w:type="dxa"/>
            <w:vAlign w:val="center"/>
          </w:tcPr>
          <w:p>
            <w:pPr>
              <w:pStyle w:val="64"/>
              <w:rPr>
                <w:color w:val="000000"/>
                <w:highlight w:val="none"/>
                <w:lang w:bidi="ar"/>
              </w:rPr>
            </w:pPr>
            <w:r>
              <w:rPr>
                <w:color w:val="000000"/>
                <w:highlight w:val="none"/>
                <w:lang w:bidi="ar"/>
              </w:rPr>
              <w:t>11.9</w:t>
            </w:r>
          </w:p>
        </w:tc>
        <w:tc>
          <w:tcPr>
            <w:tcW w:w="1949" w:type="dxa"/>
            <w:vAlign w:val="center"/>
          </w:tcPr>
          <w:p>
            <w:pPr>
              <w:pStyle w:val="64"/>
              <w:rPr>
                <w:color w:val="000000"/>
                <w:highlight w:val="none"/>
                <w:lang w:bidi="ar"/>
              </w:rPr>
            </w:pPr>
            <w:r>
              <w:rPr>
                <w:highlight w:val="none"/>
                <w:lang w:bidi="ar"/>
              </w:rPr>
              <w:t>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铜（</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49.8</w:t>
            </w:r>
          </w:p>
        </w:tc>
        <w:tc>
          <w:tcPr>
            <w:tcW w:w="1949" w:type="dxa"/>
            <w:vAlign w:val="center"/>
          </w:tcPr>
          <w:p>
            <w:pPr>
              <w:pStyle w:val="64"/>
              <w:rPr>
                <w:color w:val="000000"/>
                <w:highlight w:val="none"/>
                <w:lang w:bidi="ar"/>
              </w:rPr>
            </w:pPr>
            <w:r>
              <w:rPr>
                <w:color w:val="000000"/>
                <w:highlight w:val="none"/>
                <w:lang w:bidi="ar"/>
              </w:rPr>
              <w:t>41.7</w:t>
            </w:r>
          </w:p>
        </w:tc>
        <w:tc>
          <w:tcPr>
            <w:tcW w:w="1949" w:type="dxa"/>
            <w:vAlign w:val="center"/>
          </w:tcPr>
          <w:p>
            <w:pPr>
              <w:pStyle w:val="64"/>
              <w:rPr>
                <w:color w:val="000000"/>
                <w:highlight w:val="none"/>
                <w:lang w:bidi="ar"/>
              </w:rPr>
            </w:pPr>
            <w:r>
              <w:rPr>
                <w:color w:val="000000"/>
                <w:highlight w:val="none"/>
                <w:lang w:bidi="ar"/>
              </w:rPr>
              <w:t>34.6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砷（</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17.5</w:t>
            </w:r>
          </w:p>
        </w:tc>
        <w:tc>
          <w:tcPr>
            <w:tcW w:w="1949" w:type="dxa"/>
            <w:vAlign w:val="center"/>
          </w:tcPr>
          <w:p>
            <w:pPr>
              <w:pStyle w:val="64"/>
              <w:rPr>
                <w:color w:val="000000"/>
                <w:highlight w:val="none"/>
                <w:lang w:bidi="ar"/>
              </w:rPr>
            </w:pPr>
            <w:r>
              <w:rPr>
                <w:color w:val="000000"/>
                <w:highlight w:val="none"/>
                <w:lang w:bidi="ar"/>
              </w:rPr>
              <w:t>15.2</w:t>
            </w:r>
          </w:p>
        </w:tc>
        <w:tc>
          <w:tcPr>
            <w:tcW w:w="1949" w:type="dxa"/>
            <w:vAlign w:val="center"/>
          </w:tcPr>
          <w:p>
            <w:pPr>
              <w:pStyle w:val="64"/>
              <w:rPr>
                <w:color w:val="000000"/>
                <w:highlight w:val="none"/>
                <w:lang w:bidi="ar"/>
              </w:rPr>
            </w:pPr>
            <w:r>
              <w:rPr>
                <w:color w:val="000000"/>
                <w:highlight w:val="none"/>
                <w:lang w:bidi="ar"/>
              </w:rPr>
              <w:t>10.1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镍（</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21.4</w:t>
            </w:r>
          </w:p>
        </w:tc>
        <w:tc>
          <w:tcPr>
            <w:tcW w:w="1949" w:type="dxa"/>
            <w:vAlign w:val="center"/>
          </w:tcPr>
          <w:p>
            <w:pPr>
              <w:pStyle w:val="64"/>
              <w:rPr>
                <w:color w:val="000000"/>
                <w:highlight w:val="none"/>
                <w:lang w:bidi="ar"/>
              </w:rPr>
            </w:pPr>
            <w:r>
              <w:rPr>
                <w:color w:val="000000"/>
                <w:highlight w:val="none"/>
                <w:lang w:bidi="ar"/>
              </w:rPr>
              <w:t>17.6</w:t>
            </w:r>
          </w:p>
        </w:tc>
        <w:tc>
          <w:tcPr>
            <w:tcW w:w="1949" w:type="dxa"/>
            <w:vAlign w:val="center"/>
          </w:tcPr>
          <w:p>
            <w:pPr>
              <w:pStyle w:val="64"/>
              <w:rPr>
                <w:color w:val="000000"/>
                <w:highlight w:val="none"/>
                <w:lang w:bidi="ar"/>
              </w:rPr>
            </w:pPr>
            <w:r>
              <w:rPr>
                <w:color w:val="000000"/>
                <w:highlight w:val="none"/>
                <w:lang w:bidi="ar"/>
              </w:rPr>
              <w:t>12.9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锌（</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94.2</w:t>
            </w:r>
          </w:p>
        </w:tc>
        <w:tc>
          <w:tcPr>
            <w:tcW w:w="1949" w:type="dxa"/>
            <w:vAlign w:val="center"/>
          </w:tcPr>
          <w:p>
            <w:pPr>
              <w:pStyle w:val="64"/>
              <w:rPr>
                <w:color w:val="000000"/>
                <w:highlight w:val="none"/>
                <w:lang w:bidi="ar"/>
              </w:rPr>
            </w:pPr>
            <w:r>
              <w:rPr>
                <w:color w:val="000000"/>
                <w:highlight w:val="none"/>
                <w:lang w:bidi="ar"/>
              </w:rPr>
              <w:t>85.7</w:t>
            </w:r>
          </w:p>
        </w:tc>
        <w:tc>
          <w:tcPr>
            <w:tcW w:w="1949" w:type="dxa"/>
            <w:vAlign w:val="center"/>
          </w:tcPr>
          <w:p>
            <w:pPr>
              <w:pStyle w:val="64"/>
              <w:rPr>
                <w:color w:val="000000"/>
                <w:highlight w:val="none"/>
                <w:lang w:bidi="ar"/>
              </w:rPr>
            </w:pPr>
            <w:r>
              <w:rPr>
                <w:color w:val="000000"/>
                <w:highlight w:val="none"/>
                <w:lang w:bidi="ar"/>
              </w:rPr>
              <w:t>58.7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铬（</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26.9</w:t>
            </w:r>
          </w:p>
        </w:tc>
        <w:tc>
          <w:tcPr>
            <w:tcW w:w="1949" w:type="dxa"/>
            <w:vAlign w:val="center"/>
          </w:tcPr>
          <w:p>
            <w:pPr>
              <w:pStyle w:val="64"/>
              <w:rPr>
                <w:color w:val="000000"/>
                <w:highlight w:val="none"/>
                <w:lang w:bidi="ar"/>
              </w:rPr>
            </w:pPr>
            <w:r>
              <w:rPr>
                <w:color w:val="000000"/>
                <w:highlight w:val="none"/>
                <w:lang w:bidi="ar"/>
              </w:rPr>
              <w:t>23.4</w:t>
            </w:r>
          </w:p>
        </w:tc>
        <w:tc>
          <w:tcPr>
            <w:tcW w:w="1949" w:type="dxa"/>
            <w:vAlign w:val="center"/>
          </w:tcPr>
          <w:p>
            <w:pPr>
              <w:pStyle w:val="64"/>
              <w:rPr>
                <w:color w:val="000000"/>
                <w:highlight w:val="none"/>
                <w:lang w:bidi="ar"/>
              </w:rPr>
            </w:pPr>
            <w:r>
              <w:rPr>
                <w:color w:val="000000"/>
                <w:highlight w:val="none"/>
                <w:lang w:bidi="ar"/>
              </w:rPr>
              <w:t>16.1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汞（</w:t>
            </w:r>
            <w:r>
              <w:rPr>
                <w:highlight w:val="none"/>
              </w:rPr>
              <w:t>mg/kg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0.011</w:t>
            </w:r>
          </w:p>
        </w:tc>
        <w:tc>
          <w:tcPr>
            <w:tcW w:w="1949" w:type="dxa"/>
            <w:vAlign w:val="center"/>
          </w:tcPr>
          <w:p>
            <w:pPr>
              <w:pStyle w:val="64"/>
              <w:rPr>
                <w:color w:val="000000"/>
                <w:highlight w:val="none"/>
                <w:lang w:bidi="ar"/>
              </w:rPr>
            </w:pPr>
            <w:r>
              <w:rPr>
                <w:color w:val="000000"/>
                <w:highlight w:val="none"/>
                <w:lang w:bidi="ar"/>
              </w:rPr>
              <w:t>0.092</w:t>
            </w:r>
          </w:p>
        </w:tc>
        <w:tc>
          <w:tcPr>
            <w:tcW w:w="1949" w:type="dxa"/>
            <w:vAlign w:val="center"/>
          </w:tcPr>
          <w:p>
            <w:pPr>
              <w:pStyle w:val="64"/>
              <w:rPr>
                <w:color w:val="000000"/>
                <w:highlight w:val="none"/>
                <w:lang w:bidi="ar"/>
              </w:rPr>
            </w:pPr>
            <w:r>
              <w:rPr>
                <w:color w:val="000000"/>
                <w:highlight w:val="none"/>
                <w:lang w:bidi="ar"/>
              </w:rPr>
              <w:t>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highlight w:val="none"/>
              </w:rPr>
              <w:t>pH</w:t>
            </w:r>
            <w:r>
              <w:rPr>
                <w:rFonts w:hint="eastAsia"/>
                <w:highlight w:val="none"/>
              </w:rPr>
              <w:t>值</w:t>
            </w:r>
          </w:p>
        </w:tc>
        <w:tc>
          <w:tcPr>
            <w:tcW w:w="1949" w:type="dxa"/>
            <w:vAlign w:val="center"/>
          </w:tcPr>
          <w:p>
            <w:pPr>
              <w:pStyle w:val="64"/>
              <w:rPr>
                <w:color w:val="000000"/>
                <w:highlight w:val="none"/>
                <w:lang w:bidi="ar"/>
              </w:rPr>
            </w:pPr>
            <w:r>
              <w:rPr>
                <w:color w:val="000000"/>
                <w:highlight w:val="none"/>
                <w:lang w:bidi="ar"/>
              </w:rPr>
              <w:t>8.27</w:t>
            </w:r>
          </w:p>
        </w:tc>
        <w:tc>
          <w:tcPr>
            <w:tcW w:w="3898" w:type="dxa"/>
            <w:gridSpan w:val="2"/>
            <w:vMerge w:val="restart"/>
            <w:vAlign w:val="center"/>
          </w:tcPr>
          <w:p>
            <w:pPr>
              <w:pStyle w:val="64"/>
              <w:rPr>
                <w:color w:val="00000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阳离子交换量（</w:t>
            </w:r>
            <w:r>
              <w:rPr>
                <w:highlight w:val="none"/>
              </w:rPr>
              <w:t>cmol</w:t>
            </w:r>
            <w:r>
              <w:rPr>
                <w:rFonts w:hint="eastAsia"/>
                <w:highlight w:val="none"/>
              </w:rPr>
              <w:t>（</w:t>
            </w:r>
            <w:r>
              <w:rPr>
                <w:highlight w:val="none"/>
              </w:rPr>
              <w:t>+</w:t>
            </w:r>
            <w:r>
              <w:rPr>
                <w:rFonts w:hint="eastAsia"/>
                <w:highlight w:val="none"/>
              </w:rPr>
              <w:t>）</w:t>
            </w:r>
            <w:r>
              <w:rPr>
                <w:highlight w:val="none"/>
              </w:rPr>
              <w:t>/kg</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15.3</w:t>
            </w:r>
          </w:p>
        </w:tc>
        <w:tc>
          <w:tcPr>
            <w:tcW w:w="3898" w:type="dxa"/>
            <w:gridSpan w:val="2"/>
            <w:vMerge w:val="continue"/>
            <w:vAlign w:val="center"/>
          </w:tcPr>
          <w:p>
            <w:pPr>
              <w:pStyle w:val="64"/>
              <w:rPr>
                <w:color w:val="00000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氧化还原电位（</w:t>
            </w:r>
            <w:r>
              <w:rPr>
                <w:highlight w:val="none"/>
              </w:rPr>
              <w:t>mV</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501</w:t>
            </w:r>
          </w:p>
        </w:tc>
        <w:tc>
          <w:tcPr>
            <w:tcW w:w="3898" w:type="dxa"/>
            <w:gridSpan w:val="2"/>
            <w:vMerge w:val="continue"/>
            <w:vAlign w:val="center"/>
          </w:tcPr>
          <w:p>
            <w:pPr>
              <w:pStyle w:val="64"/>
              <w:rPr>
                <w:color w:val="00000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饱和导水率（</w:t>
            </w:r>
            <w:r>
              <w:rPr>
                <w:highlight w:val="none"/>
              </w:rPr>
              <w:t>mm/min</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1.94</w:t>
            </w:r>
          </w:p>
        </w:tc>
        <w:tc>
          <w:tcPr>
            <w:tcW w:w="3898" w:type="dxa"/>
            <w:gridSpan w:val="2"/>
            <w:vMerge w:val="continue"/>
            <w:vAlign w:val="center"/>
          </w:tcPr>
          <w:p>
            <w:pPr>
              <w:pStyle w:val="64"/>
              <w:rPr>
                <w:color w:val="00000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土壤容重（</w:t>
            </w:r>
            <w:r>
              <w:rPr>
                <w:highlight w:val="none"/>
              </w:rPr>
              <w:t>g/cm</w:t>
            </w:r>
            <w:r>
              <w:rPr>
                <w:highlight w:val="none"/>
                <w:vertAlign w:val="superscript"/>
              </w:rPr>
              <w:t>3</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1.03</w:t>
            </w:r>
          </w:p>
        </w:tc>
        <w:tc>
          <w:tcPr>
            <w:tcW w:w="3898" w:type="dxa"/>
            <w:gridSpan w:val="2"/>
            <w:vMerge w:val="continue"/>
            <w:vAlign w:val="center"/>
          </w:tcPr>
          <w:p>
            <w:pPr>
              <w:pStyle w:val="64"/>
              <w:rPr>
                <w:color w:val="00000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孔隙度（</w:t>
            </w:r>
            <w:r>
              <w:rPr>
                <w:highlight w:val="none"/>
              </w:rPr>
              <w:t>%</w:t>
            </w:r>
            <w:r>
              <w:rPr>
                <w:rFonts w:hint="eastAsia"/>
                <w:highlight w:val="none"/>
              </w:rPr>
              <w:t>）</w:t>
            </w:r>
          </w:p>
        </w:tc>
        <w:tc>
          <w:tcPr>
            <w:tcW w:w="1949" w:type="dxa"/>
            <w:vAlign w:val="center"/>
          </w:tcPr>
          <w:p>
            <w:pPr>
              <w:pStyle w:val="64"/>
              <w:rPr>
                <w:color w:val="000000"/>
                <w:highlight w:val="none"/>
                <w:lang w:bidi="ar"/>
              </w:rPr>
            </w:pPr>
            <w:r>
              <w:rPr>
                <w:color w:val="000000"/>
                <w:highlight w:val="none"/>
                <w:lang w:bidi="ar"/>
              </w:rPr>
              <w:t>62.1</w:t>
            </w:r>
          </w:p>
        </w:tc>
        <w:tc>
          <w:tcPr>
            <w:tcW w:w="3898" w:type="dxa"/>
            <w:gridSpan w:val="2"/>
            <w:vMerge w:val="continue"/>
            <w:vAlign w:val="center"/>
          </w:tcPr>
          <w:p>
            <w:pPr>
              <w:pStyle w:val="64"/>
              <w:rPr>
                <w:color w:val="000000"/>
                <w:highlight w:val="none"/>
                <w:lang w:bidi="ar"/>
              </w:rPr>
            </w:pPr>
          </w:p>
        </w:tc>
      </w:tr>
    </w:tbl>
    <w:p>
      <w:pPr>
        <w:ind w:firstLine="480"/>
        <w:jc w:val="center"/>
        <w:rPr>
          <w:rFonts w:ascii="宋体" w:hAnsi="宋体"/>
          <w:bCs/>
          <w:szCs w:val="22"/>
          <w:highlight w:val="none"/>
        </w:rPr>
      </w:pPr>
      <w:r>
        <w:rPr>
          <w:rFonts w:ascii="宋体" w:hAnsi="宋体"/>
          <w:bCs/>
          <w:szCs w:val="22"/>
          <w:highlight w:val="none"/>
        </w:rPr>
        <w:t>续表4.3-1</w:t>
      </w:r>
      <w:r>
        <w:rPr>
          <w:rFonts w:hint="eastAsia" w:ascii="宋体" w:hAnsi="宋体"/>
          <w:bCs/>
          <w:szCs w:val="22"/>
          <w:highlight w:val="none"/>
        </w:rPr>
        <w:t xml:space="preserve">9  </w:t>
      </w:r>
      <w:r>
        <w:rPr>
          <w:rFonts w:ascii="宋体" w:hAnsi="宋体"/>
          <w:bCs/>
          <w:szCs w:val="22"/>
          <w:highlight w:val="none"/>
        </w:rPr>
        <w:t>土壤监测结果统计表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1949"/>
        <w:gridCol w:w="1949"/>
        <w:gridCol w:w="194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restart"/>
            <w:vAlign w:val="center"/>
          </w:tcPr>
          <w:p>
            <w:pPr>
              <w:pStyle w:val="64"/>
              <w:rPr>
                <w:highlight w:val="none"/>
              </w:rPr>
            </w:pPr>
            <w:r>
              <w:rPr>
                <w:rFonts w:hint="eastAsia"/>
                <w:highlight w:val="none"/>
              </w:rPr>
              <w:t>检测项目</w:t>
            </w:r>
          </w:p>
        </w:tc>
        <w:tc>
          <w:tcPr>
            <w:tcW w:w="5847" w:type="dxa"/>
            <w:gridSpan w:val="3"/>
            <w:vAlign w:val="center"/>
          </w:tcPr>
          <w:p>
            <w:pPr>
              <w:pStyle w:val="64"/>
              <w:rPr>
                <w:highlight w:val="none"/>
              </w:rPr>
            </w:pPr>
            <w:r>
              <w:rPr>
                <w:rFonts w:hint="eastAsia"/>
                <w:highlight w:val="none"/>
              </w:rPr>
              <w:t>采样位置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Merge w:val="continue"/>
            <w:vAlign w:val="center"/>
          </w:tcPr>
          <w:p>
            <w:pPr>
              <w:pStyle w:val="64"/>
              <w:rPr>
                <w:highlight w:val="none"/>
              </w:rPr>
            </w:pPr>
          </w:p>
        </w:tc>
        <w:tc>
          <w:tcPr>
            <w:tcW w:w="1949" w:type="dxa"/>
            <w:vAlign w:val="center"/>
          </w:tcPr>
          <w:p>
            <w:pPr>
              <w:pStyle w:val="64"/>
              <w:rPr>
                <w:highlight w:val="none"/>
                <w:lang w:bidi="ar"/>
              </w:rPr>
            </w:pPr>
            <w:r>
              <w:rPr>
                <w:highlight w:val="none"/>
                <w:lang w:bidi="ar"/>
              </w:rPr>
              <w:t>7#0-0.2m</w:t>
            </w:r>
          </w:p>
        </w:tc>
        <w:tc>
          <w:tcPr>
            <w:tcW w:w="1949" w:type="dxa"/>
            <w:vAlign w:val="center"/>
          </w:tcPr>
          <w:p>
            <w:pPr>
              <w:pStyle w:val="64"/>
              <w:rPr>
                <w:highlight w:val="none"/>
              </w:rPr>
            </w:pPr>
            <w:r>
              <w:rPr>
                <w:highlight w:val="none"/>
                <w:lang w:bidi="ar"/>
              </w:rPr>
              <w:t>8#0-0.2m</w:t>
            </w:r>
          </w:p>
        </w:tc>
        <w:tc>
          <w:tcPr>
            <w:tcW w:w="1949" w:type="dxa"/>
            <w:vAlign w:val="center"/>
          </w:tcPr>
          <w:p>
            <w:pPr>
              <w:pStyle w:val="64"/>
              <w:rPr>
                <w:highlight w:val="none"/>
              </w:rPr>
            </w:pPr>
            <w:r>
              <w:rPr>
                <w:highlight w:val="none"/>
                <w:lang w:bidi="ar"/>
              </w:rPr>
              <w:t>9#0-0.2m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镉（</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0.103</w:t>
            </w:r>
          </w:p>
        </w:tc>
        <w:tc>
          <w:tcPr>
            <w:tcW w:w="1949" w:type="dxa"/>
            <w:vAlign w:val="center"/>
          </w:tcPr>
          <w:p>
            <w:pPr>
              <w:pStyle w:val="64"/>
              <w:rPr>
                <w:highlight w:val="none"/>
                <w:lang w:bidi="ar"/>
              </w:rPr>
            </w:pPr>
            <w:r>
              <w:rPr>
                <w:highlight w:val="none"/>
                <w:lang w:bidi="ar"/>
              </w:rPr>
              <w:t>0.126</w:t>
            </w:r>
          </w:p>
        </w:tc>
        <w:tc>
          <w:tcPr>
            <w:tcW w:w="1949" w:type="dxa"/>
            <w:vAlign w:val="center"/>
          </w:tcPr>
          <w:p>
            <w:pPr>
              <w:pStyle w:val="64"/>
              <w:rPr>
                <w:highlight w:val="none"/>
                <w:lang w:bidi="ar"/>
              </w:rPr>
            </w:pPr>
            <w:r>
              <w:rPr>
                <w:highlight w:val="none"/>
                <w:lang w:bidi="ar"/>
              </w:rPr>
              <w:t>0.109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铅（</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13.5</w:t>
            </w:r>
          </w:p>
        </w:tc>
        <w:tc>
          <w:tcPr>
            <w:tcW w:w="1949" w:type="dxa"/>
            <w:vAlign w:val="center"/>
          </w:tcPr>
          <w:p>
            <w:pPr>
              <w:pStyle w:val="64"/>
              <w:rPr>
                <w:highlight w:val="none"/>
                <w:lang w:bidi="ar"/>
              </w:rPr>
            </w:pPr>
            <w:r>
              <w:rPr>
                <w:highlight w:val="none"/>
                <w:lang w:bidi="ar"/>
              </w:rPr>
              <w:t>12.8</w:t>
            </w:r>
          </w:p>
        </w:tc>
        <w:tc>
          <w:tcPr>
            <w:tcW w:w="1949" w:type="dxa"/>
            <w:vAlign w:val="center"/>
          </w:tcPr>
          <w:p>
            <w:pPr>
              <w:pStyle w:val="64"/>
              <w:rPr>
                <w:highlight w:val="none"/>
                <w:lang w:bidi="ar"/>
              </w:rPr>
            </w:pPr>
            <w:r>
              <w:rPr>
                <w:highlight w:val="none"/>
                <w:lang w:bidi="ar"/>
              </w:rPr>
              <w:t>13.0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铜（</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48.5</w:t>
            </w:r>
          </w:p>
        </w:tc>
        <w:tc>
          <w:tcPr>
            <w:tcW w:w="1949" w:type="dxa"/>
            <w:vAlign w:val="center"/>
          </w:tcPr>
          <w:p>
            <w:pPr>
              <w:pStyle w:val="64"/>
              <w:rPr>
                <w:highlight w:val="none"/>
                <w:lang w:bidi="ar"/>
              </w:rPr>
            </w:pPr>
            <w:r>
              <w:rPr>
                <w:highlight w:val="none"/>
                <w:lang w:bidi="ar"/>
              </w:rPr>
              <w:t>51.3</w:t>
            </w:r>
          </w:p>
        </w:tc>
        <w:tc>
          <w:tcPr>
            <w:tcW w:w="1949" w:type="dxa"/>
            <w:vAlign w:val="center"/>
          </w:tcPr>
          <w:p>
            <w:pPr>
              <w:pStyle w:val="64"/>
              <w:rPr>
                <w:highlight w:val="none"/>
                <w:lang w:bidi="ar"/>
              </w:rPr>
            </w:pPr>
            <w:r>
              <w:rPr>
                <w:highlight w:val="none"/>
                <w:lang w:bidi="ar"/>
              </w:rPr>
              <w:t>65.7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砷（</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14.8</w:t>
            </w:r>
          </w:p>
        </w:tc>
        <w:tc>
          <w:tcPr>
            <w:tcW w:w="1949" w:type="dxa"/>
            <w:vAlign w:val="center"/>
          </w:tcPr>
          <w:p>
            <w:pPr>
              <w:pStyle w:val="64"/>
              <w:rPr>
                <w:highlight w:val="none"/>
                <w:lang w:bidi="ar"/>
              </w:rPr>
            </w:pPr>
            <w:r>
              <w:rPr>
                <w:highlight w:val="none"/>
                <w:lang w:bidi="ar"/>
              </w:rPr>
              <w:t>16.0</w:t>
            </w:r>
          </w:p>
        </w:tc>
        <w:tc>
          <w:tcPr>
            <w:tcW w:w="1949" w:type="dxa"/>
            <w:vAlign w:val="center"/>
          </w:tcPr>
          <w:p>
            <w:pPr>
              <w:pStyle w:val="64"/>
              <w:rPr>
                <w:highlight w:val="none"/>
                <w:lang w:bidi="ar"/>
              </w:rPr>
            </w:pPr>
            <w:r>
              <w:rPr>
                <w:highlight w:val="none"/>
                <w:lang w:bidi="ar"/>
              </w:rPr>
              <w:t>16.7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镍（</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19.7</w:t>
            </w:r>
          </w:p>
        </w:tc>
        <w:tc>
          <w:tcPr>
            <w:tcW w:w="1949" w:type="dxa"/>
            <w:vAlign w:val="center"/>
          </w:tcPr>
          <w:p>
            <w:pPr>
              <w:pStyle w:val="64"/>
              <w:rPr>
                <w:highlight w:val="none"/>
                <w:lang w:bidi="ar"/>
              </w:rPr>
            </w:pPr>
            <w:r>
              <w:rPr>
                <w:highlight w:val="none"/>
                <w:lang w:bidi="ar"/>
              </w:rPr>
              <w:t>20.1</w:t>
            </w:r>
          </w:p>
        </w:tc>
        <w:tc>
          <w:tcPr>
            <w:tcW w:w="1949" w:type="dxa"/>
            <w:vAlign w:val="center"/>
          </w:tcPr>
          <w:p>
            <w:pPr>
              <w:pStyle w:val="64"/>
              <w:rPr>
                <w:highlight w:val="none"/>
                <w:lang w:bidi="ar"/>
              </w:rPr>
            </w:pPr>
            <w:r>
              <w:rPr>
                <w:highlight w:val="none"/>
                <w:lang w:bidi="ar"/>
              </w:rPr>
              <w:t>17.9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锌（</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94.1</w:t>
            </w:r>
          </w:p>
        </w:tc>
        <w:tc>
          <w:tcPr>
            <w:tcW w:w="1949" w:type="dxa"/>
            <w:vAlign w:val="center"/>
          </w:tcPr>
          <w:p>
            <w:pPr>
              <w:pStyle w:val="64"/>
              <w:rPr>
                <w:highlight w:val="none"/>
                <w:lang w:bidi="ar"/>
              </w:rPr>
            </w:pPr>
            <w:r>
              <w:rPr>
                <w:highlight w:val="none"/>
                <w:lang w:bidi="ar"/>
              </w:rPr>
              <w:t>90.5</w:t>
            </w:r>
          </w:p>
        </w:tc>
        <w:tc>
          <w:tcPr>
            <w:tcW w:w="1949" w:type="dxa"/>
            <w:vAlign w:val="center"/>
          </w:tcPr>
          <w:p>
            <w:pPr>
              <w:pStyle w:val="64"/>
              <w:rPr>
                <w:highlight w:val="none"/>
                <w:lang w:bidi="ar"/>
              </w:rPr>
            </w:pPr>
            <w:r>
              <w:rPr>
                <w:highlight w:val="none"/>
                <w:lang w:bidi="ar"/>
              </w:rPr>
              <w:t>59.9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铬（</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29.7</w:t>
            </w:r>
          </w:p>
        </w:tc>
        <w:tc>
          <w:tcPr>
            <w:tcW w:w="1949" w:type="dxa"/>
            <w:vAlign w:val="center"/>
          </w:tcPr>
          <w:p>
            <w:pPr>
              <w:pStyle w:val="64"/>
              <w:rPr>
                <w:highlight w:val="none"/>
                <w:lang w:bidi="ar"/>
              </w:rPr>
            </w:pPr>
            <w:r>
              <w:rPr>
                <w:highlight w:val="none"/>
                <w:lang w:bidi="ar"/>
              </w:rPr>
              <w:t>27.1</w:t>
            </w:r>
          </w:p>
        </w:tc>
        <w:tc>
          <w:tcPr>
            <w:tcW w:w="1949" w:type="dxa"/>
            <w:vAlign w:val="center"/>
          </w:tcPr>
          <w:p>
            <w:pPr>
              <w:pStyle w:val="64"/>
              <w:rPr>
                <w:highlight w:val="none"/>
                <w:lang w:bidi="ar"/>
              </w:rPr>
            </w:pPr>
            <w:r>
              <w:rPr>
                <w:highlight w:val="none"/>
                <w:lang w:bidi="ar"/>
              </w:rPr>
              <w:t>25.8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103" w:type="dxa"/>
            <w:vAlign w:val="center"/>
          </w:tcPr>
          <w:p>
            <w:pPr>
              <w:pStyle w:val="64"/>
              <w:rPr>
                <w:highlight w:val="none"/>
              </w:rPr>
            </w:pPr>
            <w:r>
              <w:rPr>
                <w:rFonts w:hint="eastAsia"/>
                <w:highlight w:val="none"/>
              </w:rPr>
              <w:t>汞（</w:t>
            </w:r>
            <w:r>
              <w:rPr>
                <w:highlight w:val="none"/>
              </w:rPr>
              <w:t>mg/kg</w:t>
            </w:r>
            <w:r>
              <w:rPr>
                <w:rFonts w:hint="eastAsia"/>
                <w:highlight w:val="none"/>
              </w:rPr>
              <w:t>）</w:t>
            </w:r>
          </w:p>
        </w:tc>
        <w:tc>
          <w:tcPr>
            <w:tcW w:w="1949" w:type="dxa"/>
            <w:vAlign w:val="center"/>
          </w:tcPr>
          <w:p>
            <w:pPr>
              <w:pStyle w:val="64"/>
              <w:rPr>
                <w:highlight w:val="none"/>
                <w:lang w:bidi="ar"/>
              </w:rPr>
            </w:pPr>
            <w:r>
              <w:rPr>
                <w:highlight w:val="none"/>
                <w:lang w:bidi="ar"/>
              </w:rPr>
              <w:t>0.008</w:t>
            </w:r>
          </w:p>
        </w:tc>
        <w:tc>
          <w:tcPr>
            <w:tcW w:w="1949" w:type="dxa"/>
            <w:vAlign w:val="center"/>
          </w:tcPr>
          <w:p>
            <w:pPr>
              <w:pStyle w:val="64"/>
              <w:rPr>
                <w:highlight w:val="none"/>
                <w:lang w:bidi="ar"/>
              </w:rPr>
            </w:pPr>
            <w:r>
              <w:rPr>
                <w:highlight w:val="none"/>
                <w:lang w:bidi="ar"/>
              </w:rPr>
              <w:t>0.010</w:t>
            </w:r>
          </w:p>
        </w:tc>
        <w:tc>
          <w:tcPr>
            <w:tcW w:w="1949" w:type="dxa"/>
            <w:vAlign w:val="center"/>
          </w:tcPr>
          <w:p>
            <w:pPr>
              <w:pStyle w:val="64"/>
              <w:rPr>
                <w:highlight w:val="none"/>
                <w:lang w:bidi="ar"/>
              </w:rPr>
            </w:pPr>
            <w:r>
              <w:rPr>
                <w:highlight w:val="none"/>
                <w:lang w:bidi="ar"/>
              </w:rPr>
              <w:t>0.019</w:t>
            </w:r>
          </w:p>
        </w:tc>
      </w:tr>
    </w:tbl>
    <w:p>
      <w:pPr>
        <w:ind w:firstLine="480"/>
        <w:rPr>
          <w:rFonts w:ascii="宋体" w:hAnsi="宋体"/>
          <w:highlight w:val="none"/>
        </w:rPr>
      </w:pPr>
      <w:r>
        <w:rPr>
          <w:rFonts w:ascii="宋体" w:hAnsi="宋体"/>
          <w:highlight w:val="none"/>
        </w:rPr>
        <w:t>4.3.5.2</w:t>
      </w:r>
      <w:r>
        <w:rPr>
          <w:rFonts w:hint="eastAsia" w:ascii="宋体" w:hAnsi="宋体"/>
          <w:highlight w:val="none"/>
        </w:rPr>
        <w:t>土壤环境质量现状评价</w:t>
      </w:r>
    </w:p>
    <w:p>
      <w:pPr>
        <w:ind w:firstLine="480"/>
        <w:rPr>
          <w:rFonts w:ascii="宋体" w:hAnsi="宋体"/>
          <w:highlight w:val="none"/>
        </w:rPr>
      </w:pPr>
      <w:r>
        <w:rPr>
          <w:rFonts w:ascii="宋体" w:hAnsi="宋体"/>
          <w:highlight w:val="none"/>
        </w:rPr>
        <w:t>1</w:t>
      </w:r>
      <w:r>
        <w:rPr>
          <w:rFonts w:hint="eastAsia" w:ascii="宋体" w:hAnsi="宋体"/>
          <w:highlight w:val="none"/>
        </w:rPr>
        <w:t>、评价方法</w:t>
      </w:r>
    </w:p>
    <w:p>
      <w:pPr>
        <w:ind w:firstLine="480"/>
        <w:rPr>
          <w:rFonts w:ascii="宋体" w:hAnsi="宋体"/>
          <w:highlight w:val="none"/>
        </w:rPr>
      </w:pPr>
      <w:r>
        <w:rPr>
          <w:rFonts w:hint="eastAsia" w:ascii="宋体" w:hAnsi="宋体"/>
          <w:highlight w:val="none"/>
        </w:rPr>
        <w:t>采用标准指数法进行评价，其计算公式如下：</w:t>
      </w:r>
    </w:p>
    <w:p>
      <w:pPr>
        <w:spacing w:line="360" w:lineRule="auto"/>
        <w:ind w:firstLine="480"/>
        <w:rPr>
          <w:rFonts w:ascii="宋体" w:hAnsi="宋体"/>
          <w:highlight w:val="none"/>
        </w:rPr>
      </w:pPr>
      <w:r>
        <w:rPr>
          <w:rFonts w:ascii="宋体" w:hAnsi="宋体"/>
          <w:highlight w:val="none"/>
        </w:rPr>
        <w:drawing>
          <wp:inline distT="0" distB="0" distL="0" distR="0">
            <wp:extent cx="1097280" cy="403860"/>
            <wp:effectExtent l="19050" t="0" r="7620"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noChangeArrowheads="1"/>
                    </pic:cNvPicPr>
                  </pic:nvPicPr>
                  <pic:blipFill>
                    <a:blip r:embed="rId50"/>
                    <a:srcRect/>
                    <a:stretch>
                      <a:fillRect/>
                    </a:stretch>
                  </pic:blipFill>
                  <pic:spPr>
                    <a:xfrm>
                      <a:off x="0" y="0"/>
                      <a:ext cx="1097280" cy="403860"/>
                    </a:xfrm>
                    <a:prstGeom prst="rect">
                      <a:avLst/>
                    </a:prstGeom>
                    <a:noFill/>
                    <a:ln w="9525">
                      <a:noFill/>
                      <a:miter lim="800000"/>
                      <a:headEnd/>
                      <a:tailEnd/>
                    </a:ln>
                  </pic:spPr>
                </pic:pic>
              </a:graphicData>
            </a:graphic>
          </wp:inline>
        </w:drawing>
      </w:r>
    </w:p>
    <w:p>
      <w:pPr>
        <w:ind w:firstLine="480"/>
        <w:rPr>
          <w:rFonts w:ascii="宋体" w:hAnsi="宋体"/>
          <w:highlight w:val="none"/>
        </w:rPr>
      </w:pPr>
      <w:r>
        <w:rPr>
          <w:rFonts w:hint="eastAsia" w:ascii="宋体" w:hAnsi="宋体"/>
          <w:highlight w:val="none"/>
        </w:rPr>
        <w:t>式中：</w:t>
      </w:r>
      <w:r>
        <w:rPr>
          <w:rFonts w:ascii="宋体" w:hAnsi="宋体"/>
          <w:highlight w:val="none"/>
        </w:rPr>
        <w:t>Pi—</w:t>
      </w:r>
      <w:r>
        <w:rPr>
          <w:rFonts w:hint="eastAsia" w:ascii="宋体" w:hAnsi="宋体"/>
          <w:highlight w:val="none"/>
        </w:rPr>
        <w:t>第</w:t>
      </w:r>
      <w:r>
        <w:rPr>
          <w:rFonts w:ascii="宋体" w:hAnsi="宋体"/>
          <w:highlight w:val="none"/>
        </w:rPr>
        <w:t>i</w:t>
      </w:r>
      <w:r>
        <w:rPr>
          <w:rFonts w:hint="eastAsia" w:ascii="宋体" w:hAnsi="宋体"/>
          <w:highlight w:val="none"/>
        </w:rPr>
        <w:t>个监测因子的标准指数；</w:t>
      </w:r>
    </w:p>
    <w:p>
      <w:pPr>
        <w:ind w:firstLine="480"/>
        <w:rPr>
          <w:rFonts w:ascii="宋体" w:hAnsi="宋体"/>
          <w:highlight w:val="none"/>
        </w:rPr>
      </w:pPr>
      <w:r>
        <w:rPr>
          <w:rFonts w:ascii="宋体" w:hAnsi="宋体"/>
          <w:highlight w:val="none"/>
        </w:rPr>
        <w:t>Ci—</w:t>
      </w:r>
      <w:r>
        <w:rPr>
          <w:rFonts w:hint="eastAsia" w:ascii="宋体" w:hAnsi="宋体"/>
          <w:highlight w:val="none"/>
        </w:rPr>
        <w:t>第</w:t>
      </w:r>
      <w:r>
        <w:rPr>
          <w:rFonts w:ascii="宋体" w:hAnsi="宋体"/>
          <w:highlight w:val="none"/>
        </w:rPr>
        <w:t>i</w:t>
      </w:r>
      <w:r>
        <w:rPr>
          <w:rFonts w:hint="eastAsia" w:ascii="宋体" w:hAnsi="宋体"/>
          <w:highlight w:val="none"/>
        </w:rPr>
        <w:t>个监测因子的监测值，</w:t>
      </w:r>
      <w:r>
        <w:rPr>
          <w:rFonts w:ascii="宋体" w:hAnsi="宋体"/>
          <w:highlight w:val="none"/>
        </w:rPr>
        <w:t>mg/kg</w:t>
      </w:r>
      <w:r>
        <w:rPr>
          <w:rFonts w:hint="eastAsia" w:ascii="宋体" w:hAnsi="宋体"/>
          <w:highlight w:val="none"/>
        </w:rPr>
        <w:t>；</w:t>
      </w:r>
    </w:p>
    <w:p>
      <w:pPr>
        <w:ind w:firstLine="480"/>
        <w:rPr>
          <w:rFonts w:ascii="宋体" w:hAnsi="宋体"/>
          <w:highlight w:val="none"/>
        </w:rPr>
      </w:pPr>
      <w:r>
        <w:rPr>
          <w:rFonts w:ascii="宋体" w:hAnsi="宋体"/>
          <w:highlight w:val="none"/>
        </w:rPr>
        <w:t>Coi—</w:t>
      </w:r>
      <w:r>
        <w:rPr>
          <w:rFonts w:hint="eastAsia" w:ascii="宋体" w:hAnsi="宋体"/>
          <w:highlight w:val="none"/>
        </w:rPr>
        <w:t>第</w:t>
      </w:r>
      <w:r>
        <w:rPr>
          <w:rFonts w:ascii="宋体" w:hAnsi="宋体"/>
          <w:highlight w:val="none"/>
        </w:rPr>
        <w:t>i</w:t>
      </w:r>
      <w:r>
        <w:rPr>
          <w:rFonts w:hint="eastAsia" w:ascii="宋体" w:hAnsi="宋体"/>
          <w:highlight w:val="none"/>
        </w:rPr>
        <w:t>个监测因子的筛选值，</w:t>
      </w:r>
      <w:r>
        <w:rPr>
          <w:rFonts w:ascii="宋体" w:hAnsi="宋体"/>
          <w:highlight w:val="none"/>
        </w:rPr>
        <w:t>mg/kg</w:t>
      </w:r>
      <w:r>
        <w:rPr>
          <w:rFonts w:hint="eastAsia" w:ascii="宋体" w:hAnsi="宋体"/>
          <w:highlight w:val="none"/>
        </w:rPr>
        <w:t>。</w:t>
      </w:r>
    </w:p>
    <w:p>
      <w:pPr>
        <w:ind w:firstLine="480"/>
        <w:rPr>
          <w:rFonts w:ascii="宋体" w:hAnsi="宋体"/>
          <w:highlight w:val="none"/>
        </w:rPr>
      </w:pPr>
      <w:r>
        <w:rPr>
          <w:rFonts w:ascii="宋体" w:hAnsi="宋体"/>
          <w:highlight w:val="none"/>
        </w:rPr>
        <w:t>2</w:t>
      </w:r>
      <w:r>
        <w:rPr>
          <w:rFonts w:hint="eastAsia" w:ascii="宋体" w:hAnsi="宋体"/>
          <w:highlight w:val="none"/>
        </w:rPr>
        <w:t>、评价结果</w:t>
      </w:r>
    </w:p>
    <w:p>
      <w:pPr>
        <w:ind w:firstLine="480"/>
        <w:rPr>
          <w:rFonts w:ascii="宋体" w:hAnsi="宋体"/>
          <w:highlight w:val="none"/>
        </w:rPr>
      </w:pPr>
      <w:r>
        <w:rPr>
          <w:rFonts w:hint="eastAsia" w:ascii="宋体" w:hAnsi="宋体"/>
          <w:highlight w:val="none"/>
        </w:rPr>
        <w:t>运用标准指数法进行统计分析的结果列于表</w:t>
      </w:r>
      <w:r>
        <w:rPr>
          <w:rFonts w:ascii="宋体" w:hAnsi="宋体"/>
          <w:kern w:val="0"/>
          <w:highlight w:val="none"/>
        </w:rPr>
        <w:t>4.3-</w:t>
      </w:r>
      <w:r>
        <w:rPr>
          <w:rFonts w:hint="eastAsia" w:ascii="宋体" w:hAnsi="宋体"/>
          <w:kern w:val="0"/>
          <w:highlight w:val="none"/>
        </w:rPr>
        <w:t>20</w:t>
      </w:r>
      <w:r>
        <w:rPr>
          <w:rFonts w:hint="eastAsia" w:ascii="宋体" w:hAnsi="宋体"/>
          <w:highlight w:val="none"/>
        </w:rPr>
        <w:t>。</w:t>
      </w:r>
    </w:p>
    <w:p>
      <w:pPr>
        <w:pStyle w:val="65"/>
        <w:rPr>
          <w:rFonts w:hAnsi="宋体"/>
          <w:highlight w:val="none"/>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918845</wp:posOffset>
                </wp:positionH>
                <wp:positionV relativeFrom="paragraph">
                  <wp:posOffset>233045</wp:posOffset>
                </wp:positionV>
                <wp:extent cx="934720" cy="363855"/>
                <wp:effectExtent l="0" t="0" r="17780" b="17145"/>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34720" cy="363855"/>
                        </a:xfrm>
                        <a:prstGeom prst="rect">
                          <a:avLst/>
                        </a:prstGeom>
                        <a:noFill/>
                        <a:ln>
                          <a:noFill/>
                        </a:ln>
                      </wps:spPr>
                      <wps:txbx>
                        <w:txbxContent>
                          <w:p>
                            <w:pPr>
                              <w:ind w:firstLine="480"/>
                            </w:pPr>
                            <w:r>
                              <w:rPr>
                                <w:rFonts w:hint="eastAsia"/>
                              </w:rPr>
                              <w:t>点位采样</w:t>
                            </w:r>
                          </w:p>
                          <w:p>
                            <w:pPr>
                              <w:ind w:firstLine="480"/>
                            </w:pPr>
                            <w:r>
                              <w:rPr>
                                <w:rFonts w:hint="eastAsia"/>
                              </w:rPr>
                              <w:t>深度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35pt;margin-top:18.35pt;height:28.65pt;width:73.6pt;z-index:251693056;mso-width-relative:page;mso-height-relative:page;" filled="f" stroked="f" coordsize="21600,21600" o:gfxdata="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wG0YdcAAAAJAQAADwAAAAAAAAABACAA&#10;AAAiAAAAZHJzL2Rvd25yZXYueG1sUEsBAhQAFAAAAAgAh07iQGs1cbwOAgAABgQAAA4AAAAAAAAA&#10;AQAgAAAAJgEAAGRycy9lMm9Eb2MueG1sUEsFBgAAAAAGAAYAWQEAAKYFAAAAAA==&#10;">
                <v:fill on="f" focussize="0,0"/>
                <v:stroke on="f"/>
                <v:imagedata o:title=""/>
                <o:lock v:ext="edit" aspectratio="f"/>
                <v:textbox inset="0mm,0mm,0mm,0mm">
                  <w:txbxContent>
                    <w:p>
                      <w:pPr>
                        <w:ind w:firstLine="480"/>
                      </w:pPr>
                      <w:r>
                        <w:rPr>
                          <w:rFonts w:hint="eastAsia"/>
                        </w:rPr>
                        <w:t>点位采样</w:t>
                      </w:r>
                    </w:p>
                    <w:p>
                      <w:pPr>
                        <w:ind w:firstLine="480"/>
                      </w:pPr>
                      <w:r>
                        <w:rPr>
                          <w:rFonts w:hint="eastAsia"/>
                        </w:rPr>
                        <w:t>深度</w:t>
                      </w:r>
                    </w:p>
                  </w:txbxContent>
                </v:textbox>
              </v:shape>
            </w:pict>
          </mc:Fallback>
        </mc:AlternateContent>
      </w:r>
      <w:r>
        <w:rPr>
          <w:rFonts w:hint="eastAsia" w:hAnsi="宋体"/>
          <w:highlight w:val="none"/>
        </w:rPr>
        <w:t>表</w:t>
      </w:r>
      <w:r>
        <w:rPr>
          <w:rFonts w:hAnsi="宋体"/>
          <w:kern w:val="0"/>
          <w:highlight w:val="none"/>
        </w:rPr>
        <w:t>4.3-</w:t>
      </w:r>
      <w:r>
        <w:rPr>
          <w:rFonts w:hint="eastAsia" w:hAnsi="宋体"/>
          <w:kern w:val="0"/>
          <w:highlight w:val="none"/>
        </w:rPr>
        <w:t>20</w:t>
      </w:r>
      <w:r>
        <w:rPr>
          <w:rFonts w:hAnsi="宋体"/>
          <w:highlight w:val="none"/>
        </w:rPr>
        <w:t xml:space="preserve">  </w:t>
      </w:r>
      <w:r>
        <w:rPr>
          <w:rFonts w:hint="eastAsia" w:hAnsi="宋体"/>
          <w:highlight w:val="none"/>
        </w:rPr>
        <w:t>土壤监测因子标准指数计算结果</w:t>
      </w:r>
    </w:p>
    <w:tbl>
      <w:tblPr>
        <w:tblStyle w:val="44"/>
        <w:tblW w:w="875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370"/>
        <w:gridCol w:w="615"/>
        <w:gridCol w:w="1945"/>
        <w:gridCol w:w="968"/>
        <w:gridCol w:w="1619"/>
        <w:gridCol w:w="1619"/>
        <w:gridCol w:w="161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370" w:type="dxa"/>
            <w:vAlign w:val="center"/>
          </w:tcPr>
          <w:p>
            <w:pPr>
              <w:pStyle w:val="64"/>
              <w:rPr>
                <w:highlight w:val="none"/>
              </w:rPr>
            </w:pPr>
            <w:r>
              <w:rPr>
                <w:rFonts w:hint="eastAsia"/>
                <w:highlight w:val="none"/>
              </w:rPr>
              <w:t>序号</w:t>
            </w:r>
          </w:p>
        </w:tc>
        <w:tc>
          <w:tcPr>
            <w:tcW w:w="2560" w:type="dxa"/>
            <w:gridSpan w:val="2"/>
            <w:vAlign w:val="center"/>
          </w:tcPr>
          <w:p>
            <w:pPr>
              <w:pStyle w:val="64"/>
              <w:rPr>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325120</wp:posOffset>
                      </wp:positionH>
                      <wp:positionV relativeFrom="paragraph">
                        <wp:posOffset>150495</wp:posOffset>
                      </wp:positionV>
                      <wp:extent cx="501015" cy="293370"/>
                      <wp:effectExtent l="0" t="0" r="13335" b="1143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01015" cy="293370"/>
                              </a:xfrm>
                              <a:prstGeom prst="rect">
                                <a:avLst/>
                              </a:prstGeom>
                              <a:noFill/>
                              <a:ln>
                                <a:noFill/>
                              </a:ln>
                            </wps:spPr>
                            <wps:txbx>
                              <w:txbxContent>
                                <w:p>
                                  <w:pPr>
                                    <w:ind w:firstLine="0" w:firstLineChars="0"/>
                                  </w:pPr>
                                  <w:r>
                                    <w:rPr>
                                      <w:rFonts w:hint="eastAsia"/>
                                    </w:rPr>
                                    <w:t>占标率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5.6pt;margin-top:11.85pt;height:23.1pt;width:39.45pt;z-index:251694080;mso-width-relative:page;mso-height-relative:page;" filled="f" stroked="f" coordsize="21600,21600" o:gfxdata="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lkGD1wAAAAgBAAAPAAAAAAAAAAEAIAAA&#10;ACIAAABkcnMvZG93bnJldi54bWxQSwECFAAUAAAACACHTuJA8F9UGw0CAAAGBAAADgAAAAAAAAAB&#10;ACAAAAAmAQAAZHJzL2Uyb0RvYy54bWxQSwUGAAAAAAYABgBZAQAApQUAAAAA&#10;">
                      <v:fill on="f" focussize="0,0"/>
                      <v:stroke on="f"/>
                      <v:imagedata o:title=""/>
                      <o:lock v:ext="edit" aspectratio="f"/>
                      <v:textbox inset="0mm,0mm,0mm,0mm">
                        <w:txbxContent>
                          <w:p>
                            <w:pPr>
                              <w:ind w:firstLine="0" w:firstLineChars="0"/>
                            </w:pPr>
                            <w:r>
                              <w:rPr>
                                <w:rFonts w:hint="eastAsia"/>
                              </w:rPr>
                              <w:t>占标率</w:t>
                            </w:r>
                          </w:p>
                        </w:txbxContent>
                      </v:textbox>
                    </v:shape>
                  </w:pict>
                </mc:Fallback>
              </mc:AlternateContent>
            </w:r>
            <w:r>
              <w:rPr>
                <w:highlight w:val="none"/>
              </w:rPr>
              <mc:AlternateContent>
                <mc:Choice Requires="wps">
                  <w:drawing>
                    <wp:anchor distT="0" distB="0" distL="114300" distR="114300" simplePos="0" relativeHeight="251697152" behindDoc="0" locked="0" layoutInCell="1" allowOverlap="1">
                      <wp:simplePos x="0" y="0"/>
                      <wp:positionH relativeFrom="column">
                        <wp:posOffset>35560</wp:posOffset>
                      </wp:positionH>
                      <wp:positionV relativeFrom="paragraph">
                        <wp:posOffset>25400</wp:posOffset>
                      </wp:positionV>
                      <wp:extent cx="335280" cy="401955"/>
                      <wp:effectExtent l="0" t="0" r="26670" b="17145"/>
                      <wp:wrapNone/>
                      <wp:docPr id="896" name="直接箭头连接符 896"/>
                      <wp:cNvGraphicFramePr/>
                      <a:graphic xmlns:a="http://schemas.openxmlformats.org/drawingml/2006/main">
                        <a:graphicData uri="http://schemas.microsoft.com/office/word/2010/wordprocessingShape">
                          <wps:wsp>
                            <wps:cNvCnPr>
                              <a:cxnSpLocks noChangeShapeType="1"/>
                            </wps:cNvCnPr>
                            <wps:spPr bwMode="auto">
                              <a:xfrm>
                                <a:off x="0" y="0"/>
                                <a:ext cx="335280" cy="401955"/>
                              </a:xfrm>
                              <a:prstGeom prst="straightConnector1">
                                <a:avLst/>
                              </a:prstGeom>
                              <a:noFill/>
                              <a:ln w="3175">
                                <a:solidFill>
                                  <a:srgbClr val="000000"/>
                                </a:solidFill>
                                <a:round/>
                              </a:ln>
                            </wps:spPr>
                            <wps:bodyPr/>
                          </wps:wsp>
                        </a:graphicData>
                      </a:graphic>
                    </wp:anchor>
                  </w:drawing>
                </mc:Choice>
                <mc:Fallback>
                  <w:pict>
                    <v:shape id="_x0000_s1026" o:spid="_x0000_s1026" o:spt="32" type="#_x0000_t32" style="position:absolute;left:0pt;margin-left:2.8pt;margin-top:2pt;height:31.65pt;width:26.4pt;z-index:251697152;mso-width-relative:page;mso-height-relative:page;" filled="f" stroked="t" coordsize="21600,21600" o:gfxdata="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a5w4O1AAAAAUBAAAPAAAAAAAAAAEAIAAAACIAAABkcnMvZG93bnJldi54bWxQ&#10;SwECFAAUAAAACACHTuJAySJ3W/sBAADGAwAADgAAAAAAAAABACAAAAAjAQAAZHJzL2Uyb0RvYy54&#10;bWxQSwUGAAAAAAYABgBZAQAAkAUAAAAA&#10;">
                      <v:fill on="f" focussize="0,0"/>
                      <v:stroke weight="0.25pt" color="#000000" joinstyle="round"/>
                      <v:imagedata o:title=""/>
                      <o:lock v:ext="edit" aspectratio="f"/>
                    </v:shape>
                  </w:pict>
                </mc:Fallback>
              </mc:AlternateContent>
            </w:r>
            <w:r>
              <w:rPr>
                <w:highlight w:val="none"/>
              </w:rPr>
              <mc:AlternateContent>
                <mc:Choice Requires="wps">
                  <w:drawing>
                    <wp:anchor distT="0" distB="0" distL="114300" distR="114300" simplePos="0" relativeHeight="251696128" behindDoc="0" locked="0" layoutInCell="1" allowOverlap="1">
                      <wp:simplePos x="0" y="0"/>
                      <wp:positionH relativeFrom="column">
                        <wp:posOffset>35560</wp:posOffset>
                      </wp:positionH>
                      <wp:positionV relativeFrom="paragraph">
                        <wp:posOffset>12065</wp:posOffset>
                      </wp:positionV>
                      <wp:extent cx="1583055" cy="408940"/>
                      <wp:effectExtent l="0" t="0" r="17145" b="29210"/>
                      <wp:wrapNone/>
                      <wp:docPr id="31" name="直接箭头连接符 31"/>
                      <wp:cNvGraphicFramePr/>
                      <a:graphic xmlns:a="http://schemas.openxmlformats.org/drawingml/2006/main">
                        <a:graphicData uri="http://schemas.microsoft.com/office/word/2010/wordprocessingShape">
                          <wps:wsp>
                            <wps:cNvCnPr>
                              <a:cxnSpLocks noChangeShapeType="1"/>
                            </wps:cNvCnPr>
                            <wps:spPr bwMode="auto">
                              <a:xfrm>
                                <a:off x="0" y="0"/>
                                <a:ext cx="1583055" cy="408940"/>
                              </a:xfrm>
                              <a:prstGeom prst="straightConnector1">
                                <a:avLst/>
                              </a:prstGeom>
                              <a:noFill/>
                              <a:ln w="3175">
                                <a:solidFill>
                                  <a:srgbClr val="000000"/>
                                </a:solidFill>
                                <a:round/>
                              </a:ln>
                            </wps:spPr>
                            <wps:bodyPr/>
                          </wps:wsp>
                        </a:graphicData>
                      </a:graphic>
                    </wp:anchor>
                  </w:drawing>
                </mc:Choice>
                <mc:Fallback>
                  <w:pict>
                    <v:shape id="_x0000_s1026" o:spid="_x0000_s1026" o:spt="32" type="#_x0000_t32" style="position:absolute;left:0pt;margin-left:2.8pt;margin-top:0.95pt;height:32.2pt;width:124.65pt;z-index:251696128;mso-width-relative:page;mso-height-relative:page;" filled="f" stroked="t" coordsize="21600,21600" o:gfxdata="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AMjBLUAAAABgEAAA8AAAAAAAAAAQAgAAAAIgAAAGRycy9kb3ducmV2LnhtbFBL&#10;AQIUABQAAAAIAIdO4kD9n927+gEAAMUDAAAOAAAAAAAAAAEAIAAAACMBAABkcnMvZTJvRG9jLnht&#10;bFBLBQYAAAAABgAGAFkBAACPBQAAAAA=&#10;">
                      <v:fill on="f" focussize="0,0"/>
                      <v:stroke weight="0.25pt" color="#000000" joinstyle="round"/>
                      <v:imagedata o:title=""/>
                      <o:lock v:ext="edit" aspectratio="f"/>
                    </v:shap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26670</wp:posOffset>
                      </wp:positionH>
                      <wp:positionV relativeFrom="paragraph">
                        <wp:posOffset>521335</wp:posOffset>
                      </wp:positionV>
                      <wp:extent cx="342265" cy="194310"/>
                      <wp:effectExtent l="0" t="0" r="635" b="1524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342265" cy="194310"/>
                              </a:xfrm>
                              <a:prstGeom prst="rect">
                                <a:avLst/>
                              </a:prstGeom>
                              <a:noFill/>
                              <a:ln>
                                <a:noFill/>
                              </a:ln>
                            </wps:spPr>
                            <wps:txbx>
                              <w:txbxContent>
                                <w:p>
                                  <w:pPr>
                                    <w:ind w:firstLine="480"/>
                                  </w:pPr>
                                  <w:r>
                                    <w:rPr>
                                      <w:rFonts w:hint="eastAsia"/>
                                    </w:rPr>
                                    <w:t>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pt;margin-top:41.05pt;height:15.3pt;width:26.95pt;z-index:251695104;mso-width-relative:page;mso-height-relative:page;" filled="f" stroked="f" coordsize="21600,21600" o:gfxdata="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IPHoHWAAAABwEAAA8AAAAAAAAAAQAgAAAA&#10;IgAAAGRycy9kb3ducmV2LnhtbFBLAQIUABQAAAAIAIdO4kAnM7LbDQIAAAQEAAAOAAAAAAAAAAEA&#10;IAAAACUBAABkcnMvZTJvRG9jLnhtbFBLBQYAAAAABgAGAFkBAACkBQAAAAA=&#10;">
                      <v:fill on="f" focussize="0,0"/>
                      <v:stroke on="f"/>
                      <v:imagedata o:title=""/>
                      <o:lock v:ext="edit" aspectratio="f"/>
                      <v:textbox inset="0mm,0mm,0mm,0mm">
                        <w:txbxContent>
                          <w:p>
                            <w:pPr>
                              <w:ind w:firstLine="480"/>
                            </w:pPr>
                            <w:r>
                              <w:rPr>
                                <w:rFonts w:hint="eastAsia"/>
                              </w:rPr>
                              <w:t>项目</w:t>
                            </w:r>
                          </w:p>
                        </w:txbxContent>
                      </v:textbox>
                    </v:shape>
                  </w:pict>
                </mc:Fallback>
              </mc:AlternateContent>
            </w:r>
          </w:p>
        </w:tc>
        <w:tc>
          <w:tcPr>
            <w:tcW w:w="968" w:type="dxa"/>
            <w:vAlign w:val="center"/>
          </w:tcPr>
          <w:p>
            <w:pPr>
              <w:pStyle w:val="64"/>
              <w:rPr>
                <w:highlight w:val="none"/>
              </w:rPr>
            </w:pPr>
            <w:r>
              <w:rPr>
                <w:rFonts w:hint="eastAsia"/>
                <w:highlight w:val="none"/>
              </w:rPr>
              <w:t>标准值</w:t>
            </w:r>
          </w:p>
        </w:tc>
        <w:tc>
          <w:tcPr>
            <w:tcW w:w="1619" w:type="dxa"/>
            <w:vAlign w:val="center"/>
          </w:tcPr>
          <w:p>
            <w:pPr>
              <w:pStyle w:val="64"/>
              <w:rPr>
                <w:highlight w:val="none"/>
              </w:rPr>
            </w:pPr>
            <w:r>
              <w:rPr>
                <w:highlight w:val="none"/>
              </w:rPr>
              <w:t>1#0-0.2m</w:t>
            </w:r>
          </w:p>
        </w:tc>
        <w:tc>
          <w:tcPr>
            <w:tcW w:w="1619" w:type="dxa"/>
            <w:vAlign w:val="center"/>
          </w:tcPr>
          <w:p>
            <w:pPr>
              <w:pStyle w:val="64"/>
              <w:rPr>
                <w:highlight w:val="none"/>
              </w:rPr>
            </w:pPr>
            <w:r>
              <w:rPr>
                <w:highlight w:val="none"/>
              </w:rPr>
              <w:t>2#0-0.2m</w:t>
            </w:r>
          </w:p>
        </w:tc>
        <w:tc>
          <w:tcPr>
            <w:tcW w:w="1618" w:type="dxa"/>
            <w:vAlign w:val="center"/>
          </w:tcPr>
          <w:p>
            <w:pPr>
              <w:pStyle w:val="64"/>
              <w:rPr>
                <w:highlight w:val="none"/>
              </w:rPr>
            </w:pPr>
            <w:r>
              <w:rPr>
                <w:highlight w:val="none"/>
              </w:rPr>
              <w:t>3#0-0.2m</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370" w:type="dxa"/>
            <w:vAlign w:val="center"/>
          </w:tcPr>
          <w:p>
            <w:pPr>
              <w:pStyle w:val="64"/>
              <w:rPr>
                <w:highlight w:val="none"/>
                <w:lang w:eastAsia="en-US"/>
              </w:rPr>
            </w:pPr>
            <w:r>
              <w:rPr>
                <w:highlight w:val="none"/>
                <w:lang w:eastAsia="en-US"/>
              </w:rPr>
              <w:t>1</w:t>
            </w:r>
          </w:p>
        </w:tc>
        <w:tc>
          <w:tcPr>
            <w:tcW w:w="615" w:type="dxa"/>
            <w:vMerge w:val="restart"/>
            <w:vAlign w:val="center"/>
          </w:tcPr>
          <w:p>
            <w:pPr>
              <w:pStyle w:val="64"/>
              <w:rPr>
                <w:highlight w:val="none"/>
                <w:lang w:eastAsia="en-US"/>
              </w:rPr>
            </w:pPr>
            <w:r>
              <w:rPr>
                <w:highlight w:val="none"/>
                <w:lang w:eastAsia="en-US"/>
              </w:rPr>
              <w:t>重金属和无机物</w:t>
            </w:r>
          </w:p>
        </w:tc>
        <w:tc>
          <w:tcPr>
            <w:tcW w:w="1945" w:type="dxa"/>
            <w:vAlign w:val="center"/>
          </w:tcPr>
          <w:p>
            <w:pPr>
              <w:pStyle w:val="64"/>
              <w:rPr>
                <w:rFonts w:cs="宋体"/>
                <w:highlight w:val="none"/>
              </w:rPr>
            </w:pPr>
            <w:r>
              <w:rPr>
                <w:rFonts w:hint="eastAsia"/>
                <w:highlight w:val="none"/>
              </w:rPr>
              <w:t>镉</w:t>
            </w:r>
          </w:p>
        </w:tc>
        <w:tc>
          <w:tcPr>
            <w:tcW w:w="968" w:type="dxa"/>
            <w:vAlign w:val="center"/>
          </w:tcPr>
          <w:p>
            <w:pPr>
              <w:pStyle w:val="64"/>
              <w:rPr>
                <w:rFonts w:cs="宋体"/>
                <w:highlight w:val="none"/>
              </w:rPr>
            </w:pPr>
            <w:r>
              <w:rPr>
                <w:rFonts w:hint="eastAsia"/>
                <w:highlight w:val="none"/>
              </w:rPr>
              <w:t>65</w:t>
            </w:r>
          </w:p>
        </w:tc>
        <w:tc>
          <w:tcPr>
            <w:tcW w:w="1619" w:type="dxa"/>
          </w:tcPr>
          <w:p>
            <w:pPr>
              <w:pStyle w:val="64"/>
              <w:rPr>
                <w:highlight w:val="none"/>
              </w:rPr>
            </w:pPr>
            <w:r>
              <w:rPr>
                <w:highlight w:val="none"/>
              </w:rPr>
              <w:t xml:space="preserve">0.24 </w:t>
            </w:r>
          </w:p>
        </w:tc>
        <w:tc>
          <w:tcPr>
            <w:tcW w:w="1619" w:type="dxa"/>
          </w:tcPr>
          <w:p>
            <w:pPr>
              <w:pStyle w:val="64"/>
              <w:rPr>
                <w:highlight w:val="none"/>
              </w:rPr>
            </w:pPr>
            <w:r>
              <w:rPr>
                <w:highlight w:val="none"/>
              </w:rPr>
              <w:t xml:space="preserve">0.20 </w:t>
            </w:r>
          </w:p>
        </w:tc>
        <w:tc>
          <w:tcPr>
            <w:tcW w:w="1618" w:type="dxa"/>
          </w:tcPr>
          <w:p>
            <w:pPr>
              <w:pStyle w:val="64"/>
              <w:rPr>
                <w:highlight w:val="none"/>
              </w:rPr>
            </w:pPr>
            <w:r>
              <w:rPr>
                <w:highlight w:val="none"/>
              </w:rPr>
              <w:t xml:space="preserve">0.17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370" w:type="dxa"/>
            <w:vAlign w:val="center"/>
          </w:tcPr>
          <w:p>
            <w:pPr>
              <w:pStyle w:val="64"/>
              <w:rPr>
                <w:highlight w:val="none"/>
                <w:lang w:eastAsia="en-US"/>
              </w:rPr>
            </w:pPr>
            <w:r>
              <w:rPr>
                <w:highlight w:val="none"/>
                <w:lang w:eastAsia="en-US"/>
              </w:rPr>
              <w:t>2</w:t>
            </w:r>
          </w:p>
        </w:tc>
        <w:tc>
          <w:tcPr>
            <w:tcW w:w="615" w:type="dxa"/>
            <w:vMerge w:val="continue"/>
            <w:vAlign w:val="center"/>
          </w:tcPr>
          <w:p>
            <w:pPr>
              <w:pStyle w:val="64"/>
              <w:rPr>
                <w:highlight w:val="none"/>
              </w:rPr>
            </w:pPr>
          </w:p>
        </w:tc>
        <w:tc>
          <w:tcPr>
            <w:tcW w:w="1945" w:type="dxa"/>
            <w:vAlign w:val="center"/>
          </w:tcPr>
          <w:p>
            <w:pPr>
              <w:pStyle w:val="64"/>
              <w:rPr>
                <w:rFonts w:cs="宋体"/>
                <w:highlight w:val="none"/>
              </w:rPr>
            </w:pPr>
            <w:r>
              <w:rPr>
                <w:rFonts w:hint="eastAsia"/>
                <w:highlight w:val="none"/>
              </w:rPr>
              <w:t>铅</w:t>
            </w:r>
          </w:p>
        </w:tc>
        <w:tc>
          <w:tcPr>
            <w:tcW w:w="968" w:type="dxa"/>
            <w:vAlign w:val="center"/>
          </w:tcPr>
          <w:p>
            <w:pPr>
              <w:pStyle w:val="64"/>
              <w:rPr>
                <w:rFonts w:cs="宋体"/>
                <w:highlight w:val="none"/>
              </w:rPr>
            </w:pPr>
            <w:r>
              <w:rPr>
                <w:rFonts w:hint="eastAsia"/>
                <w:highlight w:val="none"/>
              </w:rPr>
              <w:t>800</w:t>
            </w:r>
          </w:p>
        </w:tc>
        <w:tc>
          <w:tcPr>
            <w:tcW w:w="1619" w:type="dxa"/>
          </w:tcPr>
          <w:p>
            <w:pPr>
              <w:pStyle w:val="64"/>
              <w:rPr>
                <w:highlight w:val="none"/>
              </w:rPr>
            </w:pPr>
            <w:r>
              <w:rPr>
                <w:highlight w:val="none"/>
              </w:rPr>
              <w:t xml:space="preserve">1.58 </w:t>
            </w:r>
          </w:p>
        </w:tc>
        <w:tc>
          <w:tcPr>
            <w:tcW w:w="1619" w:type="dxa"/>
          </w:tcPr>
          <w:p>
            <w:pPr>
              <w:pStyle w:val="64"/>
              <w:rPr>
                <w:highlight w:val="none"/>
              </w:rPr>
            </w:pPr>
            <w:r>
              <w:rPr>
                <w:highlight w:val="none"/>
              </w:rPr>
              <w:t xml:space="preserve">1.61 </w:t>
            </w:r>
          </w:p>
        </w:tc>
        <w:tc>
          <w:tcPr>
            <w:tcW w:w="1618" w:type="dxa"/>
          </w:tcPr>
          <w:p>
            <w:pPr>
              <w:pStyle w:val="64"/>
              <w:rPr>
                <w:highlight w:val="none"/>
              </w:rPr>
            </w:pPr>
            <w:r>
              <w:rPr>
                <w:highlight w:val="none"/>
              </w:rPr>
              <w:t xml:space="preserve">1.28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370" w:type="dxa"/>
            <w:vAlign w:val="center"/>
          </w:tcPr>
          <w:p>
            <w:pPr>
              <w:pStyle w:val="64"/>
              <w:rPr>
                <w:highlight w:val="none"/>
                <w:lang w:eastAsia="en-US"/>
              </w:rPr>
            </w:pPr>
            <w:r>
              <w:rPr>
                <w:highlight w:val="none"/>
                <w:lang w:eastAsia="en-US"/>
              </w:rPr>
              <w:t>3</w:t>
            </w:r>
          </w:p>
        </w:tc>
        <w:tc>
          <w:tcPr>
            <w:tcW w:w="615" w:type="dxa"/>
            <w:vMerge w:val="continue"/>
            <w:vAlign w:val="center"/>
          </w:tcPr>
          <w:p>
            <w:pPr>
              <w:pStyle w:val="64"/>
              <w:rPr>
                <w:highlight w:val="none"/>
              </w:rPr>
            </w:pPr>
          </w:p>
        </w:tc>
        <w:tc>
          <w:tcPr>
            <w:tcW w:w="1945" w:type="dxa"/>
            <w:vAlign w:val="center"/>
          </w:tcPr>
          <w:p>
            <w:pPr>
              <w:pStyle w:val="64"/>
              <w:rPr>
                <w:rFonts w:cs="宋体"/>
                <w:highlight w:val="none"/>
              </w:rPr>
            </w:pPr>
            <w:r>
              <w:rPr>
                <w:rFonts w:hint="eastAsia"/>
                <w:highlight w:val="none"/>
              </w:rPr>
              <w:t>铜</w:t>
            </w:r>
          </w:p>
        </w:tc>
        <w:tc>
          <w:tcPr>
            <w:tcW w:w="968" w:type="dxa"/>
            <w:vAlign w:val="center"/>
          </w:tcPr>
          <w:p>
            <w:pPr>
              <w:pStyle w:val="64"/>
              <w:rPr>
                <w:rFonts w:cs="宋体"/>
                <w:highlight w:val="none"/>
              </w:rPr>
            </w:pPr>
            <w:r>
              <w:rPr>
                <w:rFonts w:hint="eastAsia"/>
                <w:highlight w:val="none"/>
              </w:rPr>
              <w:t>18000</w:t>
            </w:r>
          </w:p>
        </w:tc>
        <w:tc>
          <w:tcPr>
            <w:tcW w:w="1619" w:type="dxa"/>
          </w:tcPr>
          <w:p>
            <w:pPr>
              <w:pStyle w:val="64"/>
              <w:rPr>
                <w:highlight w:val="none"/>
              </w:rPr>
            </w:pPr>
            <w:r>
              <w:rPr>
                <w:highlight w:val="none"/>
              </w:rPr>
              <w:t xml:space="preserve">0.39 </w:t>
            </w:r>
          </w:p>
        </w:tc>
        <w:tc>
          <w:tcPr>
            <w:tcW w:w="1619" w:type="dxa"/>
          </w:tcPr>
          <w:p>
            <w:pPr>
              <w:pStyle w:val="64"/>
              <w:rPr>
                <w:highlight w:val="none"/>
              </w:rPr>
            </w:pPr>
            <w:r>
              <w:rPr>
                <w:highlight w:val="none"/>
              </w:rPr>
              <w:t xml:space="preserve">0.28 </w:t>
            </w:r>
          </w:p>
        </w:tc>
        <w:tc>
          <w:tcPr>
            <w:tcW w:w="1618" w:type="dxa"/>
          </w:tcPr>
          <w:p>
            <w:pPr>
              <w:pStyle w:val="64"/>
              <w:rPr>
                <w:highlight w:val="none"/>
              </w:rPr>
            </w:pPr>
            <w:r>
              <w:rPr>
                <w:highlight w:val="none"/>
              </w:rPr>
              <w:t xml:space="preserve">0.28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370" w:type="dxa"/>
            <w:vAlign w:val="center"/>
          </w:tcPr>
          <w:p>
            <w:pPr>
              <w:pStyle w:val="64"/>
              <w:rPr>
                <w:highlight w:val="none"/>
                <w:lang w:eastAsia="en-US"/>
              </w:rPr>
            </w:pPr>
            <w:r>
              <w:rPr>
                <w:highlight w:val="none"/>
                <w:lang w:eastAsia="en-US"/>
              </w:rPr>
              <w:t>4</w:t>
            </w:r>
          </w:p>
        </w:tc>
        <w:tc>
          <w:tcPr>
            <w:tcW w:w="615" w:type="dxa"/>
            <w:vMerge w:val="continue"/>
            <w:vAlign w:val="center"/>
          </w:tcPr>
          <w:p>
            <w:pPr>
              <w:pStyle w:val="64"/>
              <w:rPr>
                <w:highlight w:val="none"/>
              </w:rPr>
            </w:pPr>
          </w:p>
        </w:tc>
        <w:tc>
          <w:tcPr>
            <w:tcW w:w="1945" w:type="dxa"/>
            <w:vAlign w:val="center"/>
          </w:tcPr>
          <w:p>
            <w:pPr>
              <w:pStyle w:val="64"/>
              <w:rPr>
                <w:rFonts w:cs="宋体"/>
                <w:highlight w:val="none"/>
              </w:rPr>
            </w:pPr>
            <w:r>
              <w:rPr>
                <w:rFonts w:hint="eastAsia"/>
                <w:highlight w:val="none"/>
              </w:rPr>
              <w:t>砷</w:t>
            </w:r>
          </w:p>
        </w:tc>
        <w:tc>
          <w:tcPr>
            <w:tcW w:w="968" w:type="dxa"/>
            <w:vAlign w:val="center"/>
          </w:tcPr>
          <w:p>
            <w:pPr>
              <w:pStyle w:val="64"/>
              <w:rPr>
                <w:rFonts w:cs="宋体"/>
                <w:highlight w:val="none"/>
              </w:rPr>
            </w:pPr>
            <w:r>
              <w:rPr>
                <w:rFonts w:hint="eastAsia"/>
                <w:highlight w:val="none"/>
              </w:rPr>
              <w:t>60</w:t>
            </w:r>
          </w:p>
        </w:tc>
        <w:tc>
          <w:tcPr>
            <w:tcW w:w="1619" w:type="dxa"/>
          </w:tcPr>
          <w:p>
            <w:pPr>
              <w:pStyle w:val="64"/>
              <w:rPr>
                <w:highlight w:val="none"/>
              </w:rPr>
            </w:pPr>
            <w:r>
              <w:rPr>
                <w:highlight w:val="none"/>
              </w:rPr>
              <w:t xml:space="preserve">28.83 </w:t>
            </w:r>
          </w:p>
        </w:tc>
        <w:tc>
          <w:tcPr>
            <w:tcW w:w="1619" w:type="dxa"/>
          </w:tcPr>
          <w:p>
            <w:pPr>
              <w:pStyle w:val="64"/>
              <w:rPr>
                <w:highlight w:val="none"/>
              </w:rPr>
            </w:pPr>
            <w:r>
              <w:rPr>
                <w:highlight w:val="none"/>
              </w:rPr>
              <w:t xml:space="preserve">24.00 </w:t>
            </w:r>
          </w:p>
        </w:tc>
        <w:tc>
          <w:tcPr>
            <w:tcW w:w="1618" w:type="dxa"/>
          </w:tcPr>
          <w:p>
            <w:pPr>
              <w:pStyle w:val="64"/>
              <w:rPr>
                <w:highlight w:val="none"/>
              </w:rPr>
            </w:pPr>
            <w:r>
              <w:rPr>
                <w:highlight w:val="none"/>
              </w:rPr>
              <w:t xml:space="preserve">21.00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370" w:type="dxa"/>
            <w:vAlign w:val="center"/>
          </w:tcPr>
          <w:p>
            <w:pPr>
              <w:pStyle w:val="64"/>
              <w:rPr>
                <w:highlight w:val="none"/>
                <w:lang w:eastAsia="en-US"/>
              </w:rPr>
            </w:pPr>
            <w:r>
              <w:rPr>
                <w:highlight w:val="none"/>
                <w:lang w:eastAsia="en-US"/>
              </w:rPr>
              <w:t>5</w:t>
            </w:r>
          </w:p>
        </w:tc>
        <w:tc>
          <w:tcPr>
            <w:tcW w:w="615" w:type="dxa"/>
            <w:vMerge w:val="continue"/>
            <w:vAlign w:val="center"/>
          </w:tcPr>
          <w:p>
            <w:pPr>
              <w:pStyle w:val="64"/>
              <w:rPr>
                <w:highlight w:val="none"/>
              </w:rPr>
            </w:pPr>
          </w:p>
        </w:tc>
        <w:tc>
          <w:tcPr>
            <w:tcW w:w="1945" w:type="dxa"/>
            <w:vAlign w:val="center"/>
          </w:tcPr>
          <w:p>
            <w:pPr>
              <w:pStyle w:val="64"/>
              <w:rPr>
                <w:rFonts w:cs="宋体"/>
                <w:highlight w:val="none"/>
              </w:rPr>
            </w:pPr>
            <w:r>
              <w:rPr>
                <w:rFonts w:hint="eastAsia"/>
                <w:highlight w:val="none"/>
              </w:rPr>
              <w:t>镍</w:t>
            </w:r>
          </w:p>
        </w:tc>
        <w:tc>
          <w:tcPr>
            <w:tcW w:w="968" w:type="dxa"/>
            <w:vAlign w:val="center"/>
          </w:tcPr>
          <w:p>
            <w:pPr>
              <w:pStyle w:val="64"/>
              <w:rPr>
                <w:rFonts w:cs="宋体"/>
                <w:highlight w:val="none"/>
              </w:rPr>
            </w:pPr>
            <w:r>
              <w:rPr>
                <w:rFonts w:hint="eastAsia"/>
                <w:highlight w:val="none"/>
              </w:rPr>
              <w:t>900</w:t>
            </w:r>
          </w:p>
        </w:tc>
        <w:tc>
          <w:tcPr>
            <w:tcW w:w="1619" w:type="dxa"/>
          </w:tcPr>
          <w:p>
            <w:pPr>
              <w:pStyle w:val="64"/>
              <w:rPr>
                <w:highlight w:val="none"/>
              </w:rPr>
            </w:pPr>
            <w:r>
              <w:rPr>
                <w:highlight w:val="none"/>
              </w:rPr>
              <w:t xml:space="preserve">2.32 </w:t>
            </w:r>
          </w:p>
        </w:tc>
        <w:tc>
          <w:tcPr>
            <w:tcW w:w="1619" w:type="dxa"/>
          </w:tcPr>
          <w:p>
            <w:pPr>
              <w:pStyle w:val="64"/>
              <w:rPr>
                <w:highlight w:val="none"/>
              </w:rPr>
            </w:pPr>
            <w:r>
              <w:rPr>
                <w:highlight w:val="none"/>
              </w:rPr>
              <w:t xml:space="preserve">2.37 </w:t>
            </w:r>
          </w:p>
        </w:tc>
        <w:tc>
          <w:tcPr>
            <w:tcW w:w="1618" w:type="dxa"/>
          </w:tcPr>
          <w:p>
            <w:pPr>
              <w:pStyle w:val="64"/>
              <w:rPr>
                <w:highlight w:val="none"/>
              </w:rPr>
            </w:pPr>
            <w:r>
              <w:rPr>
                <w:highlight w:val="none"/>
              </w:rPr>
              <w:t xml:space="preserve">1.79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370" w:type="dxa"/>
            <w:vAlign w:val="center"/>
          </w:tcPr>
          <w:p>
            <w:pPr>
              <w:pStyle w:val="64"/>
              <w:rPr>
                <w:highlight w:val="none"/>
                <w:lang w:eastAsia="en-US"/>
              </w:rPr>
            </w:pPr>
            <w:r>
              <w:rPr>
                <w:highlight w:val="none"/>
                <w:lang w:eastAsia="en-US"/>
              </w:rPr>
              <w:t>6</w:t>
            </w:r>
          </w:p>
        </w:tc>
        <w:tc>
          <w:tcPr>
            <w:tcW w:w="615" w:type="dxa"/>
            <w:vMerge w:val="continue"/>
            <w:vAlign w:val="center"/>
          </w:tcPr>
          <w:p>
            <w:pPr>
              <w:pStyle w:val="64"/>
              <w:rPr>
                <w:highlight w:val="none"/>
              </w:rPr>
            </w:pPr>
          </w:p>
        </w:tc>
        <w:tc>
          <w:tcPr>
            <w:tcW w:w="1945" w:type="dxa"/>
            <w:vAlign w:val="center"/>
          </w:tcPr>
          <w:p>
            <w:pPr>
              <w:pStyle w:val="64"/>
              <w:rPr>
                <w:rFonts w:cs="宋体"/>
                <w:highlight w:val="none"/>
              </w:rPr>
            </w:pPr>
            <w:r>
              <w:rPr>
                <w:rFonts w:hint="eastAsia"/>
                <w:highlight w:val="none"/>
              </w:rPr>
              <w:t>汞</w:t>
            </w:r>
          </w:p>
        </w:tc>
        <w:tc>
          <w:tcPr>
            <w:tcW w:w="968" w:type="dxa"/>
            <w:vAlign w:val="center"/>
          </w:tcPr>
          <w:p>
            <w:pPr>
              <w:pStyle w:val="64"/>
              <w:rPr>
                <w:rFonts w:cs="宋体"/>
                <w:highlight w:val="none"/>
              </w:rPr>
            </w:pPr>
            <w:r>
              <w:rPr>
                <w:rFonts w:hint="eastAsia"/>
                <w:highlight w:val="none"/>
              </w:rPr>
              <w:t>38</w:t>
            </w:r>
          </w:p>
        </w:tc>
        <w:tc>
          <w:tcPr>
            <w:tcW w:w="1619" w:type="dxa"/>
          </w:tcPr>
          <w:p>
            <w:pPr>
              <w:pStyle w:val="64"/>
              <w:rPr>
                <w:highlight w:val="none"/>
              </w:rPr>
            </w:pPr>
            <w:r>
              <w:rPr>
                <w:highlight w:val="none"/>
              </w:rPr>
              <w:t xml:space="preserve">0.04 </w:t>
            </w:r>
          </w:p>
        </w:tc>
        <w:tc>
          <w:tcPr>
            <w:tcW w:w="1619" w:type="dxa"/>
          </w:tcPr>
          <w:p>
            <w:pPr>
              <w:pStyle w:val="64"/>
              <w:rPr>
                <w:highlight w:val="none"/>
              </w:rPr>
            </w:pPr>
            <w:r>
              <w:rPr>
                <w:highlight w:val="none"/>
              </w:rPr>
              <w:t xml:space="preserve">0.04 </w:t>
            </w:r>
          </w:p>
        </w:tc>
        <w:tc>
          <w:tcPr>
            <w:tcW w:w="1618" w:type="dxa"/>
          </w:tcPr>
          <w:p>
            <w:pPr>
              <w:pStyle w:val="64"/>
              <w:rPr>
                <w:highlight w:val="none"/>
              </w:rPr>
            </w:pPr>
            <w:r>
              <w:rPr>
                <w:highlight w:val="none"/>
              </w:rPr>
              <w:t xml:space="preserve">0.05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370" w:type="dxa"/>
            <w:vAlign w:val="center"/>
          </w:tcPr>
          <w:p>
            <w:pPr>
              <w:pStyle w:val="64"/>
              <w:rPr>
                <w:highlight w:val="none"/>
                <w:lang w:eastAsia="en-US"/>
              </w:rPr>
            </w:pPr>
            <w:r>
              <w:rPr>
                <w:highlight w:val="none"/>
                <w:lang w:eastAsia="en-US"/>
              </w:rPr>
              <w:t>7</w:t>
            </w:r>
          </w:p>
        </w:tc>
        <w:tc>
          <w:tcPr>
            <w:tcW w:w="615" w:type="dxa"/>
            <w:vMerge w:val="continue"/>
            <w:vAlign w:val="center"/>
          </w:tcPr>
          <w:p>
            <w:pPr>
              <w:pStyle w:val="64"/>
              <w:rPr>
                <w:highlight w:val="none"/>
              </w:rPr>
            </w:pPr>
          </w:p>
        </w:tc>
        <w:tc>
          <w:tcPr>
            <w:tcW w:w="1945" w:type="dxa"/>
            <w:vAlign w:val="center"/>
          </w:tcPr>
          <w:p>
            <w:pPr>
              <w:pStyle w:val="64"/>
              <w:rPr>
                <w:rFonts w:cs="宋体"/>
                <w:highlight w:val="none"/>
              </w:rPr>
            </w:pPr>
            <w:r>
              <w:rPr>
                <w:rFonts w:hint="eastAsia"/>
                <w:highlight w:val="none"/>
              </w:rPr>
              <w:t>铬(六价)</w:t>
            </w:r>
          </w:p>
        </w:tc>
        <w:tc>
          <w:tcPr>
            <w:tcW w:w="968" w:type="dxa"/>
            <w:vAlign w:val="center"/>
          </w:tcPr>
          <w:p>
            <w:pPr>
              <w:pStyle w:val="64"/>
              <w:rPr>
                <w:rFonts w:cs="宋体"/>
                <w:highlight w:val="none"/>
              </w:rPr>
            </w:pPr>
            <w:r>
              <w:rPr>
                <w:rFonts w:hint="eastAsia"/>
                <w:highlight w:val="none"/>
              </w:rPr>
              <w:t>5.7</w:t>
            </w:r>
          </w:p>
        </w:tc>
        <w:tc>
          <w:tcPr>
            <w:tcW w:w="1619" w:type="dxa"/>
          </w:tcPr>
          <w:p>
            <w:pPr>
              <w:pStyle w:val="64"/>
              <w:rPr>
                <w:highlight w:val="none"/>
              </w:rPr>
            </w:pPr>
            <w:r>
              <w:rPr>
                <w:rFonts w:hint="eastAsia"/>
                <w:highlight w:val="none"/>
              </w:rPr>
              <w:t>ND</w:t>
            </w:r>
          </w:p>
        </w:tc>
        <w:tc>
          <w:tcPr>
            <w:tcW w:w="1619" w:type="dxa"/>
          </w:tcPr>
          <w:p>
            <w:pPr>
              <w:pStyle w:val="64"/>
              <w:rPr>
                <w:highlight w:val="none"/>
              </w:rPr>
            </w:pPr>
            <w:r>
              <w:rPr>
                <w:rFonts w:hint="eastAsia"/>
                <w:highlight w:val="none"/>
              </w:rPr>
              <w:t>ND</w:t>
            </w:r>
          </w:p>
        </w:tc>
        <w:tc>
          <w:tcPr>
            <w:tcW w:w="1618" w:type="dxa"/>
          </w:tcPr>
          <w:p>
            <w:pPr>
              <w:pStyle w:val="64"/>
              <w:rPr>
                <w:highlight w:val="none"/>
              </w:rPr>
            </w:pPr>
            <w:r>
              <w:rPr>
                <w:rFonts w:hint="eastAsia"/>
                <w:highlight w:val="none"/>
              </w:rPr>
              <w:t>ND</w:t>
            </w:r>
          </w:p>
        </w:tc>
      </w:tr>
    </w:tbl>
    <w:p>
      <w:pPr>
        <w:pStyle w:val="65"/>
        <w:rPr>
          <w:rFonts w:hint="eastAsia" w:hAnsi="宋体"/>
          <w:highlight w:val="none"/>
        </w:rPr>
      </w:pPr>
    </w:p>
    <w:p>
      <w:pPr>
        <w:pStyle w:val="65"/>
        <w:rPr>
          <w:rFonts w:hAnsi="宋体"/>
          <w:highlight w:val="none"/>
        </w:rPr>
      </w:pPr>
      <w:r>
        <w:rPr>
          <w:rFonts w:hint="eastAsia" w:hAnsi="宋体"/>
          <w:highlight w:val="none"/>
        </w:rPr>
        <w:t>续表</w:t>
      </w:r>
      <w:r>
        <w:rPr>
          <w:rFonts w:hAnsi="宋体"/>
          <w:kern w:val="0"/>
          <w:highlight w:val="none"/>
        </w:rPr>
        <w:t>4.3-</w:t>
      </w:r>
      <w:r>
        <w:rPr>
          <w:rFonts w:hint="eastAsia" w:hAnsi="宋体"/>
          <w:kern w:val="0"/>
          <w:highlight w:val="none"/>
        </w:rPr>
        <w:t>20</w:t>
      </w:r>
      <w:r>
        <w:rPr>
          <w:rFonts w:hAnsi="宋体"/>
          <w:highlight w:val="none"/>
        </w:rPr>
        <w:t xml:space="preserve">  </w:t>
      </w:r>
      <w:r>
        <w:rPr>
          <w:rFonts w:hint="eastAsia" w:hAnsi="宋体"/>
          <w:highlight w:val="none"/>
        </w:rPr>
        <w:t>土壤监测因子标准指数计算结果</w:t>
      </w:r>
    </w:p>
    <w:tbl>
      <w:tblPr>
        <w:tblStyle w:val="44"/>
        <w:tblW w:w="875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286"/>
        <w:gridCol w:w="410"/>
        <w:gridCol w:w="548"/>
        <w:gridCol w:w="1364"/>
        <w:gridCol w:w="1024"/>
        <w:gridCol w:w="1024"/>
        <w:gridCol w:w="1024"/>
        <w:gridCol w:w="1024"/>
        <w:gridCol w:w="1024"/>
        <w:gridCol w:w="102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Merge w:val="restart"/>
            <w:vAlign w:val="center"/>
          </w:tcPr>
          <w:p>
            <w:pPr>
              <w:spacing w:line="320" w:lineRule="exact"/>
              <w:ind w:firstLine="0" w:firstLineChars="0"/>
              <w:jc w:val="center"/>
              <w:rPr>
                <w:rFonts w:ascii="宋体" w:hAnsi="宋体"/>
                <w:kern w:val="0"/>
                <w:sz w:val="21"/>
                <w:highlight w:val="none"/>
              </w:rPr>
            </w:pPr>
          </w:p>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序号</w:t>
            </w:r>
          </w:p>
        </w:tc>
        <w:tc>
          <w:tcPr>
            <w:tcW w:w="2322" w:type="dxa"/>
            <w:gridSpan w:val="3"/>
            <w:vMerge w:val="restart"/>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mc:AlternateContent>
                <mc:Choice Requires="wps">
                  <w:drawing>
                    <wp:anchor distT="0" distB="0" distL="114300" distR="114300" simplePos="0" relativeHeight="251680768" behindDoc="0" locked="0" layoutInCell="1" allowOverlap="1">
                      <wp:simplePos x="0" y="0"/>
                      <wp:positionH relativeFrom="column">
                        <wp:posOffset>45720</wp:posOffset>
                      </wp:positionH>
                      <wp:positionV relativeFrom="paragraph">
                        <wp:posOffset>-7620</wp:posOffset>
                      </wp:positionV>
                      <wp:extent cx="1379220" cy="793750"/>
                      <wp:effectExtent l="0" t="0" r="30480" b="25400"/>
                      <wp:wrapNone/>
                      <wp:docPr id="14" name="自选图形 1263"/>
                      <wp:cNvGraphicFramePr/>
                      <a:graphic xmlns:a="http://schemas.openxmlformats.org/drawingml/2006/main">
                        <a:graphicData uri="http://schemas.microsoft.com/office/word/2010/wordprocessingShape">
                          <wps:wsp>
                            <wps:cNvCnPr>
                              <a:cxnSpLocks noChangeShapeType="1"/>
                            </wps:cNvCnPr>
                            <wps:spPr bwMode="auto">
                              <a:xfrm>
                                <a:off x="0" y="0"/>
                                <a:ext cx="1379220" cy="793750"/>
                              </a:xfrm>
                              <a:prstGeom prst="straightConnector1">
                                <a:avLst/>
                              </a:prstGeom>
                              <a:noFill/>
                              <a:ln w="3175">
                                <a:solidFill>
                                  <a:srgbClr val="000000"/>
                                </a:solidFill>
                                <a:round/>
                              </a:ln>
                            </wps:spPr>
                            <wps:bodyPr/>
                          </wps:wsp>
                        </a:graphicData>
                      </a:graphic>
                    </wp:anchor>
                  </w:drawing>
                </mc:Choice>
                <mc:Fallback>
                  <w:pict>
                    <v:shape id="自选图形 1263" o:spid="_x0000_s1026" o:spt="32" type="#_x0000_t32" style="position:absolute;left:0pt;margin-left:3.6pt;margin-top:-0.6pt;height:62.5pt;width:108.6pt;z-index:251680768;mso-width-relative:page;mso-height-relative:page;" filled="f" stroked="t" coordsize="21600,21600" o:gfxdata="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ERdXbXAAAACAEAAA8AAAAAAAAAAQAgAAAAIgAAAGRycy9kb3ducmV2LnhtbFBL&#10;AQIUABQAAAAIAIdO4kAXDFEv9wEAAL4DAAAOAAAAAAAAAAEAIAAAACYBAABkcnMvZTJvRG9jLnht&#10;bFBLBQYAAAAABgAGAFkBAACPBQAAAAA=&#10;">
                      <v:fill on="f" focussize="0,0"/>
                      <v:stroke weight="0.25pt" color="#000000" joinstyle="round"/>
                      <v:imagedata o:title=""/>
                      <o:lock v:ext="edit" aspectratio="f"/>
                    </v:shape>
                  </w:pict>
                </mc:Fallback>
              </mc:AlternateContent>
            </w:r>
            <w:r>
              <w:rPr>
                <w:rFonts w:ascii="宋体" w:hAnsi="宋体"/>
                <w:kern w:val="0"/>
                <w:sz w:val="21"/>
                <w:highlight w:val="none"/>
              </w:rPr>
              <mc:AlternateContent>
                <mc:Choice Requires="wps">
                  <w:drawing>
                    <wp:anchor distT="0" distB="0" distL="114300" distR="114300" simplePos="0" relativeHeight="251681792" behindDoc="0" locked="0" layoutInCell="1" allowOverlap="1">
                      <wp:simplePos x="0" y="0"/>
                      <wp:positionH relativeFrom="column">
                        <wp:posOffset>39370</wp:posOffset>
                      </wp:positionH>
                      <wp:positionV relativeFrom="paragraph">
                        <wp:posOffset>-18415</wp:posOffset>
                      </wp:positionV>
                      <wp:extent cx="589280" cy="850265"/>
                      <wp:effectExtent l="0" t="0" r="20320" b="26035"/>
                      <wp:wrapNone/>
                      <wp:docPr id="15" name="自选图形 1264"/>
                      <wp:cNvGraphicFramePr/>
                      <a:graphic xmlns:a="http://schemas.openxmlformats.org/drawingml/2006/main">
                        <a:graphicData uri="http://schemas.microsoft.com/office/word/2010/wordprocessingShape">
                          <wps:wsp>
                            <wps:cNvCnPr>
                              <a:cxnSpLocks noChangeShapeType="1"/>
                            </wps:cNvCnPr>
                            <wps:spPr bwMode="auto">
                              <a:xfrm>
                                <a:off x="0" y="0"/>
                                <a:ext cx="589280" cy="850265"/>
                              </a:xfrm>
                              <a:prstGeom prst="straightConnector1">
                                <a:avLst/>
                              </a:prstGeom>
                              <a:noFill/>
                              <a:ln w="3175">
                                <a:solidFill>
                                  <a:srgbClr val="000000"/>
                                </a:solidFill>
                                <a:round/>
                              </a:ln>
                            </wps:spPr>
                            <wps:bodyPr/>
                          </wps:wsp>
                        </a:graphicData>
                      </a:graphic>
                    </wp:anchor>
                  </w:drawing>
                </mc:Choice>
                <mc:Fallback>
                  <w:pict>
                    <v:shape id="自选图形 1264" o:spid="_x0000_s1026" o:spt="32" type="#_x0000_t32" style="position:absolute;left:0pt;margin-left:3.1pt;margin-top:-1.45pt;height:66.95pt;width:46.4pt;z-index:251681792;mso-width-relative:page;mso-height-relative:page;" filled="f" stroked="t" coordsize="21600,21600" o:gfxdata="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KJ+j1QAAAAcBAAAPAAAAAAAAAAEAIAAAACIAAABkcnMvZG93bnJldi54bWxQSwECFAAU&#10;AAAACACHTuJAE7IECfQBAAC9AwAADgAAAAAAAAABACAAAAAkAQAAZHJzL2Uyb0RvYy54bWxQSwUG&#10;AAAAAAYABgBZAQAAigUAAAAA&#10;">
                      <v:fill on="f" focussize="0,0"/>
                      <v:stroke weight="0.25pt" color="#000000" joinstyle="round"/>
                      <v:imagedata o:title=""/>
                      <o:lock v:ext="edit" aspectratio="f"/>
                    </v:shape>
                  </w:pict>
                </mc:Fallback>
              </mc:AlternateContent>
            </w:r>
            <w:r>
              <w:rPr>
                <w:rFonts w:ascii="宋体" w:hAnsi="宋体"/>
                <w:kern w:val="0"/>
                <w:sz w:val="21"/>
                <w:highlight w:val="none"/>
              </w:rPr>
              <mc:AlternateContent>
                <mc:Choice Requires="wps">
                  <w:drawing>
                    <wp:anchor distT="0" distB="0" distL="114300" distR="114300" simplePos="0" relativeHeight="251677696" behindDoc="0" locked="0" layoutInCell="1" allowOverlap="1">
                      <wp:simplePos x="0" y="0"/>
                      <wp:positionH relativeFrom="column">
                        <wp:posOffset>485775</wp:posOffset>
                      </wp:positionH>
                      <wp:positionV relativeFrom="paragraph">
                        <wp:posOffset>86360</wp:posOffset>
                      </wp:positionV>
                      <wp:extent cx="934720" cy="188595"/>
                      <wp:effectExtent l="0" t="0" r="17780" b="1905"/>
                      <wp:wrapNone/>
                      <wp:docPr id="13"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34720" cy="188595"/>
                              </a:xfrm>
                              <a:prstGeom prst="rect">
                                <a:avLst/>
                              </a:prstGeom>
                              <a:noFill/>
                              <a:ln>
                                <a:noFill/>
                              </a:ln>
                            </wps:spPr>
                            <wps:txbx>
                              <w:txbxContent>
                                <w:p>
                                  <w:pPr>
                                    <w:spacing w:line="320" w:lineRule="exact"/>
                                    <w:ind w:firstLine="0" w:firstLineChars="0"/>
                                    <w:rPr>
                                      <w:sz w:val="21"/>
                                      <w:szCs w:val="21"/>
                                    </w:rPr>
                                  </w:pPr>
                                  <w:r>
                                    <w:rPr>
                                      <w:rFonts w:hint="eastAsia"/>
                                      <w:sz w:val="21"/>
                                      <w:szCs w:val="21"/>
                                    </w:rPr>
                                    <w:t>点位采样深度</w:t>
                                  </w:r>
                                </w:p>
                              </w:txbxContent>
                            </wps:txbx>
                            <wps:bodyPr rot="0" vert="horz" wrap="square" lIns="0" tIns="0" rIns="0" bIns="0" anchor="t" anchorCtr="0" upright="1">
                              <a:noAutofit/>
                            </wps:bodyPr>
                          </wps:wsp>
                        </a:graphicData>
                      </a:graphic>
                    </wp:anchor>
                  </w:drawing>
                </mc:Choice>
                <mc:Fallback>
                  <w:pict>
                    <v:shape id="文本框 152" o:spid="_x0000_s1026" o:spt="202" type="#_x0000_t202" style="position:absolute;left:0pt;margin-left:38.25pt;margin-top:6.8pt;height:14.85pt;width:73.6pt;z-index:251677696;mso-width-relative:page;mso-height-relative:page;" filled="f" stroked="f" coordsize="21600,21600" o:gfxdata="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xV3+dgAAAAIAQAADwAAAAAAAAAB&#10;ACAAAAAiAAAAZHJzL2Rvd25yZXYueG1sUEsBAhQAFAAAAAgAh07iQF4mFukQAgAABwQAAA4AAAAA&#10;AAAAAQAgAAAAJwEAAGRycy9lMm9Eb2MueG1sUEsFBgAAAAAGAAYAWQEAAKkFAAAAAA==&#10;">
                      <v:fill on="f" focussize="0,0"/>
                      <v:stroke on="f"/>
                      <v:imagedata o:title=""/>
                      <o:lock v:ext="edit" aspectratio="f"/>
                      <v:textbox inset="0mm,0mm,0mm,0mm">
                        <w:txbxContent>
                          <w:p>
                            <w:pPr>
                              <w:spacing w:line="320" w:lineRule="exact"/>
                              <w:ind w:firstLine="0" w:firstLineChars="0"/>
                              <w:rPr>
                                <w:sz w:val="21"/>
                                <w:szCs w:val="21"/>
                              </w:rPr>
                            </w:pPr>
                            <w:r>
                              <w:rPr>
                                <w:rFonts w:hint="eastAsia"/>
                                <w:sz w:val="21"/>
                                <w:szCs w:val="21"/>
                              </w:rPr>
                              <w:t>点位采样深度</w:t>
                            </w:r>
                          </w:p>
                        </w:txbxContent>
                      </v:textbox>
                    </v:shape>
                  </w:pict>
                </mc:Fallback>
              </mc:AlternateContent>
            </w:r>
            <w:r>
              <w:rPr>
                <w:rFonts w:ascii="宋体" w:hAnsi="宋体"/>
                <w:kern w:val="0"/>
                <w:sz w:val="21"/>
                <w:highlight w:val="none"/>
              </w:rPr>
              <mc:AlternateContent>
                <mc:Choice Requires="wps">
                  <w:drawing>
                    <wp:anchor distT="0" distB="0" distL="114300" distR="114300" simplePos="0" relativeHeight="251679744" behindDoc="0" locked="0" layoutInCell="1" allowOverlap="1">
                      <wp:simplePos x="0" y="0"/>
                      <wp:positionH relativeFrom="column">
                        <wp:posOffset>31750</wp:posOffset>
                      </wp:positionH>
                      <wp:positionV relativeFrom="paragraph">
                        <wp:posOffset>414020</wp:posOffset>
                      </wp:positionV>
                      <wp:extent cx="342265" cy="194310"/>
                      <wp:effectExtent l="0" t="0" r="635" b="15240"/>
                      <wp:wrapNone/>
                      <wp:docPr id="1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342265" cy="194310"/>
                              </a:xfrm>
                              <a:prstGeom prst="rect">
                                <a:avLst/>
                              </a:prstGeom>
                              <a:noFill/>
                              <a:ln>
                                <a:noFill/>
                              </a:ln>
                            </wps:spPr>
                            <wps:txbx>
                              <w:txbxContent>
                                <w:p>
                                  <w:pPr>
                                    <w:spacing w:line="320" w:lineRule="exact"/>
                                    <w:ind w:firstLine="0" w:firstLineChars="0"/>
                                    <w:rPr>
                                      <w:sz w:val="21"/>
                                      <w:szCs w:val="21"/>
                                    </w:rPr>
                                  </w:pPr>
                                  <w:r>
                                    <w:rPr>
                                      <w:rFonts w:hint="eastAsia"/>
                                      <w:b/>
                                      <w:sz w:val="21"/>
                                      <w:szCs w:val="21"/>
                                    </w:rPr>
                                    <w:t>项</w:t>
                                  </w:r>
                                  <w:r>
                                    <w:rPr>
                                      <w:rFonts w:hint="eastAsia"/>
                                      <w:sz w:val="21"/>
                                      <w:szCs w:val="21"/>
                                    </w:rPr>
                                    <w:t>目</w:t>
                                  </w:r>
                                </w:p>
                              </w:txbxContent>
                            </wps:txbx>
                            <wps:bodyPr rot="0" vert="horz" wrap="square" lIns="0" tIns="0" rIns="0" bIns="0" anchor="t" anchorCtr="0" upright="1">
                              <a:noAutofit/>
                            </wps:bodyPr>
                          </wps:wsp>
                        </a:graphicData>
                      </a:graphic>
                    </wp:anchor>
                  </w:drawing>
                </mc:Choice>
                <mc:Fallback>
                  <w:pict>
                    <v:shape id="文本框 182" o:spid="_x0000_s1026" o:spt="202" type="#_x0000_t202" style="position:absolute;left:0pt;margin-left:2.5pt;margin-top:32.6pt;height:15.3pt;width:26.95pt;z-index:251679744;mso-width-relative:page;mso-height-relative:page;" filled="f" stroked="f" coordsize="21600,21600" o:gfxdata="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zUAmbWAAAABgEAAA8AAAAAAAAAAQAg&#10;AAAAIgAAAGRycy9kb3ducmV2LnhtbFBLAQIUABQAAAAIAIdO4kCCm5zKEAIAAAcEAAAOAAAAAAAA&#10;AAEAIAAAACUBAABkcnMvZTJvRG9jLnhtbFBLBQYAAAAABgAGAFkBAACnBQAAAAA=&#10;">
                      <v:fill on="f" focussize="0,0"/>
                      <v:stroke on="f"/>
                      <v:imagedata o:title=""/>
                      <o:lock v:ext="edit" aspectratio="f"/>
                      <v:textbox inset="0mm,0mm,0mm,0mm">
                        <w:txbxContent>
                          <w:p>
                            <w:pPr>
                              <w:spacing w:line="320" w:lineRule="exact"/>
                              <w:ind w:firstLine="0" w:firstLineChars="0"/>
                              <w:rPr>
                                <w:sz w:val="21"/>
                                <w:szCs w:val="21"/>
                              </w:rPr>
                            </w:pPr>
                            <w:r>
                              <w:rPr>
                                <w:rFonts w:hint="eastAsia"/>
                                <w:b/>
                                <w:sz w:val="21"/>
                                <w:szCs w:val="21"/>
                              </w:rPr>
                              <w:t>项</w:t>
                            </w:r>
                            <w:r>
                              <w:rPr>
                                <w:rFonts w:hint="eastAsia"/>
                                <w:sz w:val="21"/>
                                <w:szCs w:val="21"/>
                              </w:rPr>
                              <w:t>目</w:t>
                            </w:r>
                          </w:p>
                        </w:txbxContent>
                      </v:textbox>
                    </v:shape>
                  </w:pict>
                </mc:Fallback>
              </mc:AlternateContent>
            </w:r>
          </w:p>
          <w:p>
            <w:pPr>
              <w:spacing w:line="320" w:lineRule="exact"/>
              <w:ind w:firstLine="0" w:firstLineChars="0"/>
              <w:jc w:val="center"/>
              <w:rPr>
                <w:rFonts w:ascii="宋体" w:hAnsi="宋体"/>
                <w:kern w:val="0"/>
                <w:sz w:val="21"/>
                <w:highlight w:val="none"/>
              </w:rPr>
            </w:pPr>
            <w:r>
              <w:rPr>
                <w:rFonts w:ascii="宋体" w:hAnsi="宋体"/>
                <w:kern w:val="0"/>
                <w:sz w:val="21"/>
                <w:highlight w:val="none"/>
              </w:rPr>
              <mc:AlternateContent>
                <mc:Choice Requires="wps">
                  <w:drawing>
                    <wp:anchor distT="0" distB="0" distL="114300" distR="114300" simplePos="0" relativeHeight="251678720" behindDoc="0" locked="0" layoutInCell="1" allowOverlap="1">
                      <wp:simplePos x="0" y="0"/>
                      <wp:positionH relativeFrom="column">
                        <wp:posOffset>971550</wp:posOffset>
                      </wp:positionH>
                      <wp:positionV relativeFrom="paragraph">
                        <wp:posOffset>157480</wp:posOffset>
                      </wp:positionV>
                      <wp:extent cx="501015" cy="191770"/>
                      <wp:effectExtent l="0" t="0" r="13335" b="17780"/>
                      <wp:wrapNone/>
                      <wp:docPr id="53"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501015" cy="191770"/>
                              </a:xfrm>
                              <a:prstGeom prst="rect">
                                <a:avLst/>
                              </a:prstGeom>
                              <a:noFill/>
                              <a:ln>
                                <a:noFill/>
                              </a:ln>
                            </wps:spPr>
                            <wps:txbx>
                              <w:txbxContent>
                                <w:p>
                                  <w:pPr>
                                    <w:spacing w:line="320" w:lineRule="exact"/>
                                    <w:ind w:firstLine="0" w:firstLineChars="0"/>
                                    <w:rPr>
                                      <w:sz w:val="21"/>
                                      <w:szCs w:val="21"/>
                                    </w:rPr>
                                  </w:pPr>
                                  <w:r>
                                    <w:rPr>
                                      <w:rFonts w:hint="eastAsia"/>
                                      <w:sz w:val="21"/>
                                      <w:szCs w:val="21"/>
                                    </w:rPr>
                                    <w:t>占标率</w:t>
                                  </w:r>
                                </w:p>
                              </w:txbxContent>
                            </wps:txbx>
                            <wps:bodyPr rot="0" vert="horz" wrap="square" lIns="0" tIns="0" rIns="0" bIns="0" anchor="t" anchorCtr="0" upright="1">
                              <a:noAutofit/>
                            </wps:bodyPr>
                          </wps:wsp>
                        </a:graphicData>
                      </a:graphic>
                    </wp:anchor>
                  </w:drawing>
                </mc:Choice>
                <mc:Fallback>
                  <w:pict>
                    <v:shape id="文本框 180" o:spid="_x0000_s1026" o:spt="202" type="#_x0000_t202" style="position:absolute;left:0pt;margin-left:76.5pt;margin-top:12.4pt;height:15.1pt;width:39.45pt;z-index:251678720;mso-width-relative:page;mso-height-relative:page;" filled="f" stroked="f" coordsize="21600,21600" o:gfxdata="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ATVdgAAAAJAQAADwAAAAAAAAAB&#10;ACAAAAAiAAAAZHJzL2Rvd25yZXYueG1sUEsBAhQAFAAAAAgAh07iQFTApboQAgAABwQAAA4AAAAA&#10;AAAAAQAgAAAAJwEAAGRycy9lMm9Eb2MueG1sUEsFBgAAAAAGAAYAWQEAAKkFAAAAAA==&#10;">
                      <v:fill on="f" focussize="0,0"/>
                      <v:stroke on="f"/>
                      <v:imagedata o:title=""/>
                      <o:lock v:ext="edit" aspectratio="f"/>
                      <v:textbox inset="0mm,0mm,0mm,0mm">
                        <w:txbxContent>
                          <w:p>
                            <w:pPr>
                              <w:spacing w:line="320" w:lineRule="exact"/>
                              <w:ind w:firstLine="0" w:firstLineChars="0"/>
                              <w:rPr>
                                <w:sz w:val="21"/>
                                <w:szCs w:val="21"/>
                              </w:rPr>
                            </w:pPr>
                            <w:r>
                              <w:rPr>
                                <w:rFonts w:hint="eastAsia"/>
                                <w:sz w:val="21"/>
                                <w:szCs w:val="21"/>
                              </w:rPr>
                              <w:t>占标率</w:t>
                            </w:r>
                          </w:p>
                        </w:txbxContent>
                      </v:textbox>
                    </v:shape>
                  </w:pict>
                </mc:Fallback>
              </mc:AlternateContent>
            </w:r>
          </w:p>
          <w:p>
            <w:pPr>
              <w:spacing w:line="320" w:lineRule="exact"/>
              <w:ind w:firstLine="0" w:firstLineChars="0"/>
              <w:jc w:val="center"/>
              <w:rPr>
                <w:rFonts w:ascii="宋体" w:hAnsi="宋体"/>
                <w:kern w:val="0"/>
                <w:sz w:val="21"/>
                <w:highlight w:val="none"/>
              </w:rPr>
            </w:pPr>
          </w:p>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标准值</w:t>
            </w:r>
          </w:p>
        </w:tc>
        <w:tc>
          <w:tcPr>
            <w:tcW w:w="3072" w:type="dxa"/>
            <w:gridSpan w:val="3"/>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4#</w:t>
            </w:r>
          </w:p>
        </w:tc>
        <w:tc>
          <w:tcPr>
            <w:tcW w:w="3074" w:type="dxa"/>
            <w:gridSpan w:val="3"/>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Merge w:val="continue"/>
            <w:vAlign w:val="center"/>
          </w:tcPr>
          <w:p>
            <w:pPr>
              <w:spacing w:line="320" w:lineRule="exact"/>
              <w:ind w:firstLine="0" w:firstLineChars="0"/>
              <w:jc w:val="center"/>
              <w:rPr>
                <w:rFonts w:ascii="宋体" w:hAnsi="宋体"/>
                <w:kern w:val="0"/>
                <w:sz w:val="21"/>
                <w:highlight w:val="none"/>
              </w:rPr>
            </w:pPr>
          </w:p>
        </w:tc>
        <w:tc>
          <w:tcPr>
            <w:tcW w:w="2322" w:type="dxa"/>
            <w:gridSpan w:val="3"/>
            <w:vMerge w:val="continue"/>
            <w:vAlign w:val="center"/>
          </w:tcPr>
          <w:p>
            <w:pPr>
              <w:spacing w:line="320" w:lineRule="exact"/>
              <w:ind w:firstLine="0" w:firstLineChars="0"/>
              <w:jc w:val="center"/>
              <w:rPr>
                <w:rFonts w:ascii="宋体" w:hAnsi="宋体"/>
                <w:kern w:val="0"/>
                <w:sz w:val="21"/>
                <w:highlight w:val="none"/>
              </w:rPr>
            </w:pPr>
          </w:p>
        </w:tc>
        <w:tc>
          <w:tcPr>
            <w:tcW w:w="102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(0~50cm)</w:t>
            </w:r>
          </w:p>
        </w:tc>
        <w:tc>
          <w:tcPr>
            <w:tcW w:w="102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(50~150cm)</w:t>
            </w:r>
          </w:p>
        </w:tc>
        <w:tc>
          <w:tcPr>
            <w:tcW w:w="102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(150~300cm)</w:t>
            </w:r>
          </w:p>
        </w:tc>
        <w:tc>
          <w:tcPr>
            <w:tcW w:w="102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(0~50cm)</w:t>
            </w:r>
          </w:p>
        </w:tc>
        <w:tc>
          <w:tcPr>
            <w:tcW w:w="1024"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(50~150cm)</w:t>
            </w:r>
          </w:p>
        </w:tc>
        <w:tc>
          <w:tcPr>
            <w:tcW w:w="1026"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(150~300cm)</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1</w:t>
            </w:r>
          </w:p>
        </w:tc>
        <w:tc>
          <w:tcPr>
            <w:tcW w:w="410" w:type="dxa"/>
            <w:vMerge w:val="restart"/>
            <w:vAlign w:val="center"/>
          </w:tcPr>
          <w:p>
            <w:pPr>
              <w:spacing w:line="320" w:lineRule="exact"/>
              <w:ind w:firstLine="0" w:firstLineChars="0"/>
              <w:jc w:val="center"/>
              <w:rPr>
                <w:rFonts w:ascii="宋体" w:hAnsi="宋体"/>
                <w:kern w:val="0"/>
                <w:sz w:val="21"/>
                <w:highlight w:val="none"/>
                <w:lang w:eastAsia="en-US"/>
              </w:rPr>
            </w:pPr>
            <w:r>
              <w:rPr>
                <w:rFonts w:hint="eastAsia" w:ascii="宋体" w:hAnsi="宋体"/>
                <w:kern w:val="0"/>
                <w:sz w:val="21"/>
                <w:highlight w:val="none"/>
              </w:rPr>
              <w:t>重金属</w:t>
            </w: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镉</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0.6</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20.67</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17.50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16.33</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18.83</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16.83</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13.33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2</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铅</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170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7.88</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7.24</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5.12</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8.53</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7.41</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5.41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3</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铜</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100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49.60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48.10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34.20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51.40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49.20</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35.60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4</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砷</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25</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62.40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60.40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38.40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64.80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59.20</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36.40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5</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镍</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190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11.37</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10.21</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6.53</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11.47</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9.95</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6.89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6</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1"/>
                <w:highlight w:val="none"/>
              </w:rPr>
            </w:pPr>
            <w:r>
              <w:rPr>
                <w:rFonts w:hint="eastAsia" w:ascii="宋体" w:hAnsi="宋体"/>
                <w:kern w:val="0"/>
                <w:sz w:val="21"/>
                <w:highlight w:val="none"/>
              </w:rPr>
              <w:t>锌</w:t>
            </w:r>
          </w:p>
        </w:tc>
        <w:tc>
          <w:tcPr>
            <w:tcW w:w="1364"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300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31.60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30.03</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19.80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31.27</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28.90</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19.40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Align w:val="center"/>
          </w:tcPr>
          <w:p>
            <w:pPr>
              <w:spacing w:line="320" w:lineRule="exact"/>
              <w:ind w:firstLine="0" w:firstLineChars="0"/>
              <w:jc w:val="center"/>
              <w:rPr>
                <w:rFonts w:ascii="宋体" w:hAnsi="宋体"/>
                <w:kern w:val="0"/>
                <w:sz w:val="21"/>
                <w:highlight w:val="none"/>
                <w:lang w:eastAsia="en-US"/>
              </w:rPr>
            </w:pPr>
            <w:r>
              <w:rPr>
                <w:rFonts w:ascii="宋体" w:hAnsi="宋体"/>
                <w:kern w:val="0"/>
                <w:sz w:val="21"/>
                <w:highlight w:val="none"/>
              </w:rPr>
              <w:t>7</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铬</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250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11.44</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10.12</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6.96</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11.08</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9.92</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6.68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86" w:type="dxa"/>
            <w:vAlign w:val="center"/>
          </w:tcPr>
          <w:p>
            <w:pPr>
              <w:spacing w:line="320" w:lineRule="exact"/>
              <w:ind w:firstLine="0" w:firstLineChars="0"/>
              <w:jc w:val="center"/>
              <w:rPr>
                <w:rFonts w:ascii="宋体" w:hAnsi="宋体"/>
                <w:kern w:val="0"/>
                <w:sz w:val="21"/>
                <w:highlight w:val="none"/>
              </w:rPr>
            </w:pPr>
            <w:r>
              <w:rPr>
                <w:rFonts w:ascii="宋体" w:hAnsi="宋体"/>
                <w:kern w:val="0"/>
                <w:sz w:val="21"/>
                <w:highlight w:val="none"/>
              </w:rPr>
              <w:t>8</w:t>
            </w:r>
          </w:p>
        </w:tc>
        <w:tc>
          <w:tcPr>
            <w:tcW w:w="410" w:type="dxa"/>
            <w:vMerge w:val="continue"/>
            <w:vAlign w:val="center"/>
          </w:tcPr>
          <w:p>
            <w:pPr>
              <w:spacing w:line="320" w:lineRule="exact"/>
              <w:ind w:firstLine="0" w:firstLineChars="0"/>
              <w:jc w:val="center"/>
              <w:rPr>
                <w:rFonts w:ascii="宋体" w:hAnsi="宋体"/>
                <w:kern w:val="0"/>
                <w:sz w:val="21"/>
                <w:highlight w:val="none"/>
              </w:rPr>
            </w:pPr>
          </w:p>
        </w:tc>
        <w:tc>
          <w:tcPr>
            <w:tcW w:w="548" w:type="dxa"/>
            <w:vAlign w:val="center"/>
          </w:tcPr>
          <w:p>
            <w:pPr>
              <w:spacing w:line="320" w:lineRule="exact"/>
              <w:ind w:firstLine="0" w:firstLineChars="0"/>
              <w:jc w:val="center"/>
              <w:rPr>
                <w:rFonts w:ascii="宋体" w:hAnsi="宋体"/>
                <w:kern w:val="0"/>
                <w:sz w:val="20"/>
                <w:highlight w:val="none"/>
              </w:rPr>
            </w:pPr>
            <w:r>
              <w:rPr>
                <w:rFonts w:hint="eastAsia" w:ascii="宋体" w:hAnsi="宋体"/>
                <w:kern w:val="0"/>
                <w:sz w:val="20"/>
                <w:highlight w:val="none"/>
              </w:rPr>
              <w:t>汞</w:t>
            </w:r>
          </w:p>
        </w:tc>
        <w:tc>
          <w:tcPr>
            <w:tcW w:w="136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3.4</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0.56</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0.29</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0.26</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0.50</w:t>
            </w:r>
          </w:p>
        </w:tc>
        <w:tc>
          <w:tcPr>
            <w:tcW w:w="1024"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0.35</w:t>
            </w:r>
          </w:p>
        </w:tc>
        <w:tc>
          <w:tcPr>
            <w:tcW w:w="1026" w:type="dxa"/>
            <w:vAlign w:val="center"/>
          </w:tcPr>
          <w:p>
            <w:pPr>
              <w:spacing w:line="320" w:lineRule="exact"/>
              <w:ind w:firstLine="0" w:firstLineChars="0"/>
              <w:jc w:val="center"/>
              <w:rPr>
                <w:rFonts w:ascii="宋体" w:hAnsi="宋体"/>
                <w:kern w:val="0"/>
                <w:sz w:val="20"/>
                <w:highlight w:val="none"/>
              </w:rPr>
            </w:pPr>
            <w:r>
              <w:rPr>
                <w:rFonts w:ascii="宋体" w:hAnsi="宋体"/>
                <w:kern w:val="0"/>
                <w:sz w:val="20"/>
                <w:highlight w:val="none"/>
              </w:rPr>
              <w:t>0.24</w:t>
            </w:r>
          </w:p>
        </w:tc>
      </w:tr>
    </w:tbl>
    <w:p>
      <w:pPr>
        <w:spacing w:line="320" w:lineRule="exact"/>
        <w:ind w:firstLine="0" w:firstLineChars="0"/>
        <w:jc w:val="center"/>
        <w:rPr>
          <w:rFonts w:ascii="宋体" w:hAnsi="宋体"/>
          <w:kern w:val="0"/>
          <w:sz w:val="21"/>
          <w:highlight w:val="none"/>
        </w:rPr>
      </w:pPr>
    </w:p>
    <w:p>
      <w:pPr>
        <w:spacing w:line="320" w:lineRule="exact"/>
        <w:ind w:firstLine="0" w:firstLineChars="0"/>
        <w:jc w:val="center"/>
        <w:rPr>
          <w:rFonts w:ascii="宋体" w:hAnsi="宋体"/>
          <w:kern w:val="0"/>
          <w:sz w:val="21"/>
          <w:highlight w:val="none"/>
        </w:rPr>
      </w:pPr>
    </w:p>
    <w:p>
      <w:pPr>
        <w:spacing w:line="320" w:lineRule="exact"/>
        <w:ind w:firstLine="0" w:firstLineChars="0"/>
        <w:jc w:val="center"/>
        <w:rPr>
          <w:rFonts w:ascii="宋体" w:hAnsi="宋体"/>
          <w:kern w:val="0"/>
          <w:highlight w:val="none"/>
        </w:rPr>
      </w:pPr>
      <w:r>
        <w:rPr>
          <w:rFonts w:hint="eastAsia" w:ascii="宋体" w:hAnsi="宋体"/>
          <w:kern w:val="0"/>
          <w:highlight w:val="none"/>
        </w:rPr>
        <w:t>续表</w:t>
      </w:r>
      <w:r>
        <w:rPr>
          <w:rFonts w:ascii="宋体" w:hAnsi="宋体"/>
          <w:kern w:val="0"/>
          <w:highlight w:val="none"/>
        </w:rPr>
        <w:t>4.3-</w:t>
      </w:r>
      <w:r>
        <w:rPr>
          <w:rFonts w:hint="eastAsia" w:ascii="宋体" w:hAnsi="宋体"/>
          <w:kern w:val="0"/>
          <w:highlight w:val="none"/>
        </w:rPr>
        <w:t>20</w:t>
      </w:r>
      <w:r>
        <w:rPr>
          <w:rFonts w:ascii="宋体" w:hAnsi="宋体"/>
          <w:kern w:val="0"/>
          <w:highlight w:val="none"/>
        </w:rPr>
        <w:t xml:space="preserve">  </w:t>
      </w:r>
      <w:r>
        <w:rPr>
          <w:rFonts w:hint="eastAsia" w:ascii="宋体" w:hAnsi="宋体"/>
          <w:kern w:val="0"/>
          <w:highlight w:val="none"/>
        </w:rPr>
        <w:t>土壤监测因子标准指数计算结果</w:t>
      </w:r>
    </w:p>
    <w:tbl>
      <w:tblPr>
        <w:tblStyle w:val="44"/>
        <w:tblW w:w="875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286"/>
        <w:gridCol w:w="410"/>
        <w:gridCol w:w="548"/>
        <w:gridCol w:w="1364"/>
        <w:gridCol w:w="1024"/>
        <w:gridCol w:w="1024"/>
        <w:gridCol w:w="1024"/>
        <w:gridCol w:w="1024"/>
        <w:gridCol w:w="1026"/>
        <w:gridCol w:w="102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Merge w:val="restart"/>
            <w:vAlign w:val="center"/>
          </w:tcPr>
          <w:p>
            <w:pPr>
              <w:pStyle w:val="64"/>
              <w:rPr>
                <w:highlight w:val="none"/>
              </w:rPr>
            </w:pPr>
          </w:p>
          <w:p>
            <w:pPr>
              <w:pStyle w:val="64"/>
              <w:rPr>
                <w:highlight w:val="none"/>
              </w:rPr>
            </w:pPr>
            <w:r>
              <w:rPr>
                <w:rFonts w:hint="eastAsia"/>
                <w:highlight w:val="none"/>
              </w:rPr>
              <w:t>序号</w:t>
            </w:r>
          </w:p>
          <w:p>
            <w:pPr>
              <w:pStyle w:val="64"/>
              <w:rPr>
                <w:highlight w:val="none"/>
              </w:rPr>
            </w:pPr>
          </w:p>
        </w:tc>
        <w:tc>
          <w:tcPr>
            <w:tcW w:w="2322" w:type="dxa"/>
            <w:gridSpan w:val="3"/>
            <w:vMerge w:val="restart"/>
            <w:vAlign w:val="center"/>
          </w:tcPr>
          <w:p>
            <w:pPr>
              <w:pStyle w:val="64"/>
              <w:rPr>
                <w:highlight w:val="none"/>
              </w:rPr>
            </w:pPr>
            <w:r>
              <w:rPr>
                <w:highlight w:val="none"/>
              </w:rPr>
              <mc:AlternateContent>
                <mc:Choice Requires="wps">
                  <w:drawing>
                    <wp:anchor distT="0" distB="0" distL="114300" distR="114300" simplePos="0" relativeHeight="251686912" behindDoc="0" locked="0" layoutInCell="1" allowOverlap="1">
                      <wp:simplePos x="0" y="0"/>
                      <wp:positionH relativeFrom="column">
                        <wp:posOffset>49530</wp:posOffset>
                      </wp:positionH>
                      <wp:positionV relativeFrom="paragraph">
                        <wp:posOffset>-8890</wp:posOffset>
                      </wp:positionV>
                      <wp:extent cx="538480" cy="838835"/>
                      <wp:effectExtent l="0" t="0" r="33020" b="18415"/>
                      <wp:wrapNone/>
                      <wp:docPr id="9" name="AutoShape 447"/>
                      <wp:cNvGraphicFramePr/>
                      <a:graphic xmlns:a="http://schemas.openxmlformats.org/drawingml/2006/main">
                        <a:graphicData uri="http://schemas.microsoft.com/office/word/2010/wordprocessingShape">
                          <wps:wsp>
                            <wps:cNvCnPr>
                              <a:cxnSpLocks noChangeShapeType="1"/>
                            </wps:cNvCnPr>
                            <wps:spPr bwMode="auto">
                              <a:xfrm>
                                <a:off x="0" y="0"/>
                                <a:ext cx="538480" cy="838835"/>
                              </a:xfrm>
                              <a:prstGeom prst="straightConnector1">
                                <a:avLst/>
                              </a:prstGeom>
                              <a:noFill/>
                              <a:ln w="3175">
                                <a:solidFill>
                                  <a:srgbClr val="000000"/>
                                </a:solidFill>
                                <a:round/>
                              </a:ln>
                            </wps:spPr>
                            <wps:bodyPr/>
                          </wps:wsp>
                        </a:graphicData>
                      </a:graphic>
                    </wp:anchor>
                  </w:drawing>
                </mc:Choice>
                <mc:Fallback>
                  <w:pict>
                    <v:shape id="AutoShape 447" o:spid="_x0000_s1026" o:spt="32" type="#_x0000_t32" style="position:absolute;left:0pt;margin-left:3.9pt;margin-top:-0.7pt;height:66.05pt;width:42.4pt;z-index:251686912;mso-width-relative:page;mso-height-relative:page;" filled="f" stroked="t" coordsize="21600,21600" o:gfxdata="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6e5eNYAAAAHAQAADwAAAAAA&#10;AAABACAAAAAiAAAAZHJzL2Rvd25yZXYueG1sUEsBAhQAFAAAAAgAh07iQOSWWDHcAQAAuAMAAA4A&#10;AAAAAAAAAQAgAAAAJQEAAGRycy9lMm9Eb2MueG1sUEsFBgAAAAAGAAYAWQEAAHMFAAAAAA==&#10;">
                      <v:fill on="f" focussize="0,0"/>
                      <v:stroke weight="0.25pt" color="#000000" joinstyle="round"/>
                      <v:imagedata o:title=""/>
                      <o:lock v:ext="edit" aspectratio="f"/>
                    </v:shape>
                  </w:pict>
                </mc:Fallback>
              </mc:AlternateContent>
            </w:r>
            <w:r>
              <w:rPr>
                <w:highlight w:val="none"/>
              </w:rPr>
              <mc:AlternateContent>
                <mc:Choice Requires="wps">
                  <w:drawing>
                    <wp:anchor distT="0" distB="0" distL="114300" distR="114300" simplePos="0" relativeHeight="251685888" behindDoc="0" locked="0" layoutInCell="1" allowOverlap="1">
                      <wp:simplePos x="0" y="0"/>
                      <wp:positionH relativeFrom="column">
                        <wp:posOffset>49530</wp:posOffset>
                      </wp:positionH>
                      <wp:positionV relativeFrom="paragraph">
                        <wp:posOffset>-8890</wp:posOffset>
                      </wp:positionV>
                      <wp:extent cx="1421765" cy="838835"/>
                      <wp:effectExtent l="0" t="0" r="26035" b="18415"/>
                      <wp:wrapNone/>
                      <wp:docPr id="54" name="AutoShape 446"/>
                      <wp:cNvGraphicFramePr/>
                      <a:graphic xmlns:a="http://schemas.openxmlformats.org/drawingml/2006/main">
                        <a:graphicData uri="http://schemas.microsoft.com/office/word/2010/wordprocessingShape">
                          <wps:wsp>
                            <wps:cNvCnPr>
                              <a:cxnSpLocks noChangeShapeType="1"/>
                            </wps:cNvCnPr>
                            <wps:spPr bwMode="auto">
                              <a:xfrm>
                                <a:off x="0" y="0"/>
                                <a:ext cx="1421765" cy="838835"/>
                              </a:xfrm>
                              <a:prstGeom prst="straightConnector1">
                                <a:avLst/>
                              </a:prstGeom>
                              <a:noFill/>
                              <a:ln w="3175">
                                <a:solidFill>
                                  <a:srgbClr val="000000"/>
                                </a:solidFill>
                                <a:round/>
                              </a:ln>
                            </wps:spPr>
                            <wps:bodyPr/>
                          </wps:wsp>
                        </a:graphicData>
                      </a:graphic>
                    </wp:anchor>
                  </w:drawing>
                </mc:Choice>
                <mc:Fallback>
                  <w:pict>
                    <v:shape id="AutoShape 446" o:spid="_x0000_s1026" o:spt="32" type="#_x0000_t32" style="position:absolute;left:0pt;margin-left:3.9pt;margin-top:-0.7pt;height:66.05pt;width:111.95pt;z-index:251685888;mso-width-relative:page;mso-height-relative:page;" filled="f" stroked="t" coordsize="21600,21600" o:gfxdata="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bzc71wAAAAgBAAAPAAAA&#10;AAAAAAEAIAAAACIAAABkcnMvZG93bnJldi54bWxQSwECFAAUAAAACACHTuJAPk1hQN0BAAC6AwAA&#10;DgAAAAAAAAABACAAAAAmAQAAZHJzL2Uyb0RvYy54bWxQSwUGAAAAAAYABgBZAQAAdQUAAAAA&#10;">
                      <v:fill on="f" focussize="0,0"/>
                      <v:stroke weight="0.25pt" color="#000000" joinstyle="round"/>
                      <v:imagedata o:title=""/>
                      <o:lock v:ext="edit" aspectratio="f"/>
                    </v:shape>
                  </w:pict>
                </mc:Fallback>
              </mc:AlternateContent>
            </w:r>
            <w:r>
              <w:rPr>
                <w:highlight w:val="none"/>
              </w:rPr>
              <mc:AlternateContent>
                <mc:Choice Requires="wps">
                  <w:drawing>
                    <wp:anchor distT="0" distB="0" distL="114300" distR="114300" simplePos="0" relativeHeight="251682816" behindDoc="0" locked="0" layoutInCell="1" allowOverlap="1">
                      <wp:simplePos x="0" y="0"/>
                      <wp:positionH relativeFrom="column">
                        <wp:posOffset>588010</wp:posOffset>
                      </wp:positionH>
                      <wp:positionV relativeFrom="paragraph">
                        <wp:posOffset>57150</wp:posOffset>
                      </wp:positionV>
                      <wp:extent cx="934720" cy="188595"/>
                      <wp:effectExtent l="0" t="0" r="17780" b="1905"/>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34720" cy="188595"/>
                              </a:xfrm>
                              <a:prstGeom prst="rect">
                                <a:avLst/>
                              </a:prstGeom>
                              <a:noFill/>
                              <a:ln>
                                <a:noFill/>
                              </a:ln>
                            </wps:spPr>
                            <wps:txbx>
                              <w:txbxContent>
                                <w:p>
                                  <w:pPr>
                                    <w:spacing w:line="320" w:lineRule="exact"/>
                                    <w:ind w:firstLine="0" w:firstLineChars="0"/>
                                    <w:rPr>
                                      <w:sz w:val="21"/>
                                      <w:szCs w:val="21"/>
                                    </w:rPr>
                                  </w:pPr>
                                  <w:r>
                                    <w:rPr>
                                      <w:rFonts w:hint="eastAsia"/>
                                      <w:sz w:val="21"/>
                                      <w:szCs w:val="21"/>
                                    </w:rPr>
                                    <w:t>点位采样深度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3pt;margin-top:4.5pt;height:14.85pt;width:73.6pt;z-index:251682816;mso-width-relative:page;mso-height-relative:page;" filled="f" stroked="f" coordsize="21600,21600" o:gfxdata="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Mro7XAAAABwEAAA8AAAAAAAAAAQAg&#10;AAAAIgAAAGRycy9kb3ducmV2LnhtbFBLAQIUABQAAAAIAIdO4kA9Z3xkDwIAAAgEAAAOAAAAAAAA&#10;AAEAIAAAACYBAABkcnMvZTJvRG9jLnhtbFBLBQYAAAAABgAGAFkBAACnBQAAAAA=&#10;">
                      <v:fill on="f" focussize="0,0"/>
                      <v:stroke on="f"/>
                      <v:imagedata o:title=""/>
                      <o:lock v:ext="edit" aspectratio="f"/>
                      <v:textbox inset="0mm,0mm,0mm,0mm">
                        <w:txbxContent>
                          <w:p>
                            <w:pPr>
                              <w:spacing w:line="320" w:lineRule="exact"/>
                              <w:ind w:firstLine="0" w:firstLineChars="0"/>
                              <w:rPr>
                                <w:sz w:val="21"/>
                                <w:szCs w:val="21"/>
                              </w:rPr>
                            </w:pPr>
                            <w:r>
                              <w:rPr>
                                <w:rFonts w:hint="eastAsia"/>
                                <w:sz w:val="21"/>
                                <w:szCs w:val="21"/>
                              </w:rPr>
                              <w:t>点位采样深度</w:t>
                            </w:r>
                          </w:p>
                        </w:txbxContent>
                      </v:textbox>
                    </v:shape>
                  </w:pict>
                </mc:Fallback>
              </mc:AlternateContent>
            </w:r>
          </w:p>
          <w:p>
            <w:pPr>
              <w:pStyle w:val="64"/>
              <w:rPr>
                <w:highlight w:val="none"/>
              </w:rPr>
            </w:pPr>
            <w:r>
              <w:rPr>
                <w:highlight w:val="none"/>
              </w:rPr>
              <mc:AlternateContent>
                <mc:Choice Requires="wps">
                  <w:drawing>
                    <wp:anchor distT="0" distB="0" distL="114300" distR="114300" simplePos="0" relativeHeight="251683840" behindDoc="0" locked="0" layoutInCell="1" allowOverlap="1">
                      <wp:simplePos x="0" y="0"/>
                      <wp:positionH relativeFrom="column">
                        <wp:posOffset>1019810</wp:posOffset>
                      </wp:positionH>
                      <wp:positionV relativeFrom="paragraph">
                        <wp:posOffset>111760</wp:posOffset>
                      </wp:positionV>
                      <wp:extent cx="501015" cy="191770"/>
                      <wp:effectExtent l="0" t="0" r="13335" b="17780"/>
                      <wp:wrapNone/>
                      <wp:docPr id="18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501015" cy="191770"/>
                              </a:xfrm>
                              <a:prstGeom prst="rect">
                                <a:avLst/>
                              </a:prstGeom>
                              <a:noFill/>
                              <a:ln>
                                <a:noFill/>
                              </a:ln>
                            </wps:spPr>
                            <wps:txbx>
                              <w:txbxContent>
                                <w:p>
                                  <w:pPr>
                                    <w:spacing w:line="320" w:lineRule="exact"/>
                                    <w:ind w:firstLine="0" w:firstLineChars="0"/>
                                    <w:rPr>
                                      <w:sz w:val="21"/>
                                      <w:szCs w:val="21"/>
                                    </w:rPr>
                                  </w:pPr>
                                  <w:r>
                                    <w:rPr>
                                      <w:rFonts w:hint="eastAsia"/>
                                      <w:sz w:val="21"/>
                                      <w:szCs w:val="21"/>
                                    </w:rPr>
                                    <w:t>占标率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0.3pt;margin-top:8.8pt;height:15.1pt;width:39.45pt;z-index:251683840;mso-width-relative:page;mso-height-relative:page;" filled="f" stroked="f" coordsize="21600,21600" o:gfxdata="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dCStgAAAAJAQAADwAAAAAAAAABACAA&#10;AAAiAAAAZHJzL2Rvd25yZXYueG1sUEsBAhQAFAAAAAgAh07iQEQFZ2sNAgAACAQAAA4AAAAAAAAA&#10;AQAgAAAAJwEAAGRycy9lMm9Eb2MueG1sUEsFBgAAAAAGAAYAWQEAAKYFAAAAAA==&#10;">
                      <v:fill on="f" focussize="0,0"/>
                      <v:stroke on="f"/>
                      <v:imagedata o:title=""/>
                      <o:lock v:ext="edit" aspectratio="f"/>
                      <v:textbox inset="0mm,0mm,0mm,0mm">
                        <w:txbxContent>
                          <w:p>
                            <w:pPr>
                              <w:spacing w:line="320" w:lineRule="exact"/>
                              <w:ind w:firstLine="0" w:firstLineChars="0"/>
                              <w:rPr>
                                <w:sz w:val="21"/>
                                <w:szCs w:val="21"/>
                              </w:rPr>
                            </w:pPr>
                            <w:r>
                              <w:rPr>
                                <w:rFonts w:hint="eastAsia"/>
                                <w:sz w:val="21"/>
                                <w:szCs w:val="21"/>
                              </w:rPr>
                              <w:t>占标率</w:t>
                            </w:r>
                          </w:p>
                        </w:txbxContent>
                      </v:textbox>
                    </v:shape>
                  </w:pict>
                </mc:Fallback>
              </mc:AlternateContent>
            </w:r>
          </w:p>
          <w:p>
            <w:pPr>
              <w:pStyle w:val="64"/>
              <w:rPr>
                <w:highlight w:val="none"/>
              </w:rPr>
            </w:pPr>
            <w:r>
              <w:rPr>
                <w:highlight w:val="none"/>
              </w:rPr>
              <mc:AlternateContent>
                <mc:Choice Requires="wps">
                  <w:drawing>
                    <wp:anchor distT="0" distB="0" distL="114300" distR="114300" simplePos="0" relativeHeight="251684864" behindDoc="0" locked="0" layoutInCell="1" allowOverlap="1">
                      <wp:simplePos x="0" y="0"/>
                      <wp:positionH relativeFrom="column">
                        <wp:posOffset>47625</wp:posOffset>
                      </wp:positionH>
                      <wp:positionV relativeFrom="paragraph">
                        <wp:posOffset>165735</wp:posOffset>
                      </wp:positionV>
                      <wp:extent cx="342265" cy="194310"/>
                      <wp:effectExtent l="0" t="0" r="635" b="15240"/>
                      <wp:wrapNone/>
                      <wp:docPr id="18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342265" cy="194310"/>
                              </a:xfrm>
                              <a:prstGeom prst="rect">
                                <a:avLst/>
                              </a:prstGeom>
                              <a:noFill/>
                              <a:ln>
                                <a:noFill/>
                              </a:ln>
                            </wps:spPr>
                            <wps:txbx>
                              <w:txbxContent>
                                <w:p>
                                  <w:pPr>
                                    <w:spacing w:line="320" w:lineRule="exact"/>
                                    <w:ind w:firstLine="0" w:firstLineChars="0"/>
                                    <w:rPr>
                                      <w:sz w:val="21"/>
                                      <w:szCs w:val="21"/>
                                    </w:rPr>
                                  </w:pPr>
                                  <w:r>
                                    <w:rPr>
                                      <w:rFonts w:hint="eastAsia"/>
                                      <w:b/>
                                      <w:sz w:val="21"/>
                                      <w:szCs w:val="21"/>
                                    </w:rPr>
                                    <w:t>项</w:t>
                                  </w:r>
                                  <w:r>
                                    <w:rPr>
                                      <w:rFonts w:hint="eastAsia"/>
                                      <w:sz w:val="21"/>
                                      <w:szCs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13.05pt;height:15.3pt;width:26.95pt;z-index:251684864;mso-width-relative:page;mso-height-relative:page;" filled="f" stroked="f" coordsize="21600,21600" o:gfxdata="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J/jNUAAAAGAQAADwAAAAAAAAABACAA&#10;AAAiAAAAZHJzL2Rvd25yZXYueG1sUEsBAhQAFAAAAAgAh07iQLagT80QAgAACAQAAA4AAAAAAAAA&#10;AQAgAAAAJAEAAGRycy9lMm9Eb2MueG1sUEsFBgAAAAAGAAYAWQEAAKYFAAAAAA==&#10;">
                      <v:fill on="f" focussize="0,0"/>
                      <v:stroke on="f"/>
                      <v:imagedata o:title=""/>
                      <o:lock v:ext="edit" aspectratio="f"/>
                      <v:textbox inset="0mm,0mm,0mm,0mm">
                        <w:txbxContent>
                          <w:p>
                            <w:pPr>
                              <w:spacing w:line="320" w:lineRule="exact"/>
                              <w:ind w:firstLine="0" w:firstLineChars="0"/>
                              <w:rPr>
                                <w:sz w:val="21"/>
                                <w:szCs w:val="21"/>
                              </w:rPr>
                            </w:pPr>
                            <w:r>
                              <w:rPr>
                                <w:rFonts w:hint="eastAsia"/>
                                <w:b/>
                                <w:sz w:val="21"/>
                                <w:szCs w:val="21"/>
                              </w:rPr>
                              <w:t>项</w:t>
                            </w:r>
                            <w:r>
                              <w:rPr>
                                <w:rFonts w:hint="eastAsia"/>
                                <w:sz w:val="21"/>
                                <w:szCs w:val="21"/>
                              </w:rPr>
                              <w:t>目</w:t>
                            </w:r>
                          </w:p>
                        </w:txbxContent>
                      </v:textbox>
                    </v:shape>
                  </w:pict>
                </mc:Fallback>
              </mc:AlternateContent>
            </w:r>
          </w:p>
          <w:p>
            <w:pPr>
              <w:pStyle w:val="64"/>
              <w:rPr>
                <w:highlight w:val="none"/>
              </w:rPr>
            </w:pPr>
            <w:r>
              <w:rPr>
                <w:rFonts w:hint="eastAsia"/>
                <w:highlight w:val="none"/>
              </w:rPr>
              <w:t>标准值</w:t>
            </w:r>
          </w:p>
        </w:tc>
        <w:tc>
          <w:tcPr>
            <w:tcW w:w="3072" w:type="dxa"/>
            <w:gridSpan w:val="3"/>
            <w:vAlign w:val="center"/>
          </w:tcPr>
          <w:p>
            <w:pPr>
              <w:pStyle w:val="64"/>
              <w:rPr>
                <w:highlight w:val="none"/>
              </w:rPr>
            </w:pPr>
            <w:r>
              <w:rPr>
                <w:rFonts w:hint="eastAsia"/>
                <w:highlight w:val="none"/>
              </w:rPr>
              <w:t>6#</w:t>
            </w:r>
          </w:p>
        </w:tc>
        <w:tc>
          <w:tcPr>
            <w:tcW w:w="1024" w:type="dxa"/>
            <w:vAlign w:val="center"/>
          </w:tcPr>
          <w:p>
            <w:pPr>
              <w:pStyle w:val="64"/>
              <w:rPr>
                <w:highlight w:val="none"/>
              </w:rPr>
            </w:pPr>
            <w:r>
              <w:rPr>
                <w:rFonts w:hint="eastAsia"/>
                <w:highlight w:val="none"/>
              </w:rPr>
              <w:t>7#</w:t>
            </w:r>
          </w:p>
        </w:tc>
        <w:tc>
          <w:tcPr>
            <w:tcW w:w="1026" w:type="dxa"/>
            <w:vAlign w:val="center"/>
          </w:tcPr>
          <w:p>
            <w:pPr>
              <w:pStyle w:val="64"/>
              <w:rPr>
                <w:rFonts w:cs="宋体"/>
                <w:sz w:val="22"/>
                <w:szCs w:val="22"/>
                <w:highlight w:val="none"/>
              </w:rPr>
            </w:pPr>
            <w:r>
              <w:rPr>
                <w:rFonts w:hint="eastAsia" w:cs="宋体"/>
                <w:sz w:val="22"/>
                <w:szCs w:val="22"/>
                <w:highlight w:val="none"/>
              </w:rPr>
              <w:t>8#</w:t>
            </w:r>
          </w:p>
        </w:tc>
        <w:tc>
          <w:tcPr>
            <w:tcW w:w="1024" w:type="dxa"/>
            <w:vAlign w:val="center"/>
          </w:tcPr>
          <w:p>
            <w:pPr>
              <w:pStyle w:val="64"/>
              <w:rPr>
                <w:rFonts w:cs="宋体"/>
                <w:sz w:val="22"/>
                <w:szCs w:val="22"/>
                <w:highlight w:val="none"/>
              </w:rPr>
            </w:pPr>
            <w:r>
              <w:rPr>
                <w:rFonts w:hint="eastAsia" w:cs="宋体"/>
                <w:sz w:val="22"/>
                <w:szCs w:val="22"/>
                <w:highlight w:val="none"/>
              </w:rPr>
              <w:t>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Merge w:val="continue"/>
            <w:vAlign w:val="center"/>
          </w:tcPr>
          <w:p>
            <w:pPr>
              <w:pStyle w:val="64"/>
              <w:rPr>
                <w:highlight w:val="none"/>
              </w:rPr>
            </w:pPr>
          </w:p>
        </w:tc>
        <w:tc>
          <w:tcPr>
            <w:tcW w:w="2322" w:type="dxa"/>
            <w:gridSpan w:val="3"/>
            <w:vMerge w:val="continue"/>
            <w:vAlign w:val="center"/>
          </w:tcPr>
          <w:p>
            <w:pPr>
              <w:pStyle w:val="64"/>
              <w:rPr>
                <w:highlight w:val="none"/>
              </w:rPr>
            </w:pPr>
          </w:p>
        </w:tc>
        <w:tc>
          <w:tcPr>
            <w:tcW w:w="1024" w:type="dxa"/>
            <w:vAlign w:val="center"/>
          </w:tcPr>
          <w:p>
            <w:pPr>
              <w:pStyle w:val="64"/>
              <w:rPr>
                <w:highlight w:val="none"/>
              </w:rPr>
            </w:pPr>
            <w:r>
              <w:rPr>
                <w:rFonts w:hint="eastAsia"/>
                <w:highlight w:val="none"/>
              </w:rPr>
              <w:t>(0~50cm)</w:t>
            </w:r>
          </w:p>
        </w:tc>
        <w:tc>
          <w:tcPr>
            <w:tcW w:w="1024" w:type="dxa"/>
            <w:vAlign w:val="center"/>
          </w:tcPr>
          <w:p>
            <w:pPr>
              <w:pStyle w:val="64"/>
              <w:rPr>
                <w:highlight w:val="none"/>
              </w:rPr>
            </w:pPr>
            <w:r>
              <w:rPr>
                <w:rFonts w:hint="eastAsia"/>
                <w:highlight w:val="none"/>
              </w:rPr>
              <w:t>(50~150cm)</w:t>
            </w:r>
          </w:p>
        </w:tc>
        <w:tc>
          <w:tcPr>
            <w:tcW w:w="1024" w:type="dxa"/>
            <w:vAlign w:val="center"/>
          </w:tcPr>
          <w:p>
            <w:pPr>
              <w:pStyle w:val="64"/>
              <w:rPr>
                <w:highlight w:val="none"/>
              </w:rPr>
            </w:pPr>
            <w:r>
              <w:rPr>
                <w:rFonts w:hint="eastAsia"/>
                <w:highlight w:val="none"/>
              </w:rPr>
              <w:t>(150~300cm)</w:t>
            </w:r>
          </w:p>
        </w:tc>
        <w:tc>
          <w:tcPr>
            <w:tcW w:w="1024" w:type="dxa"/>
            <w:vAlign w:val="center"/>
          </w:tcPr>
          <w:p>
            <w:pPr>
              <w:pStyle w:val="64"/>
              <w:rPr>
                <w:highlight w:val="none"/>
              </w:rPr>
            </w:pPr>
            <w:r>
              <w:rPr>
                <w:rFonts w:hint="eastAsia"/>
                <w:highlight w:val="none"/>
              </w:rPr>
              <w:t>(0~50cm)</w:t>
            </w:r>
          </w:p>
        </w:tc>
        <w:tc>
          <w:tcPr>
            <w:tcW w:w="1026" w:type="dxa"/>
            <w:vAlign w:val="center"/>
          </w:tcPr>
          <w:p>
            <w:pPr>
              <w:pStyle w:val="64"/>
              <w:rPr>
                <w:highlight w:val="none"/>
              </w:rPr>
            </w:pPr>
            <w:r>
              <w:rPr>
                <w:rFonts w:hint="eastAsia"/>
                <w:highlight w:val="none"/>
              </w:rPr>
              <w:t>(0~50cm))</w:t>
            </w:r>
          </w:p>
        </w:tc>
        <w:tc>
          <w:tcPr>
            <w:tcW w:w="1024" w:type="dxa"/>
            <w:vAlign w:val="center"/>
          </w:tcPr>
          <w:p>
            <w:pPr>
              <w:pStyle w:val="64"/>
              <w:rPr>
                <w:highlight w:val="none"/>
              </w:rPr>
            </w:pPr>
            <w:r>
              <w:rPr>
                <w:rFonts w:hint="eastAsia"/>
                <w:highlight w:val="none"/>
              </w:rPr>
              <w:t>(0~50cm)</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1</w:t>
            </w:r>
          </w:p>
        </w:tc>
        <w:tc>
          <w:tcPr>
            <w:tcW w:w="410" w:type="dxa"/>
            <w:vMerge w:val="restart"/>
            <w:vAlign w:val="center"/>
          </w:tcPr>
          <w:p>
            <w:pPr>
              <w:pStyle w:val="64"/>
              <w:rPr>
                <w:highlight w:val="none"/>
                <w:lang w:eastAsia="en-US"/>
              </w:rPr>
            </w:pPr>
            <w:r>
              <w:rPr>
                <w:rFonts w:hint="eastAsia"/>
                <w:highlight w:val="none"/>
              </w:rPr>
              <w:t>重金属</w:t>
            </w:r>
          </w:p>
        </w:tc>
        <w:tc>
          <w:tcPr>
            <w:tcW w:w="548" w:type="dxa"/>
            <w:vAlign w:val="center"/>
          </w:tcPr>
          <w:p>
            <w:pPr>
              <w:pStyle w:val="64"/>
              <w:rPr>
                <w:sz w:val="20"/>
                <w:highlight w:val="none"/>
              </w:rPr>
            </w:pPr>
            <w:r>
              <w:rPr>
                <w:rFonts w:hint="eastAsia"/>
                <w:sz w:val="20"/>
                <w:highlight w:val="none"/>
              </w:rPr>
              <w:t>镉</w:t>
            </w:r>
          </w:p>
        </w:tc>
        <w:tc>
          <w:tcPr>
            <w:tcW w:w="1364" w:type="dxa"/>
            <w:vAlign w:val="center"/>
          </w:tcPr>
          <w:p>
            <w:pPr>
              <w:pStyle w:val="64"/>
              <w:rPr>
                <w:sz w:val="20"/>
                <w:highlight w:val="none"/>
              </w:rPr>
            </w:pPr>
            <w:r>
              <w:rPr>
                <w:sz w:val="20"/>
                <w:highlight w:val="none"/>
              </w:rPr>
              <w:t>0.6</w:t>
            </w:r>
          </w:p>
        </w:tc>
        <w:tc>
          <w:tcPr>
            <w:tcW w:w="1024" w:type="dxa"/>
            <w:vAlign w:val="bottom"/>
          </w:tcPr>
          <w:p>
            <w:pPr>
              <w:pStyle w:val="64"/>
              <w:rPr>
                <w:rFonts w:cs="宋体"/>
                <w:sz w:val="24"/>
                <w:highlight w:val="none"/>
              </w:rPr>
            </w:pPr>
            <w:r>
              <w:rPr>
                <w:rFonts w:hint="eastAsia"/>
                <w:highlight w:val="none"/>
              </w:rPr>
              <w:t xml:space="preserve">20.50 </w:t>
            </w:r>
          </w:p>
        </w:tc>
        <w:tc>
          <w:tcPr>
            <w:tcW w:w="1024" w:type="dxa"/>
            <w:vAlign w:val="bottom"/>
          </w:tcPr>
          <w:p>
            <w:pPr>
              <w:pStyle w:val="64"/>
              <w:rPr>
                <w:rFonts w:cs="宋体"/>
                <w:sz w:val="24"/>
                <w:highlight w:val="none"/>
              </w:rPr>
            </w:pPr>
            <w:r>
              <w:rPr>
                <w:rFonts w:hint="eastAsia"/>
                <w:highlight w:val="none"/>
              </w:rPr>
              <w:t xml:space="preserve">19.00 </w:t>
            </w:r>
          </w:p>
        </w:tc>
        <w:tc>
          <w:tcPr>
            <w:tcW w:w="1024" w:type="dxa"/>
            <w:vAlign w:val="bottom"/>
          </w:tcPr>
          <w:p>
            <w:pPr>
              <w:pStyle w:val="64"/>
              <w:rPr>
                <w:rFonts w:cs="宋体"/>
                <w:sz w:val="24"/>
                <w:highlight w:val="none"/>
              </w:rPr>
            </w:pPr>
            <w:r>
              <w:rPr>
                <w:rFonts w:hint="eastAsia"/>
                <w:highlight w:val="none"/>
              </w:rPr>
              <w:t xml:space="preserve">14.83 </w:t>
            </w:r>
          </w:p>
        </w:tc>
        <w:tc>
          <w:tcPr>
            <w:tcW w:w="1024" w:type="dxa"/>
            <w:vAlign w:val="bottom"/>
          </w:tcPr>
          <w:p>
            <w:pPr>
              <w:pStyle w:val="64"/>
              <w:rPr>
                <w:rFonts w:cs="宋体"/>
                <w:sz w:val="24"/>
                <w:highlight w:val="none"/>
              </w:rPr>
            </w:pPr>
            <w:r>
              <w:rPr>
                <w:rFonts w:hint="eastAsia"/>
                <w:highlight w:val="none"/>
              </w:rPr>
              <w:t xml:space="preserve">17.17 </w:t>
            </w:r>
          </w:p>
        </w:tc>
        <w:tc>
          <w:tcPr>
            <w:tcW w:w="1026" w:type="dxa"/>
            <w:vAlign w:val="bottom"/>
          </w:tcPr>
          <w:p>
            <w:pPr>
              <w:pStyle w:val="64"/>
              <w:rPr>
                <w:rFonts w:cs="宋体"/>
                <w:sz w:val="24"/>
                <w:highlight w:val="none"/>
              </w:rPr>
            </w:pPr>
            <w:r>
              <w:rPr>
                <w:rFonts w:hint="eastAsia"/>
                <w:highlight w:val="none"/>
              </w:rPr>
              <w:t xml:space="preserve">21.00 </w:t>
            </w:r>
          </w:p>
        </w:tc>
        <w:tc>
          <w:tcPr>
            <w:tcW w:w="1024" w:type="dxa"/>
            <w:vAlign w:val="bottom"/>
          </w:tcPr>
          <w:p>
            <w:pPr>
              <w:pStyle w:val="64"/>
              <w:rPr>
                <w:rFonts w:cs="宋体"/>
                <w:sz w:val="24"/>
                <w:highlight w:val="none"/>
              </w:rPr>
            </w:pPr>
            <w:r>
              <w:rPr>
                <w:rFonts w:hint="eastAsia"/>
                <w:highlight w:val="none"/>
              </w:rPr>
              <w:t xml:space="preserve">18.17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2</w:t>
            </w:r>
          </w:p>
        </w:tc>
        <w:tc>
          <w:tcPr>
            <w:tcW w:w="410" w:type="dxa"/>
            <w:vMerge w:val="continue"/>
            <w:vAlign w:val="center"/>
          </w:tcPr>
          <w:p>
            <w:pPr>
              <w:pStyle w:val="64"/>
              <w:rPr>
                <w:highlight w:val="none"/>
              </w:rPr>
            </w:pPr>
          </w:p>
        </w:tc>
        <w:tc>
          <w:tcPr>
            <w:tcW w:w="548" w:type="dxa"/>
            <w:vAlign w:val="center"/>
          </w:tcPr>
          <w:p>
            <w:pPr>
              <w:pStyle w:val="64"/>
              <w:rPr>
                <w:sz w:val="20"/>
                <w:highlight w:val="none"/>
              </w:rPr>
            </w:pPr>
            <w:r>
              <w:rPr>
                <w:rFonts w:hint="eastAsia"/>
                <w:sz w:val="20"/>
                <w:highlight w:val="none"/>
              </w:rPr>
              <w:t>铅</w:t>
            </w:r>
          </w:p>
        </w:tc>
        <w:tc>
          <w:tcPr>
            <w:tcW w:w="1364" w:type="dxa"/>
            <w:vAlign w:val="center"/>
          </w:tcPr>
          <w:p>
            <w:pPr>
              <w:pStyle w:val="64"/>
              <w:rPr>
                <w:sz w:val="20"/>
                <w:highlight w:val="none"/>
              </w:rPr>
            </w:pPr>
            <w:r>
              <w:rPr>
                <w:sz w:val="20"/>
                <w:highlight w:val="none"/>
              </w:rPr>
              <w:t>170</w:t>
            </w:r>
          </w:p>
        </w:tc>
        <w:tc>
          <w:tcPr>
            <w:tcW w:w="1024" w:type="dxa"/>
            <w:vAlign w:val="bottom"/>
          </w:tcPr>
          <w:p>
            <w:pPr>
              <w:pStyle w:val="64"/>
              <w:rPr>
                <w:rFonts w:cs="宋体"/>
                <w:sz w:val="24"/>
                <w:highlight w:val="none"/>
              </w:rPr>
            </w:pPr>
            <w:r>
              <w:rPr>
                <w:rFonts w:hint="eastAsia"/>
                <w:highlight w:val="none"/>
              </w:rPr>
              <w:t xml:space="preserve">8.29 </w:t>
            </w:r>
          </w:p>
        </w:tc>
        <w:tc>
          <w:tcPr>
            <w:tcW w:w="1024" w:type="dxa"/>
            <w:vAlign w:val="bottom"/>
          </w:tcPr>
          <w:p>
            <w:pPr>
              <w:pStyle w:val="64"/>
              <w:rPr>
                <w:rFonts w:cs="宋体"/>
                <w:sz w:val="24"/>
                <w:highlight w:val="none"/>
              </w:rPr>
            </w:pPr>
            <w:r>
              <w:rPr>
                <w:rFonts w:hint="eastAsia"/>
                <w:highlight w:val="none"/>
              </w:rPr>
              <w:t xml:space="preserve">7.00 </w:t>
            </w:r>
          </w:p>
        </w:tc>
        <w:tc>
          <w:tcPr>
            <w:tcW w:w="1024" w:type="dxa"/>
            <w:vAlign w:val="bottom"/>
          </w:tcPr>
          <w:p>
            <w:pPr>
              <w:pStyle w:val="64"/>
              <w:rPr>
                <w:rFonts w:cs="宋体"/>
                <w:sz w:val="24"/>
                <w:highlight w:val="none"/>
              </w:rPr>
            </w:pPr>
            <w:r>
              <w:rPr>
                <w:rFonts w:hint="eastAsia"/>
                <w:highlight w:val="none"/>
              </w:rPr>
              <w:t xml:space="preserve">5.12 </w:t>
            </w:r>
          </w:p>
        </w:tc>
        <w:tc>
          <w:tcPr>
            <w:tcW w:w="1024" w:type="dxa"/>
            <w:vAlign w:val="bottom"/>
          </w:tcPr>
          <w:p>
            <w:pPr>
              <w:pStyle w:val="64"/>
              <w:rPr>
                <w:rFonts w:cs="宋体"/>
                <w:sz w:val="24"/>
                <w:highlight w:val="none"/>
              </w:rPr>
            </w:pPr>
            <w:r>
              <w:rPr>
                <w:rFonts w:hint="eastAsia"/>
                <w:highlight w:val="none"/>
              </w:rPr>
              <w:t xml:space="preserve">7.94 </w:t>
            </w:r>
          </w:p>
        </w:tc>
        <w:tc>
          <w:tcPr>
            <w:tcW w:w="1026" w:type="dxa"/>
            <w:vAlign w:val="bottom"/>
          </w:tcPr>
          <w:p>
            <w:pPr>
              <w:pStyle w:val="64"/>
              <w:rPr>
                <w:rFonts w:cs="宋体"/>
                <w:sz w:val="24"/>
                <w:highlight w:val="none"/>
              </w:rPr>
            </w:pPr>
            <w:r>
              <w:rPr>
                <w:rFonts w:hint="eastAsia"/>
                <w:highlight w:val="none"/>
              </w:rPr>
              <w:t xml:space="preserve">7.53 </w:t>
            </w:r>
          </w:p>
        </w:tc>
        <w:tc>
          <w:tcPr>
            <w:tcW w:w="1024" w:type="dxa"/>
            <w:vAlign w:val="bottom"/>
          </w:tcPr>
          <w:p>
            <w:pPr>
              <w:pStyle w:val="64"/>
              <w:rPr>
                <w:rFonts w:cs="宋体"/>
                <w:sz w:val="24"/>
                <w:highlight w:val="none"/>
              </w:rPr>
            </w:pPr>
            <w:r>
              <w:rPr>
                <w:rFonts w:hint="eastAsia"/>
                <w:highlight w:val="none"/>
              </w:rPr>
              <w:t xml:space="preserve">7.65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3</w:t>
            </w:r>
          </w:p>
        </w:tc>
        <w:tc>
          <w:tcPr>
            <w:tcW w:w="410" w:type="dxa"/>
            <w:vMerge w:val="continue"/>
            <w:vAlign w:val="center"/>
          </w:tcPr>
          <w:p>
            <w:pPr>
              <w:pStyle w:val="64"/>
              <w:rPr>
                <w:highlight w:val="none"/>
              </w:rPr>
            </w:pPr>
          </w:p>
        </w:tc>
        <w:tc>
          <w:tcPr>
            <w:tcW w:w="548" w:type="dxa"/>
            <w:vAlign w:val="center"/>
          </w:tcPr>
          <w:p>
            <w:pPr>
              <w:pStyle w:val="64"/>
              <w:rPr>
                <w:sz w:val="20"/>
                <w:highlight w:val="none"/>
              </w:rPr>
            </w:pPr>
            <w:r>
              <w:rPr>
                <w:rFonts w:hint="eastAsia"/>
                <w:sz w:val="20"/>
                <w:highlight w:val="none"/>
              </w:rPr>
              <w:t>铜</w:t>
            </w:r>
          </w:p>
        </w:tc>
        <w:tc>
          <w:tcPr>
            <w:tcW w:w="1364" w:type="dxa"/>
            <w:vAlign w:val="center"/>
          </w:tcPr>
          <w:p>
            <w:pPr>
              <w:pStyle w:val="64"/>
              <w:rPr>
                <w:sz w:val="20"/>
                <w:highlight w:val="none"/>
              </w:rPr>
            </w:pPr>
            <w:r>
              <w:rPr>
                <w:sz w:val="20"/>
                <w:highlight w:val="none"/>
              </w:rPr>
              <w:t>100</w:t>
            </w:r>
          </w:p>
        </w:tc>
        <w:tc>
          <w:tcPr>
            <w:tcW w:w="1024" w:type="dxa"/>
            <w:vAlign w:val="bottom"/>
          </w:tcPr>
          <w:p>
            <w:pPr>
              <w:pStyle w:val="64"/>
              <w:rPr>
                <w:rFonts w:cs="宋体"/>
                <w:sz w:val="24"/>
                <w:highlight w:val="none"/>
              </w:rPr>
            </w:pPr>
            <w:r>
              <w:rPr>
                <w:rFonts w:hint="eastAsia"/>
                <w:highlight w:val="none"/>
              </w:rPr>
              <w:t xml:space="preserve">49.80 </w:t>
            </w:r>
          </w:p>
        </w:tc>
        <w:tc>
          <w:tcPr>
            <w:tcW w:w="1024" w:type="dxa"/>
            <w:vAlign w:val="bottom"/>
          </w:tcPr>
          <w:p>
            <w:pPr>
              <w:pStyle w:val="64"/>
              <w:rPr>
                <w:rFonts w:cs="宋体"/>
                <w:sz w:val="24"/>
                <w:highlight w:val="none"/>
              </w:rPr>
            </w:pPr>
            <w:r>
              <w:rPr>
                <w:rFonts w:hint="eastAsia"/>
                <w:highlight w:val="none"/>
              </w:rPr>
              <w:t xml:space="preserve">41.70 </w:t>
            </w:r>
          </w:p>
        </w:tc>
        <w:tc>
          <w:tcPr>
            <w:tcW w:w="1024" w:type="dxa"/>
            <w:vAlign w:val="bottom"/>
          </w:tcPr>
          <w:p>
            <w:pPr>
              <w:pStyle w:val="64"/>
              <w:rPr>
                <w:rFonts w:cs="宋体"/>
                <w:sz w:val="24"/>
                <w:highlight w:val="none"/>
              </w:rPr>
            </w:pPr>
            <w:r>
              <w:rPr>
                <w:rFonts w:hint="eastAsia"/>
                <w:highlight w:val="none"/>
              </w:rPr>
              <w:t xml:space="preserve">34.60 </w:t>
            </w:r>
          </w:p>
        </w:tc>
        <w:tc>
          <w:tcPr>
            <w:tcW w:w="1024" w:type="dxa"/>
            <w:vAlign w:val="bottom"/>
          </w:tcPr>
          <w:p>
            <w:pPr>
              <w:pStyle w:val="64"/>
              <w:rPr>
                <w:rFonts w:cs="宋体"/>
                <w:sz w:val="24"/>
                <w:highlight w:val="none"/>
              </w:rPr>
            </w:pPr>
            <w:r>
              <w:rPr>
                <w:rFonts w:hint="eastAsia"/>
                <w:highlight w:val="none"/>
              </w:rPr>
              <w:t xml:space="preserve">48.50 </w:t>
            </w:r>
          </w:p>
        </w:tc>
        <w:tc>
          <w:tcPr>
            <w:tcW w:w="1026" w:type="dxa"/>
            <w:vAlign w:val="bottom"/>
          </w:tcPr>
          <w:p>
            <w:pPr>
              <w:pStyle w:val="64"/>
              <w:rPr>
                <w:rFonts w:cs="宋体"/>
                <w:sz w:val="24"/>
                <w:highlight w:val="none"/>
              </w:rPr>
            </w:pPr>
            <w:r>
              <w:rPr>
                <w:rFonts w:hint="eastAsia"/>
                <w:highlight w:val="none"/>
              </w:rPr>
              <w:t xml:space="preserve">51.30 </w:t>
            </w:r>
          </w:p>
        </w:tc>
        <w:tc>
          <w:tcPr>
            <w:tcW w:w="1024" w:type="dxa"/>
            <w:vAlign w:val="bottom"/>
          </w:tcPr>
          <w:p>
            <w:pPr>
              <w:pStyle w:val="64"/>
              <w:rPr>
                <w:rFonts w:cs="宋体"/>
                <w:sz w:val="24"/>
                <w:highlight w:val="none"/>
              </w:rPr>
            </w:pPr>
            <w:r>
              <w:rPr>
                <w:rFonts w:hint="eastAsia"/>
                <w:highlight w:val="none"/>
              </w:rPr>
              <w:t xml:space="preserve">65.70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4</w:t>
            </w:r>
          </w:p>
        </w:tc>
        <w:tc>
          <w:tcPr>
            <w:tcW w:w="410" w:type="dxa"/>
            <w:vMerge w:val="continue"/>
            <w:vAlign w:val="center"/>
          </w:tcPr>
          <w:p>
            <w:pPr>
              <w:pStyle w:val="64"/>
              <w:rPr>
                <w:highlight w:val="none"/>
              </w:rPr>
            </w:pPr>
          </w:p>
        </w:tc>
        <w:tc>
          <w:tcPr>
            <w:tcW w:w="548" w:type="dxa"/>
            <w:vAlign w:val="center"/>
          </w:tcPr>
          <w:p>
            <w:pPr>
              <w:pStyle w:val="64"/>
              <w:rPr>
                <w:sz w:val="20"/>
                <w:highlight w:val="none"/>
              </w:rPr>
            </w:pPr>
            <w:r>
              <w:rPr>
                <w:rFonts w:hint="eastAsia"/>
                <w:sz w:val="20"/>
                <w:highlight w:val="none"/>
              </w:rPr>
              <w:t>砷</w:t>
            </w:r>
          </w:p>
        </w:tc>
        <w:tc>
          <w:tcPr>
            <w:tcW w:w="1364" w:type="dxa"/>
            <w:vAlign w:val="center"/>
          </w:tcPr>
          <w:p>
            <w:pPr>
              <w:pStyle w:val="64"/>
              <w:rPr>
                <w:sz w:val="20"/>
                <w:highlight w:val="none"/>
              </w:rPr>
            </w:pPr>
            <w:r>
              <w:rPr>
                <w:sz w:val="20"/>
                <w:highlight w:val="none"/>
              </w:rPr>
              <w:t>25</w:t>
            </w:r>
          </w:p>
        </w:tc>
        <w:tc>
          <w:tcPr>
            <w:tcW w:w="1024" w:type="dxa"/>
            <w:vAlign w:val="bottom"/>
          </w:tcPr>
          <w:p>
            <w:pPr>
              <w:pStyle w:val="64"/>
              <w:rPr>
                <w:rFonts w:cs="宋体"/>
                <w:sz w:val="24"/>
                <w:highlight w:val="none"/>
              </w:rPr>
            </w:pPr>
            <w:r>
              <w:rPr>
                <w:rFonts w:hint="eastAsia"/>
                <w:highlight w:val="none"/>
              </w:rPr>
              <w:t xml:space="preserve">70.00 </w:t>
            </w:r>
          </w:p>
        </w:tc>
        <w:tc>
          <w:tcPr>
            <w:tcW w:w="1024" w:type="dxa"/>
            <w:vAlign w:val="bottom"/>
          </w:tcPr>
          <w:p>
            <w:pPr>
              <w:pStyle w:val="64"/>
              <w:rPr>
                <w:rFonts w:cs="宋体"/>
                <w:sz w:val="24"/>
                <w:highlight w:val="none"/>
              </w:rPr>
            </w:pPr>
            <w:r>
              <w:rPr>
                <w:rFonts w:hint="eastAsia"/>
                <w:highlight w:val="none"/>
              </w:rPr>
              <w:t xml:space="preserve">60.80 </w:t>
            </w:r>
          </w:p>
        </w:tc>
        <w:tc>
          <w:tcPr>
            <w:tcW w:w="1024" w:type="dxa"/>
            <w:vAlign w:val="bottom"/>
          </w:tcPr>
          <w:p>
            <w:pPr>
              <w:pStyle w:val="64"/>
              <w:rPr>
                <w:rFonts w:cs="宋体"/>
                <w:sz w:val="24"/>
                <w:highlight w:val="none"/>
              </w:rPr>
            </w:pPr>
            <w:r>
              <w:rPr>
                <w:rFonts w:hint="eastAsia"/>
                <w:highlight w:val="none"/>
              </w:rPr>
              <w:t xml:space="preserve">40.40 </w:t>
            </w:r>
          </w:p>
        </w:tc>
        <w:tc>
          <w:tcPr>
            <w:tcW w:w="1024" w:type="dxa"/>
            <w:vAlign w:val="bottom"/>
          </w:tcPr>
          <w:p>
            <w:pPr>
              <w:pStyle w:val="64"/>
              <w:rPr>
                <w:rFonts w:cs="宋体"/>
                <w:sz w:val="24"/>
                <w:highlight w:val="none"/>
              </w:rPr>
            </w:pPr>
            <w:r>
              <w:rPr>
                <w:rFonts w:hint="eastAsia"/>
                <w:highlight w:val="none"/>
              </w:rPr>
              <w:t xml:space="preserve">59.20 </w:t>
            </w:r>
          </w:p>
        </w:tc>
        <w:tc>
          <w:tcPr>
            <w:tcW w:w="1026" w:type="dxa"/>
            <w:vAlign w:val="bottom"/>
          </w:tcPr>
          <w:p>
            <w:pPr>
              <w:pStyle w:val="64"/>
              <w:rPr>
                <w:rFonts w:cs="宋体"/>
                <w:sz w:val="24"/>
                <w:highlight w:val="none"/>
              </w:rPr>
            </w:pPr>
            <w:r>
              <w:rPr>
                <w:rFonts w:hint="eastAsia"/>
                <w:highlight w:val="none"/>
              </w:rPr>
              <w:t xml:space="preserve">64.00 </w:t>
            </w:r>
          </w:p>
        </w:tc>
        <w:tc>
          <w:tcPr>
            <w:tcW w:w="1024" w:type="dxa"/>
            <w:vAlign w:val="bottom"/>
          </w:tcPr>
          <w:p>
            <w:pPr>
              <w:pStyle w:val="64"/>
              <w:rPr>
                <w:rFonts w:cs="宋体"/>
                <w:sz w:val="24"/>
                <w:highlight w:val="none"/>
              </w:rPr>
            </w:pPr>
            <w:r>
              <w:rPr>
                <w:rFonts w:hint="eastAsia"/>
                <w:highlight w:val="none"/>
              </w:rPr>
              <w:t xml:space="preserve">66.80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5</w:t>
            </w:r>
          </w:p>
        </w:tc>
        <w:tc>
          <w:tcPr>
            <w:tcW w:w="410" w:type="dxa"/>
            <w:vMerge w:val="continue"/>
            <w:vAlign w:val="center"/>
          </w:tcPr>
          <w:p>
            <w:pPr>
              <w:pStyle w:val="64"/>
              <w:rPr>
                <w:highlight w:val="none"/>
              </w:rPr>
            </w:pPr>
          </w:p>
        </w:tc>
        <w:tc>
          <w:tcPr>
            <w:tcW w:w="548" w:type="dxa"/>
            <w:vAlign w:val="center"/>
          </w:tcPr>
          <w:p>
            <w:pPr>
              <w:pStyle w:val="64"/>
              <w:rPr>
                <w:sz w:val="20"/>
                <w:highlight w:val="none"/>
              </w:rPr>
            </w:pPr>
            <w:r>
              <w:rPr>
                <w:rFonts w:hint="eastAsia"/>
                <w:sz w:val="20"/>
                <w:highlight w:val="none"/>
              </w:rPr>
              <w:t>镍</w:t>
            </w:r>
          </w:p>
        </w:tc>
        <w:tc>
          <w:tcPr>
            <w:tcW w:w="1364" w:type="dxa"/>
            <w:vAlign w:val="center"/>
          </w:tcPr>
          <w:p>
            <w:pPr>
              <w:pStyle w:val="64"/>
              <w:rPr>
                <w:sz w:val="20"/>
                <w:highlight w:val="none"/>
              </w:rPr>
            </w:pPr>
            <w:r>
              <w:rPr>
                <w:sz w:val="20"/>
                <w:highlight w:val="none"/>
              </w:rPr>
              <w:t>190</w:t>
            </w:r>
          </w:p>
        </w:tc>
        <w:tc>
          <w:tcPr>
            <w:tcW w:w="1024" w:type="dxa"/>
            <w:vAlign w:val="bottom"/>
          </w:tcPr>
          <w:p>
            <w:pPr>
              <w:pStyle w:val="64"/>
              <w:rPr>
                <w:rFonts w:cs="宋体"/>
                <w:sz w:val="24"/>
                <w:highlight w:val="none"/>
              </w:rPr>
            </w:pPr>
            <w:r>
              <w:rPr>
                <w:rFonts w:hint="eastAsia"/>
                <w:highlight w:val="none"/>
              </w:rPr>
              <w:t xml:space="preserve">11.26 </w:t>
            </w:r>
          </w:p>
        </w:tc>
        <w:tc>
          <w:tcPr>
            <w:tcW w:w="1024" w:type="dxa"/>
            <w:vAlign w:val="bottom"/>
          </w:tcPr>
          <w:p>
            <w:pPr>
              <w:pStyle w:val="64"/>
              <w:rPr>
                <w:rFonts w:cs="宋体"/>
                <w:sz w:val="24"/>
                <w:highlight w:val="none"/>
              </w:rPr>
            </w:pPr>
            <w:r>
              <w:rPr>
                <w:rFonts w:hint="eastAsia"/>
                <w:highlight w:val="none"/>
              </w:rPr>
              <w:t xml:space="preserve">9.26 </w:t>
            </w:r>
          </w:p>
        </w:tc>
        <w:tc>
          <w:tcPr>
            <w:tcW w:w="1024" w:type="dxa"/>
            <w:vAlign w:val="bottom"/>
          </w:tcPr>
          <w:p>
            <w:pPr>
              <w:pStyle w:val="64"/>
              <w:rPr>
                <w:rFonts w:cs="宋体"/>
                <w:sz w:val="24"/>
                <w:highlight w:val="none"/>
              </w:rPr>
            </w:pPr>
            <w:r>
              <w:rPr>
                <w:rFonts w:hint="eastAsia"/>
                <w:highlight w:val="none"/>
              </w:rPr>
              <w:t xml:space="preserve">6.79 </w:t>
            </w:r>
          </w:p>
        </w:tc>
        <w:tc>
          <w:tcPr>
            <w:tcW w:w="1024" w:type="dxa"/>
            <w:vAlign w:val="bottom"/>
          </w:tcPr>
          <w:p>
            <w:pPr>
              <w:pStyle w:val="64"/>
              <w:rPr>
                <w:rFonts w:cs="宋体"/>
                <w:sz w:val="24"/>
                <w:highlight w:val="none"/>
              </w:rPr>
            </w:pPr>
            <w:r>
              <w:rPr>
                <w:rFonts w:hint="eastAsia"/>
                <w:highlight w:val="none"/>
              </w:rPr>
              <w:t xml:space="preserve">10.37 </w:t>
            </w:r>
          </w:p>
        </w:tc>
        <w:tc>
          <w:tcPr>
            <w:tcW w:w="1026" w:type="dxa"/>
            <w:vAlign w:val="bottom"/>
          </w:tcPr>
          <w:p>
            <w:pPr>
              <w:pStyle w:val="64"/>
              <w:rPr>
                <w:rFonts w:cs="宋体"/>
                <w:sz w:val="24"/>
                <w:highlight w:val="none"/>
              </w:rPr>
            </w:pPr>
            <w:r>
              <w:rPr>
                <w:rFonts w:hint="eastAsia"/>
                <w:highlight w:val="none"/>
              </w:rPr>
              <w:t xml:space="preserve">10.58 </w:t>
            </w:r>
          </w:p>
        </w:tc>
        <w:tc>
          <w:tcPr>
            <w:tcW w:w="1024" w:type="dxa"/>
            <w:vAlign w:val="bottom"/>
          </w:tcPr>
          <w:p>
            <w:pPr>
              <w:pStyle w:val="64"/>
              <w:rPr>
                <w:rFonts w:cs="宋体"/>
                <w:sz w:val="24"/>
                <w:highlight w:val="none"/>
              </w:rPr>
            </w:pPr>
            <w:r>
              <w:rPr>
                <w:rFonts w:hint="eastAsia"/>
                <w:highlight w:val="none"/>
              </w:rPr>
              <w:t xml:space="preserve">9.42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6</w:t>
            </w:r>
          </w:p>
        </w:tc>
        <w:tc>
          <w:tcPr>
            <w:tcW w:w="410" w:type="dxa"/>
            <w:vMerge w:val="continue"/>
            <w:vAlign w:val="center"/>
          </w:tcPr>
          <w:p>
            <w:pPr>
              <w:pStyle w:val="64"/>
              <w:rPr>
                <w:highlight w:val="none"/>
              </w:rPr>
            </w:pPr>
          </w:p>
        </w:tc>
        <w:tc>
          <w:tcPr>
            <w:tcW w:w="548" w:type="dxa"/>
            <w:vAlign w:val="center"/>
          </w:tcPr>
          <w:p>
            <w:pPr>
              <w:pStyle w:val="64"/>
              <w:rPr>
                <w:highlight w:val="none"/>
              </w:rPr>
            </w:pPr>
            <w:r>
              <w:rPr>
                <w:rFonts w:hint="eastAsia"/>
                <w:highlight w:val="none"/>
              </w:rPr>
              <w:t>锌</w:t>
            </w:r>
          </w:p>
        </w:tc>
        <w:tc>
          <w:tcPr>
            <w:tcW w:w="1364" w:type="dxa"/>
            <w:vAlign w:val="center"/>
          </w:tcPr>
          <w:p>
            <w:pPr>
              <w:pStyle w:val="64"/>
              <w:rPr>
                <w:highlight w:val="none"/>
              </w:rPr>
            </w:pPr>
            <w:r>
              <w:rPr>
                <w:highlight w:val="none"/>
              </w:rPr>
              <w:t>300</w:t>
            </w:r>
          </w:p>
        </w:tc>
        <w:tc>
          <w:tcPr>
            <w:tcW w:w="1024" w:type="dxa"/>
            <w:vAlign w:val="bottom"/>
          </w:tcPr>
          <w:p>
            <w:pPr>
              <w:pStyle w:val="64"/>
              <w:rPr>
                <w:rFonts w:cs="宋体"/>
                <w:sz w:val="24"/>
                <w:highlight w:val="none"/>
              </w:rPr>
            </w:pPr>
            <w:r>
              <w:rPr>
                <w:rFonts w:hint="eastAsia"/>
                <w:highlight w:val="none"/>
              </w:rPr>
              <w:t xml:space="preserve">31.40 </w:t>
            </w:r>
          </w:p>
        </w:tc>
        <w:tc>
          <w:tcPr>
            <w:tcW w:w="1024" w:type="dxa"/>
            <w:vAlign w:val="bottom"/>
          </w:tcPr>
          <w:p>
            <w:pPr>
              <w:pStyle w:val="64"/>
              <w:rPr>
                <w:rFonts w:cs="宋体"/>
                <w:sz w:val="24"/>
                <w:highlight w:val="none"/>
              </w:rPr>
            </w:pPr>
            <w:r>
              <w:rPr>
                <w:rFonts w:hint="eastAsia"/>
                <w:highlight w:val="none"/>
              </w:rPr>
              <w:t xml:space="preserve">28.57 </w:t>
            </w:r>
          </w:p>
        </w:tc>
        <w:tc>
          <w:tcPr>
            <w:tcW w:w="1024" w:type="dxa"/>
            <w:vAlign w:val="bottom"/>
          </w:tcPr>
          <w:p>
            <w:pPr>
              <w:pStyle w:val="64"/>
              <w:rPr>
                <w:rFonts w:cs="宋体"/>
                <w:sz w:val="24"/>
                <w:highlight w:val="none"/>
              </w:rPr>
            </w:pPr>
            <w:r>
              <w:rPr>
                <w:rFonts w:hint="eastAsia"/>
                <w:highlight w:val="none"/>
              </w:rPr>
              <w:t xml:space="preserve">19.57 </w:t>
            </w:r>
          </w:p>
        </w:tc>
        <w:tc>
          <w:tcPr>
            <w:tcW w:w="1024" w:type="dxa"/>
            <w:vAlign w:val="bottom"/>
          </w:tcPr>
          <w:p>
            <w:pPr>
              <w:pStyle w:val="64"/>
              <w:rPr>
                <w:rFonts w:cs="宋体"/>
                <w:sz w:val="24"/>
                <w:highlight w:val="none"/>
              </w:rPr>
            </w:pPr>
            <w:r>
              <w:rPr>
                <w:rFonts w:hint="eastAsia"/>
                <w:highlight w:val="none"/>
              </w:rPr>
              <w:t xml:space="preserve">31.37 </w:t>
            </w:r>
          </w:p>
        </w:tc>
        <w:tc>
          <w:tcPr>
            <w:tcW w:w="1026" w:type="dxa"/>
            <w:vAlign w:val="bottom"/>
          </w:tcPr>
          <w:p>
            <w:pPr>
              <w:pStyle w:val="64"/>
              <w:rPr>
                <w:rFonts w:cs="宋体"/>
                <w:sz w:val="24"/>
                <w:highlight w:val="none"/>
              </w:rPr>
            </w:pPr>
            <w:r>
              <w:rPr>
                <w:rFonts w:hint="eastAsia"/>
                <w:highlight w:val="none"/>
              </w:rPr>
              <w:t xml:space="preserve">30.17 </w:t>
            </w:r>
          </w:p>
        </w:tc>
        <w:tc>
          <w:tcPr>
            <w:tcW w:w="1024" w:type="dxa"/>
            <w:vAlign w:val="bottom"/>
          </w:tcPr>
          <w:p>
            <w:pPr>
              <w:pStyle w:val="64"/>
              <w:rPr>
                <w:rFonts w:cs="宋体"/>
                <w:sz w:val="24"/>
                <w:highlight w:val="none"/>
              </w:rPr>
            </w:pPr>
            <w:r>
              <w:rPr>
                <w:rFonts w:hint="eastAsia"/>
                <w:highlight w:val="none"/>
              </w:rPr>
              <w:t xml:space="preserve">19.97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lang w:eastAsia="en-US"/>
              </w:rPr>
            </w:pPr>
            <w:r>
              <w:rPr>
                <w:highlight w:val="none"/>
              </w:rPr>
              <w:t>7</w:t>
            </w:r>
          </w:p>
        </w:tc>
        <w:tc>
          <w:tcPr>
            <w:tcW w:w="410" w:type="dxa"/>
            <w:vMerge w:val="continue"/>
            <w:vAlign w:val="center"/>
          </w:tcPr>
          <w:p>
            <w:pPr>
              <w:pStyle w:val="64"/>
              <w:rPr>
                <w:highlight w:val="none"/>
              </w:rPr>
            </w:pPr>
          </w:p>
        </w:tc>
        <w:tc>
          <w:tcPr>
            <w:tcW w:w="548" w:type="dxa"/>
            <w:vAlign w:val="center"/>
          </w:tcPr>
          <w:p>
            <w:pPr>
              <w:pStyle w:val="64"/>
              <w:rPr>
                <w:sz w:val="20"/>
                <w:highlight w:val="none"/>
              </w:rPr>
            </w:pPr>
            <w:r>
              <w:rPr>
                <w:rFonts w:hint="eastAsia"/>
                <w:sz w:val="20"/>
                <w:highlight w:val="none"/>
              </w:rPr>
              <w:t>铬</w:t>
            </w:r>
          </w:p>
        </w:tc>
        <w:tc>
          <w:tcPr>
            <w:tcW w:w="1364" w:type="dxa"/>
            <w:vAlign w:val="center"/>
          </w:tcPr>
          <w:p>
            <w:pPr>
              <w:pStyle w:val="64"/>
              <w:rPr>
                <w:sz w:val="20"/>
                <w:highlight w:val="none"/>
              </w:rPr>
            </w:pPr>
            <w:r>
              <w:rPr>
                <w:sz w:val="20"/>
                <w:highlight w:val="none"/>
              </w:rPr>
              <w:t>250</w:t>
            </w:r>
          </w:p>
        </w:tc>
        <w:tc>
          <w:tcPr>
            <w:tcW w:w="1024" w:type="dxa"/>
            <w:vAlign w:val="bottom"/>
          </w:tcPr>
          <w:p>
            <w:pPr>
              <w:pStyle w:val="64"/>
              <w:rPr>
                <w:rFonts w:cs="宋体"/>
                <w:sz w:val="24"/>
                <w:highlight w:val="none"/>
              </w:rPr>
            </w:pPr>
            <w:r>
              <w:rPr>
                <w:rFonts w:hint="eastAsia"/>
                <w:highlight w:val="none"/>
              </w:rPr>
              <w:t xml:space="preserve">10.76 </w:t>
            </w:r>
          </w:p>
        </w:tc>
        <w:tc>
          <w:tcPr>
            <w:tcW w:w="1024" w:type="dxa"/>
            <w:vAlign w:val="bottom"/>
          </w:tcPr>
          <w:p>
            <w:pPr>
              <w:pStyle w:val="64"/>
              <w:rPr>
                <w:rFonts w:cs="宋体"/>
                <w:sz w:val="24"/>
                <w:highlight w:val="none"/>
              </w:rPr>
            </w:pPr>
            <w:r>
              <w:rPr>
                <w:rFonts w:hint="eastAsia"/>
                <w:highlight w:val="none"/>
              </w:rPr>
              <w:t xml:space="preserve">9.36 </w:t>
            </w:r>
          </w:p>
        </w:tc>
        <w:tc>
          <w:tcPr>
            <w:tcW w:w="1024" w:type="dxa"/>
            <w:vAlign w:val="bottom"/>
          </w:tcPr>
          <w:p>
            <w:pPr>
              <w:pStyle w:val="64"/>
              <w:rPr>
                <w:rFonts w:cs="宋体"/>
                <w:sz w:val="24"/>
                <w:highlight w:val="none"/>
              </w:rPr>
            </w:pPr>
            <w:r>
              <w:rPr>
                <w:rFonts w:hint="eastAsia"/>
                <w:highlight w:val="none"/>
              </w:rPr>
              <w:t xml:space="preserve">6.44 </w:t>
            </w:r>
          </w:p>
        </w:tc>
        <w:tc>
          <w:tcPr>
            <w:tcW w:w="1024" w:type="dxa"/>
            <w:vAlign w:val="bottom"/>
          </w:tcPr>
          <w:p>
            <w:pPr>
              <w:pStyle w:val="64"/>
              <w:rPr>
                <w:rFonts w:cs="宋体"/>
                <w:sz w:val="24"/>
                <w:highlight w:val="none"/>
              </w:rPr>
            </w:pPr>
            <w:r>
              <w:rPr>
                <w:rFonts w:hint="eastAsia"/>
                <w:highlight w:val="none"/>
              </w:rPr>
              <w:t xml:space="preserve">11.88 </w:t>
            </w:r>
          </w:p>
        </w:tc>
        <w:tc>
          <w:tcPr>
            <w:tcW w:w="1026" w:type="dxa"/>
            <w:vAlign w:val="bottom"/>
          </w:tcPr>
          <w:p>
            <w:pPr>
              <w:pStyle w:val="64"/>
              <w:rPr>
                <w:rFonts w:cs="宋体"/>
                <w:sz w:val="24"/>
                <w:highlight w:val="none"/>
              </w:rPr>
            </w:pPr>
            <w:r>
              <w:rPr>
                <w:rFonts w:hint="eastAsia"/>
                <w:highlight w:val="none"/>
              </w:rPr>
              <w:t xml:space="preserve">10.84 </w:t>
            </w:r>
          </w:p>
        </w:tc>
        <w:tc>
          <w:tcPr>
            <w:tcW w:w="1024" w:type="dxa"/>
            <w:vAlign w:val="bottom"/>
          </w:tcPr>
          <w:p>
            <w:pPr>
              <w:pStyle w:val="64"/>
              <w:rPr>
                <w:rFonts w:cs="宋体"/>
                <w:sz w:val="24"/>
                <w:highlight w:val="none"/>
              </w:rPr>
            </w:pPr>
            <w:r>
              <w:rPr>
                <w:rFonts w:hint="eastAsia"/>
                <w:highlight w:val="none"/>
              </w:rPr>
              <w:t xml:space="preserve">10.32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286" w:type="dxa"/>
            <w:vAlign w:val="center"/>
          </w:tcPr>
          <w:p>
            <w:pPr>
              <w:pStyle w:val="64"/>
              <w:rPr>
                <w:highlight w:val="none"/>
              </w:rPr>
            </w:pPr>
            <w:r>
              <w:rPr>
                <w:highlight w:val="none"/>
              </w:rPr>
              <w:t>8</w:t>
            </w:r>
          </w:p>
        </w:tc>
        <w:tc>
          <w:tcPr>
            <w:tcW w:w="410" w:type="dxa"/>
            <w:vMerge w:val="continue"/>
            <w:vAlign w:val="center"/>
          </w:tcPr>
          <w:p>
            <w:pPr>
              <w:pStyle w:val="64"/>
              <w:rPr>
                <w:highlight w:val="none"/>
              </w:rPr>
            </w:pPr>
          </w:p>
        </w:tc>
        <w:tc>
          <w:tcPr>
            <w:tcW w:w="548" w:type="dxa"/>
            <w:vAlign w:val="center"/>
          </w:tcPr>
          <w:p>
            <w:pPr>
              <w:pStyle w:val="64"/>
              <w:rPr>
                <w:sz w:val="20"/>
                <w:highlight w:val="none"/>
              </w:rPr>
            </w:pPr>
            <w:r>
              <w:rPr>
                <w:rFonts w:hint="eastAsia"/>
                <w:sz w:val="20"/>
                <w:highlight w:val="none"/>
              </w:rPr>
              <w:t>汞</w:t>
            </w:r>
          </w:p>
        </w:tc>
        <w:tc>
          <w:tcPr>
            <w:tcW w:w="1364" w:type="dxa"/>
            <w:vAlign w:val="center"/>
          </w:tcPr>
          <w:p>
            <w:pPr>
              <w:pStyle w:val="64"/>
              <w:rPr>
                <w:sz w:val="20"/>
                <w:highlight w:val="none"/>
              </w:rPr>
            </w:pPr>
            <w:r>
              <w:rPr>
                <w:sz w:val="20"/>
                <w:highlight w:val="none"/>
              </w:rPr>
              <w:t>3.4</w:t>
            </w:r>
          </w:p>
        </w:tc>
        <w:tc>
          <w:tcPr>
            <w:tcW w:w="1024" w:type="dxa"/>
            <w:vAlign w:val="bottom"/>
          </w:tcPr>
          <w:p>
            <w:pPr>
              <w:pStyle w:val="64"/>
              <w:rPr>
                <w:rFonts w:cs="宋体"/>
                <w:sz w:val="24"/>
                <w:highlight w:val="none"/>
              </w:rPr>
            </w:pPr>
            <w:r>
              <w:rPr>
                <w:rFonts w:hint="eastAsia"/>
                <w:highlight w:val="none"/>
              </w:rPr>
              <w:t xml:space="preserve">0.32 </w:t>
            </w:r>
          </w:p>
        </w:tc>
        <w:tc>
          <w:tcPr>
            <w:tcW w:w="1024" w:type="dxa"/>
            <w:vAlign w:val="bottom"/>
          </w:tcPr>
          <w:p>
            <w:pPr>
              <w:pStyle w:val="64"/>
              <w:rPr>
                <w:rFonts w:cs="宋体"/>
                <w:sz w:val="24"/>
                <w:highlight w:val="none"/>
              </w:rPr>
            </w:pPr>
            <w:r>
              <w:rPr>
                <w:rFonts w:hint="eastAsia"/>
                <w:highlight w:val="none"/>
              </w:rPr>
              <w:t xml:space="preserve">2.71 </w:t>
            </w:r>
          </w:p>
        </w:tc>
        <w:tc>
          <w:tcPr>
            <w:tcW w:w="1024" w:type="dxa"/>
            <w:vAlign w:val="bottom"/>
          </w:tcPr>
          <w:p>
            <w:pPr>
              <w:pStyle w:val="64"/>
              <w:rPr>
                <w:rFonts w:cs="宋体"/>
                <w:sz w:val="24"/>
                <w:highlight w:val="none"/>
              </w:rPr>
            </w:pPr>
            <w:r>
              <w:rPr>
                <w:rFonts w:hint="eastAsia"/>
                <w:highlight w:val="none"/>
              </w:rPr>
              <w:t xml:space="preserve">0.24 </w:t>
            </w:r>
          </w:p>
        </w:tc>
        <w:tc>
          <w:tcPr>
            <w:tcW w:w="1024" w:type="dxa"/>
            <w:vAlign w:val="bottom"/>
          </w:tcPr>
          <w:p>
            <w:pPr>
              <w:pStyle w:val="64"/>
              <w:rPr>
                <w:rFonts w:cs="宋体"/>
                <w:sz w:val="24"/>
                <w:highlight w:val="none"/>
              </w:rPr>
            </w:pPr>
            <w:r>
              <w:rPr>
                <w:rFonts w:hint="eastAsia"/>
                <w:highlight w:val="none"/>
              </w:rPr>
              <w:t xml:space="preserve">0.24 </w:t>
            </w:r>
          </w:p>
        </w:tc>
        <w:tc>
          <w:tcPr>
            <w:tcW w:w="1026" w:type="dxa"/>
            <w:vAlign w:val="bottom"/>
          </w:tcPr>
          <w:p>
            <w:pPr>
              <w:pStyle w:val="64"/>
              <w:rPr>
                <w:rFonts w:cs="宋体"/>
                <w:sz w:val="24"/>
                <w:highlight w:val="none"/>
              </w:rPr>
            </w:pPr>
            <w:r>
              <w:rPr>
                <w:rFonts w:hint="eastAsia"/>
                <w:highlight w:val="none"/>
              </w:rPr>
              <w:t xml:space="preserve">0.29 </w:t>
            </w:r>
          </w:p>
        </w:tc>
        <w:tc>
          <w:tcPr>
            <w:tcW w:w="1024" w:type="dxa"/>
            <w:vAlign w:val="bottom"/>
          </w:tcPr>
          <w:p>
            <w:pPr>
              <w:pStyle w:val="64"/>
              <w:rPr>
                <w:rFonts w:cs="宋体"/>
                <w:sz w:val="24"/>
                <w:highlight w:val="none"/>
              </w:rPr>
            </w:pPr>
            <w:r>
              <w:rPr>
                <w:rFonts w:hint="eastAsia"/>
                <w:highlight w:val="none"/>
              </w:rPr>
              <w:t xml:space="preserve">0.56 </w:t>
            </w:r>
          </w:p>
        </w:tc>
      </w:tr>
    </w:tbl>
    <w:p>
      <w:pPr>
        <w:ind w:firstLine="480"/>
        <w:rPr>
          <w:rFonts w:ascii="宋体" w:hAnsi="宋体"/>
          <w:highlight w:val="none"/>
        </w:rPr>
      </w:pPr>
      <w:r>
        <w:rPr>
          <w:rFonts w:hint="eastAsia" w:ascii="宋体" w:hAnsi="宋体"/>
          <w:highlight w:val="none"/>
        </w:rPr>
        <w:t>由上表可见，厂址土壤各监测点位检出物质中的镉、汞、六介铬、砷、铜、铅和镍均低于《土壤环境质量建设用地土壤污染风险管控标准（试行）》（GB36600-2018）表1建设用地土壤污染风险中第二类用地筛选值；尾矿库各监测点位检出物质中的镉、汞、砷、铜、铬、铅、镍和锌均低于《土壤环境质量农用地土壤污染风险管控标准》（</w:t>
      </w:r>
      <w:r>
        <w:rPr>
          <w:rFonts w:ascii="宋体" w:hAnsi="宋体"/>
          <w:highlight w:val="none"/>
        </w:rPr>
        <w:t>GB15618-2018</w:t>
      </w:r>
      <w:r>
        <w:rPr>
          <w:rFonts w:hint="eastAsia" w:ascii="宋体" w:hAnsi="宋体"/>
          <w:highlight w:val="none"/>
        </w:rPr>
        <w:t>）（试行）中表</w:t>
      </w:r>
      <w:r>
        <w:rPr>
          <w:rFonts w:ascii="宋体" w:hAnsi="宋体"/>
          <w:highlight w:val="none"/>
        </w:rPr>
        <w:t>1</w:t>
      </w:r>
      <w:r>
        <w:rPr>
          <w:rFonts w:hint="eastAsia" w:ascii="宋体" w:hAnsi="宋体"/>
          <w:highlight w:val="none"/>
        </w:rPr>
        <w:t>农用地土壤污染风险筛选值。总体来讲，项目所在场地土壤环境质量良好。</w:t>
      </w:r>
    </w:p>
    <w:bookmarkEnd w:id="133"/>
    <w:bookmarkEnd w:id="134"/>
    <w:bookmarkEnd w:id="135"/>
    <w:bookmarkEnd w:id="145"/>
    <w:p>
      <w:pPr>
        <w:autoSpaceDE w:val="0"/>
        <w:autoSpaceDN w:val="0"/>
        <w:spacing w:line="460" w:lineRule="exact"/>
        <w:ind w:firstLine="562"/>
        <w:outlineLvl w:val="2"/>
        <w:rPr>
          <w:rFonts w:ascii="宋体" w:hAnsi="宋体" w:cs="宋体"/>
          <w:b/>
          <w:bCs/>
          <w:kern w:val="0"/>
          <w:sz w:val="28"/>
          <w:szCs w:val="30"/>
          <w:highlight w:val="none"/>
          <w:lang w:val="zh-CN" w:bidi="zh-CN"/>
        </w:rPr>
      </w:pPr>
      <w:bookmarkStart w:id="146" w:name="_Toc20149425"/>
      <w:r>
        <w:rPr>
          <w:rFonts w:ascii="宋体" w:hAnsi="宋体" w:cs="宋体"/>
          <w:b/>
          <w:bCs/>
          <w:kern w:val="0"/>
          <w:sz w:val="28"/>
          <w:szCs w:val="30"/>
          <w:highlight w:val="none"/>
          <w:lang w:val="zh-CN" w:bidi="zh-CN"/>
        </w:rPr>
        <w:t>4.3.6</w:t>
      </w:r>
      <w:r>
        <w:rPr>
          <w:rFonts w:hint="eastAsia" w:ascii="宋体" w:hAnsi="宋体" w:cs="宋体"/>
          <w:b/>
          <w:bCs/>
          <w:kern w:val="0"/>
          <w:sz w:val="28"/>
          <w:szCs w:val="30"/>
          <w:highlight w:val="none"/>
          <w:lang w:val="zh-CN" w:bidi="zh-CN"/>
        </w:rPr>
        <w:t>生态环境现状调查</w:t>
      </w:r>
    </w:p>
    <w:p>
      <w:pPr>
        <w:ind w:firstLine="480"/>
        <w:rPr>
          <w:rFonts w:ascii="宋体" w:hAnsi="宋体"/>
          <w:highlight w:val="none"/>
        </w:rPr>
      </w:pPr>
      <w:r>
        <w:rPr>
          <w:rFonts w:hint="eastAsia" w:ascii="宋体" w:hAnsi="宋体"/>
          <w:highlight w:val="none"/>
        </w:rPr>
        <w:t>本次评价现状采用</w:t>
      </w:r>
      <w:r>
        <w:rPr>
          <w:rFonts w:ascii="宋体" w:hAnsi="宋体"/>
          <w:highlight w:val="none"/>
        </w:rPr>
        <w:t>SPOT</w:t>
      </w:r>
      <w:r>
        <w:rPr>
          <w:rFonts w:hint="eastAsia" w:ascii="宋体" w:hAnsi="宋体"/>
          <w:highlight w:val="none"/>
        </w:rPr>
        <w:t>影像，通过</w:t>
      </w:r>
      <w:r>
        <w:rPr>
          <w:rFonts w:ascii="宋体" w:hAnsi="宋体"/>
          <w:highlight w:val="none"/>
        </w:rPr>
        <w:t>3S</w:t>
      </w:r>
      <w:r>
        <w:rPr>
          <w:rFonts w:hint="eastAsia" w:ascii="宋体" w:hAnsi="宋体"/>
          <w:highlight w:val="none"/>
        </w:rPr>
        <w:t>技术对数据进行几何校正、波段组合、增强处理等预处理后，根据解译判读标志进行人机交互目视判读解译，并根据现场调查和植物群落样方调查结果对解译成果进行修正，以提取评价区域生态环境信息进行生态环境现状调查及评价。</w:t>
      </w:r>
    </w:p>
    <w:p>
      <w:pPr>
        <w:keepNext/>
        <w:keepLines/>
        <w:ind w:firstLine="480"/>
        <w:outlineLvl w:val="3"/>
        <w:rPr>
          <w:rFonts w:ascii="宋体" w:hAnsi="宋体"/>
          <w:bCs/>
          <w:szCs w:val="28"/>
          <w:highlight w:val="none"/>
        </w:rPr>
      </w:pPr>
      <w:r>
        <w:rPr>
          <w:rFonts w:ascii="宋体" w:hAnsi="宋体"/>
          <w:bCs/>
          <w:szCs w:val="28"/>
          <w:highlight w:val="none"/>
        </w:rPr>
        <w:t>4.3.6.1</w:t>
      </w:r>
      <w:r>
        <w:rPr>
          <w:rFonts w:hint="eastAsia" w:ascii="宋体" w:hAnsi="宋体"/>
          <w:bCs/>
          <w:szCs w:val="28"/>
          <w:highlight w:val="none"/>
        </w:rPr>
        <w:t>调查范围</w:t>
      </w:r>
    </w:p>
    <w:p>
      <w:pPr>
        <w:ind w:firstLine="480"/>
        <w:rPr>
          <w:rFonts w:ascii="宋体" w:hAnsi="宋体"/>
          <w:highlight w:val="none"/>
        </w:rPr>
      </w:pPr>
      <w:r>
        <w:rPr>
          <w:rFonts w:hint="eastAsia" w:ascii="宋体" w:hAnsi="宋体"/>
          <w:highlight w:val="none"/>
        </w:rPr>
        <w:t>根据本项目的建设规模，污染物排放情况以及建设地点，确定本次生态环境重点调查场地周围的生态环境。</w:t>
      </w:r>
    </w:p>
    <w:p>
      <w:pPr>
        <w:keepNext/>
        <w:keepLines/>
        <w:ind w:firstLine="480"/>
        <w:outlineLvl w:val="3"/>
        <w:rPr>
          <w:rFonts w:ascii="宋体" w:hAnsi="宋体"/>
          <w:bCs/>
          <w:szCs w:val="28"/>
          <w:highlight w:val="none"/>
        </w:rPr>
      </w:pPr>
      <w:r>
        <w:rPr>
          <w:rFonts w:ascii="宋体" w:hAnsi="宋体"/>
          <w:bCs/>
          <w:szCs w:val="28"/>
          <w:highlight w:val="none"/>
        </w:rPr>
        <w:t>4.3.6.2</w:t>
      </w:r>
      <w:r>
        <w:rPr>
          <w:rFonts w:hint="eastAsia" w:ascii="宋体" w:hAnsi="宋体"/>
          <w:bCs/>
          <w:szCs w:val="28"/>
          <w:highlight w:val="none"/>
        </w:rPr>
        <w:t>调查方法及内容</w:t>
      </w:r>
    </w:p>
    <w:p>
      <w:pPr>
        <w:ind w:firstLine="480"/>
        <w:rPr>
          <w:rFonts w:ascii="宋体" w:hAnsi="宋体"/>
          <w:szCs w:val="20"/>
          <w:highlight w:val="none"/>
        </w:rPr>
      </w:pPr>
      <w:r>
        <w:rPr>
          <w:rFonts w:ascii="宋体" w:hAnsi="宋体"/>
          <w:szCs w:val="20"/>
          <w:highlight w:val="none"/>
        </w:rPr>
        <w:t>1</w:t>
      </w:r>
      <w:r>
        <w:rPr>
          <w:rFonts w:hint="eastAsia" w:ascii="宋体" w:hAnsi="宋体"/>
          <w:szCs w:val="20"/>
          <w:highlight w:val="none"/>
        </w:rPr>
        <w:t>、现场调查</w:t>
      </w:r>
    </w:p>
    <w:p>
      <w:pPr>
        <w:ind w:firstLine="480"/>
        <w:rPr>
          <w:rFonts w:ascii="宋体" w:hAnsi="宋体"/>
          <w:szCs w:val="20"/>
          <w:highlight w:val="none"/>
        </w:rPr>
      </w:pPr>
      <w:r>
        <w:rPr>
          <w:rFonts w:hint="eastAsia" w:ascii="宋体" w:hAnsi="宋体"/>
          <w:szCs w:val="20"/>
          <w:highlight w:val="none"/>
        </w:rPr>
        <w:t>采取以实地调查为主，结合专家咨询，走访当地政府管理部门和居民，了解评价范围内自然生态环境现状及近几年评价土地利用、水土流失、生态环境建设的规划等。在卫星影像图的基础上，结合实地调查，取得地形地貌、土地利用现状、植被分布和土壤侵蚀等资料。</w:t>
      </w:r>
    </w:p>
    <w:p>
      <w:pPr>
        <w:ind w:firstLine="480"/>
        <w:rPr>
          <w:rFonts w:ascii="宋体" w:hAnsi="宋体"/>
          <w:szCs w:val="20"/>
          <w:highlight w:val="none"/>
        </w:rPr>
      </w:pPr>
      <w:r>
        <w:rPr>
          <w:rFonts w:ascii="宋体" w:hAnsi="宋体"/>
          <w:szCs w:val="20"/>
          <w:highlight w:val="none"/>
        </w:rPr>
        <w:t>2</w:t>
      </w:r>
      <w:r>
        <w:rPr>
          <w:rFonts w:hint="eastAsia" w:ascii="宋体" w:hAnsi="宋体"/>
          <w:szCs w:val="20"/>
          <w:highlight w:val="none"/>
        </w:rPr>
        <w:t>、遥感数据源的选择与解译</w:t>
      </w:r>
    </w:p>
    <w:p>
      <w:pPr>
        <w:ind w:firstLine="480"/>
        <w:rPr>
          <w:rFonts w:ascii="宋体" w:hAnsi="宋体"/>
          <w:szCs w:val="28"/>
          <w:highlight w:val="none"/>
        </w:rPr>
      </w:pPr>
      <w:r>
        <w:rPr>
          <w:rFonts w:hint="eastAsia" w:ascii="宋体" w:hAnsi="宋体"/>
          <w:szCs w:val="20"/>
          <w:highlight w:val="none"/>
        </w:rPr>
        <w:t>采用数据2020年8月26日高分二号卫星数据，分辨率0.8m，运用人机交互解译方法获得，并根据现场调查和植物群落样方调查结果对解译成果进行修正，以提取评价区域生态环境信息</w:t>
      </w:r>
      <w:r>
        <w:rPr>
          <w:rFonts w:hint="eastAsia" w:ascii="宋体" w:hAnsi="宋体"/>
          <w:szCs w:val="28"/>
          <w:highlight w:val="none"/>
        </w:rPr>
        <w:t>。</w:t>
      </w:r>
    </w:p>
    <w:p>
      <w:pPr>
        <w:ind w:firstLine="480"/>
        <w:rPr>
          <w:rFonts w:ascii="宋体" w:hAnsi="宋体"/>
          <w:highlight w:val="none"/>
        </w:rPr>
      </w:pPr>
      <w:r>
        <w:rPr>
          <w:rFonts w:ascii="宋体" w:hAnsi="宋体"/>
          <w:highlight w:val="none"/>
        </w:rPr>
        <w:t>4.3.6.3</w:t>
      </w:r>
      <w:r>
        <w:rPr>
          <w:rFonts w:hint="eastAsia" w:ascii="宋体" w:hAnsi="宋体"/>
          <w:highlight w:val="none"/>
        </w:rPr>
        <w:t>项目所在地生态环境现状调查与评价</w:t>
      </w:r>
    </w:p>
    <w:p>
      <w:pPr>
        <w:ind w:firstLine="480"/>
        <w:rPr>
          <w:rFonts w:ascii="宋体" w:hAnsi="宋体"/>
          <w:highlight w:val="none"/>
        </w:rPr>
      </w:pPr>
      <w:r>
        <w:rPr>
          <w:rFonts w:ascii="宋体" w:hAnsi="宋体"/>
          <w:highlight w:val="none"/>
        </w:rPr>
        <w:t>1</w:t>
      </w:r>
      <w:r>
        <w:rPr>
          <w:rFonts w:hint="eastAsia" w:ascii="宋体" w:hAnsi="宋体"/>
          <w:highlight w:val="none"/>
        </w:rPr>
        <w:t>、项目</w:t>
      </w:r>
      <w:r>
        <w:rPr>
          <w:rFonts w:hint="eastAsia" w:ascii="宋体" w:hAnsi="宋体"/>
          <w:szCs w:val="20"/>
          <w:highlight w:val="none"/>
        </w:rPr>
        <w:t>评价区和</w:t>
      </w:r>
      <w:r>
        <w:rPr>
          <w:rFonts w:ascii="宋体" w:hAnsi="宋体"/>
          <w:highlight w:val="none"/>
        </w:rPr>
        <w:t>场区</w:t>
      </w:r>
      <w:r>
        <w:rPr>
          <w:rFonts w:hint="eastAsia" w:ascii="宋体" w:hAnsi="宋体"/>
          <w:highlight w:val="none"/>
        </w:rPr>
        <w:t>植被分布现状调查</w:t>
      </w:r>
    </w:p>
    <w:p>
      <w:pPr>
        <w:ind w:firstLine="480"/>
        <w:rPr>
          <w:rFonts w:ascii="宋体" w:hAnsi="宋体"/>
          <w:highlight w:val="none"/>
        </w:rPr>
      </w:pPr>
      <w:r>
        <w:rPr>
          <w:rFonts w:hint="eastAsia" w:ascii="宋体" w:hAnsi="宋体"/>
          <w:szCs w:val="20"/>
          <w:highlight w:val="none"/>
        </w:rPr>
        <w:t>本项目</w:t>
      </w:r>
      <w:r>
        <w:rPr>
          <w:rFonts w:hint="eastAsia" w:ascii="宋体" w:hAnsi="宋体"/>
          <w:highlight w:val="none"/>
        </w:rPr>
        <w:t>评价区和场区</w:t>
      </w:r>
      <w:r>
        <w:rPr>
          <w:rFonts w:hint="eastAsia" w:ascii="宋体" w:hAnsi="宋体"/>
          <w:szCs w:val="20"/>
          <w:highlight w:val="none"/>
        </w:rPr>
        <w:t>范围内</w:t>
      </w:r>
      <w:r>
        <w:rPr>
          <w:rFonts w:hint="eastAsia" w:ascii="宋体" w:hAnsi="宋体"/>
          <w:highlight w:val="none"/>
        </w:rPr>
        <w:t>植被覆盖现状见表</w:t>
      </w:r>
      <w:r>
        <w:rPr>
          <w:rFonts w:ascii="宋体" w:hAnsi="宋体"/>
          <w:highlight w:val="none"/>
        </w:rPr>
        <w:t>4.3-</w:t>
      </w:r>
      <w:r>
        <w:rPr>
          <w:rFonts w:hint="eastAsia" w:ascii="宋体" w:hAnsi="宋体"/>
          <w:highlight w:val="none"/>
        </w:rPr>
        <w:t>21和植被类型分布图见附图</w:t>
      </w:r>
      <w:r>
        <w:rPr>
          <w:rFonts w:ascii="宋体" w:hAnsi="宋体"/>
          <w:highlight w:val="none"/>
        </w:rPr>
        <w:t>4-</w:t>
      </w:r>
      <w:r>
        <w:rPr>
          <w:rFonts w:hint="eastAsia" w:ascii="宋体" w:hAnsi="宋体"/>
          <w:highlight w:val="none"/>
        </w:rPr>
        <w:t>14。</w:t>
      </w:r>
    </w:p>
    <w:p>
      <w:pPr>
        <w:ind w:firstLine="0" w:firstLineChars="0"/>
        <w:jc w:val="center"/>
        <w:rPr>
          <w:rFonts w:ascii="宋体" w:hAnsi="宋体"/>
          <w:highlight w:val="none"/>
        </w:rPr>
      </w:pPr>
      <w:r>
        <w:rPr>
          <w:rFonts w:hint="eastAsia" w:ascii="宋体" w:hAnsi="宋体"/>
          <w:highlight w:val="none"/>
        </w:rPr>
        <w:t>表</w:t>
      </w:r>
      <w:r>
        <w:rPr>
          <w:rFonts w:ascii="宋体" w:hAnsi="宋体"/>
          <w:highlight w:val="none"/>
        </w:rPr>
        <w:t>4.3-</w:t>
      </w:r>
      <w:r>
        <w:rPr>
          <w:rFonts w:hint="eastAsia" w:ascii="宋体" w:hAnsi="宋体"/>
          <w:highlight w:val="none"/>
        </w:rPr>
        <w:t>21</w:t>
      </w:r>
      <w:r>
        <w:rPr>
          <w:rFonts w:ascii="宋体" w:hAnsi="宋体"/>
          <w:highlight w:val="none"/>
        </w:rPr>
        <w:t xml:space="preserve">  </w:t>
      </w:r>
      <w:r>
        <w:rPr>
          <w:rFonts w:hint="eastAsia" w:ascii="宋体" w:hAnsi="宋体"/>
          <w:szCs w:val="20"/>
          <w:highlight w:val="none"/>
        </w:rPr>
        <w:t>项目</w:t>
      </w:r>
      <w:r>
        <w:rPr>
          <w:rFonts w:hint="eastAsia" w:ascii="宋体" w:hAnsi="宋体"/>
          <w:highlight w:val="none"/>
        </w:rPr>
        <w:t>评价区植被类型现状表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2157"/>
        <w:gridCol w:w="3081"/>
        <w:gridCol w:w="230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rFonts w:hint="eastAsia"/>
                <w:szCs w:val="21"/>
                <w:highlight w:val="none"/>
              </w:rPr>
              <w:t>序号</w:t>
            </w:r>
          </w:p>
        </w:tc>
        <w:tc>
          <w:tcPr>
            <w:tcW w:w="2157" w:type="dxa"/>
            <w:shd w:val="clear" w:color="auto" w:fill="auto"/>
            <w:vAlign w:val="center"/>
          </w:tcPr>
          <w:p>
            <w:pPr>
              <w:pStyle w:val="64"/>
              <w:rPr>
                <w:szCs w:val="21"/>
                <w:highlight w:val="none"/>
              </w:rPr>
            </w:pPr>
            <w:r>
              <w:rPr>
                <w:rFonts w:hint="eastAsia"/>
                <w:szCs w:val="21"/>
                <w:highlight w:val="none"/>
              </w:rPr>
              <w:t>地类</w:t>
            </w:r>
          </w:p>
        </w:tc>
        <w:tc>
          <w:tcPr>
            <w:tcW w:w="3081" w:type="dxa"/>
            <w:shd w:val="clear" w:color="auto" w:fill="auto"/>
            <w:vAlign w:val="center"/>
          </w:tcPr>
          <w:p>
            <w:pPr>
              <w:pStyle w:val="64"/>
              <w:rPr>
                <w:szCs w:val="21"/>
                <w:highlight w:val="none"/>
              </w:rPr>
            </w:pPr>
            <w:r>
              <w:rPr>
                <w:rFonts w:hint="eastAsia"/>
                <w:szCs w:val="21"/>
                <w:highlight w:val="none"/>
              </w:rPr>
              <w:t>面积（m</w:t>
            </w:r>
            <w:r>
              <w:rPr>
                <w:rFonts w:hint="eastAsia"/>
                <w:szCs w:val="21"/>
                <w:highlight w:val="none"/>
                <w:vertAlign w:val="superscript"/>
              </w:rPr>
              <w:t>2</w:t>
            </w:r>
            <w:r>
              <w:rPr>
                <w:rFonts w:hint="eastAsia"/>
                <w:szCs w:val="21"/>
                <w:highlight w:val="none"/>
              </w:rPr>
              <w:t>）</w:t>
            </w:r>
          </w:p>
        </w:tc>
        <w:tc>
          <w:tcPr>
            <w:tcW w:w="2309" w:type="dxa"/>
            <w:shd w:val="clear" w:color="auto" w:fill="auto"/>
            <w:vAlign w:val="center"/>
          </w:tcPr>
          <w:p>
            <w:pPr>
              <w:pStyle w:val="64"/>
              <w:rPr>
                <w:szCs w:val="21"/>
                <w:highlight w:val="none"/>
              </w:rPr>
            </w:pPr>
            <w:r>
              <w:rPr>
                <w:rFonts w:hint="eastAsia"/>
                <w:szCs w:val="21"/>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rFonts w:hint="eastAsia"/>
                <w:szCs w:val="21"/>
                <w:highlight w:val="none"/>
              </w:rPr>
              <w:t>1</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旱地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686277.01</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86.61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rFonts w:hint="eastAsia"/>
                <w:szCs w:val="21"/>
                <w:highlight w:val="none"/>
              </w:rPr>
              <w:t>2</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其他草地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86146.94</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10.87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rFonts w:hint="eastAsia"/>
                <w:szCs w:val="21"/>
                <w:highlight w:val="none"/>
              </w:rPr>
              <w:t>3</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公路用地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5832.54</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0.74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rFonts w:hint="eastAsia"/>
                <w:szCs w:val="21"/>
                <w:highlight w:val="none"/>
              </w:rPr>
              <w:t>4</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工矿用地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14104.09</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1.78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szCs w:val="21"/>
                <w:highlight w:val="none"/>
              </w:rPr>
              <w:t>合计</w:t>
            </w:r>
          </w:p>
        </w:tc>
        <w:tc>
          <w:tcPr>
            <w:tcW w:w="2157" w:type="dxa"/>
            <w:shd w:val="clear" w:color="auto" w:fill="auto"/>
            <w:vAlign w:val="center"/>
          </w:tcPr>
          <w:p>
            <w:pPr>
              <w:pStyle w:val="64"/>
              <w:rPr>
                <w:rFonts w:cs="宋体"/>
                <w:color w:val="000000"/>
                <w:szCs w:val="21"/>
                <w:highlight w:val="none"/>
              </w:rPr>
            </w:pP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792360.58</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100.00</w:t>
            </w:r>
          </w:p>
        </w:tc>
      </w:tr>
    </w:tbl>
    <w:p>
      <w:pPr>
        <w:spacing w:line="320" w:lineRule="exact"/>
        <w:ind w:firstLine="480"/>
        <w:jc w:val="center"/>
        <w:rPr>
          <w:rFonts w:ascii="宋体" w:hAnsi="宋体"/>
          <w:kern w:val="0"/>
          <w:highlight w:val="none"/>
        </w:rPr>
      </w:pPr>
      <w:r>
        <w:rPr>
          <w:rFonts w:hint="eastAsia" w:ascii="宋体" w:hAnsi="宋体"/>
          <w:kern w:val="0"/>
          <w:highlight w:val="none"/>
        </w:rPr>
        <w:t>续表</w:t>
      </w:r>
      <w:r>
        <w:rPr>
          <w:rFonts w:ascii="宋体" w:hAnsi="宋体"/>
          <w:kern w:val="0"/>
          <w:highlight w:val="none"/>
        </w:rPr>
        <w:t>4.3-</w:t>
      </w:r>
      <w:r>
        <w:rPr>
          <w:rFonts w:hint="eastAsia" w:ascii="宋体" w:hAnsi="宋体"/>
          <w:kern w:val="0"/>
          <w:highlight w:val="none"/>
        </w:rPr>
        <w:t>21</w:t>
      </w:r>
      <w:r>
        <w:rPr>
          <w:rFonts w:ascii="宋体" w:hAnsi="宋体"/>
          <w:kern w:val="0"/>
          <w:highlight w:val="none"/>
        </w:rPr>
        <w:t xml:space="preserve">  </w:t>
      </w:r>
      <w:r>
        <w:rPr>
          <w:rFonts w:hint="eastAsia" w:ascii="宋体" w:hAnsi="宋体"/>
          <w:kern w:val="0"/>
          <w:highlight w:val="none"/>
        </w:rPr>
        <w:t>项目</w:t>
      </w:r>
      <w:r>
        <w:rPr>
          <w:rFonts w:ascii="宋体" w:hAnsi="宋体"/>
          <w:kern w:val="0"/>
          <w:highlight w:val="none"/>
        </w:rPr>
        <w:t>场区</w:t>
      </w:r>
      <w:r>
        <w:rPr>
          <w:rFonts w:hint="eastAsia" w:ascii="宋体" w:hAnsi="宋体"/>
          <w:kern w:val="0"/>
          <w:highlight w:val="none"/>
        </w:rPr>
        <w:t>植被类型现状表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02"/>
        <w:gridCol w:w="2155"/>
        <w:gridCol w:w="3077"/>
        <w:gridCol w:w="23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02"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序号</w:t>
            </w:r>
          </w:p>
        </w:tc>
        <w:tc>
          <w:tcPr>
            <w:tcW w:w="215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地类</w:t>
            </w:r>
          </w:p>
        </w:tc>
        <w:tc>
          <w:tcPr>
            <w:tcW w:w="3077"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面积（m</w:t>
            </w:r>
            <w:r>
              <w:rPr>
                <w:rFonts w:hint="eastAsia" w:ascii="宋体" w:hAnsi="宋体"/>
                <w:bCs/>
                <w:sz w:val="21"/>
                <w:szCs w:val="22"/>
                <w:highlight w:val="none"/>
                <w:vertAlign w:val="superscript"/>
              </w:rPr>
              <w:t>2</w:t>
            </w:r>
            <w:r>
              <w:rPr>
                <w:rFonts w:hint="eastAsia" w:ascii="宋体" w:hAnsi="宋体"/>
                <w:bCs/>
                <w:sz w:val="21"/>
                <w:szCs w:val="22"/>
                <w:highlight w:val="none"/>
              </w:rPr>
              <w:t>）</w:t>
            </w:r>
          </w:p>
        </w:tc>
        <w:tc>
          <w:tcPr>
            <w:tcW w:w="2316"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02"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w:t>
            </w:r>
          </w:p>
        </w:tc>
        <w:tc>
          <w:tcPr>
            <w:tcW w:w="215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蒿类草丛</w:t>
            </w:r>
          </w:p>
        </w:tc>
        <w:tc>
          <w:tcPr>
            <w:tcW w:w="3077"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316"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02"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2</w:t>
            </w:r>
          </w:p>
        </w:tc>
        <w:tc>
          <w:tcPr>
            <w:tcW w:w="215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工矿用地</w:t>
            </w:r>
          </w:p>
        </w:tc>
        <w:tc>
          <w:tcPr>
            <w:tcW w:w="3077" w:type="dxa"/>
            <w:shd w:val="clear" w:color="auto" w:fill="auto"/>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316"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02"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合计</w:t>
            </w:r>
          </w:p>
        </w:tc>
        <w:tc>
          <w:tcPr>
            <w:tcW w:w="2155" w:type="dxa"/>
            <w:shd w:val="clear" w:color="auto" w:fill="auto"/>
            <w:vAlign w:val="center"/>
          </w:tcPr>
          <w:p>
            <w:pPr>
              <w:widowControl/>
              <w:spacing w:line="320" w:lineRule="exact"/>
              <w:ind w:firstLine="0" w:firstLineChars="0"/>
              <w:jc w:val="center"/>
              <w:rPr>
                <w:rFonts w:ascii="宋体" w:hAnsi="宋体"/>
                <w:bCs/>
                <w:sz w:val="21"/>
                <w:szCs w:val="22"/>
                <w:highlight w:val="none"/>
              </w:rPr>
            </w:pPr>
          </w:p>
        </w:tc>
        <w:tc>
          <w:tcPr>
            <w:tcW w:w="3077" w:type="dxa"/>
            <w:shd w:val="clear" w:color="auto" w:fill="auto"/>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316"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r>
    </w:tbl>
    <w:p>
      <w:pPr>
        <w:ind w:firstLine="480"/>
        <w:rPr>
          <w:rFonts w:ascii="宋体" w:hAnsi="宋体"/>
          <w:highlight w:val="none"/>
        </w:rPr>
      </w:pPr>
      <w:r>
        <w:rPr>
          <w:rFonts w:hint="eastAsia" w:ascii="宋体" w:hAnsi="宋体"/>
          <w:highlight w:val="none"/>
        </w:rPr>
        <w:t>由上表可知：</w:t>
      </w:r>
      <w:r>
        <w:rPr>
          <w:rFonts w:hint="eastAsia" w:ascii="宋体" w:hAnsi="宋体"/>
          <w:szCs w:val="20"/>
          <w:highlight w:val="none"/>
        </w:rPr>
        <w:t>项目</w:t>
      </w:r>
      <w:r>
        <w:rPr>
          <w:rFonts w:hint="eastAsia" w:ascii="宋体" w:hAnsi="宋体"/>
          <w:highlight w:val="none"/>
        </w:rPr>
        <w:t>评价区范围内旱地占86.61</w:t>
      </w:r>
      <w:r>
        <w:rPr>
          <w:rFonts w:ascii="宋体" w:hAnsi="宋体"/>
          <w:highlight w:val="none"/>
        </w:rPr>
        <w:t>%</w:t>
      </w:r>
      <w:r>
        <w:rPr>
          <w:rFonts w:hint="eastAsia" w:ascii="宋体" w:hAnsi="宋体"/>
          <w:highlight w:val="none"/>
        </w:rPr>
        <w:t>，其次为其他草地，占10.87</w:t>
      </w:r>
      <w:r>
        <w:rPr>
          <w:rFonts w:ascii="宋体" w:hAnsi="宋体"/>
          <w:highlight w:val="none"/>
        </w:rPr>
        <w:t>%</w:t>
      </w:r>
      <w:r>
        <w:rPr>
          <w:rFonts w:hint="eastAsia" w:ascii="宋体" w:hAnsi="宋体"/>
          <w:highlight w:val="none"/>
        </w:rPr>
        <w:t>；</w:t>
      </w: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范围内</w:t>
      </w:r>
      <w:r>
        <w:rPr>
          <w:rFonts w:hint="eastAsia" w:ascii="宋体" w:hAnsi="宋体"/>
          <w:bCs/>
          <w:szCs w:val="22"/>
          <w:highlight w:val="none"/>
        </w:rPr>
        <w:t>蒿类草丛</w:t>
      </w:r>
      <w:r>
        <w:rPr>
          <w:rFonts w:hint="eastAsia" w:ascii="宋体" w:hAnsi="宋体"/>
          <w:highlight w:val="none"/>
        </w:rPr>
        <w:t>地占58.98</w:t>
      </w:r>
      <w:r>
        <w:rPr>
          <w:rFonts w:ascii="宋体" w:hAnsi="宋体"/>
          <w:highlight w:val="none"/>
        </w:rPr>
        <w:t>%</w:t>
      </w:r>
      <w:r>
        <w:rPr>
          <w:rFonts w:hint="eastAsia" w:ascii="宋体" w:hAnsi="宋体"/>
          <w:highlight w:val="none"/>
        </w:rPr>
        <w:t>，其次为工矿用地，占41.02</w:t>
      </w:r>
      <w:r>
        <w:rPr>
          <w:rFonts w:ascii="宋体" w:hAnsi="宋体"/>
          <w:highlight w:val="none"/>
        </w:rPr>
        <w:t>%</w:t>
      </w:r>
      <w:r>
        <w:rPr>
          <w:rFonts w:hint="eastAsia" w:ascii="宋体" w:hAnsi="宋体"/>
          <w:highlight w:val="none"/>
        </w:rPr>
        <w:t>。</w:t>
      </w:r>
    </w:p>
    <w:p>
      <w:pPr>
        <w:ind w:firstLine="480"/>
        <w:rPr>
          <w:rFonts w:ascii="宋体" w:hAnsi="宋体"/>
          <w:highlight w:val="none"/>
        </w:rPr>
      </w:pPr>
      <w:r>
        <w:rPr>
          <w:rFonts w:ascii="宋体" w:hAnsi="宋体"/>
          <w:highlight w:val="none"/>
        </w:rPr>
        <w:t>4.3.6.4</w:t>
      </w:r>
      <w:r>
        <w:rPr>
          <w:rFonts w:hint="eastAsia" w:ascii="宋体" w:hAnsi="宋体"/>
          <w:szCs w:val="20"/>
          <w:highlight w:val="none"/>
        </w:rPr>
        <w:t>项目区域</w:t>
      </w:r>
      <w:r>
        <w:rPr>
          <w:rFonts w:hint="eastAsia" w:ascii="宋体" w:hAnsi="宋体"/>
          <w:highlight w:val="none"/>
        </w:rPr>
        <w:t>野生动物现状调查</w:t>
      </w:r>
    </w:p>
    <w:p>
      <w:pPr>
        <w:ind w:firstLine="480"/>
        <w:rPr>
          <w:rFonts w:ascii="宋体" w:hAnsi="宋体"/>
          <w:highlight w:val="none"/>
        </w:rPr>
      </w:pPr>
      <w:r>
        <w:rPr>
          <w:rFonts w:hint="eastAsia" w:ascii="宋体" w:hAnsi="宋体"/>
          <w:highlight w:val="none"/>
        </w:rPr>
        <w:t>繁峙县境内动物种类主要有禽类（雀、野鸡、猫头鹰等）、兽类（野猪、野兔、野山羊、狍、獾、狐狸）、爬行类（蛇、麻蜥等）、昆虫等。据调查，由于人为活动的影响，本项目厂区及周边范围内未见国家重点保护物种分布。</w:t>
      </w:r>
    </w:p>
    <w:p>
      <w:pPr>
        <w:ind w:firstLine="480"/>
        <w:rPr>
          <w:rFonts w:ascii="宋体" w:hAnsi="宋体"/>
          <w:highlight w:val="none"/>
        </w:rPr>
      </w:pPr>
      <w:r>
        <w:rPr>
          <w:rFonts w:hint="eastAsia" w:ascii="宋体" w:hAnsi="宋体"/>
          <w:highlight w:val="none"/>
        </w:rPr>
        <w:t>本项目位于繁峙县光裕堡乡富家庄村东南1.52km处，本项目区域主要以一般耕地为主，无大型野生动物，主要存在小型动物如麻雀、田鼠等常见物种，无国家重点保护和山西省重点保护的野生动物及珍稀濒危野生动物。</w:t>
      </w:r>
    </w:p>
    <w:p>
      <w:pPr>
        <w:keepNext/>
        <w:keepLines/>
        <w:ind w:firstLine="480"/>
        <w:outlineLvl w:val="3"/>
        <w:rPr>
          <w:rFonts w:ascii="宋体" w:hAnsi="宋体"/>
          <w:bCs/>
          <w:szCs w:val="28"/>
          <w:highlight w:val="none"/>
        </w:rPr>
      </w:pPr>
      <w:r>
        <w:rPr>
          <w:rFonts w:ascii="宋体" w:hAnsi="宋体"/>
          <w:bCs/>
          <w:szCs w:val="28"/>
          <w:highlight w:val="none"/>
        </w:rPr>
        <w:t>4.3.6.5</w:t>
      </w:r>
      <w:r>
        <w:rPr>
          <w:rFonts w:hint="eastAsia" w:ascii="宋体" w:hAnsi="宋体"/>
          <w:highlight w:val="none"/>
        </w:rPr>
        <w:t>项目</w:t>
      </w:r>
      <w:r>
        <w:rPr>
          <w:rFonts w:hint="eastAsia" w:ascii="宋体" w:hAnsi="宋体"/>
          <w:szCs w:val="20"/>
          <w:highlight w:val="none"/>
        </w:rPr>
        <w:t>评价区和</w:t>
      </w:r>
      <w:r>
        <w:rPr>
          <w:rFonts w:ascii="宋体" w:hAnsi="宋体"/>
          <w:highlight w:val="none"/>
        </w:rPr>
        <w:t>场区</w:t>
      </w:r>
      <w:r>
        <w:rPr>
          <w:rFonts w:hint="eastAsia" w:ascii="宋体" w:hAnsi="宋体"/>
          <w:bCs/>
          <w:szCs w:val="28"/>
          <w:highlight w:val="none"/>
        </w:rPr>
        <w:t>土地利用现状调查与评价</w:t>
      </w:r>
    </w:p>
    <w:p>
      <w:pPr>
        <w:ind w:firstLine="480"/>
        <w:rPr>
          <w:rFonts w:ascii="宋体" w:hAnsi="宋体"/>
          <w:highlight w:val="none"/>
        </w:rPr>
      </w:pPr>
      <w:r>
        <w:rPr>
          <w:rFonts w:ascii="宋体" w:hAnsi="宋体"/>
          <w:highlight w:val="none"/>
        </w:rPr>
        <w:t>1</w:t>
      </w:r>
      <w:r>
        <w:rPr>
          <w:rFonts w:hint="eastAsia" w:ascii="宋体" w:hAnsi="宋体"/>
          <w:highlight w:val="none"/>
        </w:rPr>
        <w:t>、土地利用现状调查</w:t>
      </w:r>
    </w:p>
    <w:p>
      <w:pPr>
        <w:ind w:firstLine="480"/>
        <w:rPr>
          <w:rFonts w:ascii="宋体" w:hAnsi="宋体"/>
          <w:highlight w:val="none"/>
        </w:rPr>
      </w:pPr>
      <w:r>
        <w:rPr>
          <w:rFonts w:hint="eastAsia" w:ascii="宋体" w:hAnsi="宋体"/>
          <w:szCs w:val="20"/>
          <w:highlight w:val="none"/>
        </w:rPr>
        <w:t>本项目</w:t>
      </w:r>
      <w:r>
        <w:rPr>
          <w:rFonts w:hint="eastAsia" w:ascii="宋体" w:hAnsi="宋体"/>
          <w:highlight w:val="none"/>
        </w:rPr>
        <w:t>评价区和场区</w:t>
      </w:r>
      <w:r>
        <w:rPr>
          <w:rFonts w:hint="eastAsia" w:ascii="宋体" w:hAnsi="宋体"/>
          <w:szCs w:val="20"/>
          <w:highlight w:val="none"/>
        </w:rPr>
        <w:t>范围内</w:t>
      </w:r>
      <w:r>
        <w:rPr>
          <w:rFonts w:hint="eastAsia" w:ascii="宋体" w:hAnsi="宋体"/>
          <w:highlight w:val="none"/>
        </w:rPr>
        <w:t>的土地利用现状主要为草地、裸地和其他，各类型用地的面积和百分比见表</w:t>
      </w:r>
      <w:r>
        <w:rPr>
          <w:rFonts w:ascii="宋体" w:hAnsi="宋体"/>
          <w:highlight w:val="none"/>
        </w:rPr>
        <w:t>4.3-</w:t>
      </w:r>
      <w:r>
        <w:rPr>
          <w:rFonts w:hint="eastAsia" w:ascii="宋体" w:hAnsi="宋体"/>
          <w:highlight w:val="none"/>
        </w:rPr>
        <w:t>22和土地利用现状图见附图</w:t>
      </w:r>
      <w:r>
        <w:rPr>
          <w:rFonts w:ascii="宋体" w:hAnsi="宋体"/>
          <w:highlight w:val="none"/>
        </w:rPr>
        <w:t>4-1</w:t>
      </w:r>
      <w:r>
        <w:rPr>
          <w:rFonts w:hint="eastAsia" w:ascii="宋体" w:hAnsi="宋体"/>
          <w:highlight w:val="none"/>
        </w:rPr>
        <w:t>5。</w:t>
      </w:r>
    </w:p>
    <w:p>
      <w:pPr>
        <w:ind w:firstLine="0" w:firstLineChars="0"/>
        <w:jc w:val="center"/>
        <w:rPr>
          <w:rFonts w:ascii="宋体" w:hAnsi="宋体"/>
          <w:highlight w:val="none"/>
        </w:rPr>
      </w:pPr>
      <w:r>
        <w:rPr>
          <w:rFonts w:hint="eastAsia" w:ascii="宋体" w:hAnsi="宋体"/>
          <w:highlight w:val="none"/>
        </w:rPr>
        <w:t>表</w:t>
      </w:r>
      <w:r>
        <w:rPr>
          <w:rFonts w:ascii="宋体" w:hAnsi="宋体"/>
          <w:highlight w:val="none"/>
        </w:rPr>
        <w:t>4.3-</w:t>
      </w:r>
      <w:r>
        <w:rPr>
          <w:rFonts w:hint="eastAsia" w:ascii="宋体" w:hAnsi="宋体"/>
          <w:highlight w:val="none"/>
        </w:rPr>
        <w:t>22</w:t>
      </w:r>
      <w:r>
        <w:rPr>
          <w:rFonts w:ascii="宋体" w:hAnsi="宋体"/>
          <w:highlight w:val="none"/>
        </w:rPr>
        <w:t xml:space="preserve">  </w:t>
      </w:r>
      <w:r>
        <w:rPr>
          <w:rFonts w:hint="eastAsia" w:ascii="宋体" w:hAnsi="宋体"/>
          <w:highlight w:val="none"/>
        </w:rPr>
        <w:t>项目评价范围内土地利用现状表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2157"/>
        <w:gridCol w:w="3081"/>
        <w:gridCol w:w="230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szCs w:val="21"/>
                <w:highlight w:val="none"/>
              </w:rPr>
            </w:pPr>
            <w:r>
              <w:rPr>
                <w:rFonts w:hint="eastAsia"/>
                <w:szCs w:val="21"/>
                <w:highlight w:val="none"/>
              </w:rPr>
              <w:t>序号</w:t>
            </w:r>
          </w:p>
        </w:tc>
        <w:tc>
          <w:tcPr>
            <w:tcW w:w="2157" w:type="dxa"/>
            <w:shd w:val="clear" w:color="auto" w:fill="auto"/>
            <w:vAlign w:val="center"/>
          </w:tcPr>
          <w:p>
            <w:pPr>
              <w:pStyle w:val="64"/>
              <w:rPr>
                <w:szCs w:val="21"/>
                <w:highlight w:val="none"/>
              </w:rPr>
            </w:pPr>
            <w:r>
              <w:rPr>
                <w:rFonts w:hint="eastAsia"/>
                <w:szCs w:val="21"/>
                <w:highlight w:val="none"/>
              </w:rPr>
              <w:t>地类</w:t>
            </w:r>
          </w:p>
        </w:tc>
        <w:tc>
          <w:tcPr>
            <w:tcW w:w="3081" w:type="dxa"/>
            <w:shd w:val="clear" w:color="auto" w:fill="auto"/>
            <w:vAlign w:val="center"/>
          </w:tcPr>
          <w:p>
            <w:pPr>
              <w:pStyle w:val="64"/>
              <w:rPr>
                <w:szCs w:val="21"/>
                <w:highlight w:val="none"/>
              </w:rPr>
            </w:pPr>
            <w:r>
              <w:rPr>
                <w:rFonts w:hint="eastAsia"/>
                <w:szCs w:val="21"/>
                <w:highlight w:val="none"/>
              </w:rPr>
              <w:t>面积（m</w:t>
            </w:r>
            <w:r>
              <w:rPr>
                <w:rFonts w:hint="eastAsia"/>
                <w:szCs w:val="21"/>
                <w:highlight w:val="none"/>
                <w:vertAlign w:val="superscript"/>
              </w:rPr>
              <w:t>2</w:t>
            </w:r>
            <w:r>
              <w:rPr>
                <w:rFonts w:hint="eastAsia"/>
                <w:szCs w:val="21"/>
                <w:highlight w:val="none"/>
              </w:rPr>
              <w:t>）</w:t>
            </w:r>
          </w:p>
        </w:tc>
        <w:tc>
          <w:tcPr>
            <w:tcW w:w="2309" w:type="dxa"/>
            <w:shd w:val="clear" w:color="auto" w:fill="auto"/>
            <w:vAlign w:val="center"/>
          </w:tcPr>
          <w:p>
            <w:pPr>
              <w:pStyle w:val="64"/>
              <w:rPr>
                <w:szCs w:val="21"/>
                <w:highlight w:val="none"/>
              </w:rPr>
            </w:pPr>
            <w:r>
              <w:rPr>
                <w:rFonts w:hint="eastAsia"/>
                <w:szCs w:val="21"/>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rFonts w:cs="宋体"/>
                <w:color w:val="000000"/>
                <w:szCs w:val="21"/>
                <w:highlight w:val="none"/>
              </w:rPr>
            </w:pPr>
            <w:r>
              <w:rPr>
                <w:rFonts w:hint="eastAsia" w:cs="宋体"/>
                <w:color w:val="000000"/>
                <w:szCs w:val="21"/>
                <w:highlight w:val="none"/>
              </w:rPr>
              <w:t>1</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旱地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686277.01</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86.61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rFonts w:cs="宋体"/>
                <w:color w:val="000000"/>
                <w:szCs w:val="21"/>
                <w:highlight w:val="none"/>
              </w:rPr>
            </w:pPr>
            <w:r>
              <w:rPr>
                <w:rFonts w:hint="eastAsia" w:cs="宋体"/>
                <w:color w:val="000000"/>
                <w:szCs w:val="21"/>
                <w:highlight w:val="none"/>
              </w:rPr>
              <w:t>2</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其他草地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86146.94</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10.87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rFonts w:cs="宋体"/>
                <w:color w:val="000000"/>
                <w:szCs w:val="21"/>
                <w:highlight w:val="none"/>
              </w:rPr>
            </w:pPr>
            <w:r>
              <w:rPr>
                <w:rFonts w:hint="eastAsia" w:cs="宋体"/>
                <w:color w:val="000000"/>
                <w:szCs w:val="21"/>
                <w:highlight w:val="none"/>
              </w:rPr>
              <w:t>3</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公路用地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5832.54</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0.74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rFonts w:cs="宋体"/>
                <w:color w:val="000000"/>
                <w:szCs w:val="21"/>
                <w:highlight w:val="none"/>
              </w:rPr>
            </w:pPr>
            <w:r>
              <w:rPr>
                <w:rFonts w:hint="eastAsia" w:cs="宋体"/>
                <w:color w:val="000000"/>
                <w:szCs w:val="21"/>
                <w:highlight w:val="none"/>
              </w:rPr>
              <w:t>4</w:t>
            </w:r>
          </w:p>
        </w:tc>
        <w:tc>
          <w:tcPr>
            <w:tcW w:w="2157" w:type="dxa"/>
            <w:shd w:val="clear" w:color="auto" w:fill="auto"/>
            <w:vAlign w:val="center"/>
          </w:tcPr>
          <w:p>
            <w:pPr>
              <w:pStyle w:val="64"/>
              <w:rPr>
                <w:rFonts w:cs="宋体"/>
                <w:color w:val="000000"/>
                <w:szCs w:val="21"/>
                <w:highlight w:val="none"/>
              </w:rPr>
            </w:pPr>
            <w:r>
              <w:rPr>
                <w:rFonts w:hint="eastAsia" w:cs="宋体"/>
                <w:color w:val="000000"/>
                <w:szCs w:val="21"/>
                <w:highlight w:val="none"/>
              </w:rPr>
              <w:t>工矿用地</w:t>
            </w: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14104.09</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1.78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03" w:type="dxa"/>
            <w:shd w:val="clear" w:color="auto" w:fill="auto"/>
            <w:vAlign w:val="center"/>
          </w:tcPr>
          <w:p>
            <w:pPr>
              <w:pStyle w:val="64"/>
              <w:rPr>
                <w:rFonts w:cs="宋体"/>
                <w:color w:val="000000"/>
                <w:szCs w:val="21"/>
                <w:highlight w:val="none"/>
              </w:rPr>
            </w:pPr>
            <w:r>
              <w:rPr>
                <w:rFonts w:cs="宋体"/>
                <w:color w:val="000000"/>
                <w:szCs w:val="21"/>
                <w:highlight w:val="none"/>
              </w:rPr>
              <w:t>合计</w:t>
            </w:r>
          </w:p>
        </w:tc>
        <w:tc>
          <w:tcPr>
            <w:tcW w:w="2157" w:type="dxa"/>
            <w:shd w:val="clear" w:color="auto" w:fill="auto"/>
            <w:vAlign w:val="center"/>
          </w:tcPr>
          <w:p>
            <w:pPr>
              <w:pStyle w:val="64"/>
              <w:rPr>
                <w:rFonts w:cs="宋体"/>
                <w:color w:val="000000"/>
                <w:szCs w:val="21"/>
                <w:highlight w:val="none"/>
              </w:rPr>
            </w:pPr>
          </w:p>
        </w:tc>
        <w:tc>
          <w:tcPr>
            <w:tcW w:w="3081" w:type="dxa"/>
            <w:shd w:val="clear" w:color="auto" w:fill="auto"/>
            <w:vAlign w:val="center"/>
          </w:tcPr>
          <w:p>
            <w:pPr>
              <w:pStyle w:val="64"/>
              <w:rPr>
                <w:rFonts w:cs="宋体"/>
                <w:color w:val="000000"/>
                <w:szCs w:val="21"/>
                <w:highlight w:val="none"/>
              </w:rPr>
            </w:pPr>
            <w:r>
              <w:rPr>
                <w:rFonts w:hint="eastAsia" w:cs="宋体"/>
                <w:color w:val="000000"/>
                <w:szCs w:val="21"/>
                <w:highlight w:val="none"/>
              </w:rPr>
              <w:t>792360.58</w:t>
            </w:r>
          </w:p>
        </w:tc>
        <w:tc>
          <w:tcPr>
            <w:tcW w:w="2309" w:type="dxa"/>
            <w:shd w:val="clear" w:color="auto" w:fill="auto"/>
            <w:vAlign w:val="center"/>
          </w:tcPr>
          <w:p>
            <w:pPr>
              <w:pStyle w:val="64"/>
              <w:rPr>
                <w:rFonts w:cs="宋体"/>
                <w:color w:val="000000"/>
                <w:szCs w:val="21"/>
                <w:highlight w:val="none"/>
              </w:rPr>
            </w:pPr>
            <w:r>
              <w:rPr>
                <w:rFonts w:hint="eastAsia" w:cs="宋体"/>
                <w:color w:val="000000"/>
                <w:szCs w:val="21"/>
                <w:highlight w:val="none"/>
              </w:rPr>
              <w:t>100.00</w:t>
            </w:r>
          </w:p>
        </w:tc>
      </w:tr>
    </w:tbl>
    <w:p>
      <w:pPr>
        <w:ind w:firstLine="0" w:firstLineChars="0"/>
        <w:jc w:val="center"/>
        <w:rPr>
          <w:rFonts w:ascii="宋体" w:hAnsi="宋体"/>
          <w:highlight w:val="none"/>
        </w:rPr>
      </w:pPr>
      <w:r>
        <w:rPr>
          <w:rFonts w:hint="eastAsia" w:ascii="宋体" w:hAnsi="宋体"/>
          <w:highlight w:val="none"/>
        </w:rPr>
        <w:t>续表</w:t>
      </w:r>
      <w:r>
        <w:rPr>
          <w:rFonts w:ascii="宋体" w:hAnsi="宋体"/>
          <w:highlight w:val="none"/>
        </w:rPr>
        <w:t>4.3-</w:t>
      </w:r>
      <w:r>
        <w:rPr>
          <w:rFonts w:hint="eastAsia" w:ascii="宋体" w:hAnsi="宋体"/>
          <w:highlight w:val="none"/>
        </w:rPr>
        <w:t>22</w:t>
      </w:r>
      <w:r>
        <w:rPr>
          <w:rFonts w:ascii="宋体" w:hAnsi="宋体"/>
          <w:highlight w:val="none"/>
        </w:rPr>
        <w:t xml:space="preserve">  </w:t>
      </w:r>
      <w:r>
        <w:rPr>
          <w:rFonts w:hint="eastAsia" w:ascii="宋体" w:hAnsi="宋体"/>
          <w:highlight w:val="none"/>
        </w:rPr>
        <w:t>项目场区土地利用现状类型面积及比例表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78"/>
        <w:gridCol w:w="2596"/>
        <w:gridCol w:w="2259"/>
        <w:gridCol w:w="20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序号</w:t>
            </w:r>
          </w:p>
        </w:tc>
        <w:tc>
          <w:tcPr>
            <w:tcW w:w="2596"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地类</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面积（m</w:t>
            </w:r>
            <w:r>
              <w:rPr>
                <w:rFonts w:hint="eastAsia" w:ascii="宋体" w:hAnsi="宋体"/>
                <w:bCs/>
                <w:sz w:val="21"/>
                <w:szCs w:val="22"/>
                <w:highlight w:val="none"/>
                <w:vertAlign w:val="superscript"/>
              </w:rPr>
              <w:t>2</w:t>
            </w:r>
            <w:r>
              <w:rPr>
                <w:rFonts w:hint="eastAsia" w:ascii="宋体" w:hAnsi="宋体"/>
                <w:bCs/>
                <w:sz w:val="21"/>
                <w:szCs w:val="22"/>
                <w:highlight w:val="none"/>
              </w:rPr>
              <w:t>）</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w:t>
            </w:r>
          </w:p>
        </w:tc>
        <w:tc>
          <w:tcPr>
            <w:tcW w:w="2596"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其他草地</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2</w:t>
            </w:r>
          </w:p>
        </w:tc>
        <w:tc>
          <w:tcPr>
            <w:tcW w:w="2596"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工矿用地</w:t>
            </w:r>
          </w:p>
        </w:tc>
        <w:tc>
          <w:tcPr>
            <w:tcW w:w="2259"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合计</w:t>
            </w:r>
          </w:p>
        </w:tc>
        <w:tc>
          <w:tcPr>
            <w:tcW w:w="2596" w:type="dxa"/>
            <w:vAlign w:val="center"/>
          </w:tcPr>
          <w:p>
            <w:pPr>
              <w:widowControl/>
              <w:spacing w:line="320" w:lineRule="exact"/>
              <w:ind w:firstLine="0" w:firstLineChars="0"/>
              <w:jc w:val="center"/>
              <w:rPr>
                <w:rFonts w:ascii="宋体" w:hAnsi="宋体"/>
                <w:bCs/>
                <w:sz w:val="21"/>
                <w:szCs w:val="22"/>
                <w:highlight w:val="none"/>
              </w:rPr>
            </w:pPr>
          </w:p>
        </w:tc>
        <w:tc>
          <w:tcPr>
            <w:tcW w:w="2259"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r>
    </w:tbl>
    <w:p>
      <w:pPr>
        <w:ind w:firstLine="480"/>
        <w:rPr>
          <w:rFonts w:ascii="宋体" w:hAnsi="宋体"/>
          <w:highlight w:val="none"/>
        </w:rPr>
      </w:pPr>
      <w:r>
        <w:rPr>
          <w:rFonts w:hint="eastAsia" w:ascii="宋体" w:hAnsi="宋体"/>
          <w:highlight w:val="none"/>
        </w:rPr>
        <w:t>由表可知，项目评价区土地利用类型主要为</w:t>
      </w:r>
      <w:r>
        <w:rPr>
          <w:rFonts w:hint="eastAsia" w:ascii="宋体" w:hAnsi="宋体"/>
          <w:szCs w:val="22"/>
          <w:highlight w:val="none"/>
        </w:rPr>
        <w:t>其他草地</w:t>
      </w:r>
      <w:r>
        <w:rPr>
          <w:rFonts w:hint="eastAsia" w:ascii="宋体" w:hAnsi="宋体"/>
          <w:highlight w:val="none"/>
        </w:rPr>
        <w:t>和</w:t>
      </w:r>
      <w:r>
        <w:rPr>
          <w:rFonts w:hint="eastAsia" w:ascii="宋体" w:hAnsi="宋体"/>
          <w:szCs w:val="22"/>
          <w:highlight w:val="none"/>
        </w:rPr>
        <w:t>旱地</w:t>
      </w:r>
      <w:r>
        <w:rPr>
          <w:rFonts w:hint="eastAsia" w:ascii="宋体" w:hAnsi="宋体"/>
          <w:highlight w:val="none"/>
        </w:rPr>
        <w:t>，分别占总面积的</w:t>
      </w:r>
      <w:r>
        <w:rPr>
          <w:rFonts w:hint="eastAsia" w:ascii="宋体" w:hAnsi="宋体"/>
          <w:szCs w:val="22"/>
          <w:highlight w:val="none"/>
        </w:rPr>
        <w:t>10.87</w:t>
      </w:r>
      <w:r>
        <w:rPr>
          <w:rFonts w:ascii="宋体" w:hAnsi="宋体"/>
          <w:highlight w:val="none"/>
        </w:rPr>
        <w:t>%</w:t>
      </w:r>
      <w:r>
        <w:rPr>
          <w:rFonts w:hint="eastAsia" w:ascii="宋体" w:hAnsi="宋体"/>
          <w:highlight w:val="none"/>
        </w:rPr>
        <w:t>、</w:t>
      </w:r>
      <w:r>
        <w:rPr>
          <w:rFonts w:hint="eastAsia" w:ascii="宋体" w:hAnsi="宋体"/>
          <w:szCs w:val="22"/>
          <w:highlight w:val="none"/>
        </w:rPr>
        <w:t>86.61</w:t>
      </w:r>
      <w:r>
        <w:rPr>
          <w:rFonts w:ascii="宋体" w:hAnsi="宋体"/>
          <w:highlight w:val="none"/>
        </w:rPr>
        <w:t>%</w:t>
      </w:r>
      <w:r>
        <w:rPr>
          <w:rFonts w:hint="eastAsia" w:ascii="宋体" w:hAnsi="宋体"/>
          <w:highlight w:val="none"/>
        </w:rPr>
        <w:t>，其次为</w:t>
      </w:r>
      <w:r>
        <w:rPr>
          <w:rFonts w:hint="eastAsia" w:ascii="宋体" w:hAnsi="宋体"/>
          <w:szCs w:val="22"/>
          <w:highlight w:val="none"/>
        </w:rPr>
        <w:t>工矿用地</w:t>
      </w:r>
      <w:r>
        <w:rPr>
          <w:rFonts w:hint="eastAsia" w:ascii="宋体" w:hAnsi="宋体"/>
          <w:highlight w:val="none"/>
        </w:rPr>
        <w:t>，占总面积的</w:t>
      </w:r>
      <w:r>
        <w:rPr>
          <w:rFonts w:hint="eastAsia" w:ascii="宋体" w:hAnsi="宋体"/>
          <w:szCs w:val="22"/>
          <w:highlight w:val="none"/>
        </w:rPr>
        <w:t>1.78</w:t>
      </w:r>
      <w:r>
        <w:rPr>
          <w:rFonts w:ascii="宋体" w:hAnsi="宋体"/>
          <w:highlight w:val="none"/>
        </w:rPr>
        <w:t>%</w:t>
      </w:r>
      <w:r>
        <w:rPr>
          <w:rFonts w:hint="eastAsia" w:ascii="宋体" w:hAnsi="宋体"/>
          <w:highlight w:val="none"/>
        </w:rPr>
        <w:t>；</w:t>
      </w: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土地利用类型主要有</w:t>
      </w:r>
      <w:r>
        <w:rPr>
          <w:rFonts w:hint="eastAsia" w:ascii="宋体" w:hAnsi="宋体"/>
          <w:szCs w:val="22"/>
          <w:highlight w:val="none"/>
        </w:rPr>
        <w:t>其他草地，</w:t>
      </w:r>
      <w:r>
        <w:rPr>
          <w:rFonts w:hint="eastAsia" w:ascii="宋体" w:hAnsi="宋体"/>
          <w:highlight w:val="none"/>
        </w:rPr>
        <w:t>占总面积的</w:t>
      </w:r>
      <w:r>
        <w:rPr>
          <w:rFonts w:hint="eastAsia" w:ascii="宋体" w:hAnsi="宋体"/>
          <w:szCs w:val="22"/>
          <w:highlight w:val="none"/>
        </w:rPr>
        <w:t>58.98</w:t>
      </w:r>
      <w:r>
        <w:rPr>
          <w:rFonts w:ascii="宋体" w:hAnsi="宋体"/>
          <w:highlight w:val="none"/>
        </w:rPr>
        <w:t>%</w:t>
      </w:r>
      <w:r>
        <w:rPr>
          <w:rFonts w:hint="eastAsia" w:ascii="宋体" w:hAnsi="宋体"/>
          <w:highlight w:val="none"/>
        </w:rPr>
        <w:t>，其次为</w:t>
      </w:r>
      <w:r>
        <w:rPr>
          <w:rFonts w:hint="eastAsia" w:ascii="宋体" w:hAnsi="宋体"/>
          <w:szCs w:val="22"/>
          <w:highlight w:val="none"/>
        </w:rPr>
        <w:t>工矿用地</w:t>
      </w:r>
      <w:r>
        <w:rPr>
          <w:rFonts w:hint="eastAsia" w:ascii="宋体" w:hAnsi="宋体"/>
          <w:highlight w:val="none"/>
        </w:rPr>
        <w:t>，占总面积的</w:t>
      </w:r>
      <w:r>
        <w:rPr>
          <w:rFonts w:hint="eastAsia" w:ascii="宋体" w:hAnsi="宋体"/>
          <w:szCs w:val="22"/>
          <w:highlight w:val="none"/>
        </w:rPr>
        <w:t>41.02</w:t>
      </w:r>
      <w:r>
        <w:rPr>
          <w:rFonts w:ascii="宋体" w:hAnsi="宋体"/>
          <w:highlight w:val="none"/>
        </w:rPr>
        <w:t>%</w:t>
      </w:r>
      <w:r>
        <w:rPr>
          <w:rFonts w:hint="eastAsia" w:ascii="宋体" w:hAnsi="宋体"/>
          <w:highlight w:val="none"/>
        </w:rPr>
        <w:t>。</w:t>
      </w:r>
    </w:p>
    <w:p>
      <w:pPr>
        <w:spacing w:line="400" w:lineRule="exact"/>
        <w:ind w:firstLine="480"/>
        <w:rPr>
          <w:rFonts w:ascii="宋体" w:hAnsi="宋体"/>
          <w:highlight w:val="none"/>
        </w:rPr>
      </w:pPr>
      <w:r>
        <w:rPr>
          <w:rFonts w:ascii="宋体" w:hAnsi="宋体"/>
          <w:highlight w:val="none"/>
        </w:rPr>
        <w:t>2</w:t>
      </w:r>
      <w:r>
        <w:rPr>
          <w:rFonts w:hint="eastAsia" w:ascii="宋体" w:hAnsi="宋体"/>
          <w:highlight w:val="none"/>
        </w:rPr>
        <w:t>、土地利用现状评价</w:t>
      </w:r>
    </w:p>
    <w:p>
      <w:pPr>
        <w:spacing w:line="400" w:lineRule="exact"/>
        <w:ind w:firstLine="436" w:firstLineChars="182"/>
        <w:rPr>
          <w:rFonts w:ascii="宋体" w:hAnsi="宋体"/>
          <w:highlight w:val="none"/>
        </w:rPr>
      </w:pPr>
      <w:r>
        <w:rPr>
          <w:rFonts w:hint="eastAsia" w:ascii="宋体" w:hAnsi="宋体"/>
          <w:highlight w:val="none"/>
        </w:rPr>
        <w:t>生物量是指生物在单位面积和单位时间所产生的有机物质的重量，亦指生长速度，以</w:t>
      </w:r>
      <w:r>
        <w:rPr>
          <w:rFonts w:ascii="宋体" w:hAnsi="宋体"/>
          <w:highlight w:val="none"/>
        </w:rPr>
        <w:t>t/(hm</w:t>
      </w:r>
      <w:r>
        <w:rPr>
          <w:rFonts w:ascii="宋体" w:hAnsi="宋体"/>
          <w:highlight w:val="none"/>
          <w:vertAlign w:val="superscript"/>
        </w:rPr>
        <w:t>2</w:t>
      </w:r>
      <w:r>
        <w:rPr>
          <w:rFonts w:hint="eastAsia" w:ascii="宋体" w:hAnsi="宋体"/>
          <w:highlight w:val="none"/>
        </w:rPr>
        <w:t>·</w:t>
      </w:r>
      <w:r>
        <w:rPr>
          <w:rFonts w:ascii="宋体" w:hAnsi="宋体"/>
          <w:highlight w:val="none"/>
        </w:rPr>
        <w:t>a)</w:t>
      </w:r>
      <w:r>
        <w:rPr>
          <w:rFonts w:hint="eastAsia" w:ascii="宋体" w:hAnsi="宋体"/>
          <w:highlight w:val="none"/>
        </w:rPr>
        <w:t>表示。以测定绿色植物生长快慢或其他指标来代表生物生产力，以</w:t>
      </w:r>
      <w:r>
        <w:rPr>
          <w:rFonts w:ascii="宋体" w:hAnsi="宋体"/>
          <w:highlight w:val="none"/>
        </w:rPr>
        <w:t>Pa</w:t>
      </w:r>
      <w:r>
        <w:rPr>
          <w:rFonts w:hint="eastAsia" w:ascii="宋体" w:hAnsi="宋体"/>
          <w:highlight w:val="none"/>
        </w:rPr>
        <w:t>表示：</w:t>
      </w:r>
      <w:r>
        <w:rPr>
          <w:rFonts w:ascii="宋体" w:hAnsi="宋体"/>
          <w:highlight w:val="none"/>
        </w:rPr>
        <w:t>Pa=Ba/Bmo</w:t>
      </w:r>
    </w:p>
    <w:p>
      <w:pPr>
        <w:spacing w:line="400" w:lineRule="exact"/>
        <w:ind w:firstLine="480"/>
        <w:rPr>
          <w:rFonts w:ascii="宋体" w:hAnsi="宋体"/>
          <w:highlight w:val="none"/>
        </w:rPr>
      </w:pPr>
      <w:r>
        <w:rPr>
          <w:rFonts w:hint="eastAsia" w:ascii="宋体" w:hAnsi="宋体"/>
          <w:highlight w:val="none"/>
        </w:rPr>
        <w:t>式中：</w:t>
      </w:r>
      <w:r>
        <w:rPr>
          <w:rFonts w:ascii="宋体" w:hAnsi="宋体"/>
          <w:highlight w:val="none"/>
        </w:rPr>
        <w:t>Ba</w:t>
      </w:r>
      <w:r>
        <w:rPr>
          <w:rFonts w:hint="eastAsia" w:ascii="宋体" w:hAnsi="宋体"/>
          <w:highlight w:val="none"/>
        </w:rPr>
        <w:t>—生物量</w:t>
      </w:r>
    </w:p>
    <w:p>
      <w:pPr>
        <w:spacing w:line="400" w:lineRule="exact"/>
        <w:ind w:firstLine="480"/>
        <w:rPr>
          <w:rFonts w:ascii="宋体" w:hAnsi="宋体"/>
          <w:highlight w:val="none"/>
        </w:rPr>
      </w:pPr>
      <w:r>
        <w:rPr>
          <w:rFonts w:ascii="宋体" w:hAnsi="宋体"/>
          <w:highlight w:val="none"/>
        </w:rPr>
        <w:t xml:space="preserve">      Bmo</w:t>
      </w:r>
      <w:r>
        <w:rPr>
          <w:rFonts w:hint="eastAsia" w:ascii="宋体" w:hAnsi="宋体"/>
          <w:highlight w:val="none"/>
        </w:rPr>
        <w:t>—标定生物量</w:t>
      </w:r>
    </w:p>
    <w:p>
      <w:pPr>
        <w:spacing w:line="400" w:lineRule="exact"/>
        <w:ind w:firstLine="480"/>
        <w:jc w:val="left"/>
        <w:rPr>
          <w:rFonts w:ascii="宋体" w:hAnsi="宋体"/>
          <w:highlight w:val="none"/>
        </w:rPr>
      </w:pPr>
      <w:r>
        <w:rPr>
          <w:rFonts w:ascii="宋体" w:hAnsi="宋体"/>
          <w:highlight w:val="none"/>
        </w:rPr>
        <w:t>Pa</w:t>
      </w:r>
      <w:r>
        <w:rPr>
          <w:rFonts w:hint="eastAsia" w:ascii="宋体" w:hAnsi="宋体"/>
          <w:highlight w:val="none"/>
        </w:rPr>
        <w:t>值越大，则土地利用功能变化就越好。</w:t>
      </w:r>
    </w:p>
    <w:p>
      <w:pPr>
        <w:spacing w:line="400" w:lineRule="exact"/>
        <w:ind w:firstLine="480"/>
        <w:jc w:val="left"/>
        <w:rPr>
          <w:rFonts w:ascii="宋体" w:hAnsi="宋体"/>
          <w:highlight w:val="none"/>
        </w:rPr>
      </w:pPr>
      <w:r>
        <w:rPr>
          <w:rFonts w:hint="eastAsia" w:ascii="宋体" w:hAnsi="宋体"/>
          <w:highlight w:val="none"/>
        </w:rPr>
        <w:t>土地利用现状生物量表</w:t>
      </w:r>
      <w:r>
        <w:rPr>
          <w:rFonts w:ascii="宋体" w:hAnsi="宋体"/>
          <w:highlight w:val="none"/>
        </w:rPr>
        <w:t>4.3-</w:t>
      </w:r>
      <w:r>
        <w:rPr>
          <w:rFonts w:hint="eastAsia" w:ascii="宋体" w:hAnsi="宋体"/>
          <w:highlight w:val="none"/>
        </w:rPr>
        <w:t>23。</w:t>
      </w:r>
    </w:p>
    <w:p>
      <w:pPr>
        <w:ind w:firstLine="0" w:firstLineChars="0"/>
        <w:jc w:val="center"/>
        <w:rPr>
          <w:rFonts w:ascii="宋体" w:hAnsi="宋体"/>
          <w:highlight w:val="none"/>
        </w:rPr>
      </w:pPr>
      <w:r>
        <w:rPr>
          <w:rFonts w:hint="eastAsia" w:ascii="宋体" w:hAnsi="宋体"/>
          <w:highlight w:val="none"/>
        </w:rPr>
        <w:t>表</w:t>
      </w:r>
      <w:r>
        <w:rPr>
          <w:rFonts w:ascii="宋体" w:hAnsi="宋体"/>
          <w:highlight w:val="none"/>
        </w:rPr>
        <w:t>4.3-</w:t>
      </w:r>
      <w:r>
        <w:rPr>
          <w:rFonts w:hint="eastAsia" w:ascii="宋体" w:hAnsi="宋体"/>
          <w:highlight w:val="none"/>
        </w:rPr>
        <w:t>23</w:t>
      </w:r>
      <w:r>
        <w:rPr>
          <w:rFonts w:ascii="宋体" w:hAnsi="宋体"/>
          <w:highlight w:val="none"/>
        </w:rPr>
        <w:t xml:space="preserve">  </w:t>
      </w:r>
      <w:r>
        <w:rPr>
          <w:rFonts w:hint="eastAsia" w:ascii="宋体" w:hAnsi="宋体"/>
          <w:highlight w:val="none"/>
        </w:rPr>
        <w:t>项目评价区土地利用现状生物量</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78"/>
        <w:gridCol w:w="2596"/>
        <w:gridCol w:w="2259"/>
        <w:gridCol w:w="20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地类</w:t>
            </w:r>
          </w:p>
        </w:tc>
        <w:tc>
          <w:tcPr>
            <w:tcW w:w="2596"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面积（</w:t>
            </w:r>
            <w:r>
              <w:rPr>
                <w:rFonts w:ascii="宋体" w:hAnsi="宋体"/>
                <w:bCs/>
                <w:sz w:val="21"/>
                <w:szCs w:val="22"/>
                <w:highlight w:val="none"/>
              </w:rPr>
              <w:t>m</w:t>
            </w:r>
            <w:r>
              <w:rPr>
                <w:rFonts w:ascii="宋体" w:hAnsi="宋体"/>
                <w:bCs/>
                <w:sz w:val="21"/>
                <w:szCs w:val="22"/>
                <w:highlight w:val="none"/>
                <w:vertAlign w:val="superscript"/>
              </w:rPr>
              <w:t>2</w:t>
            </w:r>
            <w:r>
              <w:rPr>
                <w:rFonts w:hint="eastAsia" w:ascii="宋体" w:hAnsi="宋体"/>
                <w:bCs/>
                <w:sz w:val="21"/>
                <w:szCs w:val="22"/>
                <w:highlight w:val="none"/>
              </w:rPr>
              <w:t>）</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比例</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cs="宋体"/>
                <w:bCs/>
                <w:sz w:val="21"/>
                <w:szCs w:val="22"/>
                <w:highlight w:val="none"/>
              </w:rPr>
              <w:t>生物量</w:t>
            </w:r>
            <w:r>
              <w:rPr>
                <w:rFonts w:ascii="宋体" w:hAnsi="宋体" w:cs="宋体"/>
                <w:bCs/>
                <w:sz w:val="21"/>
                <w:szCs w:val="22"/>
                <w:highlight w:val="none"/>
              </w:rPr>
              <w:t>t/(hm</w:t>
            </w:r>
            <w:r>
              <w:rPr>
                <w:rFonts w:ascii="宋体" w:hAnsi="宋体" w:cs="宋体"/>
                <w:bCs/>
                <w:sz w:val="21"/>
                <w:szCs w:val="22"/>
                <w:highlight w:val="none"/>
                <w:vertAlign w:val="superscript"/>
              </w:rPr>
              <w:t>2</w:t>
            </w:r>
            <w:r>
              <w:rPr>
                <w:rFonts w:hint="eastAsia" w:ascii="宋体" w:hAnsi="宋体" w:cs="宋体"/>
                <w:bCs/>
                <w:sz w:val="21"/>
                <w:szCs w:val="22"/>
                <w:highlight w:val="none"/>
              </w:rPr>
              <w:t>·</w:t>
            </w:r>
            <w:r>
              <w:rPr>
                <w:rFonts w:ascii="宋体" w:hAnsi="宋体" w:cs="宋体"/>
                <w:bCs/>
                <w:sz w:val="21"/>
                <w:szCs w:val="22"/>
                <w:highlight w:val="none"/>
              </w:rPr>
              <w: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旱地</w:t>
            </w:r>
          </w:p>
        </w:tc>
        <w:tc>
          <w:tcPr>
            <w:tcW w:w="2596" w:type="dxa"/>
            <w:vAlign w:val="center"/>
          </w:tcPr>
          <w:p>
            <w:pPr>
              <w:pStyle w:val="64"/>
              <w:rPr>
                <w:rFonts w:cs="宋体"/>
                <w:color w:val="000000"/>
                <w:szCs w:val="21"/>
                <w:highlight w:val="none"/>
              </w:rPr>
            </w:pPr>
            <w:r>
              <w:rPr>
                <w:rFonts w:hint="eastAsia" w:cs="宋体"/>
                <w:color w:val="000000"/>
                <w:szCs w:val="21"/>
                <w:highlight w:val="none"/>
              </w:rPr>
              <w:t>686277.01</w:t>
            </w:r>
          </w:p>
        </w:tc>
        <w:tc>
          <w:tcPr>
            <w:tcW w:w="2259" w:type="dxa"/>
            <w:vAlign w:val="center"/>
          </w:tcPr>
          <w:p>
            <w:pPr>
              <w:pStyle w:val="64"/>
              <w:rPr>
                <w:rFonts w:cs="宋体"/>
                <w:color w:val="000000"/>
                <w:szCs w:val="21"/>
                <w:highlight w:val="none"/>
              </w:rPr>
            </w:pPr>
            <w:r>
              <w:rPr>
                <w:rFonts w:hint="eastAsia" w:cs="宋体"/>
                <w:color w:val="000000"/>
                <w:szCs w:val="21"/>
                <w:highlight w:val="none"/>
              </w:rPr>
              <w:t>86.61</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其他草地</w:t>
            </w:r>
          </w:p>
        </w:tc>
        <w:tc>
          <w:tcPr>
            <w:tcW w:w="2596" w:type="dxa"/>
            <w:vAlign w:val="center"/>
          </w:tcPr>
          <w:p>
            <w:pPr>
              <w:pStyle w:val="64"/>
              <w:rPr>
                <w:rFonts w:cs="宋体"/>
                <w:color w:val="000000"/>
                <w:szCs w:val="21"/>
                <w:highlight w:val="none"/>
              </w:rPr>
            </w:pPr>
            <w:r>
              <w:rPr>
                <w:rFonts w:hint="eastAsia" w:cs="宋体"/>
                <w:color w:val="000000"/>
                <w:szCs w:val="21"/>
                <w:highlight w:val="none"/>
              </w:rPr>
              <w:t>86146.94</w:t>
            </w:r>
          </w:p>
        </w:tc>
        <w:tc>
          <w:tcPr>
            <w:tcW w:w="2259" w:type="dxa"/>
            <w:vAlign w:val="center"/>
          </w:tcPr>
          <w:p>
            <w:pPr>
              <w:pStyle w:val="64"/>
              <w:rPr>
                <w:rFonts w:cs="宋体"/>
                <w:color w:val="000000"/>
                <w:szCs w:val="21"/>
                <w:highlight w:val="none"/>
              </w:rPr>
            </w:pPr>
            <w:r>
              <w:rPr>
                <w:rFonts w:hint="eastAsia" w:cs="宋体"/>
                <w:color w:val="000000"/>
                <w:szCs w:val="21"/>
                <w:highlight w:val="none"/>
              </w:rPr>
              <w:t>10.87</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pStyle w:val="64"/>
              <w:ind w:firstLine="480"/>
              <w:rPr>
                <w:rFonts w:cs="宋体"/>
                <w:color w:val="000000"/>
                <w:szCs w:val="21"/>
                <w:highlight w:val="none"/>
              </w:rPr>
            </w:pPr>
            <w:r>
              <w:rPr>
                <w:rFonts w:hint="eastAsia" w:cs="宋体"/>
                <w:color w:val="000000"/>
                <w:szCs w:val="21"/>
                <w:highlight w:val="none"/>
              </w:rPr>
              <w:t>公路用地</w:t>
            </w:r>
          </w:p>
        </w:tc>
        <w:tc>
          <w:tcPr>
            <w:tcW w:w="2596" w:type="dxa"/>
            <w:vAlign w:val="center"/>
          </w:tcPr>
          <w:p>
            <w:pPr>
              <w:pStyle w:val="64"/>
              <w:rPr>
                <w:rFonts w:cs="宋体"/>
                <w:color w:val="000000"/>
                <w:szCs w:val="21"/>
                <w:highlight w:val="none"/>
              </w:rPr>
            </w:pPr>
            <w:r>
              <w:rPr>
                <w:rFonts w:hint="eastAsia" w:cs="宋体"/>
                <w:color w:val="000000"/>
                <w:szCs w:val="21"/>
                <w:highlight w:val="none"/>
              </w:rPr>
              <w:t>5832.54</w:t>
            </w:r>
          </w:p>
        </w:tc>
        <w:tc>
          <w:tcPr>
            <w:tcW w:w="2259" w:type="dxa"/>
            <w:vAlign w:val="center"/>
          </w:tcPr>
          <w:p>
            <w:pPr>
              <w:pStyle w:val="64"/>
              <w:rPr>
                <w:rFonts w:cs="宋体"/>
                <w:color w:val="000000"/>
                <w:szCs w:val="21"/>
                <w:highlight w:val="none"/>
              </w:rPr>
            </w:pPr>
            <w:r>
              <w:rPr>
                <w:rFonts w:hint="eastAsia" w:cs="宋体"/>
                <w:color w:val="000000"/>
                <w:szCs w:val="21"/>
                <w:highlight w:val="none"/>
              </w:rPr>
              <w:t>0.74</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pStyle w:val="64"/>
              <w:ind w:firstLine="480"/>
              <w:rPr>
                <w:rFonts w:cs="宋体"/>
                <w:color w:val="000000"/>
                <w:szCs w:val="21"/>
                <w:highlight w:val="none"/>
              </w:rPr>
            </w:pPr>
            <w:r>
              <w:rPr>
                <w:rFonts w:hint="eastAsia" w:cs="宋体"/>
                <w:color w:val="000000"/>
                <w:szCs w:val="21"/>
                <w:highlight w:val="none"/>
              </w:rPr>
              <w:t>工矿用地</w:t>
            </w:r>
          </w:p>
        </w:tc>
        <w:tc>
          <w:tcPr>
            <w:tcW w:w="2596" w:type="dxa"/>
            <w:vAlign w:val="center"/>
          </w:tcPr>
          <w:p>
            <w:pPr>
              <w:pStyle w:val="64"/>
              <w:rPr>
                <w:rFonts w:cs="宋体"/>
                <w:color w:val="000000"/>
                <w:szCs w:val="21"/>
                <w:highlight w:val="none"/>
              </w:rPr>
            </w:pPr>
            <w:r>
              <w:rPr>
                <w:rFonts w:hint="eastAsia" w:cs="宋体"/>
                <w:color w:val="000000"/>
                <w:szCs w:val="21"/>
                <w:highlight w:val="none"/>
              </w:rPr>
              <w:t>14104.09</w:t>
            </w:r>
          </w:p>
        </w:tc>
        <w:tc>
          <w:tcPr>
            <w:tcW w:w="2259" w:type="dxa"/>
            <w:vAlign w:val="center"/>
          </w:tcPr>
          <w:p>
            <w:pPr>
              <w:pStyle w:val="64"/>
              <w:rPr>
                <w:rFonts w:cs="宋体"/>
                <w:color w:val="000000"/>
                <w:szCs w:val="21"/>
                <w:highlight w:val="none"/>
              </w:rPr>
            </w:pPr>
            <w:r>
              <w:rPr>
                <w:rFonts w:hint="eastAsia" w:cs="宋体"/>
                <w:color w:val="000000"/>
                <w:szCs w:val="21"/>
                <w:highlight w:val="none"/>
              </w:rPr>
              <w:t>1.78</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合计</w:t>
            </w:r>
          </w:p>
        </w:tc>
        <w:tc>
          <w:tcPr>
            <w:tcW w:w="2596" w:type="dxa"/>
            <w:vAlign w:val="center"/>
          </w:tcPr>
          <w:p>
            <w:pPr>
              <w:pStyle w:val="64"/>
              <w:rPr>
                <w:rFonts w:cs="宋体"/>
                <w:color w:val="000000"/>
                <w:szCs w:val="21"/>
                <w:highlight w:val="none"/>
              </w:rPr>
            </w:pPr>
            <w:r>
              <w:rPr>
                <w:rFonts w:hint="eastAsia" w:cs="宋体"/>
                <w:color w:val="000000"/>
                <w:szCs w:val="21"/>
                <w:highlight w:val="none"/>
              </w:rPr>
              <w:t>792360.58</w:t>
            </w:r>
          </w:p>
        </w:tc>
        <w:tc>
          <w:tcPr>
            <w:tcW w:w="2259" w:type="dxa"/>
            <w:vAlign w:val="center"/>
          </w:tcPr>
          <w:p>
            <w:pPr>
              <w:pStyle w:val="64"/>
              <w:rPr>
                <w:rFonts w:cs="宋体"/>
                <w:color w:val="000000"/>
                <w:szCs w:val="21"/>
                <w:highlight w:val="none"/>
              </w:rPr>
            </w:pPr>
            <w:r>
              <w:rPr>
                <w:rFonts w:hint="eastAsia" w:cs="宋体"/>
                <w:color w:val="000000"/>
                <w:szCs w:val="21"/>
                <w:highlight w:val="none"/>
              </w:rPr>
              <w:t>100.00</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18.4</w:t>
            </w:r>
            <w:r>
              <w:rPr>
                <w:rFonts w:hint="eastAsia" w:ascii="宋体" w:hAnsi="宋体"/>
                <w:bCs/>
                <w:sz w:val="21"/>
                <w:szCs w:val="22"/>
                <w:highlight w:val="none"/>
              </w:rPr>
              <w:t>6</w:t>
            </w:r>
          </w:p>
        </w:tc>
      </w:tr>
    </w:tbl>
    <w:p>
      <w:pPr>
        <w:ind w:firstLine="0" w:firstLineChars="0"/>
        <w:jc w:val="center"/>
        <w:rPr>
          <w:rFonts w:ascii="宋体" w:hAnsi="宋体"/>
          <w:highlight w:val="none"/>
        </w:rPr>
      </w:pPr>
      <w:r>
        <w:rPr>
          <w:rFonts w:hint="eastAsia" w:ascii="宋体" w:hAnsi="宋体"/>
          <w:highlight w:val="none"/>
        </w:rPr>
        <w:t>续表</w:t>
      </w:r>
      <w:r>
        <w:rPr>
          <w:rFonts w:ascii="宋体" w:hAnsi="宋体"/>
          <w:highlight w:val="none"/>
        </w:rPr>
        <w:t>4.3-</w:t>
      </w:r>
      <w:r>
        <w:rPr>
          <w:rFonts w:hint="eastAsia" w:ascii="宋体" w:hAnsi="宋体"/>
          <w:highlight w:val="none"/>
        </w:rPr>
        <w:t>23</w:t>
      </w:r>
      <w:r>
        <w:rPr>
          <w:rFonts w:ascii="宋体" w:hAnsi="宋体"/>
          <w:highlight w:val="none"/>
        </w:rPr>
        <w:t xml:space="preserve">  </w:t>
      </w: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土地利用现状生物量</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78"/>
        <w:gridCol w:w="2596"/>
        <w:gridCol w:w="2259"/>
        <w:gridCol w:w="20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地类</w:t>
            </w:r>
          </w:p>
        </w:tc>
        <w:tc>
          <w:tcPr>
            <w:tcW w:w="2596"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面积（</w:t>
            </w:r>
            <w:r>
              <w:rPr>
                <w:rFonts w:ascii="宋体" w:hAnsi="宋体"/>
                <w:bCs/>
                <w:sz w:val="21"/>
                <w:szCs w:val="22"/>
                <w:highlight w:val="none"/>
              </w:rPr>
              <w:t>m</w:t>
            </w:r>
            <w:r>
              <w:rPr>
                <w:rFonts w:ascii="宋体" w:hAnsi="宋体"/>
                <w:bCs/>
                <w:sz w:val="21"/>
                <w:szCs w:val="22"/>
                <w:highlight w:val="none"/>
                <w:vertAlign w:val="superscript"/>
              </w:rPr>
              <w:t>2</w:t>
            </w:r>
            <w:r>
              <w:rPr>
                <w:rFonts w:hint="eastAsia" w:ascii="宋体" w:hAnsi="宋体"/>
                <w:bCs/>
                <w:sz w:val="21"/>
                <w:szCs w:val="22"/>
                <w:highlight w:val="none"/>
              </w:rPr>
              <w:t>）</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比例</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cs="宋体"/>
                <w:bCs/>
                <w:sz w:val="21"/>
                <w:szCs w:val="22"/>
                <w:highlight w:val="none"/>
              </w:rPr>
              <w:t>生物量</w:t>
            </w:r>
            <w:r>
              <w:rPr>
                <w:rFonts w:ascii="宋体" w:hAnsi="宋体" w:cs="宋体"/>
                <w:bCs/>
                <w:sz w:val="21"/>
                <w:szCs w:val="22"/>
                <w:highlight w:val="none"/>
              </w:rPr>
              <w:t>t/(hm</w:t>
            </w:r>
            <w:r>
              <w:rPr>
                <w:rFonts w:ascii="宋体" w:hAnsi="宋体" w:cs="宋体"/>
                <w:bCs/>
                <w:sz w:val="21"/>
                <w:szCs w:val="22"/>
                <w:highlight w:val="none"/>
                <w:vertAlign w:val="superscript"/>
              </w:rPr>
              <w:t>2</w:t>
            </w:r>
            <w:r>
              <w:rPr>
                <w:rFonts w:hint="eastAsia" w:ascii="宋体" w:hAnsi="宋体" w:cs="宋体"/>
                <w:bCs/>
                <w:sz w:val="21"/>
                <w:szCs w:val="22"/>
                <w:highlight w:val="none"/>
              </w:rPr>
              <w:t>·</w:t>
            </w:r>
            <w:r>
              <w:rPr>
                <w:rFonts w:ascii="宋体" w:hAnsi="宋体" w:cs="宋体"/>
                <w:bCs/>
                <w:sz w:val="21"/>
                <w:szCs w:val="22"/>
                <w:highlight w:val="none"/>
              </w:rPr>
              <w: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其他草地</w:t>
            </w:r>
          </w:p>
        </w:tc>
        <w:tc>
          <w:tcPr>
            <w:tcW w:w="2596"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highlight w:val="none"/>
              </w:rPr>
            </w:pPr>
            <w:r>
              <w:rPr>
                <w:rFonts w:hint="eastAsia" w:ascii="宋体" w:hAnsi="宋体"/>
                <w:bCs/>
                <w:sz w:val="21"/>
                <w:highlight w:val="none"/>
              </w:rPr>
              <w:t>工矿用地</w:t>
            </w:r>
          </w:p>
        </w:tc>
        <w:tc>
          <w:tcPr>
            <w:tcW w:w="2596"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78"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合计</w:t>
            </w:r>
          </w:p>
        </w:tc>
        <w:tc>
          <w:tcPr>
            <w:tcW w:w="2596"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25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c>
          <w:tcPr>
            <w:tcW w:w="20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6.72</w:t>
            </w:r>
          </w:p>
        </w:tc>
      </w:tr>
    </w:tbl>
    <w:p>
      <w:pPr>
        <w:ind w:firstLine="480"/>
        <w:rPr>
          <w:rFonts w:ascii="宋体" w:hAnsi="宋体"/>
          <w:highlight w:val="none"/>
        </w:rPr>
      </w:pPr>
      <w:r>
        <w:rPr>
          <w:rFonts w:hint="eastAsia" w:ascii="宋体" w:hAnsi="宋体"/>
          <w:highlight w:val="none"/>
        </w:rPr>
        <w:t>经过计算，项目评价区土地生物量约为18.46</w:t>
      </w:r>
      <w:r>
        <w:rPr>
          <w:rFonts w:ascii="宋体" w:hAnsi="宋体"/>
          <w:highlight w:val="none"/>
        </w:rPr>
        <w:t>t/hm</w:t>
      </w:r>
      <w:r>
        <w:rPr>
          <w:rFonts w:ascii="宋体" w:hAnsi="宋体"/>
          <w:highlight w:val="none"/>
          <w:vertAlign w:val="superscript"/>
        </w:rPr>
        <w:t>2</w:t>
      </w:r>
      <w:r>
        <w:rPr>
          <w:rFonts w:hint="eastAsia" w:ascii="宋体" w:hAnsi="宋体"/>
          <w:highlight w:val="none"/>
        </w:rPr>
        <w:t>·</w:t>
      </w:r>
      <w:r>
        <w:rPr>
          <w:rFonts w:ascii="宋体" w:hAnsi="宋体"/>
          <w:highlight w:val="none"/>
        </w:rPr>
        <w:t>a</w:t>
      </w:r>
      <w:r>
        <w:rPr>
          <w:rFonts w:hint="eastAsia" w:ascii="宋体" w:hAnsi="宋体"/>
          <w:highlight w:val="none"/>
        </w:rPr>
        <w:t>。将不同土地利用类型中生物量最大的林地确定为标定生物量，即</w:t>
      </w:r>
      <w:r>
        <w:rPr>
          <w:rFonts w:ascii="宋体" w:hAnsi="宋体"/>
          <w:highlight w:val="none"/>
        </w:rPr>
        <w:t>20</w:t>
      </w:r>
      <w:r>
        <w:rPr>
          <w:rFonts w:hint="eastAsia" w:ascii="宋体" w:hAnsi="宋体"/>
          <w:highlight w:val="none"/>
        </w:rPr>
        <w:t>，根据公式：</w:t>
      </w:r>
      <w:r>
        <w:rPr>
          <w:rFonts w:ascii="宋体" w:hAnsi="宋体"/>
          <w:highlight w:val="none"/>
        </w:rPr>
        <w:t>Pa=Ba/Bmo</w:t>
      </w:r>
      <w:r>
        <w:rPr>
          <w:rFonts w:hint="eastAsia" w:ascii="宋体" w:hAnsi="宋体"/>
          <w:highlight w:val="none"/>
        </w:rPr>
        <w:t>得出，评价范围内土地利用现状评价值为</w:t>
      </w:r>
      <w:r>
        <w:rPr>
          <w:rFonts w:ascii="宋体" w:hAnsi="宋体"/>
          <w:highlight w:val="none"/>
        </w:rPr>
        <w:t>0</w:t>
      </w:r>
      <w:r>
        <w:rPr>
          <w:rFonts w:hint="eastAsia" w:ascii="宋体" w:hAnsi="宋体"/>
          <w:highlight w:val="none"/>
        </w:rPr>
        <w:t>.923。</w:t>
      </w:r>
    </w:p>
    <w:p>
      <w:pPr>
        <w:ind w:firstLine="480"/>
        <w:rPr>
          <w:rFonts w:ascii="宋体" w:hAnsi="宋体"/>
          <w:highlight w:val="none"/>
        </w:rPr>
      </w:pP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土地生物量约为6.72</w:t>
      </w:r>
      <w:r>
        <w:rPr>
          <w:rFonts w:ascii="宋体" w:hAnsi="宋体"/>
          <w:highlight w:val="none"/>
        </w:rPr>
        <w:t>t/hm</w:t>
      </w:r>
      <w:r>
        <w:rPr>
          <w:rFonts w:ascii="宋体" w:hAnsi="宋体"/>
          <w:highlight w:val="none"/>
          <w:vertAlign w:val="superscript"/>
        </w:rPr>
        <w:t>2</w:t>
      </w:r>
      <w:r>
        <w:rPr>
          <w:rFonts w:hint="eastAsia" w:ascii="宋体" w:hAnsi="宋体"/>
          <w:highlight w:val="none"/>
        </w:rPr>
        <w:t>·</w:t>
      </w:r>
      <w:r>
        <w:rPr>
          <w:rFonts w:ascii="宋体" w:hAnsi="宋体"/>
          <w:highlight w:val="none"/>
        </w:rPr>
        <w:t>a</w:t>
      </w:r>
      <w:r>
        <w:rPr>
          <w:rFonts w:hint="eastAsia" w:ascii="宋体" w:hAnsi="宋体"/>
          <w:highlight w:val="none"/>
        </w:rPr>
        <w:t>。将不同土地利用类型中生物量最大的林地确定为标定生物量，即</w:t>
      </w:r>
      <w:r>
        <w:rPr>
          <w:rFonts w:ascii="宋体" w:hAnsi="宋体"/>
          <w:highlight w:val="none"/>
        </w:rPr>
        <w:t>20</w:t>
      </w:r>
      <w:r>
        <w:rPr>
          <w:rFonts w:hint="eastAsia" w:ascii="宋体" w:hAnsi="宋体"/>
          <w:highlight w:val="none"/>
        </w:rPr>
        <w:t>，根据公式：</w:t>
      </w:r>
      <w:r>
        <w:rPr>
          <w:rFonts w:ascii="宋体" w:hAnsi="宋体"/>
          <w:highlight w:val="none"/>
        </w:rPr>
        <w:t>Pa=Ba/Bmo</w:t>
      </w:r>
      <w:r>
        <w:rPr>
          <w:rFonts w:hint="eastAsia" w:ascii="宋体" w:hAnsi="宋体"/>
          <w:highlight w:val="none"/>
        </w:rPr>
        <w:t>得出，</w:t>
      </w:r>
      <w:r>
        <w:rPr>
          <w:rFonts w:hint="eastAsia" w:ascii="宋体" w:hAnsi="宋体"/>
          <w:kern w:val="0"/>
          <w:highlight w:val="none"/>
        </w:rPr>
        <w:t>项目厂区内</w:t>
      </w:r>
      <w:r>
        <w:rPr>
          <w:rFonts w:hint="eastAsia" w:ascii="宋体" w:hAnsi="宋体"/>
          <w:highlight w:val="none"/>
        </w:rPr>
        <w:t>土地利用现状评价值为</w:t>
      </w:r>
      <w:r>
        <w:rPr>
          <w:rFonts w:ascii="宋体" w:hAnsi="宋体"/>
          <w:highlight w:val="none"/>
        </w:rPr>
        <w:t>0</w:t>
      </w:r>
      <w:r>
        <w:rPr>
          <w:rFonts w:hint="eastAsia" w:ascii="宋体" w:hAnsi="宋体"/>
          <w:highlight w:val="none"/>
        </w:rPr>
        <w:t>.336。</w:t>
      </w:r>
    </w:p>
    <w:p>
      <w:pPr>
        <w:keepNext/>
        <w:keepLines/>
        <w:ind w:firstLine="480"/>
        <w:outlineLvl w:val="3"/>
        <w:rPr>
          <w:rFonts w:ascii="宋体" w:hAnsi="宋体"/>
          <w:bCs/>
          <w:szCs w:val="28"/>
          <w:highlight w:val="none"/>
        </w:rPr>
      </w:pPr>
      <w:r>
        <w:rPr>
          <w:rFonts w:ascii="宋体" w:hAnsi="宋体"/>
          <w:bCs/>
          <w:szCs w:val="28"/>
          <w:highlight w:val="none"/>
        </w:rPr>
        <w:t>4.3.6.6</w:t>
      </w:r>
      <w:r>
        <w:rPr>
          <w:rFonts w:hint="eastAsia" w:ascii="宋体" w:hAnsi="宋体"/>
          <w:bCs/>
          <w:szCs w:val="28"/>
          <w:highlight w:val="none"/>
        </w:rPr>
        <w:t>项目评价区和场区土壤侵蚀现状调查与评价</w:t>
      </w:r>
    </w:p>
    <w:p>
      <w:pPr>
        <w:ind w:firstLine="480"/>
        <w:rPr>
          <w:rFonts w:ascii="宋体" w:hAnsi="宋体"/>
          <w:bCs/>
          <w:highlight w:val="none"/>
        </w:rPr>
      </w:pPr>
      <w:r>
        <w:rPr>
          <w:rFonts w:ascii="宋体" w:hAnsi="宋体"/>
          <w:bCs/>
          <w:highlight w:val="none"/>
        </w:rPr>
        <w:t>1</w:t>
      </w:r>
      <w:r>
        <w:rPr>
          <w:rFonts w:hint="eastAsia" w:ascii="宋体" w:hAnsi="宋体"/>
          <w:bCs/>
          <w:highlight w:val="none"/>
        </w:rPr>
        <w:t>、土壤侵蚀强度分级</w:t>
      </w:r>
    </w:p>
    <w:p>
      <w:pPr>
        <w:ind w:firstLine="480"/>
        <w:rPr>
          <w:rFonts w:ascii="宋体" w:hAnsi="宋体"/>
          <w:bCs/>
          <w:highlight w:val="none"/>
        </w:rPr>
      </w:pPr>
      <w:r>
        <w:rPr>
          <w:rFonts w:hint="eastAsia" w:ascii="宋体" w:hAnsi="宋体"/>
          <w:bCs/>
          <w:highlight w:val="none"/>
        </w:rPr>
        <w:t>微度侵蚀：土壤侵蚀模数为</w:t>
      </w:r>
      <w:r>
        <w:rPr>
          <w:rFonts w:ascii="宋体" w:hAnsi="宋体"/>
          <w:bCs/>
          <w:highlight w:val="none"/>
        </w:rPr>
        <w:t>&lt;1000t/km</w:t>
      </w:r>
      <w:r>
        <w:rPr>
          <w:rFonts w:ascii="宋体" w:hAnsi="宋体"/>
          <w:bCs/>
          <w:highlight w:val="none"/>
          <w:vertAlign w:val="superscript"/>
        </w:rPr>
        <w:t>2</w:t>
      </w:r>
      <w:r>
        <w:rPr>
          <w:rFonts w:ascii="宋体" w:hAnsi="宋体"/>
          <w:bCs/>
          <w:highlight w:val="none"/>
        </w:rPr>
        <w:t>.a</w:t>
      </w:r>
      <w:r>
        <w:rPr>
          <w:rFonts w:hint="eastAsia" w:ascii="宋体" w:hAnsi="宋体"/>
          <w:bCs/>
          <w:highlight w:val="none"/>
        </w:rPr>
        <w:t>；</w:t>
      </w:r>
    </w:p>
    <w:p>
      <w:pPr>
        <w:ind w:firstLine="480"/>
        <w:rPr>
          <w:rFonts w:ascii="宋体" w:hAnsi="宋体"/>
          <w:bCs/>
          <w:highlight w:val="none"/>
        </w:rPr>
      </w:pPr>
      <w:r>
        <w:rPr>
          <w:rFonts w:hint="eastAsia" w:ascii="宋体" w:hAnsi="宋体"/>
          <w:bCs/>
          <w:highlight w:val="none"/>
        </w:rPr>
        <w:t>轻度侵蚀：土壤侵蚀模数为</w:t>
      </w:r>
      <w:r>
        <w:rPr>
          <w:rFonts w:ascii="宋体" w:hAnsi="宋体"/>
          <w:bCs/>
          <w:highlight w:val="none"/>
        </w:rPr>
        <w:t>1000</w:t>
      </w:r>
      <w:r>
        <w:rPr>
          <w:rFonts w:hint="eastAsia" w:ascii="宋体" w:hAnsi="宋体"/>
          <w:bCs/>
          <w:highlight w:val="none"/>
        </w:rPr>
        <w:t>～</w:t>
      </w:r>
      <w:r>
        <w:rPr>
          <w:rFonts w:ascii="宋体" w:hAnsi="宋体"/>
          <w:bCs/>
          <w:highlight w:val="none"/>
        </w:rPr>
        <w:t>2500t/km</w:t>
      </w:r>
      <w:r>
        <w:rPr>
          <w:rFonts w:ascii="宋体" w:hAnsi="宋体"/>
          <w:bCs/>
          <w:highlight w:val="none"/>
          <w:vertAlign w:val="superscript"/>
        </w:rPr>
        <w:t>2</w:t>
      </w:r>
      <w:r>
        <w:rPr>
          <w:rFonts w:ascii="宋体" w:hAnsi="宋体"/>
          <w:bCs/>
          <w:highlight w:val="none"/>
        </w:rPr>
        <w:t>.a</w:t>
      </w:r>
      <w:r>
        <w:rPr>
          <w:rFonts w:hint="eastAsia" w:ascii="宋体" w:hAnsi="宋体"/>
          <w:bCs/>
          <w:highlight w:val="none"/>
        </w:rPr>
        <w:t>；</w:t>
      </w:r>
    </w:p>
    <w:p>
      <w:pPr>
        <w:ind w:firstLine="480"/>
        <w:rPr>
          <w:rFonts w:ascii="宋体" w:hAnsi="宋体"/>
          <w:bCs/>
          <w:highlight w:val="none"/>
        </w:rPr>
      </w:pPr>
      <w:r>
        <w:rPr>
          <w:rFonts w:hint="eastAsia" w:ascii="宋体" w:hAnsi="宋体"/>
          <w:bCs/>
          <w:highlight w:val="none"/>
        </w:rPr>
        <w:t>中度侵蚀：土壤侵蚀模数为</w:t>
      </w:r>
      <w:r>
        <w:rPr>
          <w:rFonts w:ascii="宋体" w:hAnsi="宋体"/>
          <w:bCs/>
          <w:highlight w:val="none"/>
        </w:rPr>
        <w:t>2500</w:t>
      </w:r>
      <w:r>
        <w:rPr>
          <w:rFonts w:hint="eastAsia" w:ascii="宋体" w:hAnsi="宋体"/>
          <w:bCs/>
          <w:highlight w:val="none"/>
        </w:rPr>
        <w:t>～</w:t>
      </w:r>
      <w:r>
        <w:rPr>
          <w:rFonts w:ascii="宋体" w:hAnsi="宋体"/>
          <w:bCs/>
          <w:highlight w:val="none"/>
        </w:rPr>
        <w:t>5000t/km</w:t>
      </w:r>
      <w:r>
        <w:rPr>
          <w:rFonts w:ascii="宋体" w:hAnsi="宋体"/>
          <w:bCs/>
          <w:highlight w:val="none"/>
          <w:vertAlign w:val="superscript"/>
        </w:rPr>
        <w:t>2</w:t>
      </w:r>
      <w:r>
        <w:rPr>
          <w:rFonts w:ascii="宋体" w:hAnsi="宋体"/>
          <w:bCs/>
          <w:highlight w:val="none"/>
        </w:rPr>
        <w:t>.a</w:t>
      </w:r>
      <w:r>
        <w:rPr>
          <w:rFonts w:hint="eastAsia" w:ascii="宋体" w:hAnsi="宋体"/>
          <w:bCs/>
          <w:highlight w:val="none"/>
        </w:rPr>
        <w:t>；</w:t>
      </w:r>
    </w:p>
    <w:p>
      <w:pPr>
        <w:ind w:firstLine="480"/>
        <w:rPr>
          <w:rFonts w:ascii="宋体" w:hAnsi="宋体"/>
          <w:bCs/>
          <w:highlight w:val="none"/>
        </w:rPr>
      </w:pPr>
      <w:r>
        <w:rPr>
          <w:rFonts w:hint="eastAsia" w:ascii="宋体" w:hAnsi="宋体"/>
          <w:bCs/>
          <w:highlight w:val="none"/>
        </w:rPr>
        <w:t>强度侵蚀：土壤侵蚀模数为</w:t>
      </w:r>
      <w:r>
        <w:rPr>
          <w:rFonts w:ascii="宋体" w:hAnsi="宋体"/>
          <w:bCs/>
          <w:highlight w:val="none"/>
        </w:rPr>
        <w:t>5000</w:t>
      </w:r>
      <w:r>
        <w:rPr>
          <w:rFonts w:hint="eastAsia" w:ascii="宋体" w:hAnsi="宋体"/>
          <w:bCs/>
          <w:highlight w:val="none"/>
        </w:rPr>
        <w:t>～</w:t>
      </w:r>
      <w:r>
        <w:rPr>
          <w:rFonts w:ascii="宋体" w:hAnsi="宋体"/>
          <w:bCs/>
          <w:highlight w:val="none"/>
        </w:rPr>
        <w:t>8000t/km</w:t>
      </w:r>
      <w:r>
        <w:rPr>
          <w:rFonts w:ascii="宋体" w:hAnsi="宋体"/>
          <w:bCs/>
          <w:highlight w:val="none"/>
          <w:vertAlign w:val="superscript"/>
        </w:rPr>
        <w:t>2</w:t>
      </w:r>
      <w:r>
        <w:rPr>
          <w:rFonts w:ascii="宋体" w:hAnsi="宋体"/>
          <w:bCs/>
          <w:highlight w:val="none"/>
        </w:rPr>
        <w:t>.a</w:t>
      </w:r>
      <w:r>
        <w:rPr>
          <w:rFonts w:hint="eastAsia" w:ascii="宋体" w:hAnsi="宋体"/>
          <w:bCs/>
          <w:highlight w:val="none"/>
        </w:rPr>
        <w:t>；</w:t>
      </w:r>
    </w:p>
    <w:p>
      <w:pPr>
        <w:ind w:firstLine="480"/>
        <w:rPr>
          <w:rFonts w:ascii="宋体" w:hAnsi="宋体"/>
          <w:bCs/>
          <w:highlight w:val="none"/>
        </w:rPr>
      </w:pPr>
      <w:r>
        <w:rPr>
          <w:rFonts w:hint="eastAsia" w:ascii="宋体" w:hAnsi="宋体"/>
          <w:bCs/>
          <w:highlight w:val="none"/>
        </w:rPr>
        <w:t>极强度侵蚀：土壤侵蚀模数为</w:t>
      </w:r>
      <w:r>
        <w:rPr>
          <w:rFonts w:ascii="宋体" w:hAnsi="宋体"/>
          <w:bCs/>
          <w:highlight w:val="none"/>
        </w:rPr>
        <w:t>8000</w:t>
      </w:r>
      <w:r>
        <w:rPr>
          <w:rFonts w:hint="eastAsia" w:ascii="宋体" w:hAnsi="宋体"/>
          <w:bCs/>
          <w:highlight w:val="none"/>
        </w:rPr>
        <w:t>～</w:t>
      </w:r>
      <w:r>
        <w:rPr>
          <w:rFonts w:ascii="宋体" w:hAnsi="宋体"/>
          <w:bCs/>
          <w:highlight w:val="none"/>
        </w:rPr>
        <w:t>15000t/km</w:t>
      </w:r>
      <w:r>
        <w:rPr>
          <w:rFonts w:ascii="宋体" w:hAnsi="宋体"/>
          <w:bCs/>
          <w:highlight w:val="none"/>
          <w:vertAlign w:val="superscript"/>
        </w:rPr>
        <w:t>2</w:t>
      </w:r>
      <w:r>
        <w:rPr>
          <w:rFonts w:ascii="宋体" w:hAnsi="宋体"/>
          <w:bCs/>
          <w:highlight w:val="none"/>
        </w:rPr>
        <w:t>.a</w:t>
      </w:r>
      <w:r>
        <w:rPr>
          <w:rFonts w:hint="eastAsia" w:ascii="宋体" w:hAnsi="宋体"/>
          <w:bCs/>
          <w:highlight w:val="none"/>
        </w:rPr>
        <w:t>；</w:t>
      </w:r>
    </w:p>
    <w:p>
      <w:pPr>
        <w:ind w:firstLine="480"/>
        <w:rPr>
          <w:rFonts w:ascii="宋体" w:hAnsi="宋体"/>
          <w:bCs/>
          <w:highlight w:val="none"/>
        </w:rPr>
      </w:pPr>
      <w:r>
        <w:rPr>
          <w:rFonts w:hint="eastAsia" w:ascii="宋体" w:hAnsi="宋体"/>
          <w:bCs/>
          <w:highlight w:val="none"/>
        </w:rPr>
        <w:t>剧烈侵蚀：土壤侵蚀模数为</w:t>
      </w:r>
      <w:r>
        <w:rPr>
          <w:rFonts w:ascii="宋体" w:hAnsi="宋体"/>
          <w:bCs/>
          <w:highlight w:val="none"/>
        </w:rPr>
        <w:t>&gt;15000t/km</w:t>
      </w:r>
      <w:r>
        <w:rPr>
          <w:rFonts w:ascii="宋体" w:hAnsi="宋体"/>
          <w:bCs/>
          <w:highlight w:val="none"/>
          <w:vertAlign w:val="superscript"/>
        </w:rPr>
        <w:t>2</w:t>
      </w:r>
      <w:r>
        <w:rPr>
          <w:rFonts w:ascii="宋体" w:hAnsi="宋体"/>
          <w:bCs/>
          <w:highlight w:val="none"/>
        </w:rPr>
        <w:t>.a</w:t>
      </w:r>
      <w:r>
        <w:rPr>
          <w:rFonts w:hint="eastAsia" w:ascii="宋体" w:hAnsi="宋体"/>
          <w:bCs/>
          <w:highlight w:val="none"/>
        </w:rPr>
        <w:t>。</w:t>
      </w:r>
    </w:p>
    <w:p>
      <w:pPr>
        <w:ind w:firstLine="480"/>
        <w:rPr>
          <w:rFonts w:ascii="宋体" w:hAnsi="宋体"/>
          <w:bCs/>
          <w:highlight w:val="none"/>
        </w:rPr>
      </w:pPr>
      <w:r>
        <w:rPr>
          <w:rFonts w:ascii="宋体" w:hAnsi="宋体"/>
          <w:bCs/>
          <w:highlight w:val="none"/>
        </w:rPr>
        <w:t>2</w:t>
      </w:r>
      <w:r>
        <w:rPr>
          <w:rFonts w:hint="eastAsia" w:ascii="宋体" w:hAnsi="宋体"/>
          <w:bCs/>
          <w:highlight w:val="none"/>
        </w:rPr>
        <w:t>、项目评价区和场区现状调查结果</w:t>
      </w:r>
    </w:p>
    <w:p>
      <w:pPr>
        <w:ind w:firstLine="480"/>
        <w:rPr>
          <w:rFonts w:ascii="宋体" w:hAnsi="宋体"/>
          <w:bCs/>
          <w:highlight w:val="none"/>
        </w:rPr>
      </w:pPr>
      <w:r>
        <w:rPr>
          <w:rFonts w:hint="eastAsia" w:ascii="宋体" w:hAnsi="宋体"/>
          <w:highlight w:val="none"/>
        </w:rPr>
        <w:t>本项目评价区和场区范围内土壤侵蚀统计见表</w:t>
      </w:r>
      <w:r>
        <w:rPr>
          <w:rFonts w:ascii="宋体" w:hAnsi="宋体"/>
          <w:highlight w:val="none"/>
        </w:rPr>
        <w:t>4.3-</w:t>
      </w:r>
      <w:r>
        <w:rPr>
          <w:rFonts w:hint="eastAsia" w:ascii="宋体" w:hAnsi="宋体"/>
          <w:highlight w:val="none"/>
        </w:rPr>
        <w:t>24。土壤侵蚀分布图见附图</w:t>
      </w:r>
      <w:r>
        <w:rPr>
          <w:rFonts w:ascii="宋体" w:hAnsi="宋体"/>
          <w:highlight w:val="none"/>
        </w:rPr>
        <w:t>4-1</w:t>
      </w:r>
      <w:r>
        <w:rPr>
          <w:rFonts w:hint="eastAsia" w:ascii="宋体" w:hAnsi="宋体"/>
          <w:highlight w:val="none"/>
        </w:rPr>
        <w:t>6。</w:t>
      </w:r>
    </w:p>
    <w:p>
      <w:pPr>
        <w:ind w:firstLine="0" w:firstLineChars="0"/>
        <w:jc w:val="center"/>
        <w:rPr>
          <w:rFonts w:ascii="宋体" w:hAnsi="宋体"/>
          <w:highlight w:val="none"/>
        </w:rPr>
      </w:pPr>
      <w:r>
        <w:rPr>
          <w:rFonts w:hint="eastAsia" w:ascii="宋体" w:hAnsi="宋体"/>
          <w:highlight w:val="none"/>
        </w:rPr>
        <w:t>表</w:t>
      </w:r>
      <w:r>
        <w:rPr>
          <w:rFonts w:ascii="宋体" w:hAnsi="宋体"/>
          <w:highlight w:val="none"/>
        </w:rPr>
        <w:t>4.3-</w:t>
      </w:r>
      <w:r>
        <w:rPr>
          <w:rFonts w:hint="eastAsia" w:ascii="宋体" w:hAnsi="宋体"/>
          <w:highlight w:val="none"/>
        </w:rPr>
        <w:t>24</w:t>
      </w:r>
      <w:r>
        <w:rPr>
          <w:rFonts w:ascii="宋体" w:hAnsi="宋体"/>
          <w:highlight w:val="none"/>
        </w:rPr>
        <w:t xml:space="preserve">  </w:t>
      </w:r>
      <w:r>
        <w:rPr>
          <w:rFonts w:hint="eastAsia" w:ascii="宋体" w:hAnsi="宋体"/>
          <w:highlight w:val="none"/>
        </w:rPr>
        <w:t>项目评价区土壤侵蚀情况表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2510"/>
        <w:gridCol w:w="2295"/>
        <w:gridCol w:w="20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pStyle w:val="64"/>
              <w:rPr>
                <w:szCs w:val="21"/>
                <w:highlight w:val="none"/>
              </w:rPr>
            </w:pPr>
            <w:r>
              <w:rPr>
                <w:rFonts w:hint="eastAsia"/>
                <w:szCs w:val="21"/>
                <w:highlight w:val="none"/>
              </w:rPr>
              <w:t>序号</w:t>
            </w:r>
          </w:p>
        </w:tc>
        <w:tc>
          <w:tcPr>
            <w:tcW w:w="2510" w:type="dxa"/>
            <w:vAlign w:val="center"/>
          </w:tcPr>
          <w:p>
            <w:pPr>
              <w:pStyle w:val="64"/>
              <w:rPr>
                <w:szCs w:val="21"/>
                <w:highlight w:val="none"/>
              </w:rPr>
            </w:pPr>
            <w:r>
              <w:rPr>
                <w:rFonts w:hint="eastAsia"/>
                <w:szCs w:val="21"/>
                <w:highlight w:val="none"/>
              </w:rPr>
              <w:t>地类</w:t>
            </w:r>
          </w:p>
        </w:tc>
        <w:tc>
          <w:tcPr>
            <w:tcW w:w="2295" w:type="dxa"/>
            <w:vAlign w:val="center"/>
          </w:tcPr>
          <w:p>
            <w:pPr>
              <w:pStyle w:val="64"/>
              <w:rPr>
                <w:szCs w:val="21"/>
                <w:highlight w:val="none"/>
              </w:rPr>
            </w:pPr>
            <w:r>
              <w:rPr>
                <w:rFonts w:hint="eastAsia"/>
                <w:szCs w:val="21"/>
                <w:highlight w:val="none"/>
              </w:rPr>
              <w:t>面积（</w:t>
            </w:r>
            <w:r>
              <w:rPr>
                <w:szCs w:val="21"/>
                <w:highlight w:val="none"/>
              </w:rPr>
              <w:t>m</w:t>
            </w:r>
            <w:r>
              <w:rPr>
                <w:szCs w:val="21"/>
                <w:highlight w:val="none"/>
                <w:vertAlign w:val="superscript"/>
              </w:rPr>
              <w:t>2</w:t>
            </w:r>
            <w:r>
              <w:rPr>
                <w:rFonts w:hint="eastAsia"/>
                <w:szCs w:val="21"/>
                <w:highlight w:val="none"/>
              </w:rPr>
              <w:t>）</w:t>
            </w:r>
          </w:p>
        </w:tc>
        <w:tc>
          <w:tcPr>
            <w:tcW w:w="2023" w:type="dxa"/>
            <w:vAlign w:val="center"/>
          </w:tcPr>
          <w:p>
            <w:pPr>
              <w:pStyle w:val="64"/>
              <w:rPr>
                <w:szCs w:val="21"/>
                <w:highlight w:val="none"/>
              </w:rPr>
            </w:pPr>
            <w:r>
              <w:rPr>
                <w:rFonts w:hint="eastAsia"/>
                <w:szCs w:val="21"/>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pStyle w:val="64"/>
              <w:rPr>
                <w:szCs w:val="21"/>
                <w:highlight w:val="none"/>
              </w:rPr>
            </w:pPr>
            <w:r>
              <w:rPr>
                <w:szCs w:val="21"/>
                <w:highlight w:val="none"/>
              </w:rPr>
              <w:t>1</w:t>
            </w:r>
          </w:p>
        </w:tc>
        <w:tc>
          <w:tcPr>
            <w:tcW w:w="2510" w:type="dxa"/>
            <w:vAlign w:val="center"/>
          </w:tcPr>
          <w:p>
            <w:pPr>
              <w:pStyle w:val="64"/>
              <w:rPr>
                <w:rFonts w:cs="宋体"/>
                <w:color w:val="000000"/>
                <w:szCs w:val="21"/>
                <w:highlight w:val="none"/>
              </w:rPr>
            </w:pPr>
            <w:r>
              <w:rPr>
                <w:rFonts w:hint="eastAsia" w:cs="宋体"/>
                <w:color w:val="000000"/>
                <w:szCs w:val="21"/>
                <w:highlight w:val="none"/>
              </w:rPr>
              <w:t>中度</w:t>
            </w:r>
          </w:p>
        </w:tc>
        <w:tc>
          <w:tcPr>
            <w:tcW w:w="2295" w:type="dxa"/>
            <w:vAlign w:val="center"/>
          </w:tcPr>
          <w:p>
            <w:pPr>
              <w:pStyle w:val="64"/>
              <w:rPr>
                <w:rFonts w:cs="宋体"/>
                <w:color w:val="000000"/>
                <w:szCs w:val="21"/>
                <w:highlight w:val="none"/>
              </w:rPr>
            </w:pPr>
            <w:r>
              <w:rPr>
                <w:rFonts w:hint="eastAsia" w:cs="宋体"/>
                <w:color w:val="000000"/>
                <w:szCs w:val="21"/>
                <w:highlight w:val="none"/>
              </w:rPr>
              <w:t>778256.49</w:t>
            </w:r>
          </w:p>
        </w:tc>
        <w:tc>
          <w:tcPr>
            <w:tcW w:w="2023" w:type="dxa"/>
            <w:vAlign w:val="center"/>
          </w:tcPr>
          <w:p>
            <w:pPr>
              <w:pStyle w:val="64"/>
              <w:rPr>
                <w:rFonts w:cs="宋体"/>
                <w:color w:val="000000"/>
                <w:szCs w:val="21"/>
                <w:highlight w:val="none"/>
              </w:rPr>
            </w:pPr>
            <w:r>
              <w:rPr>
                <w:rFonts w:hint="eastAsia" w:cs="宋体"/>
                <w:color w:val="000000"/>
                <w:szCs w:val="21"/>
                <w:highlight w:val="none"/>
              </w:rPr>
              <w:t>98.22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pStyle w:val="64"/>
              <w:rPr>
                <w:szCs w:val="21"/>
                <w:highlight w:val="none"/>
              </w:rPr>
            </w:pPr>
            <w:r>
              <w:rPr>
                <w:szCs w:val="21"/>
                <w:highlight w:val="none"/>
              </w:rPr>
              <w:t>2</w:t>
            </w:r>
          </w:p>
        </w:tc>
        <w:tc>
          <w:tcPr>
            <w:tcW w:w="2510" w:type="dxa"/>
            <w:vAlign w:val="center"/>
          </w:tcPr>
          <w:p>
            <w:pPr>
              <w:pStyle w:val="64"/>
              <w:rPr>
                <w:rFonts w:cs="宋体"/>
                <w:color w:val="000000"/>
                <w:szCs w:val="21"/>
                <w:highlight w:val="none"/>
              </w:rPr>
            </w:pPr>
            <w:r>
              <w:rPr>
                <w:rFonts w:hint="eastAsia" w:cs="宋体"/>
                <w:color w:val="000000"/>
                <w:szCs w:val="21"/>
                <w:highlight w:val="none"/>
              </w:rPr>
              <w:t>重度</w:t>
            </w:r>
          </w:p>
        </w:tc>
        <w:tc>
          <w:tcPr>
            <w:tcW w:w="2295" w:type="dxa"/>
            <w:vAlign w:val="center"/>
          </w:tcPr>
          <w:p>
            <w:pPr>
              <w:pStyle w:val="64"/>
              <w:rPr>
                <w:rFonts w:cs="宋体"/>
                <w:color w:val="000000"/>
                <w:szCs w:val="21"/>
                <w:highlight w:val="none"/>
              </w:rPr>
            </w:pPr>
            <w:r>
              <w:rPr>
                <w:rFonts w:hint="eastAsia" w:cs="宋体"/>
                <w:color w:val="000000"/>
                <w:szCs w:val="21"/>
                <w:highlight w:val="none"/>
              </w:rPr>
              <w:t>14104.09</w:t>
            </w:r>
          </w:p>
        </w:tc>
        <w:tc>
          <w:tcPr>
            <w:tcW w:w="2023" w:type="dxa"/>
            <w:vAlign w:val="center"/>
          </w:tcPr>
          <w:p>
            <w:pPr>
              <w:pStyle w:val="64"/>
              <w:rPr>
                <w:rFonts w:cs="宋体"/>
                <w:color w:val="000000"/>
                <w:szCs w:val="21"/>
                <w:highlight w:val="none"/>
              </w:rPr>
            </w:pPr>
            <w:r>
              <w:rPr>
                <w:rFonts w:hint="eastAsia" w:cs="宋体"/>
                <w:color w:val="000000"/>
                <w:szCs w:val="21"/>
                <w:highlight w:val="none"/>
              </w:rPr>
              <w:t>1.78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pStyle w:val="64"/>
              <w:rPr>
                <w:szCs w:val="21"/>
                <w:highlight w:val="none"/>
              </w:rPr>
            </w:pPr>
            <w:r>
              <w:rPr>
                <w:rFonts w:hint="eastAsia"/>
                <w:szCs w:val="21"/>
                <w:highlight w:val="none"/>
              </w:rPr>
              <w:t>合计</w:t>
            </w:r>
          </w:p>
        </w:tc>
        <w:tc>
          <w:tcPr>
            <w:tcW w:w="2510" w:type="dxa"/>
            <w:vAlign w:val="center"/>
          </w:tcPr>
          <w:p>
            <w:pPr>
              <w:pStyle w:val="64"/>
              <w:rPr>
                <w:rFonts w:cs="宋体"/>
                <w:color w:val="000000"/>
                <w:szCs w:val="21"/>
                <w:highlight w:val="none"/>
              </w:rPr>
            </w:pPr>
          </w:p>
        </w:tc>
        <w:tc>
          <w:tcPr>
            <w:tcW w:w="2295" w:type="dxa"/>
            <w:vAlign w:val="center"/>
          </w:tcPr>
          <w:p>
            <w:pPr>
              <w:pStyle w:val="64"/>
              <w:rPr>
                <w:rFonts w:cs="宋体"/>
                <w:color w:val="000000"/>
                <w:szCs w:val="21"/>
                <w:highlight w:val="none"/>
              </w:rPr>
            </w:pPr>
            <w:r>
              <w:rPr>
                <w:rFonts w:hint="eastAsia" w:cs="宋体"/>
                <w:color w:val="000000"/>
                <w:szCs w:val="21"/>
                <w:highlight w:val="none"/>
              </w:rPr>
              <w:t>792360.58</w:t>
            </w:r>
          </w:p>
        </w:tc>
        <w:tc>
          <w:tcPr>
            <w:tcW w:w="2023" w:type="dxa"/>
            <w:vAlign w:val="center"/>
          </w:tcPr>
          <w:p>
            <w:pPr>
              <w:pStyle w:val="64"/>
              <w:rPr>
                <w:rFonts w:cs="宋体"/>
                <w:color w:val="000000"/>
                <w:szCs w:val="21"/>
                <w:highlight w:val="none"/>
              </w:rPr>
            </w:pPr>
            <w:r>
              <w:rPr>
                <w:rFonts w:hint="eastAsia" w:cs="宋体"/>
                <w:color w:val="000000"/>
                <w:szCs w:val="21"/>
                <w:highlight w:val="none"/>
              </w:rPr>
              <w:t>100.00</w:t>
            </w:r>
          </w:p>
        </w:tc>
      </w:tr>
    </w:tbl>
    <w:p>
      <w:pPr>
        <w:ind w:firstLine="0" w:firstLineChars="0"/>
        <w:jc w:val="center"/>
        <w:rPr>
          <w:rFonts w:ascii="宋体" w:hAnsi="宋体"/>
          <w:highlight w:val="none"/>
        </w:rPr>
      </w:pPr>
      <w:r>
        <w:rPr>
          <w:rFonts w:hint="eastAsia" w:ascii="宋体" w:hAnsi="宋体"/>
          <w:highlight w:val="none"/>
        </w:rPr>
        <w:t>续表</w:t>
      </w:r>
      <w:r>
        <w:rPr>
          <w:rFonts w:ascii="宋体" w:hAnsi="宋体"/>
          <w:highlight w:val="none"/>
        </w:rPr>
        <w:t>4.3-</w:t>
      </w:r>
      <w:r>
        <w:rPr>
          <w:rFonts w:hint="eastAsia" w:ascii="宋体" w:hAnsi="宋体"/>
          <w:highlight w:val="none"/>
        </w:rPr>
        <w:t>24</w:t>
      </w:r>
      <w:r>
        <w:rPr>
          <w:rFonts w:ascii="宋体" w:hAnsi="宋体"/>
          <w:highlight w:val="none"/>
        </w:rPr>
        <w:t xml:space="preserve">  </w:t>
      </w: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土壤侵蚀情况表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2510"/>
        <w:gridCol w:w="2295"/>
        <w:gridCol w:w="20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序号</w:t>
            </w:r>
          </w:p>
        </w:tc>
        <w:tc>
          <w:tcPr>
            <w:tcW w:w="2510"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地类</w:t>
            </w:r>
          </w:p>
        </w:tc>
        <w:tc>
          <w:tcPr>
            <w:tcW w:w="2295"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面积（</w:t>
            </w:r>
            <w:r>
              <w:rPr>
                <w:rFonts w:ascii="宋体" w:hAnsi="宋体"/>
                <w:bCs/>
                <w:sz w:val="21"/>
                <w:szCs w:val="22"/>
                <w:highlight w:val="none"/>
              </w:rPr>
              <w:t>m</w:t>
            </w:r>
            <w:r>
              <w:rPr>
                <w:rFonts w:ascii="宋体" w:hAnsi="宋体"/>
                <w:bCs/>
                <w:sz w:val="21"/>
                <w:szCs w:val="22"/>
                <w:highlight w:val="none"/>
                <w:vertAlign w:val="superscript"/>
              </w:rPr>
              <w:t>2</w:t>
            </w:r>
            <w:r>
              <w:rPr>
                <w:rFonts w:hint="eastAsia" w:ascii="宋体" w:hAnsi="宋体"/>
                <w:bCs/>
                <w:sz w:val="21"/>
                <w:szCs w:val="22"/>
                <w:highlight w:val="none"/>
              </w:rPr>
              <w:t>）</w:t>
            </w:r>
          </w:p>
        </w:tc>
        <w:tc>
          <w:tcPr>
            <w:tcW w:w="2023"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1</w:t>
            </w:r>
          </w:p>
        </w:tc>
        <w:tc>
          <w:tcPr>
            <w:tcW w:w="2510"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中度</w:t>
            </w:r>
          </w:p>
        </w:tc>
        <w:tc>
          <w:tcPr>
            <w:tcW w:w="2295"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023"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2</w:t>
            </w:r>
          </w:p>
        </w:tc>
        <w:tc>
          <w:tcPr>
            <w:tcW w:w="2510"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重度</w:t>
            </w:r>
          </w:p>
        </w:tc>
        <w:tc>
          <w:tcPr>
            <w:tcW w:w="2295"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023"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22"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合计</w:t>
            </w:r>
          </w:p>
        </w:tc>
        <w:tc>
          <w:tcPr>
            <w:tcW w:w="2510" w:type="dxa"/>
            <w:vAlign w:val="center"/>
          </w:tcPr>
          <w:p>
            <w:pPr>
              <w:widowControl/>
              <w:spacing w:line="320" w:lineRule="exact"/>
              <w:ind w:firstLine="0" w:firstLineChars="0"/>
              <w:jc w:val="center"/>
              <w:rPr>
                <w:rFonts w:ascii="宋体" w:hAnsi="宋体"/>
                <w:bCs/>
                <w:sz w:val="21"/>
                <w:szCs w:val="22"/>
                <w:highlight w:val="none"/>
              </w:rPr>
            </w:pPr>
          </w:p>
        </w:tc>
        <w:tc>
          <w:tcPr>
            <w:tcW w:w="2295"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023"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r>
    </w:tbl>
    <w:p>
      <w:pPr>
        <w:ind w:firstLine="480"/>
        <w:rPr>
          <w:rFonts w:ascii="宋体" w:hAnsi="宋体"/>
          <w:highlight w:val="none"/>
        </w:rPr>
      </w:pPr>
      <w:r>
        <w:rPr>
          <w:rFonts w:hint="eastAsia" w:ascii="宋体" w:hAnsi="宋体"/>
          <w:highlight w:val="none"/>
        </w:rPr>
        <w:t>项目评价区范围土地面积共计</w:t>
      </w:r>
      <w:r>
        <w:rPr>
          <w:rFonts w:ascii="宋体" w:hAnsi="宋体"/>
          <w:szCs w:val="22"/>
          <w:highlight w:val="none"/>
        </w:rPr>
        <w:t>792360.58</w:t>
      </w:r>
      <w:r>
        <w:rPr>
          <w:rFonts w:ascii="宋体" w:hAnsi="宋体"/>
          <w:highlight w:val="none"/>
        </w:rPr>
        <w:t>m</w:t>
      </w:r>
      <w:r>
        <w:rPr>
          <w:rFonts w:ascii="宋体" w:hAnsi="宋体"/>
          <w:highlight w:val="none"/>
          <w:vertAlign w:val="superscript"/>
        </w:rPr>
        <w:t>2</w:t>
      </w:r>
      <w:r>
        <w:rPr>
          <w:rFonts w:hint="eastAsia" w:ascii="宋体" w:hAnsi="宋体"/>
          <w:highlight w:val="none"/>
        </w:rPr>
        <w:t>。评价区土壤侵蚀现状以中度侵蚀为主，占评价区总面积的98.22</w:t>
      </w:r>
      <w:r>
        <w:rPr>
          <w:rFonts w:ascii="宋体" w:hAnsi="宋体"/>
          <w:highlight w:val="none"/>
        </w:rPr>
        <w:t>%</w:t>
      </w:r>
      <w:r>
        <w:rPr>
          <w:rFonts w:hint="eastAsia" w:ascii="宋体" w:hAnsi="宋体"/>
          <w:highlight w:val="none"/>
        </w:rPr>
        <w:t>；重度侵蚀占评价区总面积的1.78</w:t>
      </w:r>
      <w:r>
        <w:rPr>
          <w:rFonts w:ascii="宋体" w:hAnsi="宋体"/>
          <w:highlight w:val="none"/>
        </w:rPr>
        <w:t>%</w:t>
      </w:r>
      <w:r>
        <w:rPr>
          <w:rFonts w:hint="eastAsia" w:ascii="宋体" w:hAnsi="宋体"/>
          <w:highlight w:val="none"/>
        </w:rPr>
        <w:t>。</w:t>
      </w:r>
    </w:p>
    <w:p>
      <w:pPr>
        <w:ind w:firstLine="480"/>
        <w:rPr>
          <w:rFonts w:ascii="宋体" w:hAnsi="宋体"/>
          <w:highlight w:val="none"/>
        </w:rPr>
      </w:pP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范围土地面积共计</w:t>
      </w:r>
      <w:r>
        <w:rPr>
          <w:rFonts w:hint="eastAsia" w:ascii="宋体" w:hAnsi="宋体"/>
          <w:szCs w:val="22"/>
          <w:highlight w:val="none"/>
          <w:lang w:eastAsia="zh-CN"/>
        </w:rPr>
        <w:t>32800</w:t>
      </w:r>
      <w:r>
        <w:rPr>
          <w:rFonts w:ascii="宋体" w:hAnsi="宋体"/>
          <w:highlight w:val="none"/>
        </w:rPr>
        <w:t>m</w:t>
      </w:r>
      <w:r>
        <w:rPr>
          <w:rFonts w:ascii="宋体" w:hAnsi="宋体"/>
          <w:highlight w:val="none"/>
          <w:vertAlign w:val="superscript"/>
        </w:rPr>
        <w:t>2</w:t>
      </w:r>
      <w:r>
        <w:rPr>
          <w:rFonts w:hint="eastAsia" w:ascii="宋体" w:hAnsi="宋体"/>
          <w:highlight w:val="none"/>
        </w:rPr>
        <w:t>。沟土壤侵蚀现状以中度侵蚀为主，占评价区总面积的58.98</w:t>
      </w:r>
      <w:r>
        <w:rPr>
          <w:rFonts w:ascii="宋体" w:hAnsi="宋体"/>
          <w:highlight w:val="none"/>
        </w:rPr>
        <w:t>%</w:t>
      </w:r>
      <w:r>
        <w:rPr>
          <w:rFonts w:hint="eastAsia" w:ascii="宋体" w:hAnsi="宋体"/>
          <w:highlight w:val="none"/>
        </w:rPr>
        <w:t>；重度侵蚀占评价区总面积的41.02</w:t>
      </w:r>
      <w:r>
        <w:rPr>
          <w:rFonts w:ascii="宋体" w:hAnsi="宋体"/>
          <w:highlight w:val="none"/>
        </w:rPr>
        <w:t>%</w:t>
      </w:r>
      <w:r>
        <w:rPr>
          <w:rFonts w:hint="eastAsia" w:ascii="宋体" w:hAnsi="宋体"/>
          <w:highlight w:val="none"/>
        </w:rPr>
        <w:t>。</w:t>
      </w:r>
    </w:p>
    <w:p>
      <w:pPr>
        <w:ind w:firstLine="480"/>
        <w:rPr>
          <w:rFonts w:ascii="宋体" w:hAnsi="宋体"/>
          <w:highlight w:val="none"/>
        </w:rPr>
      </w:pPr>
      <w:r>
        <w:rPr>
          <w:rFonts w:hint="eastAsia" w:ascii="宋体" w:hAnsi="宋体"/>
          <w:highlight w:val="none"/>
        </w:rPr>
        <w:t>总体来说，项目评价区植被覆盖情况一般，土壤侵蚀以中度侵蚀为主。</w:t>
      </w:r>
      <w:r>
        <w:rPr>
          <w:rFonts w:hint="eastAsia" w:ascii="宋体" w:hAnsi="宋体"/>
          <w:kern w:val="0"/>
          <w:highlight w:val="none"/>
        </w:rPr>
        <w:t>项目</w:t>
      </w:r>
      <w:r>
        <w:rPr>
          <w:rFonts w:ascii="宋体" w:hAnsi="宋体"/>
          <w:kern w:val="0"/>
          <w:highlight w:val="none"/>
        </w:rPr>
        <w:t>场区</w:t>
      </w:r>
      <w:r>
        <w:rPr>
          <w:rFonts w:hint="eastAsia" w:ascii="宋体" w:hAnsi="宋体"/>
          <w:highlight w:val="none"/>
        </w:rPr>
        <w:t>评价区植被覆盖情况一般，土壤侵蚀以中度侵蚀为主。</w:t>
      </w:r>
    </w:p>
    <w:p>
      <w:pPr>
        <w:ind w:firstLine="480"/>
        <w:rPr>
          <w:rFonts w:ascii="宋体" w:hAnsi="宋体"/>
          <w:highlight w:val="none"/>
        </w:rPr>
      </w:pPr>
      <w:r>
        <w:rPr>
          <w:rFonts w:ascii="宋体" w:hAnsi="宋体"/>
          <w:highlight w:val="none"/>
        </w:rPr>
        <w:t>3</w:t>
      </w:r>
      <w:r>
        <w:rPr>
          <w:rFonts w:hint="eastAsia" w:ascii="宋体" w:hAnsi="宋体"/>
          <w:highlight w:val="none"/>
        </w:rPr>
        <w:t>、土壤侵蚀现状评价</w:t>
      </w:r>
    </w:p>
    <w:p>
      <w:pPr>
        <w:ind w:firstLine="480"/>
        <w:rPr>
          <w:rFonts w:ascii="宋体" w:hAnsi="宋体"/>
          <w:highlight w:val="none"/>
        </w:rPr>
      </w:pPr>
      <w:r>
        <w:rPr>
          <w:rFonts w:hint="eastAsia" w:ascii="宋体" w:hAnsi="宋体"/>
          <w:highlight w:val="none"/>
        </w:rPr>
        <w:t>本区域造成水土流失主要原因是由于每年雨季发生的暴雨，特别是一些高强度、大面积雷阵雨造成。因此，本区侵蚀以水力侵蚀为主。评价区土壤侵蚀量见表</w:t>
      </w:r>
      <w:r>
        <w:rPr>
          <w:rFonts w:ascii="宋体" w:hAnsi="宋体"/>
          <w:highlight w:val="none"/>
        </w:rPr>
        <w:t>4.3-2</w:t>
      </w:r>
      <w:r>
        <w:rPr>
          <w:rFonts w:hint="eastAsia" w:ascii="宋体" w:hAnsi="宋体"/>
          <w:highlight w:val="none"/>
        </w:rPr>
        <w:t>5。</w:t>
      </w:r>
    </w:p>
    <w:p>
      <w:pPr>
        <w:ind w:firstLine="0" w:firstLineChars="0"/>
        <w:jc w:val="center"/>
        <w:rPr>
          <w:rFonts w:ascii="宋体" w:hAnsi="宋体"/>
          <w:highlight w:val="none"/>
        </w:rPr>
      </w:pPr>
      <w:r>
        <w:rPr>
          <w:rFonts w:hint="eastAsia" w:ascii="宋体" w:hAnsi="宋体"/>
          <w:highlight w:val="none"/>
        </w:rPr>
        <w:t>表</w:t>
      </w:r>
      <w:r>
        <w:rPr>
          <w:rFonts w:ascii="宋体" w:hAnsi="宋体"/>
          <w:highlight w:val="none"/>
        </w:rPr>
        <w:t>4.3-2</w:t>
      </w:r>
      <w:r>
        <w:rPr>
          <w:rFonts w:hint="eastAsia" w:ascii="宋体" w:hAnsi="宋体"/>
          <w:highlight w:val="none"/>
        </w:rPr>
        <w:t>5</w:t>
      </w:r>
      <w:r>
        <w:rPr>
          <w:rFonts w:ascii="宋体" w:hAnsi="宋体"/>
          <w:highlight w:val="none"/>
        </w:rPr>
        <w:t xml:space="preserve">  </w:t>
      </w:r>
      <w:r>
        <w:rPr>
          <w:rFonts w:hint="eastAsia" w:ascii="宋体" w:hAnsi="宋体"/>
          <w:highlight w:val="none"/>
        </w:rPr>
        <w:t>项目评价区土壤侵蚀量</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1824"/>
        <w:gridCol w:w="1629"/>
        <w:gridCol w:w="2440"/>
        <w:gridCol w:w="20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22" w:type="dxa"/>
            <w:vAlign w:val="center"/>
          </w:tcPr>
          <w:p>
            <w:pPr>
              <w:pStyle w:val="64"/>
              <w:rPr>
                <w:highlight w:val="none"/>
              </w:rPr>
            </w:pPr>
            <w:r>
              <w:rPr>
                <w:rFonts w:hint="eastAsia"/>
                <w:highlight w:val="none"/>
              </w:rPr>
              <w:t>序</w:t>
            </w:r>
            <w:r>
              <w:rPr>
                <w:highlight w:val="none"/>
              </w:rPr>
              <w:t xml:space="preserve"> </w:t>
            </w:r>
            <w:r>
              <w:rPr>
                <w:rFonts w:hint="eastAsia"/>
                <w:highlight w:val="none"/>
              </w:rPr>
              <w:t>号</w:t>
            </w:r>
          </w:p>
        </w:tc>
        <w:tc>
          <w:tcPr>
            <w:tcW w:w="1824" w:type="dxa"/>
            <w:vAlign w:val="center"/>
          </w:tcPr>
          <w:p>
            <w:pPr>
              <w:pStyle w:val="64"/>
              <w:rPr>
                <w:highlight w:val="none"/>
              </w:rPr>
            </w:pPr>
            <w:r>
              <w:rPr>
                <w:rFonts w:hint="eastAsia"/>
                <w:highlight w:val="none"/>
              </w:rPr>
              <w:t>土壤侵蚀强度</w:t>
            </w:r>
          </w:p>
        </w:tc>
        <w:tc>
          <w:tcPr>
            <w:tcW w:w="1629" w:type="dxa"/>
            <w:vAlign w:val="center"/>
          </w:tcPr>
          <w:p>
            <w:pPr>
              <w:pStyle w:val="64"/>
              <w:rPr>
                <w:highlight w:val="none"/>
              </w:rPr>
            </w:pPr>
            <w:r>
              <w:rPr>
                <w:rFonts w:hint="eastAsia"/>
                <w:highlight w:val="none"/>
              </w:rPr>
              <w:t>面积（</w:t>
            </w:r>
            <w:r>
              <w:rPr>
                <w:highlight w:val="none"/>
              </w:rPr>
              <w:t>m</w:t>
            </w:r>
            <w:r>
              <w:rPr>
                <w:highlight w:val="none"/>
                <w:vertAlign w:val="superscript"/>
              </w:rPr>
              <w:t>2</w:t>
            </w:r>
            <w:r>
              <w:rPr>
                <w:rFonts w:hint="eastAsia"/>
                <w:highlight w:val="none"/>
              </w:rPr>
              <w:t>）</w:t>
            </w:r>
          </w:p>
        </w:tc>
        <w:tc>
          <w:tcPr>
            <w:tcW w:w="2440" w:type="dxa"/>
            <w:vAlign w:val="center"/>
          </w:tcPr>
          <w:p>
            <w:pPr>
              <w:pStyle w:val="64"/>
              <w:rPr>
                <w:highlight w:val="none"/>
              </w:rPr>
            </w:pPr>
            <w:r>
              <w:rPr>
                <w:rFonts w:hint="eastAsia"/>
                <w:highlight w:val="none"/>
              </w:rPr>
              <w:t>侵蚀模数（</w:t>
            </w:r>
            <w:r>
              <w:rPr>
                <w:highlight w:val="none"/>
              </w:rPr>
              <w:t>t/km</w:t>
            </w:r>
            <w:r>
              <w:rPr>
                <w:highlight w:val="none"/>
                <w:vertAlign w:val="superscript"/>
              </w:rPr>
              <w:t>2</w:t>
            </w:r>
            <w:r>
              <w:rPr>
                <w:rFonts w:hint="eastAsia"/>
                <w:highlight w:val="none"/>
              </w:rPr>
              <w:t>·</w:t>
            </w:r>
            <w:r>
              <w:rPr>
                <w:highlight w:val="none"/>
              </w:rPr>
              <w:t>a</w:t>
            </w:r>
            <w:r>
              <w:rPr>
                <w:rFonts w:hint="eastAsia"/>
                <w:highlight w:val="none"/>
              </w:rPr>
              <w:t>）</w:t>
            </w:r>
          </w:p>
        </w:tc>
        <w:tc>
          <w:tcPr>
            <w:tcW w:w="2035" w:type="dxa"/>
            <w:vAlign w:val="center"/>
          </w:tcPr>
          <w:p>
            <w:pPr>
              <w:pStyle w:val="64"/>
              <w:rPr>
                <w:highlight w:val="none"/>
              </w:rPr>
            </w:pPr>
            <w:r>
              <w:rPr>
                <w:rFonts w:hint="eastAsia"/>
                <w:highlight w:val="none"/>
              </w:rPr>
              <w:t>侵蚀量（</w:t>
            </w:r>
            <w:r>
              <w:rPr>
                <w:highlight w:val="none"/>
              </w:rPr>
              <w:t>t</w:t>
            </w:r>
            <w:r>
              <w:rPr>
                <w:rFonts w:hint="eastAsia"/>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22" w:type="dxa"/>
            <w:vAlign w:val="center"/>
          </w:tcPr>
          <w:p>
            <w:pPr>
              <w:pStyle w:val="64"/>
              <w:rPr>
                <w:highlight w:val="none"/>
              </w:rPr>
            </w:pPr>
            <w:r>
              <w:rPr>
                <w:rFonts w:hint="eastAsia"/>
                <w:highlight w:val="none"/>
              </w:rPr>
              <w:t>1</w:t>
            </w:r>
          </w:p>
        </w:tc>
        <w:tc>
          <w:tcPr>
            <w:tcW w:w="1824" w:type="dxa"/>
            <w:vAlign w:val="center"/>
          </w:tcPr>
          <w:p>
            <w:pPr>
              <w:pStyle w:val="64"/>
              <w:rPr>
                <w:highlight w:val="none"/>
              </w:rPr>
            </w:pPr>
            <w:r>
              <w:rPr>
                <w:rFonts w:hint="eastAsia"/>
                <w:highlight w:val="none"/>
              </w:rPr>
              <w:t>中度</w:t>
            </w:r>
          </w:p>
        </w:tc>
        <w:tc>
          <w:tcPr>
            <w:tcW w:w="1629" w:type="dxa"/>
            <w:vAlign w:val="center"/>
          </w:tcPr>
          <w:p>
            <w:pPr>
              <w:pStyle w:val="64"/>
              <w:rPr>
                <w:highlight w:val="none"/>
              </w:rPr>
            </w:pPr>
            <w:r>
              <w:rPr>
                <w:rFonts w:hint="eastAsia"/>
                <w:highlight w:val="none"/>
              </w:rPr>
              <w:t>778256.49</w:t>
            </w:r>
          </w:p>
        </w:tc>
        <w:tc>
          <w:tcPr>
            <w:tcW w:w="2440" w:type="dxa"/>
          </w:tcPr>
          <w:p>
            <w:pPr>
              <w:pStyle w:val="64"/>
              <w:rPr>
                <w:highlight w:val="none"/>
              </w:rPr>
            </w:pPr>
            <w:r>
              <w:rPr>
                <w:highlight w:val="none"/>
              </w:rPr>
              <w:t>2500</w:t>
            </w:r>
          </w:p>
        </w:tc>
        <w:tc>
          <w:tcPr>
            <w:tcW w:w="2035" w:type="dxa"/>
          </w:tcPr>
          <w:p>
            <w:pPr>
              <w:pStyle w:val="64"/>
              <w:rPr>
                <w:highlight w:val="none"/>
              </w:rPr>
            </w:pPr>
            <w:r>
              <w:rPr>
                <w:highlight w:val="none"/>
              </w:rPr>
              <w:t xml:space="preserve">1945.6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22" w:type="dxa"/>
            <w:vAlign w:val="center"/>
          </w:tcPr>
          <w:p>
            <w:pPr>
              <w:pStyle w:val="64"/>
              <w:rPr>
                <w:highlight w:val="none"/>
              </w:rPr>
            </w:pPr>
            <w:r>
              <w:rPr>
                <w:rFonts w:hint="eastAsia"/>
                <w:highlight w:val="none"/>
              </w:rPr>
              <w:t>2</w:t>
            </w:r>
          </w:p>
        </w:tc>
        <w:tc>
          <w:tcPr>
            <w:tcW w:w="1824" w:type="dxa"/>
            <w:vAlign w:val="center"/>
          </w:tcPr>
          <w:p>
            <w:pPr>
              <w:pStyle w:val="64"/>
              <w:rPr>
                <w:highlight w:val="none"/>
              </w:rPr>
            </w:pPr>
            <w:r>
              <w:rPr>
                <w:highlight w:val="none"/>
              </w:rPr>
              <w:t>重度</w:t>
            </w:r>
          </w:p>
        </w:tc>
        <w:tc>
          <w:tcPr>
            <w:tcW w:w="1629" w:type="dxa"/>
            <w:vAlign w:val="center"/>
          </w:tcPr>
          <w:p>
            <w:pPr>
              <w:pStyle w:val="64"/>
              <w:rPr>
                <w:highlight w:val="none"/>
              </w:rPr>
            </w:pPr>
            <w:r>
              <w:rPr>
                <w:rFonts w:hint="eastAsia"/>
                <w:highlight w:val="none"/>
              </w:rPr>
              <w:t>14104.09</w:t>
            </w:r>
          </w:p>
        </w:tc>
        <w:tc>
          <w:tcPr>
            <w:tcW w:w="2440" w:type="dxa"/>
          </w:tcPr>
          <w:p>
            <w:pPr>
              <w:pStyle w:val="64"/>
              <w:rPr>
                <w:highlight w:val="none"/>
              </w:rPr>
            </w:pPr>
            <w:r>
              <w:rPr>
                <w:highlight w:val="none"/>
              </w:rPr>
              <w:t>5000</w:t>
            </w:r>
          </w:p>
        </w:tc>
        <w:tc>
          <w:tcPr>
            <w:tcW w:w="2035" w:type="dxa"/>
          </w:tcPr>
          <w:p>
            <w:pPr>
              <w:pStyle w:val="64"/>
              <w:rPr>
                <w:highlight w:val="none"/>
              </w:rPr>
            </w:pPr>
            <w:r>
              <w:rPr>
                <w:highlight w:val="none"/>
              </w:rPr>
              <w:t xml:space="preserve">70.5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2846" w:type="dxa"/>
            <w:gridSpan w:val="2"/>
            <w:vAlign w:val="center"/>
          </w:tcPr>
          <w:p>
            <w:pPr>
              <w:pStyle w:val="64"/>
              <w:rPr>
                <w:highlight w:val="none"/>
              </w:rPr>
            </w:pPr>
            <w:r>
              <w:rPr>
                <w:rFonts w:hint="eastAsia"/>
                <w:highlight w:val="none"/>
              </w:rPr>
              <w:t>合计</w:t>
            </w:r>
          </w:p>
        </w:tc>
        <w:tc>
          <w:tcPr>
            <w:tcW w:w="1629" w:type="dxa"/>
            <w:vAlign w:val="bottom"/>
          </w:tcPr>
          <w:p>
            <w:pPr>
              <w:pStyle w:val="64"/>
              <w:rPr>
                <w:highlight w:val="none"/>
              </w:rPr>
            </w:pPr>
            <w:r>
              <w:rPr>
                <w:rFonts w:hint="eastAsia"/>
                <w:highlight w:val="none"/>
              </w:rPr>
              <w:t>792360.58</w:t>
            </w:r>
          </w:p>
        </w:tc>
        <w:tc>
          <w:tcPr>
            <w:tcW w:w="2440" w:type="dxa"/>
          </w:tcPr>
          <w:p>
            <w:pPr>
              <w:pStyle w:val="64"/>
              <w:rPr>
                <w:highlight w:val="none"/>
              </w:rPr>
            </w:pPr>
            <w:r>
              <w:rPr>
                <w:highlight w:val="none"/>
              </w:rPr>
              <w:t xml:space="preserve">2544.5 </w:t>
            </w:r>
          </w:p>
        </w:tc>
        <w:tc>
          <w:tcPr>
            <w:tcW w:w="2035" w:type="dxa"/>
          </w:tcPr>
          <w:p>
            <w:pPr>
              <w:pStyle w:val="64"/>
              <w:rPr>
                <w:highlight w:val="none"/>
              </w:rPr>
            </w:pPr>
            <w:r>
              <w:rPr>
                <w:highlight w:val="none"/>
              </w:rPr>
              <w:t xml:space="preserve">2016.2 </w:t>
            </w:r>
          </w:p>
        </w:tc>
      </w:tr>
    </w:tbl>
    <w:p>
      <w:pPr>
        <w:ind w:firstLine="0" w:firstLineChars="0"/>
        <w:jc w:val="center"/>
        <w:rPr>
          <w:rFonts w:ascii="宋体" w:hAnsi="宋体"/>
          <w:highlight w:val="none"/>
        </w:rPr>
      </w:pPr>
      <w:r>
        <w:rPr>
          <w:rFonts w:hint="eastAsia" w:ascii="宋体" w:hAnsi="宋体"/>
          <w:highlight w:val="none"/>
        </w:rPr>
        <w:t>续表</w:t>
      </w:r>
      <w:r>
        <w:rPr>
          <w:rFonts w:ascii="宋体" w:hAnsi="宋体"/>
          <w:highlight w:val="none"/>
        </w:rPr>
        <w:t>4.3-2</w:t>
      </w:r>
      <w:r>
        <w:rPr>
          <w:rFonts w:hint="eastAsia" w:ascii="宋体" w:hAnsi="宋体"/>
          <w:highlight w:val="none"/>
        </w:rPr>
        <w:t>5</w:t>
      </w:r>
      <w:r>
        <w:rPr>
          <w:rFonts w:ascii="宋体" w:hAnsi="宋体"/>
          <w:highlight w:val="none"/>
        </w:rPr>
        <w:t xml:space="preserve">  </w:t>
      </w:r>
      <w:r>
        <w:rPr>
          <w:rFonts w:hint="eastAsia" w:ascii="宋体" w:hAnsi="宋体"/>
          <w:highlight w:val="none"/>
        </w:rPr>
        <w:t>项目场区土壤侵蚀量</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1824"/>
        <w:gridCol w:w="1629"/>
        <w:gridCol w:w="2440"/>
        <w:gridCol w:w="20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22" w:type="dxa"/>
            <w:vAlign w:val="center"/>
          </w:tcPr>
          <w:p>
            <w:pPr>
              <w:pStyle w:val="64"/>
              <w:rPr>
                <w:highlight w:val="none"/>
              </w:rPr>
            </w:pPr>
            <w:r>
              <w:rPr>
                <w:rFonts w:hint="eastAsia"/>
                <w:highlight w:val="none"/>
              </w:rPr>
              <w:t>序</w:t>
            </w:r>
            <w:r>
              <w:rPr>
                <w:highlight w:val="none"/>
              </w:rPr>
              <w:t xml:space="preserve"> </w:t>
            </w:r>
            <w:r>
              <w:rPr>
                <w:rFonts w:hint="eastAsia"/>
                <w:highlight w:val="none"/>
              </w:rPr>
              <w:t>号</w:t>
            </w:r>
          </w:p>
        </w:tc>
        <w:tc>
          <w:tcPr>
            <w:tcW w:w="1824" w:type="dxa"/>
            <w:vAlign w:val="center"/>
          </w:tcPr>
          <w:p>
            <w:pPr>
              <w:pStyle w:val="64"/>
              <w:rPr>
                <w:highlight w:val="none"/>
              </w:rPr>
            </w:pPr>
            <w:r>
              <w:rPr>
                <w:rFonts w:hint="eastAsia"/>
                <w:highlight w:val="none"/>
              </w:rPr>
              <w:t>土壤侵蚀强度</w:t>
            </w:r>
          </w:p>
        </w:tc>
        <w:tc>
          <w:tcPr>
            <w:tcW w:w="1629" w:type="dxa"/>
            <w:vAlign w:val="center"/>
          </w:tcPr>
          <w:p>
            <w:pPr>
              <w:pStyle w:val="64"/>
              <w:rPr>
                <w:highlight w:val="none"/>
              </w:rPr>
            </w:pPr>
            <w:r>
              <w:rPr>
                <w:rFonts w:hint="eastAsia"/>
                <w:highlight w:val="none"/>
              </w:rPr>
              <w:t>面积（</w:t>
            </w:r>
            <w:r>
              <w:rPr>
                <w:highlight w:val="none"/>
              </w:rPr>
              <w:t>m</w:t>
            </w:r>
            <w:r>
              <w:rPr>
                <w:highlight w:val="none"/>
                <w:vertAlign w:val="superscript"/>
              </w:rPr>
              <w:t>2</w:t>
            </w:r>
            <w:r>
              <w:rPr>
                <w:rFonts w:hint="eastAsia"/>
                <w:highlight w:val="none"/>
              </w:rPr>
              <w:t>）</w:t>
            </w:r>
          </w:p>
        </w:tc>
        <w:tc>
          <w:tcPr>
            <w:tcW w:w="2440" w:type="dxa"/>
            <w:vAlign w:val="center"/>
          </w:tcPr>
          <w:p>
            <w:pPr>
              <w:pStyle w:val="64"/>
              <w:rPr>
                <w:highlight w:val="none"/>
              </w:rPr>
            </w:pPr>
            <w:r>
              <w:rPr>
                <w:rFonts w:hint="eastAsia"/>
                <w:highlight w:val="none"/>
              </w:rPr>
              <w:t>侵蚀模数（</w:t>
            </w:r>
            <w:r>
              <w:rPr>
                <w:highlight w:val="none"/>
              </w:rPr>
              <w:t>t/km</w:t>
            </w:r>
            <w:r>
              <w:rPr>
                <w:highlight w:val="none"/>
                <w:vertAlign w:val="superscript"/>
              </w:rPr>
              <w:t>2</w:t>
            </w:r>
            <w:r>
              <w:rPr>
                <w:rFonts w:hint="eastAsia"/>
                <w:highlight w:val="none"/>
              </w:rPr>
              <w:t>·</w:t>
            </w:r>
            <w:r>
              <w:rPr>
                <w:highlight w:val="none"/>
              </w:rPr>
              <w:t>a</w:t>
            </w:r>
            <w:r>
              <w:rPr>
                <w:rFonts w:hint="eastAsia"/>
                <w:highlight w:val="none"/>
              </w:rPr>
              <w:t>）</w:t>
            </w:r>
          </w:p>
        </w:tc>
        <w:tc>
          <w:tcPr>
            <w:tcW w:w="2035" w:type="dxa"/>
            <w:vAlign w:val="center"/>
          </w:tcPr>
          <w:p>
            <w:pPr>
              <w:pStyle w:val="64"/>
              <w:rPr>
                <w:highlight w:val="none"/>
              </w:rPr>
            </w:pPr>
            <w:r>
              <w:rPr>
                <w:rFonts w:hint="eastAsia"/>
                <w:highlight w:val="none"/>
              </w:rPr>
              <w:t>侵蚀量（</w:t>
            </w:r>
            <w:r>
              <w:rPr>
                <w:highlight w:val="none"/>
              </w:rPr>
              <w:t>t</w:t>
            </w:r>
            <w:r>
              <w:rPr>
                <w:rFonts w:hint="eastAsia"/>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22" w:type="dxa"/>
            <w:vAlign w:val="center"/>
          </w:tcPr>
          <w:p>
            <w:pPr>
              <w:pStyle w:val="64"/>
              <w:rPr>
                <w:highlight w:val="none"/>
              </w:rPr>
            </w:pPr>
            <w:r>
              <w:rPr>
                <w:rFonts w:hint="eastAsia"/>
                <w:highlight w:val="none"/>
              </w:rPr>
              <w:t>1</w:t>
            </w:r>
          </w:p>
        </w:tc>
        <w:tc>
          <w:tcPr>
            <w:tcW w:w="1824" w:type="dxa"/>
            <w:vAlign w:val="bottom"/>
          </w:tcPr>
          <w:p>
            <w:pPr>
              <w:pStyle w:val="64"/>
              <w:rPr>
                <w:highlight w:val="none"/>
              </w:rPr>
            </w:pPr>
            <w:r>
              <w:rPr>
                <w:rFonts w:hint="eastAsia"/>
                <w:highlight w:val="none"/>
              </w:rPr>
              <w:t>中度侵蚀</w:t>
            </w:r>
          </w:p>
        </w:tc>
        <w:tc>
          <w:tcPr>
            <w:tcW w:w="1629" w:type="dxa"/>
            <w:vAlign w:val="center"/>
          </w:tcPr>
          <w:p>
            <w:pPr>
              <w:pStyle w:val="64"/>
              <w:rPr>
                <w:highlight w:val="none"/>
              </w:rPr>
            </w:pPr>
            <w:r>
              <w:rPr>
                <w:rFonts w:hint="eastAsia"/>
                <w:highlight w:val="none"/>
              </w:rPr>
              <w:t>19700</w:t>
            </w:r>
          </w:p>
        </w:tc>
        <w:tc>
          <w:tcPr>
            <w:tcW w:w="2440" w:type="dxa"/>
            <w:vAlign w:val="bottom"/>
          </w:tcPr>
          <w:p>
            <w:pPr>
              <w:pStyle w:val="64"/>
              <w:rPr>
                <w:highlight w:val="none"/>
              </w:rPr>
            </w:pPr>
            <w:r>
              <w:rPr>
                <w:highlight w:val="none"/>
              </w:rPr>
              <w:t>2500</w:t>
            </w:r>
          </w:p>
        </w:tc>
        <w:tc>
          <w:tcPr>
            <w:tcW w:w="2035" w:type="dxa"/>
            <w:vAlign w:val="center"/>
          </w:tcPr>
          <w:p>
            <w:pPr>
              <w:pStyle w:val="64"/>
              <w:rPr>
                <w:highlight w:val="none"/>
              </w:rPr>
            </w:pPr>
            <w:r>
              <w:rPr>
                <w:rFonts w:hint="eastAsia"/>
                <w:highlight w:val="none"/>
              </w:rPr>
              <w:t xml:space="preserve">49.3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22" w:type="dxa"/>
            <w:vAlign w:val="center"/>
          </w:tcPr>
          <w:p>
            <w:pPr>
              <w:pStyle w:val="64"/>
              <w:rPr>
                <w:highlight w:val="none"/>
              </w:rPr>
            </w:pPr>
            <w:r>
              <w:rPr>
                <w:rFonts w:hint="eastAsia"/>
                <w:highlight w:val="none"/>
              </w:rPr>
              <w:t>2</w:t>
            </w:r>
          </w:p>
        </w:tc>
        <w:tc>
          <w:tcPr>
            <w:tcW w:w="1824" w:type="dxa"/>
            <w:vAlign w:val="bottom"/>
          </w:tcPr>
          <w:p>
            <w:pPr>
              <w:pStyle w:val="64"/>
              <w:rPr>
                <w:highlight w:val="none"/>
              </w:rPr>
            </w:pPr>
            <w:r>
              <w:rPr>
                <w:rFonts w:hint="eastAsia"/>
                <w:highlight w:val="none"/>
              </w:rPr>
              <w:t>重度侵蚀</w:t>
            </w:r>
          </w:p>
        </w:tc>
        <w:tc>
          <w:tcPr>
            <w:tcW w:w="1629" w:type="dxa"/>
            <w:vAlign w:val="center"/>
          </w:tcPr>
          <w:p>
            <w:pPr>
              <w:pStyle w:val="64"/>
              <w:rPr>
                <w:rFonts w:hint="eastAsia" w:eastAsia="宋体"/>
                <w:highlight w:val="none"/>
                <w:lang w:eastAsia="zh-CN"/>
              </w:rPr>
            </w:pPr>
            <w:r>
              <w:rPr>
                <w:rFonts w:hint="eastAsia"/>
                <w:highlight w:val="none"/>
                <w:lang w:eastAsia="zh-CN"/>
              </w:rPr>
              <w:t>13100</w:t>
            </w:r>
          </w:p>
        </w:tc>
        <w:tc>
          <w:tcPr>
            <w:tcW w:w="2440" w:type="dxa"/>
            <w:vAlign w:val="bottom"/>
          </w:tcPr>
          <w:p>
            <w:pPr>
              <w:pStyle w:val="64"/>
              <w:rPr>
                <w:highlight w:val="none"/>
              </w:rPr>
            </w:pPr>
            <w:r>
              <w:rPr>
                <w:highlight w:val="none"/>
              </w:rPr>
              <w:t>5000</w:t>
            </w:r>
          </w:p>
        </w:tc>
        <w:tc>
          <w:tcPr>
            <w:tcW w:w="2035" w:type="dxa"/>
            <w:vAlign w:val="center"/>
          </w:tcPr>
          <w:p>
            <w:pPr>
              <w:pStyle w:val="64"/>
              <w:rPr>
                <w:highlight w:val="none"/>
              </w:rPr>
            </w:pPr>
            <w:r>
              <w:rPr>
                <w:rFonts w:hint="eastAsia"/>
                <w:highlight w:val="none"/>
              </w:rPr>
              <w:t xml:space="preserve">68.5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2846" w:type="dxa"/>
            <w:gridSpan w:val="2"/>
            <w:vAlign w:val="center"/>
          </w:tcPr>
          <w:p>
            <w:pPr>
              <w:pStyle w:val="64"/>
              <w:rPr>
                <w:highlight w:val="none"/>
              </w:rPr>
            </w:pPr>
            <w:r>
              <w:rPr>
                <w:rFonts w:hint="eastAsia"/>
                <w:highlight w:val="none"/>
              </w:rPr>
              <w:t>合计</w:t>
            </w:r>
          </w:p>
        </w:tc>
        <w:tc>
          <w:tcPr>
            <w:tcW w:w="1629" w:type="dxa"/>
            <w:vAlign w:val="bottom"/>
          </w:tcPr>
          <w:p>
            <w:pPr>
              <w:pStyle w:val="64"/>
              <w:rPr>
                <w:rFonts w:hint="eastAsia" w:eastAsia="宋体"/>
                <w:highlight w:val="none"/>
                <w:lang w:eastAsia="zh-CN"/>
              </w:rPr>
            </w:pPr>
            <w:r>
              <w:rPr>
                <w:rFonts w:hint="eastAsia"/>
                <w:highlight w:val="none"/>
                <w:lang w:eastAsia="zh-CN"/>
              </w:rPr>
              <w:t>32800</w:t>
            </w:r>
          </w:p>
        </w:tc>
        <w:tc>
          <w:tcPr>
            <w:tcW w:w="2440" w:type="dxa"/>
            <w:vAlign w:val="center"/>
          </w:tcPr>
          <w:p>
            <w:pPr>
              <w:pStyle w:val="64"/>
              <w:rPr>
                <w:highlight w:val="none"/>
              </w:rPr>
            </w:pPr>
            <w:r>
              <w:rPr>
                <w:highlight w:val="none"/>
              </w:rPr>
              <w:t>3525.4</w:t>
            </w:r>
          </w:p>
        </w:tc>
        <w:tc>
          <w:tcPr>
            <w:tcW w:w="2035" w:type="dxa"/>
            <w:vAlign w:val="center"/>
          </w:tcPr>
          <w:p>
            <w:pPr>
              <w:pStyle w:val="64"/>
              <w:rPr>
                <w:highlight w:val="none"/>
              </w:rPr>
            </w:pPr>
            <w:r>
              <w:rPr>
                <w:rFonts w:hint="eastAsia"/>
                <w:highlight w:val="none"/>
              </w:rPr>
              <w:t>117.8</w:t>
            </w:r>
          </w:p>
        </w:tc>
      </w:tr>
    </w:tbl>
    <w:p>
      <w:pPr>
        <w:ind w:firstLine="480"/>
        <w:rPr>
          <w:rFonts w:ascii="宋体" w:hAnsi="宋体"/>
          <w:szCs w:val="22"/>
          <w:highlight w:val="none"/>
        </w:rPr>
      </w:pPr>
      <w:r>
        <w:rPr>
          <w:rFonts w:hint="eastAsia" w:ascii="宋体" w:hAnsi="宋体"/>
          <w:szCs w:val="22"/>
          <w:highlight w:val="none"/>
        </w:rPr>
        <w:t>项目评价区年侵蚀量为2016.2</w:t>
      </w:r>
      <w:r>
        <w:rPr>
          <w:rFonts w:ascii="宋体" w:hAnsi="宋体"/>
          <w:szCs w:val="22"/>
          <w:highlight w:val="none"/>
        </w:rPr>
        <w:t>t</w:t>
      </w:r>
      <w:r>
        <w:rPr>
          <w:rFonts w:hint="eastAsia" w:ascii="宋体" w:hAnsi="宋体"/>
          <w:szCs w:val="22"/>
          <w:highlight w:val="none"/>
        </w:rPr>
        <w:t>，由此可计算出本项目评价区土壤侵蚀模数为</w:t>
      </w:r>
      <w:r>
        <w:rPr>
          <w:rFonts w:hint="eastAsia" w:ascii="宋体" w:hAnsi="宋体"/>
          <w:szCs w:val="21"/>
          <w:highlight w:val="none"/>
        </w:rPr>
        <w:t>2544.5</w:t>
      </w:r>
      <w:r>
        <w:rPr>
          <w:rFonts w:ascii="宋体" w:hAnsi="宋体"/>
          <w:szCs w:val="22"/>
          <w:highlight w:val="none"/>
        </w:rPr>
        <w:t>t/km</w:t>
      </w:r>
      <w:r>
        <w:rPr>
          <w:rFonts w:ascii="宋体" w:hAnsi="宋体"/>
          <w:szCs w:val="22"/>
          <w:highlight w:val="none"/>
          <w:vertAlign w:val="superscript"/>
        </w:rPr>
        <w:t>2</w:t>
      </w:r>
      <w:r>
        <w:rPr>
          <w:rFonts w:ascii="宋体" w:hAnsi="宋体"/>
          <w:szCs w:val="22"/>
          <w:highlight w:val="none"/>
        </w:rPr>
        <w:t>.a</w:t>
      </w:r>
      <w:r>
        <w:rPr>
          <w:rFonts w:hint="eastAsia" w:ascii="宋体" w:hAnsi="宋体"/>
          <w:szCs w:val="22"/>
          <w:highlight w:val="none"/>
        </w:rPr>
        <w:t>。由表、图可以看出，评价区主要土壤侵蚀类型为中度侵蚀，土壤侵蚀模数</w:t>
      </w:r>
      <w:r>
        <w:rPr>
          <w:rFonts w:ascii="宋体" w:hAnsi="宋体"/>
          <w:szCs w:val="22"/>
          <w:highlight w:val="none"/>
        </w:rPr>
        <w:t>(&lt;</w:t>
      </w:r>
      <w:r>
        <w:rPr>
          <w:rFonts w:hint="eastAsia" w:ascii="宋体" w:hAnsi="宋体"/>
          <w:szCs w:val="22"/>
          <w:highlight w:val="none"/>
        </w:rPr>
        <w:t>5</w:t>
      </w:r>
      <w:r>
        <w:rPr>
          <w:rFonts w:ascii="宋体" w:hAnsi="宋体"/>
          <w:szCs w:val="22"/>
          <w:highlight w:val="none"/>
        </w:rPr>
        <w:t>000t/km</w:t>
      </w:r>
      <w:r>
        <w:rPr>
          <w:rFonts w:ascii="宋体" w:hAnsi="宋体"/>
          <w:szCs w:val="22"/>
          <w:highlight w:val="none"/>
          <w:vertAlign w:val="superscript"/>
        </w:rPr>
        <w:t>2</w:t>
      </w:r>
      <w:r>
        <w:rPr>
          <w:rFonts w:ascii="宋体" w:hAnsi="宋体"/>
          <w:szCs w:val="22"/>
          <w:highlight w:val="none"/>
        </w:rPr>
        <w:t>.a</w:t>
      </w:r>
      <w:r>
        <w:rPr>
          <w:rFonts w:hint="eastAsia" w:ascii="宋体" w:hAnsi="宋体"/>
          <w:szCs w:val="22"/>
          <w:highlight w:val="none"/>
        </w:rPr>
        <w:t>）。</w:t>
      </w:r>
    </w:p>
    <w:p>
      <w:pPr>
        <w:ind w:firstLine="480"/>
        <w:rPr>
          <w:rFonts w:ascii="宋体" w:hAnsi="宋体"/>
          <w:szCs w:val="22"/>
          <w:highlight w:val="none"/>
        </w:rPr>
      </w:pPr>
      <w:r>
        <w:rPr>
          <w:rFonts w:hint="eastAsia" w:ascii="宋体" w:hAnsi="宋体"/>
          <w:szCs w:val="22"/>
          <w:highlight w:val="none"/>
        </w:rPr>
        <w:t>项目场区年侵蚀量为117.8</w:t>
      </w:r>
      <w:r>
        <w:rPr>
          <w:rFonts w:ascii="宋体" w:hAnsi="宋体"/>
          <w:szCs w:val="22"/>
          <w:highlight w:val="none"/>
        </w:rPr>
        <w:t>t</w:t>
      </w:r>
      <w:r>
        <w:rPr>
          <w:rFonts w:hint="eastAsia" w:ascii="宋体" w:hAnsi="宋体"/>
          <w:szCs w:val="22"/>
          <w:highlight w:val="none"/>
        </w:rPr>
        <w:t>，由此可计算出本项目场区土壤侵蚀模数为</w:t>
      </w:r>
      <w:r>
        <w:rPr>
          <w:rFonts w:hint="eastAsia" w:ascii="宋体" w:hAnsi="宋体"/>
          <w:szCs w:val="21"/>
          <w:highlight w:val="none"/>
        </w:rPr>
        <w:t>3525.4</w:t>
      </w:r>
      <w:r>
        <w:rPr>
          <w:rFonts w:ascii="宋体" w:hAnsi="宋体"/>
          <w:szCs w:val="22"/>
          <w:highlight w:val="none"/>
        </w:rPr>
        <w:t>t/km</w:t>
      </w:r>
      <w:r>
        <w:rPr>
          <w:rFonts w:ascii="宋体" w:hAnsi="宋体"/>
          <w:szCs w:val="22"/>
          <w:highlight w:val="none"/>
          <w:vertAlign w:val="superscript"/>
        </w:rPr>
        <w:t>2</w:t>
      </w:r>
      <w:r>
        <w:rPr>
          <w:rFonts w:ascii="宋体" w:hAnsi="宋体"/>
          <w:szCs w:val="22"/>
          <w:highlight w:val="none"/>
        </w:rPr>
        <w:t>.a</w:t>
      </w:r>
      <w:r>
        <w:rPr>
          <w:rFonts w:hint="eastAsia" w:ascii="宋体" w:hAnsi="宋体"/>
          <w:szCs w:val="22"/>
          <w:highlight w:val="none"/>
        </w:rPr>
        <w:t>。由表、图可以看出，评价区主要土壤侵蚀类型为中度侵蚀，土壤侵蚀模数</w:t>
      </w:r>
      <w:r>
        <w:rPr>
          <w:rFonts w:ascii="宋体" w:hAnsi="宋体"/>
          <w:szCs w:val="22"/>
          <w:highlight w:val="none"/>
        </w:rPr>
        <w:t>(&lt;</w:t>
      </w:r>
      <w:r>
        <w:rPr>
          <w:rFonts w:hint="eastAsia" w:ascii="宋体" w:hAnsi="宋体"/>
          <w:szCs w:val="22"/>
          <w:highlight w:val="none"/>
        </w:rPr>
        <w:t>5</w:t>
      </w:r>
      <w:r>
        <w:rPr>
          <w:rFonts w:ascii="宋体" w:hAnsi="宋体"/>
          <w:szCs w:val="22"/>
          <w:highlight w:val="none"/>
        </w:rPr>
        <w:t>000t/km</w:t>
      </w:r>
      <w:r>
        <w:rPr>
          <w:rFonts w:ascii="宋体" w:hAnsi="宋体"/>
          <w:szCs w:val="22"/>
          <w:highlight w:val="none"/>
          <w:vertAlign w:val="superscript"/>
        </w:rPr>
        <w:t>2</w:t>
      </w:r>
      <w:r>
        <w:rPr>
          <w:rFonts w:ascii="宋体" w:hAnsi="宋体"/>
          <w:szCs w:val="22"/>
          <w:highlight w:val="none"/>
        </w:rPr>
        <w:t>.a</w:t>
      </w:r>
      <w:r>
        <w:rPr>
          <w:rFonts w:hint="eastAsia" w:ascii="宋体" w:hAnsi="宋体"/>
          <w:szCs w:val="22"/>
          <w:highlight w:val="none"/>
        </w:rPr>
        <w:t>）。</w:t>
      </w:r>
    </w:p>
    <w:p>
      <w:pPr>
        <w:ind w:firstLine="480"/>
        <w:rPr>
          <w:rFonts w:ascii="宋体" w:hAnsi="宋体"/>
          <w:highlight w:val="none"/>
        </w:rPr>
      </w:pPr>
      <w:r>
        <w:rPr>
          <w:rFonts w:hint="eastAsia" w:ascii="宋体" w:hAnsi="宋体"/>
          <w:highlight w:val="none"/>
        </w:rPr>
        <w:t>通过计算出总的水土流失侵蚀模数</w:t>
      </w:r>
      <w:r>
        <w:rPr>
          <w:rFonts w:ascii="宋体" w:hAnsi="宋体"/>
          <w:highlight w:val="none"/>
        </w:rPr>
        <w:t>(</w:t>
      </w:r>
      <w:r>
        <w:rPr>
          <w:rFonts w:hint="eastAsia" w:ascii="宋体" w:hAnsi="宋体"/>
          <w:highlight w:val="none"/>
        </w:rPr>
        <w:t>单位为</w:t>
      </w:r>
      <w:r>
        <w:rPr>
          <w:rFonts w:ascii="宋体" w:hAnsi="宋体"/>
          <w:highlight w:val="none"/>
        </w:rPr>
        <w:t>t/km</w:t>
      </w:r>
      <w:r>
        <w:rPr>
          <w:rFonts w:ascii="宋体" w:hAnsi="宋体"/>
          <w:highlight w:val="none"/>
          <w:vertAlign w:val="superscript"/>
        </w:rPr>
        <w:t>2</w:t>
      </w:r>
      <w:r>
        <w:rPr>
          <w:rFonts w:ascii="宋体" w:hAnsi="宋体"/>
          <w:highlight w:val="none"/>
        </w:rPr>
        <w:t>.a)</w:t>
      </w:r>
      <w:r>
        <w:rPr>
          <w:rFonts w:hint="eastAsia" w:ascii="宋体" w:hAnsi="宋体"/>
          <w:highlight w:val="none"/>
        </w:rPr>
        <w:t>以后，确定区域的标定水土流失侵蚀模数，计算其减水减沙量，按公式：</w:t>
      </w:r>
    </w:p>
    <w:p>
      <w:pPr>
        <w:ind w:firstLine="480"/>
        <w:rPr>
          <w:rFonts w:ascii="宋体" w:hAnsi="宋体"/>
          <w:highlight w:val="none"/>
        </w:rPr>
      </w:pPr>
      <w:r>
        <w:rPr>
          <w:rFonts w:ascii="宋体" w:hAnsi="宋体"/>
          <w:highlight w:val="none"/>
        </w:rPr>
        <w:t>Pb=(Bbo-Bb)/Bbo</w:t>
      </w:r>
    </w:p>
    <w:p>
      <w:pPr>
        <w:ind w:firstLine="480"/>
        <w:rPr>
          <w:rFonts w:ascii="宋体" w:hAnsi="宋体"/>
          <w:highlight w:val="none"/>
        </w:rPr>
      </w:pPr>
      <w:r>
        <w:rPr>
          <w:rFonts w:hint="eastAsia" w:ascii="宋体" w:hAnsi="宋体"/>
          <w:highlight w:val="none"/>
        </w:rPr>
        <w:t>式中：</w:t>
      </w:r>
      <w:r>
        <w:rPr>
          <w:rFonts w:ascii="宋体" w:hAnsi="宋体"/>
          <w:highlight w:val="none"/>
        </w:rPr>
        <w:t>Bb</w:t>
      </w:r>
      <w:r>
        <w:rPr>
          <w:rFonts w:hint="eastAsia" w:ascii="宋体" w:hAnsi="宋体"/>
          <w:highlight w:val="none"/>
        </w:rPr>
        <w:t>——水土流失侵蚀模数；</w:t>
      </w:r>
    </w:p>
    <w:p>
      <w:pPr>
        <w:ind w:firstLine="480"/>
        <w:rPr>
          <w:rFonts w:ascii="宋体" w:hAnsi="宋体"/>
          <w:highlight w:val="none"/>
        </w:rPr>
      </w:pPr>
      <w:r>
        <w:rPr>
          <w:rFonts w:ascii="宋体" w:hAnsi="宋体"/>
          <w:highlight w:val="none"/>
        </w:rPr>
        <w:t>Bbo</w:t>
      </w:r>
      <w:r>
        <w:rPr>
          <w:rFonts w:hint="eastAsia" w:ascii="宋体" w:hAnsi="宋体"/>
          <w:highlight w:val="none"/>
        </w:rPr>
        <w:t>——标定水土流失侵蚀模数。</w:t>
      </w:r>
    </w:p>
    <w:p>
      <w:pPr>
        <w:ind w:firstLine="480"/>
        <w:rPr>
          <w:rFonts w:ascii="宋体" w:hAnsi="宋体"/>
          <w:highlight w:val="none"/>
        </w:rPr>
      </w:pPr>
      <w:r>
        <w:rPr>
          <w:rFonts w:ascii="宋体" w:hAnsi="宋体"/>
          <w:highlight w:val="none"/>
        </w:rPr>
        <w:t>Pb</w:t>
      </w:r>
      <w:r>
        <w:rPr>
          <w:rFonts w:hint="eastAsia" w:ascii="宋体" w:hAnsi="宋体"/>
          <w:highlight w:val="none"/>
        </w:rPr>
        <w:t>越大，则水土流失量越小。</w:t>
      </w:r>
    </w:p>
    <w:p>
      <w:pPr>
        <w:ind w:firstLine="480"/>
        <w:rPr>
          <w:rFonts w:ascii="宋体" w:hAnsi="宋体"/>
          <w:highlight w:val="none"/>
        </w:rPr>
      </w:pPr>
      <w:r>
        <w:rPr>
          <w:rFonts w:hint="eastAsia" w:ascii="宋体" w:hAnsi="宋体"/>
          <w:highlight w:val="none"/>
        </w:rPr>
        <w:t>评价区土壤侵蚀模数为</w:t>
      </w:r>
      <w:r>
        <w:rPr>
          <w:rFonts w:ascii="宋体" w:hAnsi="宋体"/>
          <w:szCs w:val="22"/>
          <w:highlight w:val="none"/>
        </w:rPr>
        <w:t>2544.5</w:t>
      </w:r>
      <w:r>
        <w:rPr>
          <w:rFonts w:ascii="宋体" w:hAnsi="宋体"/>
          <w:highlight w:val="none"/>
        </w:rPr>
        <w:t>t/km</w:t>
      </w:r>
      <w:r>
        <w:rPr>
          <w:rFonts w:ascii="宋体" w:hAnsi="宋体"/>
          <w:highlight w:val="none"/>
          <w:vertAlign w:val="superscript"/>
        </w:rPr>
        <w:t>2</w:t>
      </w:r>
      <w:r>
        <w:rPr>
          <w:rFonts w:ascii="宋体" w:hAnsi="宋体"/>
          <w:highlight w:val="none"/>
        </w:rPr>
        <w:t>.a</w:t>
      </w:r>
      <w:r>
        <w:rPr>
          <w:rFonts w:hint="eastAsia" w:ascii="宋体" w:hAnsi="宋体"/>
          <w:highlight w:val="none"/>
        </w:rPr>
        <w:t>，将强度侵蚀模数</w:t>
      </w:r>
      <w:r>
        <w:rPr>
          <w:rFonts w:ascii="宋体" w:hAnsi="宋体"/>
          <w:highlight w:val="none"/>
        </w:rPr>
        <w:t>5000t/km</w:t>
      </w:r>
      <w:r>
        <w:rPr>
          <w:rFonts w:ascii="宋体" w:hAnsi="宋体"/>
          <w:highlight w:val="none"/>
          <w:vertAlign w:val="superscript"/>
        </w:rPr>
        <w:t>2</w:t>
      </w:r>
      <w:r>
        <w:rPr>
          <w:rFonts w:ascii="宋体" w:hAnsi="宋体"/>
          <w:highlight w:val="none"/>
        </w:rPr>
        <w:t>.a</w:t>
      </w:r>
      <w:r>
        <w:rPr>
          <w:rFonts w:hint="eastAsia" w:ascii="宋体" w:hAnsi="宋体"/>
          <w:highlight w:val="none"/>
        </w:rPr>
        <w:t>作为标定侵蚀模数，计算出评价范围内水土流失综合值为</w:t>
      </w:r>
      <w:r>
        <w:rPr>
          <w:rFonts w:ascii="宋体" w:hAnsi="宋体"/>
          <w:highlight w:val="none"/>
        </w:rPr>
        <w:t>(5000-2544.5)/5000=</w:t>
      </w:r>
      <w:r>
        <w:rPr>
          <w:rFonts w:hint="eastAsia" w:ascii="宋体" w:hAnsi="宋体"/>
          <w:highlight w:val="none"/>
        </w:rPr>
        <w:t>0.4911。</w:t>
      </w:r>
    </w:p>
    <w:p>
      <w:pPr>
        <w:ind w:firstLine="480"/>
        <w:rPr>
          <w:rFonts w:ascii="宋体" w:hAnsi="宋体"/>
          <w:highlight w:val="none"/>
        </w:rPr>
      </w:pPr>
      <w:r>
        <w:rPr>
          <w:rFonts w:hint="eastAsia" w:ascii="宋体" w:hAnsi="宋体"/>
          <w:highlight w:val="none"/>
        </w:rPr>
        <w:t>本项目场区土壤侵蚀模数为</w:t>
      </w:r>
      <w:r>
        <w:rPr>
          <w:rFonts w:ascii="宋体" w:hAnsi="宋体"/>
          <w:szCs w:val="21"/>
          <w:highlight w:val="none"/>
        </w:rPr>
        <w:t>3525.4</w:t>
      </w:r>
      <w:r>
        <w:rPr>
          <w:rFonts w:ascii="宋体" w:hAnsi="宋体"/>
          <w:highlight w:val="none"/>
        </w:rPr>
        <w:t>t/km</w:t>
      </w:r>
      <w:r>
        <w:rPr>
          <w:rFonts w:ascii="宋体" w:hAnsi="宋体"/>
          <w:highlight w:val="none"/>
          <w:vertAlign w:val="superscript"/>
        </w:rPr>
        <w:t>2</w:t>
      </w:r>
      <w:r>
        <w:rPr>
          <w:rFonts w:ascii="宋体" w:hAnsi="宋体"/>
          <w:highlight w:val="none"/>
        </w:rPr>
        <w:t>.a</w:t>
      </w:r>
      <w:r>
        <w:rPr>
          <w:rFonts w:hint="eastAsia" w:ascii="宋体" w:hAnsi="宋体"/>
          <w:highlight w:val="none"/>
        </w:rPr>
        <w:t>，将强度侵蚀模数</w:t>
      </w:r>
      <w:r>
        <w:rPr>
          <w:rFonts w:ascii="宋体" w:hAnsi="宋体"/>
          <w:highlight w:val="none"/>
        </w:rPr>
        <w:t>5000t/km</w:t>
      </w:r>
      <w:r>
        <w:rPr>
          <w:rFonts w:ascii="宋体" w:hAnsi="宋体"/>
          <w:highlight w:val="none"/>
          <w:vertAlign w:val="superscript"/>
        </w:rPr>
        <w:t>2</w:t>
      </w:r>
      <w:r>
        <w:rPr>
          <w:rFonts w:ascii="宋体" w:hAnsi="宋体"/>
          <w:highlight w:val="none"/>
        </w:rPr>
        <w:t>.a</w:t>
      </w:r>
      <w:r>
        <w:rPr>
          <w:rFonts w:hint="eastAsia" w:ascii="宋体" w:hAnsi="宋体"/>
          <w:highlight w:val="none"/>
        </w:rPr>
        <w:t>作为标定侵蚀模数，计算出评价范围内水土流失综合值为</w:t>
      </w:r>
      <w:r>
        <w:rPr>
          <w:rFonts w:ascii="宋体" w:hAnsi="宋体"/>
          <w:highlight w:val="none"/>
        </w:rPr>
        <w:t>(5000-3525.4)/5000=</w:t>
      </w:r>
      <w:r>
        <w:rPr>
          <w:rFonts w:hint="eastAsia" w:ascii="宋体" w:hAnsi="宋体"/>
          <w:highlight w:val="none"/>
        </w:rPr>
        <w:t>0.2949。</w:t>
      </w:r>
    </w:p>
    <w:p>
      <w:pPr>
        <w:pStyle w:val="3"/>
        <w:ind w:firstLine="643"/>
        <w:rPr>
          <w:rFonts w:hAnsi="宋体"/>
          <w:highlight w:val="none"/>
        </w:rPr>
      </w:pPr>
      <w:bookmarkStart w:id="147" w:name="_Toc70201027"/>
      <w:r>
        <w:rPr>
          <w:rFonts w:hAnsi="宋体"/>
          <w:highlight w:val="none"/>
        </w:rPr>
        <w:t>4.4区域污染源调查</w:t>
      </w:r>
      <w:bookmarkEnd w:id="146"/>
      <w:bookmarkEnd w:id="147"/>
    </w:p>
    <w:p>
      <w:pPr>
        <w:spacing w:line="400" w:lineRule="exact"/>
        <w:ind w:firstLine="480"/>
        <w:rPr>
          <w:rFonts w:ascii="宋体" w:hAnsi="宋体"/>
          <w:szCs w:val="22"/>
          <w:highlight w:val="none"/>
        </w:rPr>
      </w:pPr>
      <w:r>
        <w:rPr>
          <w:rFonts w:ascii="宋体" w:hAnsi="宋体"/>
          <w:szCs w:val="22"/>
          <w:highlight w:val="none"/>
        </w:rPr>
        <w:t>根据各环境要素导则的要求，本次评价主要调查大气污染源。</w:t>
      </w:r>
    </w:p>
    <w:p>
      <w:pPr>
        <w:pStyle w:val="4"/>
        <w:ind w:firstLine="562"/>
        <w:rPr>
          <w:rFonts w:hAnsi="宋体"/>
          <w:highlight w:val="none"/>
        </w:rPr>
      </w:pPr>
      <w:r>
        <w:rPr>
          <w:rFonts w:hAnsi="宋体"/>
          <w:highlight w:val="none"/>
        </w:rPr>
        <w:t>4.4.1大气污染源调查</w:t>
      </w:r>
    </w:p>
    <w:p>
      <w:pPr>
        <w:ind w:firstLine="480"/>
        <w:rPr>
          <w:rFonts w:ascii="宋体" w:hAnsi="宋体"/>
          <w:bCs/>
          <w:highlight w:val="none"/>
        </w:rPr>
      </w:pPr>
      <w:r>
        <w:rPr>
          <w:rFonts w:ascii="宋体" w:hAnsi="宋体"/>
          <w:bCs/>
          <w:highlight w:val="none"/>
        </w:rPr>
        <w:t>1、污染源调查范围</w:t>
      </w:r>
    </w:p>
    <w:p>
      <w:pPr>
        <w:ind w:firstLine="480"/>
        <w:rPr>
          <w:rFonts w:ascii="宋体" w:hAnsi="宋体"/>
          <w:bCs/>
          <w:highlight w:val="none"/>
        </w:rPr>
      </w:pPr>
      <w:r>
        <w:rPr>
          <w:rFonts w:ascii="宋体" w:hAnsi="宋体"/>
          <w:szCs w:val="22"/>
          <w:highlight w:val="none"/>
        </w:rPr>
        <w:t>根据《环境影响评价技术导则-大气环境》对不同评价级别工作的深度要求，本次环境空气影响评价等级为二级，只调查分析本项目污染源，污染源调查包括正常排放和非正常排放。</w:t>
      </w:r>
    </w:p>
    <w:p>
      <w:pPr>
        <w:pStyle w:val="4"/>
        <w:ind w:firstLine="562"/>
        <w:rPr>
          <w:rFonts w:hAnsi="宋体"/>
          <w:highlight w:val="none"/>
        </w:rPr>
      </w:pPr>
      <w:r>
        <w:rPr>
          <w:rFonts w:hAnsi="宋体"/>
          <w:highlight w:val="none"/>
        </w:rPr>
        <w:t>4.4.2本项目环境空气污染源调查</w:t>
      </w:r>
    </w:p>
    <w:p>
      <w:pPr>
        <w:ind w:firstLine="480"/>
        <w:rPr>
          <w:rFonts w:ascii="宋体" w:hAnsi="宋体"/>
          <w:szCs w:val="22"/>
          <w:highlight w:val="none"/>
        </w:rPr>
      </w:pPr>
      <w:r>
        <w:rPr>
          <w:rFonts w:ascii="宋体" w:hAnsi="宋体"/>
          <w:szCs w:val="22"/>
          <w:highlight w:val="none"/>
        </w:rPr>
        <w:t>本项目污染源调查结果见表</w:t>
      </w:r>
      <w:r>
        <w:rPr>
          <w:rFonts w:ascii="宋体" w:hAnsi="宋体"/>
          <w:bCs/>
          <w:highlight w:val="none"/>
        </w:rPr>
        <w:t>4.4-1。</w:t>
      </w:r>
    </w:p>
    <w:p>
      <w:pPr>
        <w:pStyle w:val="65"/>
        <w:rPr>
          <w:rFonts w:hAnsi="宋体"/>
          <w:highlight w:val="none"/>
        </w:rPr>
      </w:pPr>
      <w:r>
        <w:rPr>
          <w:rFonts w:hAnsi="宋体"/>
          <w:highlight w:val="none"/>
        </w:rPr>
        <w:t>表4.4-1</w:t>
      </w:r>
      <w:r>
        <w:rPr>
          <w:rFonts w:hint="eastAsia" w:hAnsi="宋体"/>
          <w:highlight w:val="none"/>
        </w:rPr>
        <w:t xml:space="preserve">  </w:t>
      </w:r>
      <w:r>
        <w:rPr>
          <w:rFonts w:hAnsi="宋体"/>
          <w:highlight w:val="none"/>
        </w:rPr>
        <w:t>主要废气污染源参数一览表(点源)</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267"/>
        <w:gridCol w:w="1163"/>
        <w:gridCol w:w="857"/>
        <w:gridCol w:w="850"/>
        <w:gridCol w:w="850"/>
        <w:gridCol w:w="850"/>
        <w:gridCol w:w="850"/>
        <w:gridCol w:w="132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935" w:type="dxa"/>
            <w:vMerge w:val="restart"/>
            <w:vAlign w:val="center"/>
          </w:tcPr>
          <w:p>
            <w:pPr>
              <w:pStyle w:val="64"/>
              <w:rPr>
                <w:rFonts w:hAnsi="宋体"/>
                <w:szCs w:val="22"/>
                <w:highlight w:val="none"/>
              </w:rPr>
            </w:pPr>
            <w:r>
              <w:rPr>
                <w:rFonts w:hAnsi="宋体"/>
                <w:highlight w:val="none"/>
              </w:rPr>
              <w:t>污染源名称</w:t>
            </w:r>
          </w:p>
        </w:tc>
        <w:tc>
          <w:tcPr>
            <w:tcW w:w="2430" w:type="dxa"/>
            <w:gridSpan w:val="2"/>
            <w:vAlign w:val="center"/>
          </w:tcPr>
          <w:p>
            <w:pPr>
              <w:pStyle w:val="64"/>
              <w:rPr>
                <w:rFonts w:hAnsi="宋体"/>
                <w:szCs w:val="22"/>
                <w:highlight w:val="none"/>
              </w:rPr>
            </w:pPr>
            <w:r>
              <w:rPr>
                <w:rFonts w:hAnsi="宋体"/>
                <w:highlight w:val="none"/>
              </w:rPr>
              <w:t>排气筒底部中心坐标(°)</w:t>
            </w:r>
          </w:p>
        </w:tc>
        <w:tc>
          <w:tcPr>
            <w:tcW w:w="857" w:type="dxa"/>
            <w:vMerge w:val="restart"/>
            <w:vAlign w:val="center"/>
          </w:tcPr>
          <w:p>
            <w:pPr>
              <w:pStyle w:val="64"/>
              <w:rPr>
                <w:rFonts w:hAnsi="宋体"/>
                <w:szCs w:val="22"/>
                <w:highlight w:val="none"/>
              </w:rPr>
            </w:pPr>
            <w:r>
              <w:rPr>
                <w:rFonts w:hAnsi="宋体"/>
                <w:highlight w:val="none"/>
              </w:rPr>
              <w:t>排气筒底部海拔高度(m)</w:t>
            </w:r>
          </w:p>
        </w:tc>
        <w:tc>
          <w:tcPr>
            <w:tcW w:w="3400" w:type="dxa"/>
            <w:gridSpan w:val="4"/>
            <w:vAlign w:val="center"/>
          </w:tcPr>
          <w:p>
            <w:pPr>
              <w:pStyle w:val="64"/>
              <w:rPr>
                <w:rFonts w:hAnsi="宋体"/>
                <w:szCs w:val="22"/>
                <w:highlight w:val="none"/>
              </w:rPr>
            </w:pPr>
            <w:r>
              <w:rPr>
                <w:rFonts w:hAnsi="宋体"/>
                <w:highlight w:val="none"/>
              </w:rPr>
              <w:t>排气筒参数</w:t>
            </w:r>
          </w:p>
        </w:tc>
        <w:tc>
          <w:tcPr>
            <w:tcW w:w="1328" w:type="dxa"/>
            <w:vAlign w:val="center"/>
          </w:tcPr>
          <w:p>
            <w:pPr>
              <w:pStyle w:val="64"/>
              <w:rPr>
                <w:rFonts w:hAnsi="宋体"/>
                <w:szCs w:val="22"/>
                <w:highlight w:val="none"/>
              </w:rPr>
            </w:pPr>
            <w:r>
              <w:rPr>
                <w:rFonts w:hAnsi="宋体"/>
                <w:highlight w:val="none"/>
              </w:rPr>
              <w:t>污染物排放速率(kg/h)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pStyle w:val="64"/>
              <w:rPr>
                <w:rFonts w:hAnsi="宋体"/>
                <w:szCs w:val="22"/>
                <w:highlight w:val="none"/>
              </w:rPr>
            </w:pPr>
          </w:p>
        </w:tc>
        <w:tc>
          <w:tcPr>
            <w:tcW w:w="1267" w:type="dxa"/>
            <w:vAlign w:val="center"/>
          </w:tcPr>
          <w:p>
            <w:pPr>
              <w:pStyle w:val="64"/>
              <w:rPr>
                <w:rFonts w:hAnsi="宋体"/>
                <w:szCs w:val="22"/>
                <w:highlight w:val="none"/>
              </w:rPr>
            </w:pPr>
            <w:r>
              <w:rPr>
                <w:rFonts w:hAnsi="宋体"/>
                <w:highlight w:val="none"/>
              </w:rPr>
              <w:t>经度</w:t>
            </w:r>
          </w:p>
        </w:tc>
        <w:tc>
          <w:tcPr>
            <w:tcW w:w="1163" w:type="dxa"/>
            <w:vAlign w:val="center"/>
          </w:tcPr>
          <w:p>
            <w:pPr>
              <w:pStyle w:val="64"/>
              <w:rPr>
                <w:rFonts w:hAnsi="宋体"/>
                <w:szCs w:val="22"/>
                <w:highlight w:val="none"/>
              </w:rPr>
            </w:pPr>
            <w:r>
              <w:rPr>
                <w:rFonts w:hAnsi="宋体"/>
                <w:highlight w:val="none"/>
              </w:rPr>
              <w:t>纬度</w:t>
            </w:r>
          </w:p>
        </w:tc>
        <w:tc>
          <w:tcPr>
            <w:tcW w:w="857" w:type="dxa"/>
            <w:vMerge w:val="continue"/>
            <w:vAlign w:val="center"/>
          </w:tcPr>
          <w:p>
            <w:pPr>
              <w:pStyle w:val="64"/>
              <w:rPr>
                <w:rFonts w:hAnsi="宋体"/>
                <w:szCs w:val="22"/>
                <w:highlight w:val="none"/>
              </w:rPr>
            </w:pPr>
          </w:p>
        </w:tc>
        <w:tc>
          <w:tcPr>
            <w:tcW w:w="850" w:type="dxa"/>
            <w:vAlign w:val="center"/>
          </w:tcPr>
          <w:p>
            <w:pPr>
              <w:pStyle w:val="64"/>
              <w:rPr>
                <w:rFonts w:hAnsi="宋体"/>
                <w:szCs w:val="22"/>
                <w:highlight w:val="none"/>
              </w:rPr>
            </w:pPr>
            <w:r>
              <w:rPr>
                <w:rFonts w:hAnsi="宋体"/>
                <w:highlight w:val="none"/>
              </w:rPr>
              <w:t>高度(m)</w:t>
            </w:r>
          </w:p>
        </w:tc>
        <w:tc>
          <w:tcPr>
            <w:tcW w:w="850" w:type="dxa"/>
            <w:vAlign w:val="center"/>
          </w:tcPr>
          <w:p>
            <w:pPr>
              <w:pStyle w:val="64"/>
              <w:rPr>
                <w:rFonts w:hAnsi="宋体"/>
                <w:szCs w:val="22"/>
                <w:highlight w:val="none"/>
              </w:rPr>
            </w:pPr>
            <w:r>
              <w:rPr>
                <w:rFonts w:hAnsi="宋体"/>
                <w:highlight w:val="none"/>
              </w:rPr>
              <w:t>内径(m)</w:t>
            </w:r>
          </w:p>
        </w:tc>
        <w:tc>
          <w:tcPr>
            <w:tcW w:w="850" w:type="dxa"/>
            <w:vAlign w:val="center"/>
          </w:tcPr>
          <w:p>
            <w:pPr>
              <w:pStyle w:val="64"/>
              <w:rPr>
                <w:rFonts w:hAnsi="宋体"/>
                <w:szCs w:val="22"/>
                <w:highlight w:val="none"/>
              </w:rPr>
            </w:pPr>
            <w:r>
              <w:rPr>
                <w:rFonts w:hAnsi="宋体"/>
                <w:highlight w:val="none"/>
              </w:rPr>
              <w:t>温度(℃)</w:t>
            </w:r>
          </w:p>
        </w:tc>
        <w:tc>
          <w:tcPr>
            <w:tcW w:w="850" w:type="dxa"/>
            <w:vAlign w:val="center"/>
          </w:tcPr>
          <w:p>
            <w:pPr>
              <w:pStyle w:val="64"/>
              <w:rPr>
                <w:rFonts w:hAnsi="宋体"/>
                <w:szCs w:val="22"/>
                <w:highlight w:val="none"/>
              </w:rPr>
            </w:pPr>
            <w:r>
              <w:rPr>
                <w:rFonts w:hAnsi="宋体"/>
                <w:highlight w:val="none"/>
              </w:rPr>
              <w:t>流速(m/s)</w:t>
            </w:r>
          </w:p>
        </w:tc>
        <w:tc>
          <w:tcPr>
            <w:tcW w:w="1328" w:type="dxa"/>
            <w:vAlign w:val="center"/>
          </w:tcPr>
          <w:p>
            <w:pPr>
              <w:pStyle w:val="64"/>
              <w:rPr>
                <w:rFonts w:hAnsi="宋体"/>
                <w:szCs w:val="22"/>
                <w:highlight w:val="none"/>
              </w:rPr>
            </w:pPr>
            <w:r>
              <w:rPr>
                <w:rFonts w:hAnsi="宋体"/>
                <w:highlight w:val="none"/>
              </w:rPr>
              <w:t>PM</w:t>
            </w:r>
            <w:r>
              <w:rPr>
                <w:rFonts w:hAnsi="宋体"/>
                <w:highlight w:val="none"/>
                <w:vertAlign w:val="subscript"/>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935" w:type="dxa"/>
            <w:vAlign w:val="center"/>
          </w:tcPr>
          <w:p>
            <w:pPr>
              <w:pStyle w:val="64"/>
              <w:rPr>
                <w:rFonts w:hAnsi="宋体"/>
                <w:szCs w:val="22"/>
                <w:highlight w:val="none"/>
              </w:rPr>
            </w:pPr>
            <w:r>
              <w:rPr>
                <w:rFonts w:hint="eastAsia" w:hAnsi="宋体"/>
                <w:highlight w:val="none"/>
              </w:rPr>
              <w:t>破碎</w:t>
            </w:r>
            <w:r>
              <w:rPr>
                <w:rFonts w:hAnsi="宋体"/>
                <w:highlight w:val="none"/>
              </w:rPr>
              <w:t>排气筒</w:t>
            </w:r>
          </w:p>
        </w:tc>
        <w:tc>
          <w:tcPr>
            <w:tcW w:w="1267" w:type="dxa"/>
            <w:vAlign w:val="center"/>
          </w:tcPr>
          <w:p>
            <w:pPr>
              <w:pStyle w:val="64"/>
              <w:rPr>
                <w:rFonts w:hAnsi="宋体"/>
                <w:szCs w:val="22"/>
                <w:highlight w:val="none"/>
              </w:rPr>
            </w:pPr>
            <w:r>
              <w:rPr>
                <w:rFonts w:hAnsi="宋体"/>
                <w:highlight w:val="none"/>
              </w:rPr>
              <w:t>113.448112</w:t>
            </w:r>
          </w:p>
        </w:tc>
        <w:tc>
          <w:tcPr>
            <w:tcW w:w="1163" w:type="dxa"/>
            <w:vAlign w:val="center"/>
          </w:tcPr>
          <w:p>
            <w:pPr>
              <w:pStyle w:val="64"/>
              <w:rPr>
                <w:rFonts w:hAnsi="宋体"/>
                <w:szCs w:val="22"/>
                <w:highlight w:val="none"/>
              </w:rPr>
            </w:pPr>
            <w:r>
              <w:rPr>
                <w:rFonts w:hAnsi="宋体"/>
                <w:highlight w:val="none"/>
              </w:rPr>
              <w:t>39.206329</w:t>
            </w:r>
          </w:p>
        </w:tc>
        <w:tc>
          <w:tcPr>
            <w:tcW w:w="857" w:type="dxa"/>
            <w:vAlign w:val="center"/>
          </w:tcPr>
          <w:p>
            <w:pPr>
              <w:pStyle w:val="64"/>
              <w:rPr>
                <w:rFonts w:hAnsi="宋体"/>
                <w:szCs w:val="22"/>
                <w:highlight w:val="none"/>
              </w:rPr>
            </w:pPr>
            <w:r>
              <w:rPr>
                <w:rFonts w:hAnsi="宋体"/>
                <w:highlight w:val="none"/>
              </w:rPr>
              <w:t>1076</w:t>
            </w:r>
          </w:p>
        </w:tc>
        <w:tc>
          <w:tcPr>
            <w:tcW w:w="850" w:type="dxa"/>
            <w:vAlign w:val="center"/>
          </w:tcPr>
          <w:p>
            <w:pPr>
              <w:pStyle w:val="64"/>
              <w:rPr>
                <w:rFonts w:hAnsi="宋体"/>
                <w:szCs w:val="22"/>
                <w:highlight w:val="none"/>
              </w:rPr>
            </w:pPr>
            <w:r>
              <w:rPr>
                <w:rFonts w:hAnsi="宋体"/>
                <w:highlight w:val="none"/>
              </w:rPr>
              <w:t>15</w:t>
            </w:r>
          </w:p>
        </w:tc>
        <w:tc>
          <w:tcPr>
            <w:tcW w:w="850" w:type="dxa"/>
            <w:vAlign w:val="center"/>
          </w:tcPr>
          <w:p>
            <w:pPr>
              <w:pStyle w:val="64"/>
              <w:rPr>
                <w:rFonts w:hAnsi="宋体"/>
                <w:szCs w:val="22"/>
                <w:highlight w:val="none"/>
              </w:rPr>
            </w:pPr>
            <w:r>
              <w:rPr>
                <w:rFonts w:hAnsi="宋体"/>
                <w:highlight w:val="none"/>
              </w:rPr>
              <w:t>1</w:t>
            </w:r>
            <w:r>
              <w:rPr>
                <w:rFonts w:hint="eastAsia" w:hAnsi="宋体"/>
                <w:highlight w:val="none"/>
              </w:rPr>
              <w:t>.2</w:t>
            </w:r>
          </w:p>
        </w:tc>
        <w:tc>
          <w:tcPr>
            <w:tcW w:w="850" w:type="dxa"/>
            <w:vAlign w:val="center"/>
          </w:tcPr>
          <w:p>
            <w:pPr>
              <w:pStyle w:val="64"/>
              <w:rPr>
                <w:rFonts w:hAnsi="宋体"/>
                <w:szCs w:val="22"/>
                <w:highlight w:val="none"/>
              </w:rPr>
            </w:pPr>
            <w:r>
              <w:rPr>
                <w:rFonts w:hAnsi="宋体"/>
                <w:highlight w:val="none"/>
              </w:rPr>
              <w:t>20</w:t>
            </w:r>
          </w:p>
        </w:tc>
        <w:tc>
          <w:tcPr>
            <w:tcW w:w="850" w:type="dxa"/>
            <w:vAlign w:val="center"/>
          </w:tcPr>
          <w:p>
            <w:pPr>
              <w:pStyle w:val="64"/>
              <w:rPr>
                <w:rFonts w:hAnsi="宋体"/>
                <w:szCs w:val="22"/>
                <w:highlight w:val="none"/>
              </w:rPr>
            </w:pPr>
            <w:r>
              <w:rPr>
                <w:rFonts w:hAnsi="宋体"/>
                <w:highlight w:val="none"/>
              </w:rPr>
              <w:t>10</w:t>
            </w:r>
          </w:p>
        </w:tc>
        <w:tc>
          <w:tcPr>
            <w:tcW w:w="1328" w:type="dxa"/>
            <w:vAlign w:val="center"/>
          </w:tcPr>
          <w:p>
            <w:pPr>
              <w:pStyle w:val="64"/>
              <w:rPr>
                <w:rFonts w:hAnsi="宋体"/>
                <w:szCs w:val="22"/>
                <w:highlight w:val="none"/>
              </w:rPr>
            </w:pPr>
            <w:r>
              <w:rPr>
                <w:rFonts w:hAnsi="宋体"/>
                <w:highlight w:val="none"/>
              </w:rPr>
              <w:t>0.39</w:t>
            </w:r>
          </w:p>
        </w:tc>
      </w:tr>
    </w:tbl>
    <w:p>
      <w:pPr>
        <w:pStyle w:val="65"/>
        <w:rPr>
          <w:rFonts w:hAnsi="宋体"/>
          <w:highlight w:val="none"/>
        </w:rPr>
      </w:pPr>
      <w:r>
        <w:rPr>
          <w:rFonts w:hAnsi="宋体"/>
          <w:highlight w:val="none"/>
        </w:rPr>
        <w:t>表4.4-2</w:t>
      </w:r>
      <w:r>
        <w:rPr>
          <w:rFonts w:hint="eastAsia" w:hAnsi="宋体"/>
          <w:highlight w:val="none"/>
        </w:rPr>
        <w:t xml:space="preserve">  </w:t>
      </w:r>
      <w:r>
        <w:rPr>
          <w:rFonts w:hAnsi="宋体"/>
          <w:highlight w:val="none"/>
        </w:rPr>
        <w:t>主要废气污染源参数一览表(矩形面源)</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1337"/>
        <w:gridCol w:w="1219"/>
        <w:gridCol w:w="716"/>
        <w:gridCol w:w="893"/>
        <w:gridCol w:w="743"/>
        <w:gridCol w:w="1042"/>
        <w:gridCol w:w="124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Merge w:val="restart"/>
            <w:vAlign w:val="center"/>
          </w:tcPr>
          <w:p>
            <w:pPr>
              <w:pStyle w:val="64"/>
              <w:rPr>
                <w:rFonts w:hAnsi="宋体"/>
                <w:szCs w:val="22"/>
                <w:highlight w:val="none"/>
              </w:rPr>
            </w:pPr>
            <w:r>
              <w:rPr>
                <w:rFonts w:hAnsi="宋体"/>
                <w:highlight w:val="none"/>
              </w:rPr>
              <w:t>污染源名称</w:t>
            </w:r>
          </w:p>
        </w:tc>
        <w:tc>
          <w:tcPr>
            <w:tcW w:w="2556" w:type="dxa"/>
            <w:gridSpan w:val="2"/>
            <w:vAlign w:val="center"/>
          </w:tcPr>
          <w:p>
            <w:pPr>
              <w:pStyle w:val="64"/>
              <w:rPr>
                <w:rFonts w:hAnsi="宋体"/>
                <w:szCs w:val="22"/>
                <w:highlight w:val="none"/>
              </w:rPr>
            </w:pPr>
            <w:r>
              <w:rPr>
                <w:rFonts w:hAnsi="宋体"/>
                <w:highlight w:val="none"/>
              </w:rPr>
              <w:t>坐标(°)</w:t>
            </w:r>
          </w:p>
        </w:tc>
        <w:tc>
          <w:tcPr>
            <w:tcW w:w="716" w:type="dxa"/>
            <w:vMerge w:val="restart"/>
            <w:vAlign w:val="center"/>
          </w:tcPr>
          <w:p>
            <w:pPr>
              <w:pStyle w:val="64"/>
              <w:rPr>
                <w:rFonts w:hAnsi="宋体"/>
                <w:szCs w:val="22"/>
                <w:highlight w:val="none"/>
              </w:rPr>
            </w:pPr>
            <w:r>
              <w:rPr>
                <w:rFonts w:hAnsi="宋体"/>
                <w:highlight w:val="none"/>
              </w:rPr>
              <w:t>海拔高度(m)</w:t>
            </w:r>
          </w:p>
        </w:tc>
        <w:tc>
          <w:tcPr>
            <w:tcW w:w="2678" w:type="dxa"/>
            <w:gridSpan w:val="3"/>
            <w:vAlign w:val="center"/>
          </w:tcPr>
          <w:p>
            <w:pPr>
              <w:pStyle w:val="64"/>
              <w:rPr>
                <w:rFonts w:hAnsi="宋体"/>
                <w:szCs w:val="22"/>
                <w:highlight w:val="none"/>
              </w:rPr>
            </w:pPr>
            <w:r>
              <w:rPr>
                <w:rFonts w:hAnsi="宋体"/>
                <w:highlight w:val="none"/>
              </w:rPr>
              <w:t>矩形面源</w:t>
            </w:r>
          </w:p>
        </w:tc>
        <w:tc>
          <w:tcPr>
            <w:tcW w:w="1248" w:type="dxa"/>
            <w:vAlign w:val="center"/>
          </w:tcPr>
          <w:p>
            <w:pPr>
              <w:pStyle w:val="64"/>
              <w:rPr>
                <w:rFonts w:hAnsi="宋体"/>
                <w:szCs w:val="22"/>
                <w:highlight w:val="none"/>
              </w:rPr>
            </w:pPr>
            <w:r>
              <w:rPr>
                <w:rFonts w:hAnsi="宋体"/>
                <w:highlight w:val="none"/>
              </w:rPr>
              <w:t>污染物排放速率(kg/h)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Merge w:val="continue"/>
            <w:vAlign w:val="center"/>
          </w:tcPr>
          <w:p>
            <w:pPr>
              <w:pStyle w:val="64"/>
              <w:rPr>
                <w:rFonts w:hAnsi="宋体"/>
                <w:szCs w:val="22"/>
                <w:highlight w:val="none"/>
              </w:rPr>
            </w:pPr>
          </w:p>
        </w:tc>
        <w:tc>
          <w:tcPr>
            <w:tcW w:w="1337" w:type="dxa"/>
            <w:vAlign w:val="center"/>
          </w:tcPr>
          <w:p>
            <w:pPr>
              <w:pStyle w:val="64"/>
              <w:rPr>
                <w:rFonts w:hAnsi="宋体"/>
                <w:szCs w:val="22"/>
                <w:highlight w:val="none"/>
              </w:rPr>
            </w:pPr>
            <w:r>
              <w:rPr>
                <w:rFonts w:hAnsi="宋体"/>
                <w:highlight w:val="none"/>
              </w:rPr>
              <w:t>经度</w:t>
            </w:r>
          </w:p>
        </w:tc>
        <w:tc>
          <w:tcPr>
            <w:tcW w:w="1219" w:type="dxa"/>
            <w:vAlign w:val="center"/>
          </w:tcPr>
          <w:p>
            <w:pPr>
              <w:pStyle w:val="64"/>
              <w:rPr>
                <w:rFonts w:hAnsi="宋体"/>
                <w:szCs w:val="22"/>
                <w:highlight w:val="none"/>
              </w:rPr>
            </w:pPr>
            <w:r>
              <w:rPr>
                <w:rFonts w:hAnsi="宋体"/>
                <w:highlight w:val="none"/>
              </w:rPr>
              <w:t>纬度</w:t>
            </w:r>
          </w:p>
        </w:tc>
        <w:tc>
          <w:tcPr>
            <w:tcW w:w="716" w:type="dxa"/>
            <w:vMerge w:val="continue"/>
            <w:vAlign w:val="center"/>
          </w:tcPr>
          <w:p>
            <w:pPr>
              <w:pStyle w:val="64"/>
              <w:rPr>
                <w:rFonts w:hAnsi="宋体"/>
                <w:szCs w:val="22"/>
                <w:highlight w:val="none"/>
              </w:rPr>
            </w:pPr>
          </w:p>
        </w:tc>
        <w:tc>
          <w:tcPr>
            <w:tcW w:w="893" w:type="dxa"/>
            <w:vAlign w:val="center"/>
          </w:tcPr>
          <w:p>
            <w:pPr>
              <w:pStyle w:val="64"/>
              <w:rPr>
                <w:rFonts w:hAnsi="宋体"/>
                <w:szCs w:val="22"/>
                <w:highlight w:val="none"/>
              </w:rPr>
            </w:pPr>
            <w:r>
              <w:rPr>
                <w:rFonts w:hAnsi="宋体"/>
                <w:highlight w:val="none"/>
              </w:rPr>
              <w:t>长度(m)</w:t>
            </w:r>
          </w:p>
        </w:tc>
        <w:tc>
          <w:tcPr>
            <w:tcW w:w="743" w:type="dxa"/>
            <w:vAlign w:val="center"/>
          </w:tcPr>
          <w:p>
            <w:pPr>
              <w:pStyle w:val="64"/>
              <w:rPr>
                <w:rFonts w:hAnsi="宋体"/>
                <w:szCs w:val="22"/>
                <w:highlight w:val="none"/>
              </w:rPr>
            </w:pPr>
            <w:r>
              <w:rPr>
                <w:rFonts w:hAnsi="宋体"/>
                <w:highlight w:val="none"/>
              </w:rPr>
              <w:t>宽度(m)</w:t>
            </w:r>
          </w:p>
        </w:tc>
        <w:tc>
          <w:tcPr>
            <w:tcW w:w="1042" w:type="dxa"/>
            <w:vAlign w:val="center"/>
          </w:tcPr>
          <w:p>
            <w:pPr>
              <w:pStyle w:val="64"/>
              <w:rPr>
                <w:rFonts w:hAnsi="宋体"/>
                <w:szCs w:val="22"/>
                <w:highlight w:val="none"/>
              </w:rPr>
            </w:pPr>
            <w:r>
              <w:rPr>
                <w:rFonts w:hAnsi="宋体"/>
                <w:highlight w:val="none"/>
              </w:rPr>
              <w:t>有效高度(m)</w:t>
            </w:r>
          </w:p>
        </w:tc>
        <w:tc>
          <w:tcPr>
            <w:tcW w:w="1248" w:type="dxa"/>
            <w:vAlign w:val="center"/>
          </w:tcPr>
          <w:p>
            <w:pPr>
              <w:pStyle w:val="64"/>
              <w:rPr>
                <w:rFonts w:hAnsi="宋体"/>
                <w:szCs w:val="22"/>
                <w:highlight w:val="none"/>
              </w:rPr>
            </w:pPr>
            <w:r>
              <w:rPr>
                <w:rFonts w:hAnsi="宋体"/>
                <w:highlight w:val="none"/>
              </w:rPr>
              <w:t>TSP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Align w:val="center"/>
          </w:tcPr>
          <w:p>
            <w:pPr>
              <w:pStyle w:val="64"/>
              <w:rPr>
                <w:rFonts w:hAnsi="宋体"/>
                <w:highlight w:val="none"/>
              </w:rPr>
            </w:pPr>
            <w:r>
              <w:rPr>
                <w:rFonts w:hint="eastAsia" w:hAnsi="宋体"/>
                <w:highlight w:val="none"/>
              </w:rPr>
              <w:t>原料</w:t>
            </w:r>
            <w:r>
              <w:rPr>
                <w:rFonts w:hAnsi="宋体"/>
                <w:highlight w:val="none"/>
              </w:rPr>
              <w:t>库</w:t>
            </w:r>
          </w:p>
        </w:tc>
        <w:tc>
          <w:tcPr>
            <w:tcW w:w="1337" w:type="dxa"/>
            <w:vAlign w:val="center"/>
          </w:tcPr>
          <w:p>
            <w:pPr>
              <w:pStyle w:val="64"/>
              <w:rPr>
                <w:rFonts w:hAnsi="宋体"/>
                <w:szCs w:val="22"/>
                <w:highlight w:val="none"/>
              </w:rPr>
            </w:pPr>
            <w:r>
              <w:rPr>
                <w:rFonts w:hAnsi="宋体"/>
                <w:highlight w:val="none"/>
              </w:rPr>
              <w:t>113.44772</w:t>
            </w:r>
          </w:p>
        </w:tc>
        <w:tc>
          <w:tcPr>
            <w:tcW w:w="1219" w:type="dxa"/>
            <w:vAlign w:val="center"/>
          </w:tcPr>
          <w:p>
            <w:pPr>
              <w:pStyle w:val="64"/>
              <w:rPr>
                <w:rFonts w:hAnsi="宋体"/>
                <w:szCs w:val="22"/>
                <w:highlight w:val="none"/>
              </w:rPr>
            </w:pPr>
            <w:r>
              <w:rPr>
                <w:rFonts w:hAnsi="宋体"/>
                <w:highlight w:val="none"/>
              </w:rPr>
              <w:t>39.206183</w:t>
            </w:r>
          </w:p>
        </w:tc>
        <w:tc>
          <w:tcPr>
            <w:tcW w:w="716" w:type="dxa"/>
            <w:vAlign w:val="center"/>
          </w:tcPr>
          <w:p>
            <w:pPr>
              <w:pStyle w:val="64"/>
              <w:rPr>
                <w:rFonts w:hAnsi="宋体"/>
                <w:szCs w:val="22"/>
                <w:highlight w:val="none"/>
              </w:rPr>
            </w:pPr>
            <w:r>
              <w:rPr>
                <w:rFonts w:hAnsi="宋体"/>
                <w:highlight w:val="none"/>
              </w:rPr>
              <w:t>1076</w:t>
            </w:r>
          </w:p>
        </w:tc>
        <w:tc>
          <w:tcPr>
            <w:tcW w:w="893" w:type="dxa"/>
            <w:vAlign w:val="center"/>
          </w:tcPr>
          <w:p>
            <w:pPr>
              <w:pStyle w:val="64"/>
              <w:rPr>
                <w:rFonts w:hAnsi="宋体"/>
                <w:szCs w:val="22"/>
                <w:highlight w:val="none"/>
              </w:rPr>
            </w:pPr>
            <w:r>
              <w:rPr>
                <w:rFonts w:hAnsi="宋体"/>
                <w:highlight w:val="none"/>
              </w:rPr>
              <w:t>30</w:t>
            </w:r>
          </w:p>
        </w:tc>
        <w:tc>
          <w:tcPr>
            <w:tcW w:w="743" w:type="dxa"/>
            <w:vAlign w:val="center"/>
          </w:tcPr>
          <w:p>
            <w:pPr>
              <w:pStyle w:val="64"/>
              <w:rPr>
                <w:rFonts w:hAnsi="宋体"/>
                <w:szCs w:val="22"/>
                <w:highlight w:val="none"/>
              </w:rPr>
            </w:pPr>
            <w:r>
              <w:rPr>
                <w:rFonts w:hAnsi="宋体"/>
                <w:highlight w:val="none"/>
              </w:rPr>
              <w:t>40</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0.0963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752" w:type="dxa"/>
            <w:vAlign w:val="center"/>
          </w:tcPr>
          <w:p>
            <w:pPr>
              <w:pStyle w:val="64"/>
              <w:rPr>
                <w:rFonts w:hAnsi="宋体"/>
                <w:highlight w:val="none"/>
              </w:rPr>
            </w:pPr>
            <w:r>
              <w:rPr>
                <w:rFonts w:hint="eastAsia" w:hAnsi="宋体"/>
                <w:highlight w:val="none"/>
              </w:rPr>
              <w:t>废石库</w:t>
            </w:r>
          </w:p>
        </w:tc>
        <w:tc>
          <w:tcPr>
            <w:tcW w:w="1337" w:type="dxa"/>
            <w:vAlign w:val="center"/>
          </w:tcPr>
          <w:p>
            <w:pPr>
              <w:pStyle w:val="64"/>
              <w:rPr>
                <w:rFonts w:hAnsi="宋体"/>
                <w:szCs w:val="22"/>
                <w:highlight w:val="none"/>
              </w:rPr>
            </w:pPr>
            <w:r>
              <w:rPr>
                <w:rFonts w:hAnsi="宋体"/>
                <w:highlight w:val="none"/>
              </w:rPr>
              <w:t>113.448476</w:t>
            </w:r>
          </w:p>
        </w:tc>
        <w:tc>
          <w:tcPr>
            <w:tcW w:w="1219" w:type="dxa"/>
            <w:vAlign w:val="center"/>
          </w:tcPr>
          <w:p>
            <w:pPr>
              <w:pStyle w:val="64"/>
              <w:rPr>
                <w:rFonts w:hAnsi="宋体"/>
                <w:szCs w:val="22"/>
                <w:highlight w:val="none"/>
              </w:rPr>
            </w:pPr>
            <w:r>
              <w:rPr>
                <w:rFonts w:hAnsi="宋体"/>
                <w:highlight w:val="none"/>
              </w:rPr>
              <w:t>39.206379</w:t>
            </w:r>
          </w:p>
        </w:tc>
        <w:tc>
          <w:tcPr>
            <w:tcW w:w="716" w:type="dxa"/>
            <w:vAlign w:val="center"/>
          </w:tcPr>
          <w:p>
            <w:pPr>
              <w:pStyle w:val="64"/>
              <w:rPr>
                <w:rFonts w:hAnsi="宋体"/>
                <w:szCs w:val="22"/>
                <w:highlight w:val="none"/>
              </w:rPr>
            </w:pPr>
            <w:r>
              <w:rPr>
                <w:rFonts w:hAnsi="宋体"/>
                <w:highlight w:val="none"/>
              </w:rPr>
              <w:t>1079</w:t>
            </w:r>
          </w:p>
        </w:tc>
        <w:tc>
          <w:tcPr>
            <w:tcW w:w="893" w:type="dxa"/>
            <w:vAlign w:val="center"/>
          </w:tcPr>
          <w:p>
            <w:pPr>
              <w:pStyle w:val="64"/>
              <w:rPr>
                <w:rFonts w:hAnsi="宋体"/>
                <w:szCs w:val="22"/>
                <w:highlight w:val="none"/>
              </w:rPr>
            </w:pPr>
            <w:r>
              <w:rPr>
                <w:rFonts w:hAnsi="宋体"/>
                <w:highlight w:val="none"/>
              </w:rPr>
              <w:t>33</w:t>
            </w:r>
          </w:p>
        </w:tc>
        <w:tc>
          <w:tcPr>
            <w:tcW w:w="743" w:type="dxa"/>
            <w:vAlign w:val="center"/>
          </w:tcPr>
          <w:p>
            <w:pPr>
              <w:pStyle w:val="64"/>
              <w:rPr>
                <w:rFonts w:hAnsi="宋体"/>
                <w:szCs w:val="22"/>
                <w:highlight w:val="none"/>
              </w:rPr>
            </w:pPr>
            <w:r>
              <w:rPr>
                <w:rFonts w:hAnsi="宋体"/>
                <w:highlight w:val="none"/>
              </w:rPr>
              <w:t>30</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0.0683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Align w:val="center"/>
          </w:tcPr>
          <w:p>
            <w:pPr>
              <w:pStyle w:val="64"/>
              <w:rPr>
                <w:rFonts w:hAnsi="宋体"/>
                <w:highlight w:val="none"/>
              </w:rPr>
            </w:pPr>
            <w:r>
              <w:rPr>
                <w:rFonts w:hint="eastAsia" w:hAnsi="宋体"/>
                <w:highlight w:val="none"/>
              </w:rPr>
              <w:t>成品</w:t>
            </w:r>
            <w:r>
              <w:rPr>
                <w:rFonts w:hAnsi="宋体"/>
                <w:highlight w:val="none"/>
              </w:rPr>
              <w:t>库</w:t>
            </w:r>
          </w:p>
        </w:tc>
        <w:tc>
          <w:tcPr>
            <w:tcW w:w="1337" w:type="dxa"/>
            <w:vAlign w:val="center"/>
          </w:tcPr>
          <w:p>
            <w:pPr>
              <w:pStyle w:val="64"/>
              <w:rPr>
                <w:rFonts w:hAnsi="宋体"/>
                <w:szCs w:val="22"/>
                <w:highlight w:val="none"/>
              </w:rPr>
            </w:pPr>
            <w:r>
              <w:rPr>
                <w:rFonts w:hAnsi="宋体"/>
                <w:highlight w:val="none"/>
              </w:rPr>
              <w:t>113.448954</w:t>
            </w:r>
          </w:p>
        </w:tc>
        <w:tc>
          <w:tcPr>
            <w:tcW w:w="1219" w:type="dxa"/>
            <w:vAlign w:val="center"/>
          </w:tcPr>
          <w:p>
            <w:pPr>
              <w:pStyle w:val="64"/>
              <w:rPr>
                <w:rFonts w:hAnsi="宋体"/>
                <w:szCs w:val="22"/>
                <w:highlight w:val="none"/>
              </w:rPr>
            </w:pPr>
            <w:r>
              <w:rPr>
                <w:rFonts w:hAnsi="宋体"/>
                <w:highlight w:val="none"/>
              </w:rPr>
              <w:t>39.206449</w:t>
            </w:r>
          </w:p>
        </w:tc>
        <w:tc>
          <w:tcPr>
            <w:tcW w:w="716" w:type="dxa"/>
            <w:vAlign w:val="center"/>
          </w:tcPr>
          <w:p>
            <w:pPr>
              <w:pStyle w:val="64"/>
              <w:rPr>
                <w:rFonts w:hAnsi="宋体"/>
                <w:szCs w:val="22"/>
                <w:highlight w:val="none"/>
              </w:rPr>
            </w:pPr>
            <w:r>
              <w:rPr>
                <w:rFonts w:hAnsi="宋体"/>
                <w:highlight w:val="none"/>
              </w:rPr>
              <w:t>1079</w:t>
            </w:r>
          </w:p>
        </w:tc>
        <w:tc>
          <w:tcPr>
            <w:tcW w:w="893" w:type="dxa"/>
            <w:vAlign w:val="center"/>
          </w:tcPr>
          <w:p>
            <w:pPr>
              <w:pStyle w:val="64"/>
              <w:rPr>
                <w:rFonts w:hAnsi="宋体"/>
                <w:szCs w:val="22"/>
                <w:highlight w:val="none"/>
              </w:rPr>
            </w:pPr>
            <w:r>
              <w:rPr>
                <w:rFonts w:hAnsi="宋体"/>
                <w:highlight w:val="none"/>
              </w:rPr>
              <w:t>25</w:t>
            </w:r>
          </w:p>
        </w:tc>
        <w:tc>
          <w:tcPr>
            <w:tcW w:w="743" w:type="dxa"/>
            <w:vAlign w:val="center"/>
          </w:tcPr>
          <w:p>
            <w:pPr>
              <w:pStyle w:val="64"/>
              <w:rPr>
                <w:rFonts w:hAnsi="宋体"/>
                <w:szCs w:val="22"/>
                <w:highlight w:val="none"/>
              </w:rPr>
            </w:pPr>
            <w:r>
              <w:rPr>
                <w:rFonts w:hAnsi="宋体"/>
                <w:highlight w:val="none"/>
              </w:rPr>
              <w:t>20</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0.0040</w:t>
            </w:r>
            <w:r>
              <w:rPr>
                <w:rFonts w:hint="eastAsia" w:hAnsi="宋体"/>
                <w:highlight w:val="none"/>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Align w:val="center"/>
          </w:tcPr>
          <w:p>
            <w:pPr>
              <w:pStyle w:val="64"/>
              <w:rPr>
                <w:rFonts w:hAnsi="宋体"/>
                <w:highlight w:val="none"/>
              </w:rPr>
            </w:pPr>
            <w:r>
              <w:rPr>
                <w:rFonts w:hint="eastAsia" w:hAnsi="宋体"/>
                <w:highlight w:val="none"/>
              </w:rPr>
              <w:t>尾矿库</w:t>
            </w:r>
          </w:p>
        </w:tc>
        <w:tc>
          <w:tcPr>
            <w:tcW w:w="1337" w:type="dxa"/>
            <w:vAlign w:val="center"/>
          </w:tcPr>
          <w:p>
            <w:pPr>
              <w:pStyle w:val="64"/>
              <w:rPr>
                <w:rFonts w:hAnsi="宋体"/>
                <w:szCs w:val="22"/>
                <w:highlight w:val="none"/>
              </w:rPr>
            </w:pPr>
            <w:r>
              <w:rPr>
                <w:rFonts w:hAnsi="宋体"/>
                <w:highlight w:val="none"/>
              </w:rPr>
              <w:t>113.449758</w:t>
            </w:r>
          </w:p>
        </w:tc>
        <w:tc>
          <w:tcPr>
            <w:tcW w:w="1219" w:type="dxa"/>
            <w:vAlign w:val="center"/>
          </w:tcPr>
          <w:p>
            <w:pPr>
              <w:pStyle w:val="64"/>
              <w:rPr>
                <w:rFonts w:hAnsi="宋体"/>
                <w:szCs w:val="22"/>
                <w:highlight w:val="none"/>
              </w:rPr>
            </w:pPr>
            <w:r>
              <w:rPr>
                <w:rFonts w:hAnsi="宋体"/>
                <w:highlight w:val="none"/>
              </w:rPr>
              <w:t>39.206902</w:t>
            </w:r>
          </w:p>
        </w:tc>
        <w:tc>
          <w:tcPr>
            <w:tcW w:w="716" w:type="dxa"/>
            <w:vAlign w:val="center"/>
          </w:tcPr>
          <w:p>
            <w:pPr>
              <w:pStyle w:val="64"/>
              <w:rPr>
                <w:rFonts w:hAnsi="宋体"/>
                <w:szCs w:val="22"/>
                <w:highlight w:val="none"/>
              </w:rPr>
            </w:pPr>
            <w:r>
              <w:rPr>
                <w:rFonts w:hAnsi="宋体"/>
                <w:highlight w:val="none"/>
              </w:rPr>
              <w:t>1073</w:t>
            </w:r>
          </w:p>
        </w:tc>
        <w:tc>
          <w:tcPr>
            <w:tcW w:w="893" w:type="dxa"/>
            <w:vAlign w:val="center"/>
          </w:tcPr>
          <w:p>
            <w:pPr>
              <w:pStyle w:val="64"/>
              <w:rPr>
                <w:rFonts w:hAnsi="宋体"/>
                <w:szCs w:val="22"/>
                <w:highlight w:val="none"/>
              </w:rPr>
            </w:pPr>
            <w:r>
              <w:rPr>
                <w:rFonts w:hAnsi="宋体"/>
                <w:highlight w:val="none"/>
              </w:rPr>
              <w:t>8</w:t>
            </w:r>
          </w:p>
        </w:tc>
        <w:tc>
          <w:tcPr>
            <w:tcW w:w="743" w:type="dxa"/>
            <w:vAlign w:val="center"/>
          </w:tcPr>
          <w:p>
            <w:pPr>
              <w:pStyle w:val="64"/>
              <w:rPr>
                <w:rFonts w:hAnsi="宋体"/>
                <w:szCs w:val="22"/>
                <w:highlight w:val="none"/>
              </w:rPr>
            </w:pPr>
            <w:r>
              <w:rPr>
                <w:rFonts w:hAnsi="宋体"/>
                <w:highlight w:val="none"/>
              </w:rPr>
              <w:t>25</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0.010</w:t>
            </w:r>
            <w:r>
              <w:rPr>
                <w:rFonts w:hint="eastAsia" w:hAnsi="宋体"/>
                <w:highlight w:val="none"/>
              </w:rPr>
              <w:t>83</w:t>
            </w:r>
          </w:p>
        </w:tc>
      </w:tr>
    </w:tbl>
    <w:p>
      <w:pPr>
        <w:autoSpaceDE w:val="0"/>
        <w:autoSpaceDN w:val="0"/>
        <w:adjustRightInd w:val="0"/>
        <w:ind w:firstLine="482"/>
        <w:jc w:val="center"/>
        <w:rPr>
          <w:rFonts w:ascii="宋体" w:hAnsi="宋体"/>
          <w:b/>
          <w:szCs w:val="21"/>
          <w:highlight w:val="none"/>
        </w:rPr>
      </w:pPr>
    </w:p>
    <w:p>
      <w:pPr>
        <w:ind w:firstLine="480"/>
        <w:rPr>
          <w:rFonts w:ascii="宋体" w:hAnsi="宋体"/>
          <w:highlight w:val="none"/>
        </w:rPr>
        <w:sectPr>
          <w:headerReference r:id="rId17" w:type="even"/>
          <w:footerReference r:id="rId18" w:type="even"/>
          <w:pgSz w:w="11910" w:h="16840"/>
          <w:pgMar w:top="1588" w:right="1588" w:bottom="1474" w:left="1588" w:header="964" w:footer="850" w:gutter="0"/>
          <w:pgBorders>
            <w:top w:val="none" w:sz="0" w:space="0"/>
            <w:left w:val="none" w:sz="0" w:space="0"/>
            <w:bottom w:val="none" w:sz="0" w:space="0"/>
            <w:right w:val="none" w:sz="0" w:space="0"/>
          </w:pgBorders>
          <w:cols w:space="720" w:num="1"/>
          <w:docGrid w:linePitch="326" w:charSpace="0"/>
        </w:sectPr>
      </w:pPr>
    </w:p>
    <w:p>
      <w:pPr>
        <w:pStyle w:val="2"/>
        <w:ind w:firstLine="883"/>
        <w:rPr>
          <w:highlight w:val="none"/>
        </w:rPr>
      </w:pPr>
      <w:bookmarkStart w:id="148" w:name="_Toc70201028"/>
      <w:bookmarkStart w:id="149" w:name="_Toc487302146"/>
      <w:bookmarkStart w:id="150" w:name="_Toc474767056"/>
      <w:bookmarkStart w:id="151" w:name="_Toc1460932"/>
      <w:r>
        <w:rPr>
          <w:highlight w:val="none"/>
        </w:rPr>
        <w:t>第五章</w:t>
      </w:r>
      <w:r>
        <w:rPr>
          <w:rFonts w:hint="eastAsia"/>
          <w:highlight w:val="none"/>
        </w:rPr>
        <w:t xml:space="preserve">  </w:t>
      </w:r>
      <w:r>
        <w:rPr>
          <w:highlight w:val="none"/>
        </w:rPr>
        <w:t>环境影响预测及评价</w:t>
      </w:r>
      <w:bookmarkEnd w:id="148"/>
      <w:bookmarkEnd w:id="149"/>
      <w:bookmarkEnd w:id="150"/>
      <w:bookmarkEnd w:id="151"/>
    </w:p>
    <w:p>
      <w:pPr>
        <w:pStyle w:val="3"/>
        <w:ind w:firstLine="643"/>
        <w:rPr>
          <w:rFonts w:hAnsi="宋体"/>
          <w:highlight w:val="none"/>
        </w:rPr>
      </w:pPr>
      <w:bookmarkStart w:id="152" w:name="_Toc70201029"/>
      <w:bookmarkStart w:id="153" w:name="_Toc4678461"/>
      <w:bookmarkStart w:id="154" w:name="_Toc1460933"/>
      <w:r>
        <w:rPr>
          <w:rFonts w:hAnsi="宋体"/>
          <w:highlight w:val="none"/>
        </w:rPr>
        <w:t>5.1施工期环境影响分析</w:t>
      </w:r>
      <w:bookmarkEnd w:id="152"/>
    </w:p>
    <w:p>
      <w:pPr>
        <w:pStyle w:val="62"/>
        <w:ind w:firstLine="480"/>
        <w:rPr>
          <w:rFonts w:hAnsi="宋体"/>
          <w:highlight w:val="none"/>
        </w:rPr>
      </w:pPr>
      <w:r>
        <w:rPr>
          <w:rFonts w:hint="eastAsia" w:hAnsi="宋体"/>
          <w:highlight w:val="none"/>
        </w:rPr>
        <w:t>经现场踏勘，本项目主体工程已建设完成，施工时采取一系列环保措施，施工过程中产生的垃圾、施工人员生活垃圾和生活污水得到了合理处置，施工期不存在遗留问题。本项目尾矿库未建成，本项目施工影响分析主要分析尾矿库施工时对生态环境造成的影响。</w:t>
      </w:r>
    </w:p>
    <w:p>
      <w:pPr>
        <w:pStyle w:val="4"/>
        <w:ind w:firstLine="562"/>
        <w:rPr>
          <w:rFonts w:hAnsi="宋体"/>
          <w:highlight w:val="none"/>
        </w:rPr>
      </w:pPr>
      <w:r>
        <w:rPr>
          <w:rFonts w:hint="eastAsia" w:hAnsi="宋体"/>
          <w:highlight w:val="none"/>
        </w:rPr>
        <w:t>5.1.1</w:t>
      </w:r>
      <w:r>
        <w:rPr>
          <w:rFonts w:hAnsi="宋体"/>
          <w:highlight w:val="none"/>
        </w:rPr>
        <w:t>尾矿库的生态影响</w:t>
      </w:r>
    </w:p>
    <w:p>
      <w:pPr>
        <w:pStyle w:val="62"/>
        <w:ind w:firstLine="480"/>
        <w:rPr>
          <w:rFonts w:hAnsi="宋体"/>
          <w:highlight w:val="none"/>
        </w:rPr>
      </w:pPr>
      <w:r>
        <w:rPr>
          <w:rFonts w:hAnsi="宋体"/>
          <w:highlight w:val="none"/>
        </w:rPr>
        <w:t>拟选尾矿库为选厂东侧的荒沟，项目占地范围内无国家保护动物出现，无自然保护区等敏感区域分布，远离居民区，景观价值较低。就此情况来讲，选择其作为尾矿堆存场地对当地景观影响较小，不会对本区的生态系统中的物种变化造成大的影响，不会对其土地功能产生明显的恶化性影响。</w:t>
      </w:r>
    </w:p>
    <w:p>
      <w:pPr>
        <w:pStyle w:val="62"/>
        <w:ind w:firstLine="480"/>
        <w:rPr>
          <w:rFonts w:hAnsi="宋体"/>
          <w:highlight w:val="none"/>
        </w:rPr>
      </w:pPr>
      <w:r>
        <w:rPr>
          <w:rFonts w:hAnsi="宋体"/>
          <w:highlight w:val="none"/>
        </w:rPr>
        <w:t>场地平整和堆存过程中会对沟内及周边植被造成破坏，使其覆盖率降低。但随着拦渣坝、边坡和截洪沟工程绿化和覆土封场之后，该区植被覆盖率恢复，生态环境不会受到影响，能最大限度补偿造成的生物量损失。</w:t>
      </w:r>
    </w:p>
    <w:p>
      <w:pPr>
        <w:pStyle w:val="62"/>
        <w:ind w:firstLine="480"/>
        <w:rPr>
          <w:rFonts w:hAnsi="宋体"/>
          <w:highlight w:val="none"/>
        </w:rPr>
      </w:pPr>
      <w:r>
        <w:rPr>
          <w:rFonts w:hAnsi="宋体"/>
          <w:highlight w:val="none"/>
        </w:rPr>
        <w:t>尾矿库在清表过程中，场地区域极易造成水土流失，导致滑坡等地质灾害。本项目尾矿库选址为断头沟，沟头</w:t>
      </w:r>
      <w:r>
        <w:rPr>
          <w:rFonts w:hint="eastAsia" w:hAnsi="宋体"/>
          <w:highlight w:val="none"/>
          <w:lang w:val="en-US" w:eastAsia="zh-CN"/>
        </w:rPr>
        <w:t>位于本项目场区处</w:t>
      </w:r>
      <w:r>
        <w:rPr>
          <w:rFonts w:hint="eastAsia" w:hAnsi="宋体"/>
          <w:highlight w:val="none"/>
        </w:rPr>
        <w:t>。西侧为道路，道路高程高于沟，雨水不会流入沟内。环评要求：</w:t>
      </w:r>
      <w:r>
        <w:rPr>
          <w:rFonts w:hAnsi="宋体"/>
          <w:highlight w:val="none"/>
        </w:rPr>
        <w:t>拦挡坝、排水沟等工程在雨季来临之前完成，届时雨水不会进入沟内，最大程度的减轻了水土流失。</w:t>
      </w:r>
    </w:p>
    <w:p>
      <w:pPr>
        <w:pStyle w:val="4"/>
        <w:ind w:firstLine="562"/>
        <w:rPr>
          <w:rFonts w:hAnsi="宋体"/>
          <w:highlight w:val="none"/>
        </w:rPr>
      </w:pPr>
      <w:r>
        <w:rPr>
          <w:rFonts w:hAnsi="宋体"/>
          <w:highlight w:val="none"/>
        </w:rPr>
        <w:t>5.1.</w:t>
      </w:r>
      <w:r>
        <w:rPr>
          <w:rFonts w:hint="eastAsia" w:hAnsi="宋体"/>
          <w:highlight w:val="none"/>
        </w:rPr>
        <w:t>2</w:t>
      </w:r>
      <w:r>
        <w:rPr>
          <w:rFonts w:hAnsi="宋体"/>
          <w:highlight w:val="none"/>
        </w:rPr>
        <w:t>取土场</w:t>
      </w:r>
    </w:p>
    <w:p>
      <w:pPr>
        <w:pStyle w:val="62"/>
        <w:ind w:firstLine="480"/>
        <w:rPr>
          <w:rFonts w:hAnsi="宋体"/>
          <w:highlight w:val="none"/>
        </w:rPr>
      </w:pPr>
      <w:r>
        <w:rPr>
          <w:rFonts w:hAnsi="宋体"/>
          <w:highlight w:val="none"/>
        </w:rPr>
        <w:t>尾矿库覆土源自场地平整时剥离的表土及部分外购土方，不单独设置取土场。</w:t>
      </w:r>
    </w:p>
    <w:p>
      <w:pPr>
        <w:pStyle w:val="4"/>
        <w:ind w:firstLine="562"/>
        <w:rPr>
          <w:rFonts w:hAnsi="宋体"/>
          <w:highlight w:val="none"/>
        </w:rPr>
      </w:pPr>
      <w:r>
        <w:rPr>
          <w:rFonts w:hAnsi="宋体"/>
          <w:highlight w:val="none"/>
        </w:rPr>
        <w:t>5.1.</w:t>
      </w:r>
      <w:r>
        <w:rPr>
          <w:rFonts w:hint="eastAsia" w:hAnsi="宋体"/>
          <w:highlight w:val="none"/>
        </w:rPr>
        <w:t>3</w:t>
      </w:r>
      <w:r>
        <w:rPr>
          <w:rFonts w:hAnsi="宋体"/>
          <w:highlight w:val="none"/>
        </w:rPr>
        <w:t>运输道路</w:t>
      </w:r>
    </w:p>
    <w:p>
      <w:pPr>
        <w:pStyle w:val="62"/>
        <w:ind w:firstLine="480"/>
        <w:rPr>
          <w:rFonts w:hAnsi="宋体"/>
          <w:highlight w:val="none"/>
        </w:rPr>
      </w:pPr>
      <w:r>
        <w:rPr>
          <w:rFonts w:hAnsi="宋体"/>
          <w:highlight w:val="none"/>
        </w:rPr>
        <w:t>本项目尾矿库紧邻选矿厂，无需新修排渣道路。</w:t>
      </w:r>
    </w:p>
    <w:p>
      <w:pPr>
        <w:pStyle w:val="62"/>
        <w:ind w:firstLine="480"/>
        <w:rPr>
          <w:rFonts w:hAnsi="宋体"/>
          <w:highlight w:val="none"/>
        </w:rPr>
      </w:pPr>
      <w:r>
        <w:rPr>
          <w:rFonts w:hAnsi="宋体"/>
          <w:highlight w:val="none"/>
        </w:rPr>
        <w:t>综上分析，本项目尾矿库在施工期间对生态环境产生一定的影响，通过采取相应的生态保护和恢复措施，尤其是通过施工管理和强化施工期的保护和恢复，则本项目建设对生态环境影响是可接受的。</w:t>
      </w:r>
    </w:p>
    <w:p>
      <w:pPr>
        <w:pStyle w:val="3"/>
        <w:ind w:firstLine="643"/>
        <w:rPr>
          <w:rFonts w:hAnsi="宋体"/>
          <w:highlight w:val="none"/>
        </w:rPr>
      </w:pPr>
      <w:bookmarkStart w:id="155" w:name="_Toc70201030"/>
      <w:r>
        <w:rPr>
          <w:rFonts w:hAnsi="宋体"/>
          <w:highlight w:val="none"/>
        </w:rPr>
        <w:t>5.</w:t>
      </w:r>
      <w:r>
        <w:rPr>
          <w:rFonts w:hint="eastAsia" w:hAnsi="宋体"/>
          <w:highlight w:val="none"/>
        </w:rPr>
        <w:t>2运营期</w:t>
      </w:r>
      <w:r>
        <w:rPr>
          <w:rFonts w:hAnsi="宋体"/>
          <w:highlight w:val="none"/>
        </w:rPr>
        <w:t>大气环境影响</w:t>
      </w:r>
      <w:bookmarkEnd w:id="153"/>
      <w:bookmarkEnd w:id="154"/>
      <w:r>
        <w:rPr>
          <w:rFonts w:hAnsi="宋体"/>
          <w:highlight w:val="none"/>
        </w:rPr>
        <w:t>预测与评价</w:t>
      </w:r>
      <w:bookmarkEnd w:id="155"/>
    </w:p>
    <w:p>
      <w:pPr>
        <w:pStyle w:val="4"/>
        <w:ind w:firstLine="562"/>
        <w:rPr>
          <w:rFonts w:hAnsi="宋体"/>
          <w:highlight w:val="none"/>
          <w:lang w:val="zh-CN"/>
        </w:rPr>
      </w:pPr>
      <w:r>
        <w:rPr>
          <w:rFonts w:hAnsi="宋体"/>
          <w:highlight w:val="none"/>
          <w:lang w:val="zh-CN"/>
        </w:rPr>
        <w:t>5.</w:t>
      </w:r>
      <w:r>
        <w:rPr>
          <w:rFonts w:hint="eastAsia" w:hAnsi="宋体"/>
          <w:highlight w:val="none"/>
          <w:lang w:val="zh-CN"/>
        </w:rPr>
        <w:t>2</w:t>
      </w:r>
      <w:r>
        <w:rPr>
          <w:rFonts w:hAnsi="宋体"/>
          <w:highlight w:val="none"/>
          <w:lang w:val="zh-CN"/>
        </w:rPr>
        <w:t>.1评价区气象特征分析</w:t>
      </w:r>
    </w:p>
    <w:p>
      <w:pPr>
        <w:pStyle w:val="62"/>
        <w:tabs>
          <w:tab w:val="center" w:pos="4492"/>
        </w:tabs>
        <w:ind w:firstLine="480"/>
        <w:rPr>
          <w:rFonts w:hAnsi="宋体"/>
          <w:highlight w:val="none"/>
        </w:rPr>
      </w:pPr>
      <w:r>
        <w:rPr>
          <w:rFonts w:hint="eastAsia" w:hAnsi="宋体"/>
          <w:highlight w:val="none"/>
        </w:rPr>
        <w:t>1、</w:t>
      </w:r>
      <w:r>
        <w:rPr>
          <w:rFonts w:hAnsi="宋体"/>
          <w:highlight w:val="none"/>
        </w:rPr>
        <w:t>气象特征</w:t>
      </w:r>
      <w:r>
        <w:rPr>
          <w:rFonts w:hAnsi="宋体"/>
          <w:highlight w:val="none"/>
        </w:rPr>
        <w:tab/>
      </w:r>
    </w:p>
    <w:p>
      <w:pPr>
        <w:pStyle w:val="62"/>
        <w:ind w:firstLine="480"/>
        <w:rPr>
          <w:rFonts w:hAnsi="宋体"/>
          <w:highlight w:val="none"/>
        </w:rPr>
      </w:pPr>
      <w:r>
        <w:rPr>
          <w:rFonts w:hint="eastAsia" w:hAnsi="宋体"/>
          <w:highlight w:val="none"/>
        </w:rPr>
        <w:t>繁峙属温带大陆性气候，一年四季分明。但平川、丘陵区冬长夏短，多数山区则冬长无夏，春秋相连。各季的气候特点是：冬季寒冷少雪，春季干旱多风，夏季雨量集中，秋季凉爽宜人。</w:t>
      </w:r>
    </w:p>
    <w:p>
      <w:pPr>
        <w:pStyle w:val="62"/>
        <w:ind w:firstLine="480"/>
        <w:rPr>
          <w:rFonts w:hAnsi="宋体"/>
          <w:highlight w:val="none"/>
        </w:rPr>
      </w:pPr>
      <w:r>
        <w:rPr>
          <w:rFonts w:hint="eastAsia" w:hAnsi="宋体"/>
          <w:highlight w:val="none"/>
        </w:rPr>
        <w:t>据繁峙县气象站1991-2010年地面气候资料统计资料可知：本区年平均风速为1.9m/s，年平均气温为8.0℃，极端最高气温为38.2℃，极端最低气温为-25.7℃；年相对湿度为54%；年均降水量为402.4mm，最大日降水量为80.0mm，历年平均蒸发量为1738.4mm，为年降水量的4.3倍；年平均日照时数为2794.6h，日照百分率63%。</w:t>
      </w:r>
    </w:p>
    <w:p>
      <w:pPr>
        <w:pStyle w:val="62"/>
        <w:ind w:firstLine="480"/>
        <w:rPr>
          <w:rFonts w:hAnsi="宋体"/>
          <w:highlight w:val="none"/>
        </w:rPr>
      </w:pPr>
      <w:r>
        <w:rPr>
          <w:rFonts w:hint="eastAsia" w:hAnsi="宋体"/>
          <w:highlight w:val="none"/>
        </w:rPr>
        <w:t>受地形影响，全年主导风向为ENE，频率为12%，静风频率为26%。</w:t>
      </w:r>
    </w:p>
    <w:p>
      <w:pPr>
        <w:pStyle w:val="62"/>
        <w:ind w:firstLine="480"/>
        <w:rPr>
          <w:rFonts w:hAnsi="宋体"/>
          <w:highlight w:val="none"/>
        </w:rPr>
      </w:pPr>
      <w:r>
        <w:rPr>
          <w:rFonts w:hint="eastAsia" w:hAnsi="宋体"/>
          <w:highlight w:val="none"/>
        </w:rPr>
        <w:t>具体数值见表5.2-1。</w:t>
      </w:r>
    </w:p>
    <w:p>
      <w:pPr>
        <w:adjustRightInd w:val="0"/>
        <w:spacing w:line="460" w:lineRule="exact"/>
        <w:ind w:firstLine="0" w:firstLineChars="0"/>
        <w:jc w:val="center"/>
        <w:rPr>
          <w:rFonts w:ascii="宋体" w:hAnsi="宋体"/>
          <w:spacing w:val="6"/>
          <w:highlight w:val="none"/>
        </w:rPr>
      </w:pPr>
      <w:r>
        <w:rPr>
          <w:rFonts w:ascii="宋体" w:hAnsi="宋体"/>
          <w:spacing w:val="6"/>
          <w:highlight w:val="none"/>
        </w:rPr>
        <w:t>表5.</w:t>
      </w:r>
      <w:r>
        <w:rPr>
          <w:rFonts w:hint="eastAsia" w:ascii="宋体" w:hAnsi="宋体"/>
          <w:spacing w:val="6"/>
          <w:highlight w:val="none"/>
        </w:rPr>
        <w:t>2</w:t>
      </w:r>
      <w:r>
        <w:rPr>
          <w:rFonts w:ascii="宋体" w:hAnsi="宋体"/>
          <w:spacing w:val="6"/>
          <w:highlight w:val="none"/>
        </w:rPr>
        <w:t>-1</w:t>
      </w:r>
      <w:r>
        <w:rPr>
          <w:rFonts w:hint="eastAsia" w:ascii="宋体" w:hAnsi="宋体"/>
          <w:spacing w:val="6"/>
          <w:highlight w:val="none"/>
        </w:rPr>
        <w:t xml:space="preserve">  </w:t>
      </w:r>
      <w:r>
        <w:rPr>
          <w:rFonts w:ascii="宋体" w:hAnsi="宋体"/>
          <w:spacing w:val="6"/>
          <w:highlight w:val="none"/>
        </w:rPr>
        <w:t>繁峙县</w:t>
      </w:r>
      <w:r>
        <w:rPr>
          <w:rFonts w:hint="eastAsia" w:ascii="宋体" w:hAnsi="宋体"/>
          <w:spacing w:val="6"/>
          <w:highlight w:val="none"/>
        </w:rPr>
        <w:t>多年气候统计结果表</w:t>
      </w:r>
    </w:p>
    <w:tbl>
      <w:tblPr>
        <w:tblStyle w:val="44"/>
        <w:tblW w:w="89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648"/>
        <w:gridCol w:w="4060"/>
        <w:gridCol w:w="324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spacing w:val="-1"/>
                <w:highlight w:val="none"/>
              </w:rPr>
              <w:t>序</w:t>
            </w:r>
            <w:r>
              <w:rPr>
                <w:rFonts w:hAnsi="宋体"/>
                <w:highlight w:val="none"/>
              </w:rPr>
              <w:t>号</w:t>
            </w:r>
          </w:p>
        </w:tc>
        <w:tc>
          <w:tcPr>
            <w:tcW w:w="4060" w:type="dxa"/>
          </w:tcPr>
          <w:p>
            <w:pPr>
              <w:pStyle w:val="64"/>
              <w:rPr>
                <w:rFonts w:hAnsi="宋体"/>
                <w:highlight w:val="none"/>
              </w:rPr>
            </w:pPr>
            <w:r>
              <w:rPr>
                <w:rFonts w:hAnsi="宋体"/>
                <w:spacing w:val="-1"/>
                <w:highlight w:val="none"/>
              </w:rPr>
              <w:t>项</w:t>
            </w:r>
            <w:r>
              <w:rPr>
                <w:rFonts w:hAnsi="宋体"/>
                <w:highlight w:val="none"/>
              </w:rPr>
              <w:t>目</w:t>
            </w:r>
          </w:p>
        </w:tc>
        <w:tc>
          <w:tcPr>
            <w:tcW w:w="3242" w:type="dxa"/>
          </w:tcPr>
          <w:p>
            <w:pPr>
              <w:pStyle w:val="64"/>
              <w:rPr>
                <w:rFonts w:hAnsi="宋体"/>
                <w:highlight w:val="none"/>
              </w:rPr>
            </w:pPr>
            <w:r>
              <w:rPr>
                <w:rFonts w:hAnsi="宋体"/>
                <w:spacing w:val="-1"/>
                <w:highlight w:val="none"/>
              </w:rPr>
              <w:t>数</w:t>
            </w:r>
            <w:r>
              <w:rPr>
                <w:rFonts w:hAnsi="宋体"/>
                <w:highlight w:val="none"/>
              </w:rPr>
              <w:t>值</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highlight w:val="none"/>
              </w:rPr>
              <w:t>1</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平</w:t>
            </w:r>
            <w:r>
              <w:rPr>
                <w:rFonts w:hAnsi="宋体"/>
                <w:spacing w:val="2"/>
                <w:highlight w:val="none"/>
              </w:rPr>
              <w:t>均</w:t>
            </w:r>
            <w:r>
              <w:rPr>
                <w:rFonts w:hAnsi="宋体"/>
                <w:spacing w:val="-1"/>
                <w:highlight w:val="none"/>
              </w:rPr>
              <w:t>气</w:t>
            </w:r>
            <w:r>
              <w:rPr>
                <w:rFonts w:hAnsi="宋体"/>
                <w:spacing w:val="2"/>
                <w:highlight w:val="none"/>
              </w:rPr>
              <w:t>温（</w:t>
            </w:r>
            <w:r>
              <w:rPr>
                <w:rFonts w:hint="eastAsia" w:hAnsi="宋体"/>
                <w:spacing w:val="-1"/>
                <w:highlight w:val="none"/>
              </w:rPr>
              <w:t>℃</w:t>
            </w:r>
            <w:r>
              <w:rPr>
                <w:rFonts w:hAnsi="宋体"/>
                <w:highlight w:val="none"/>
              </w:rPr>
              <w:t>）</w:t>
            </w:r>
          </w:p>
        </w:tc>
        <w:tc>
          <w:tcPr>
            <w:tcW w:w="3242" w:type="dxa"/>
          </w:tcPr>
          <w:p>
            <w:pPr>
              <w:pStyle w:val="64"/>
              <w:rPr>
                <w:rFonts w:hAnsi="宋体"/>
                <w:highlight w:val="none"/>
              </w:rPr>
            </w:pPr>
            <w:r>
              <w:rPr>
                <w:rFonts w:hAnsi="宋体"/>
                <w:spacing w:val="1"/>
                <w:highlight w:val="none"/>
              </w:rPr>
              <w:t>8</w:t>
            </w:r>
            <w:r>
              <w:rPr>
                <w:rFonts w:hAnsi="宋体"/>
                <w:highlight w:val="none"/>
              </w:rPr>
              <w:t>.</w:t>
            </w:r>
            <w:r>
              <w:rPr>
                <w:rFonts w:hAnsi="宋体"/>
                <w:spacing w:val="1"/>
                <w:highlight w:val="none"/>
              </w:rPr>
              <w:t>9</w:t>
            </w:r>
            <w:r>
              <w:rPr>
                <w:rFonts w:hAnsi="宋体"/>
                <w:highlight w:val="none"/>
              </w:rPr>
              <w:t>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highlight w:val="none"/>
              </w:rPr>
              <w:t>2</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平</w:t>
            </w:r>
            <w:r>
              <w:rPr>
                <w:rFonts w:hAnsi="宋体"/>
                <w:spacing w:val="2"/>
                <w:highlight w:val="none"/>
              </w:rPr>
              <w:t>均</w:t>
            </w:r>
            <w:r>
              <w:rPr>
                <w:rFonts w:hAnsi="宋体"/>
                <w:spacing w:val="-1"/>
                <w:highlight w:val="none"/>
              </w:rPr>
              <w:t>最</w:t>
            </w:r>
            <w:r>
              <w:rPr>
                <w:rFonts w:hAnsi="宋体"/>
                <w:spacing w:val="2"/>
                <w:highlight w:val="none"/>
              </w:rPr>
              <w:t>高</w:t>
            </w:r>
            <w:r>
              <w:rPr>
                <w:rFonts w:hAnsi="宋体"/>
                <w:spacing w:val="-1"/>
                <w:highlight w:val="none"/>
              </w:rPr>
              <w:t>气</w:t>
            </w:r>
            <w:r>
              <w:rPr>
                <w:rFonts w:hAnsi="宋体"/>
                <w:spacing w:val="2"/>
                <w:highlight w:val="none"/>
              </w:rPr>
              <w:t>温</w:t>
            </w:r>
            <w:r>
              <w:rPr>
                <w:rFonts w:hAnsi="宋体"/>
                <w:spacing w:val="-1"/>
                <w:highlight w:val="none"/>
              </w:rPr>
              <w:t>统</w:t>
            </w:r>
            <w:r>
              <w:rPr>
                <w:rFonts w:hAnsi="宋体"/>
                <w:spacing w:val="2"/>
                <w:highlight w:val="none"/>
              </w:rPr>
              <w:t>计</w:t>
            </w:r>
            <w:r>
              <w:rPr>
                <w:rFonts w:hAnsi="宋体"/>
                <w:spacing w:val="-1"/>
                <w:highlight w:val="none"/>
              </w:rPr>
              <w:t>值</w:t>
            </w:r>
            <w:r>
              <w:rPr>
                <w:rFonts w:hAnsi="宋体"/>
                <w:spacing w:val="2"/>
                <w:highlight w:val="none"/>
              </w:rPr>
              <w:t>（</w:t>
            </w:r>
            <w:r>
              <w:rPr>
                <w:rFonts w:hint="eastAsia" w:hAnsi="宋体"/>
                <w:spacing w:val="-1"/>
                <w:highlight w:val="none"/>
              </w:rPr>
              <w:t>℃</w:t>
            </w:r>
            <w:r>
              <w:rPr>
                <w:rFonts w:hAnsi="宋体"/>
                <w:highlight w:val="none"/>
              </w:rPr>
              <w:t>）</w:t>
            </w:r>
          </w:p>
        </w:tc>
        <w:tc>
          <w:tcPr>
            <w:tcW w:w="3242" w:type="dxa"/>
          </w:tcPr>
          <w:p>
            <w:pPr>
              <w:pStyle w:val="64"/>
              <w:rPr>
                <w:rFonts w:hAnsi="宋体"/>
                <w:highlight w:val="none"/>
              </w:rPr>
            </w:pPr>
            <w:r>
              <w:rPr>
                <w:rFonts w:hAnsi="宋体"/>
                <w:spacing w:val="1"/>
                <w:highlight w:val="none"/>
              </w:rPr>
              <w:t>40</w:t>
            </w:r>
            <w:r>
              <w:rPr>
                <w:rFonts w:hAnsi="宋体"/>
                <w:highlight w:val="none"/>
              </w:rPr>
              <w:t>.</w:t>
            </w:r>
            <w:r>
              <w:rPr>
                <w:rFonts w:hAnsi="宋体"/>
                <w:spacing w:val="-2"/>
                <w:highlight w:val="none"/>
              </w:rPr>
              <w:t>9</w:t>
            </w:r>
            <w:r>
              <w:rPr>
                <w:rFonts w:hAnsi="宋体"/>
                <w:spacing w:val="-1"/>
                <w:highlight w:val="none"/>
              </w:rPr>
              <w:t>（</w:t>
            </w:r>
            <w:r>
              <w:rPr>
                <w:rFonts w:hAnsi="宋体"/>
                <w:spacing w:val="2"/>
                <w:highlight w:val="none"/>
              </w:rPr>
              <w:t>极</w:t>
            </w:r>
            <w:r>
              <w:rPr>
                <w:rFonts w:hAnsi="宋体"/>
                <w:spacing w:val="-1"/>
                <w:highlight w:val="none"/>
              </w:rPr>
              <w:t>值</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648" w:type="dxa"/>
          </w:tcPr>
          <w:p>
            <w:pPr>
              <w:pStyle w:val="64"/>
              <w:rPr>
                <w:rFonts w:hAnsi="宋体"/>
                <w:highlight w:val="none"/>
              </w:rPr>
            </w:pPr>
            <w:r>
              <w:rPr>
                <w:rFonts w:hAnsi="宋体"/>
                <w:highlight w:val="none"/>
              </w:rPr>
              <w:t>3</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平</w:t>
            </w:r>
            <w:r>
              <w:rPr>
                <w:rFonts w:hAnsi="宋体"/>
                <w:spacing w:val="2"/>
                <w:highlight w:val="none"/>
              </w:rPr>
              <w:t>均</w:t>
            </w:r>
            <w:r>
              <w:rPr>
                <w:rFonts w:hAnsi="宋体"/>
                <w:spacing w:val="-1"/>
                <w:highlight w:val="none"/>
              </w:rPr>
              <w:t>最</w:t>
            </w:r>
            <w:r>
              <w:rPr>
                <w:rFonts w:hAnsi="宋体"/>
                <w:spacing w:val="2"/>
                <w:highlight w:val="none"/>
              </w:rPr>
              <w:t>低</w:t>
            </w:r>
            <w:r>
              <w:rPr>
                <w:rFonts w:hAnsi="宋体"/>
                <w:spacing w:val="-1"/>
                <w:highlight w:val="none"/>
              </w:rPr>
              <w:t>气</w:t>
            </w:r>
            <w:r>
              <w:rPr>
                <w:rFonts w:hAnsi="宋体"/>
                <w:spacing w:val="2"/>
                <w:highlight w:val="none"/>
              </w:rPr>
              <w:t>温</w:t>
            </w:r>
            <w:r>
              <w:rPr>
                <w:rFonts w:hAnsi="宋体"/>
                <w:spacing w:val="-1"/>
                <w:highlight w:val="none"/>
              </w:rPr>
              <w:t>统</w:t>
            </w:r>
            <w:r>
              <w:rPr>
                <w:rFonts w:hAnsi="宋体"/>
                <w:spacing w:val="2"/>
                <w:highlight w:val="none"/>
              </w:rPr>
              <w:t>计</w:t>
            </w:r>
            <w:r>
              <w:rPr>
                <w:rFonts w:hAnsi="宋体"/>
                <w:spacing w:val="-1"/>
                <w:highlight w:val="none"/>
              </w:rPr>
              <w:t>值</w:t>
            </w:r>
            <w:r>
              <w:rPr>
                <w:rFonts w:hAnsi="宋体"/>
                <w:spacing w:val="2"/>
                <w:highlight w:val="none"/>
              </w:rPr>
              <w:t>（</w:t>
            </w:r>
            <w:r>
              <w:rPr>
                <w:rFonts w:hint="eastAsia" w:hAnsi="宋体"/>
                <w:spacing w:val="-1"/>
                <w:highlight w:val="none"/>
              </w:rPr>
              <w:t>℃</w:t>
            </w:r>
            <w:r>
              <w:rPr>
                <w:rFonts w:hAnsi="宋体"/>
                <w:highlight w:val="none"/>
              </w:rPr>
              <w:t>）</w:t>
            </w:r>
          </w:p>
        </w:tc>
        <w:tc>
          <w:tcPr>
            <w:tcW w:w="3242" w:type="dxa"/>
          </w:tcPr>
          <w:p>
            <w:pPr>
              <w:pStyle w:val="64"/>
              <w:rPr>
                <w:rFonts w:hAnsi="宋体"/>
                <w:highlight w:val="none"/>
              </w:rPr>
            </w:pPr>
            <w:r>
              <w:rPr>
                <w:rFonts w:hAnsi="宋体"/>
                <w:highlight w:val="none"/>
              </w:rPr>
              <w:t>-</w:t>
            </w:r>
            <w:r>
              <w:rPr>
                <w:rFonts w:hAnsi="宋体"/>
                <w:spacing w:val="1"/>
                <w:highlight w:val="none"/>
              </w:rPr>
              <w:t>24</w:t>
            </w:r>
            <w:r>
              <w:rPr>
                <w:rFonts w:hAnsi="宋体"/>
                <w:highlight w:val="none"/>
              </w:rPr>
              <w:t>.</w:t>
            </w:r>
            <w:r>
              <w:rPr>
                <w:rFonts w:hAnsi="宋体"/>
                <w:spacing w:val="-2"/>
                <w:highlight w:val="none"/>
              </w:rPr>
              <w:t>3</w:t>
            </w:r>
            <w:r>
              <w:rPr>
                <w:rFonts w:hAnsi="宋体"/>
                <w:spacing w:val="-1"/>
                <w:highlight w:val="none"/>
              </w:rPr>
              <w:t>（</w:t>
            </w:r>
            <w:r>
              <w:rPr>
                <w:rFonts w:hAnsi="宋体"/>
                <w:spacing w:val="2"/>
                <w:highlight w:val="none"/>
              </w:rPr>
              <w:t>极</w:t>
            </w:r>
            <w:r>
              <w:rPr>
                <w:rFonts w:hAnsi="宋体"/>
                <w:spacing w:val="-1"/>
                <w:highlight w:val="none"/>
              </w:rPr>
              <w:t>值</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highlight w:val="none"/>
              </w:rPr>
              <w:t>4</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平</w:t>
            </w:r>
            <w:r>
              <w:rPr>
                <w:rFonts w:hAnsi="宋体"/>
                <w:spacing w:val="2"/>
                <w:highlight w:val="none"/>
              </w:rPr>
              <w:t>均</w:t>
            </w:r>
            <w:r>
              <w:rPr>
                <w:rFonts w:hAnsi="宋体"/>
                <w:spacing w:val="-1"/>
                <w:highlight w:val="none"/>
              </w:rPr>
              <w:t>风</w:t>
            </w:r>
            <w:r>
              <w:rPr>
                <w:rFonts w:hAnsi="宋体"/>
                <w:spacing w:val="2"/>
                <w:highlight w:val="none"/>
              </w:rPr>
              <w:t>速（</w:t>
            </w:r>
            <w:r>
              <w:rPr>
                <w:rFonts w:hAnsi="宋体"/>
                <w:spacing w:val="-2"/>
                <w:highlight w:val="none"/>
              </w:rPr>
              <w:t>m</w:t>
            </w:r>
            <w:r>
              <w:rPr>
                <w:rFonts w:hAnsi="宋体"/>
                <w:spacing w:val="2"/>
                <w:highlight w:val="none"/>
              </w:rPr>
              <w:t>/</w:t>
            </w:r>
            <w:r>
              <w:rPr>
                <w:rFonts w:hAnsi="宋体"/>
                <w:highlight w:val="none"/>
              </w:rPr>
              <w:t>s）</w:t>
            </w:r>
          </w:p>
        </w:tc>
        <w:tc>
          <w:tcPr>
            <w:tcW w:w="3242" w:type="dxa"/>
          </w:tcPr>
          <w:p>
            <w:pPr>
              <w:pStyle w:val="64"/>
              <w:rPr>
                <w:rFonts w:hAnsi="宋体"/>
                <w:highlight w:val="none"/>
              </w:rPr>
            </w:pPr>
            <w:r>
              <w:rPr>
                <w:rFonts w:hAnsi="宋体"/>
                <w:spacing w:val="1"/>
                <w:highlight w:val="none"/>
              </w:rPr>
              <w:t>1</w:t>
            </w:r>
            <w:r>
              <w:rPr>
                <w:rFonts w:hAnsi="宋体"/>
                <w:highlight w:val="none"/>
              </w:rPr>
              <w:t>.</w:t>
            </w:r>
            <w:r>
              <w:rPr>
                <w:rFonts w:hAnsi="宋体"/>
                <w:spacing w:val="1"/>
                <w:highlight w:val="none"/>
              </w:rPr>
              <w:t>9</w:t>
            </w:r>
            <w:r>
              <w:rPr>
                <w:rFonts w:hAnsi="宋体"/>
                <w:highlight w:val="none"/>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highlight w:val="none"/>
              </w:rPr>
              <w:t>5</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平</w:t>
            </w:r>
            <w:r>
              <w:rPr>
                <w:rFonts w:hAnsi="宋体"/>
                <w:spacing w:val="2"/>
                <w:highlight w:val="none"/>
              </w:rPr>
              <w:t>均</w:t>
            </w:r>
            <w:r>
              <w:rPr>
                <w:rFonts w:hAnsi="宋体"/>
                <w:spacing w:val="-1"/>
                <w:highlight w:val="none"/>
              </w:rPr>
              <w:t>静</w:t>
            </w:r>
            <w:r>
              <w:rPr>
                <w:rFonts w:hAnsi="宋体"/>
                <w:spacing w:val="2"/>
                <w:highlight w:val="none"/>
              </w:rPr>
              <w:t>风</w:t>
            </w:r>
            <w:r>
              <w:rPr>
                <w:rFonts w:hAnsi="宋体"/>
                <w:spacing w:val="-1"/>
                <w:highlight w:val="none"/>
              </w:rPr>
              <w:t>出</w:t>
            </w:r>
            <w:r>
              <w:rPr>
                <w:rFonts w:hAnsi="宋体"/>
                <w:spacing w:val="2"/>
                <w:highlight w:val="none"/>
              </w:rPr>
              <w:t>现</w:t>
            </w:r>
            <w:r>
              <w:rPr>
                <w:rFonts w:hAnsi="宋体"/>
                <w:spacing w:val="-1"/>
                <w:highlight w:val="none"/>
              </w:rPr>
              <w:t>频</w:t>
            </w:r>
            <w:r>
              <w:rPr>
                <w:rFonts w:hAnsi="宋体"/>
                <w:spacing w:val="2"/>
                <w:highlight w:val="none"/>
              </w:rPr>
              <w:t>率</w:t>
            </w:r>
            <w:r>
              <w:rPr>
                <w:rFonts w:hAnsi="宋体"/>
                <w:spacing w:val="-1"/>
                <w:highlight w:val="none"/>
              </w:rPr>
              <w:t>（</w:t>
            </w:r>
            <w:r>
              <w:rPr>
                <w:rFonts w:hAnsi="宋体"/>
                <w:spacing w:val="1"/>
                <w:highlight w:val="none"/>
              </w:rPr>
              <w:t>%</w:t>
            </w:r>
            <w:r>
              <w:rPr>
                <w:rFonts w:hAnsi="宋体"/>
                <w:highlight w:val="none"/>
              </w:rPr>
              <w:t>）</w:t>
            </w:r>
          </w:p>
        </w:tc>
        <w:tc>
          <w:tcPr>
            <w:tcW w:w="3242" w:type="dxa"/>
          </w:tcPr>
          <w:p>
            <w:pPr>
              <w:pStyle w:val="64"/>
              <w:rPr>
                <w:rFonts w:hAnsi="宋体"/>
                <w:highlight w:val="none"/>
              </w:rPr>
            </w:pPr>
            <w:r>
              <w:rPr>
                <w:rFonts w:hint="eastAsia" w:hAnsi="宋体"/>
                <w:spacing w:val="1"/>
                <w:highlight w:val="none"/>
              </w:rPr>
              <w:t>26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highlight w:val="none"/>
              </w:rPr>
              <w:t>6</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平</w:t>
            </w:r>
            <w:r>
              <w:rPr>
                <w:rFonts w:hAnsi="宋体"/>
                <w:spacing w:val="2"/>
                <w:highlight w:val="none"/>
              </w:rPr>
              <w:t>均</w:t>
            </w:r>
            <w:r>
              <w:rPr>
                <w:rFonts w:hAnsi="宋体"/>
                <w:spacing w:val="-1"/>
                <w:highlight w:val="none"/>
              </w:rPr>
              <w:t>最</w:t>
            </w:r>
            <w:r>
              <w:rPr>
                <w:rFonts w:hAnsi="宋体"/>
                <w:spacing w:val="2"/>
                <w:highlight w:val="none"/>
              </w:rPr>
              <w:t>大</w:t>
            </w:r>
            <w:r>
              <w:rPr>
                <w:rFonts w:hAnsi="宋体"/>
                <w:spacing w:val="-1"/>
                <w:highlight w:val="none"/>
              </w:rPr>
              <w:t>日</w:t>
            </w:r>
            <w:r>
              <w:rPr>
                <w:rFonts w:hAnsi="宋体"/>
                <w:spacing w:val="2"/>
                <w:highlight w:val="none"/>
              </w:rPr>
              <w:t>降</w:t>
            </w:r>
            <w:r>
              <w:rPr>
                <w:rFonts w:hAnsi="宋体"/>
                <w:spacing w:val="-1"/>
                <w:highlight w:val="none"/>
              </w:rPr>
              <w:t>水</w:t>
            </w:r>
            <w:r>
              <w:rPr>
                <w:rFonts w:hAnsi="宋体"/>
                <w:spacing w:val="2"/>
                <w:highlight w:val="none"/>
              </w:rPr>
              <w:t>量（</w:t>
            </w:r>
            <w:r>
              <w:rPr>
                <w:rFonts w:hAnsi="宋体"/>
                <w:spacing w:val="-2"/>
                <w:highlight w:val="none"/>
              </w:rPr>
              <w:t>m</w:t>
            </w:r>
            <w:r>
              <w:rPr>
                <w:rFonts w:hAnsi="宋体"/>
                <w:highlight w:val="none"/>
              </w:rPr>
              <w:t>m）</w:t>
            </w:r>
          </w:p>
        </w:tc>
        <w:tc>
          <w:tcPr>
            <w:tcW w:w="3242" w:type="dxa"/>
          </w:tcPr>
          <w:p>
            <w:pPr>
              <w:pStyle w:val="64"/>
              <w:rPr>
                <w:rFonts w:hAnsi="宋体"/>
                <w:highlight w:val="none"/>
              </w:rPr>
            </w:pPr>
            <w:r>
              <w:rPr>
                <w:rFonts w:hAnsi="宋体"/>
                <w:spacing w:val="1"/>
                <w:highlight w:val="none"/>
              </w:rPr>
              <w:t>45</w:t>
            </w:r>
            <w:r>
              <w:rPr>
                <w:rFonts w:hAnsi="宋体"/>
                <w:highlight w:val="none"/>
              </w:rPr>
              <w:t>.</w:t>
            </w:r>
            <w:r>
              <w:rPr>
                <w:rFonts w:hAnsi="宋体"/>
                <w:spacing w:val="-2"/>
                <w:highlight w:val="none"/>
              </w:rPr>
              <w:t>7</w:t>
            </w:r>
            <w:r>
              <w:rPr>
                <w:rFonts w:hAnsi="宋体"/>
                <w:highlight w:val="none"/>
              </w:rPr>
              <w:t>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648" w:type="dxa"/>
          </w:tcPr>
          <w:p>
            <w:pPr>
              <w:pStyle w:val="64"/>
              <w:rPr>
                <w:rFonts w:hAnsi="宋体"/>
                <w:highlight w:val="none"/>
              </w:rPr>
            </w:pPr>
            <w:r>
              <w:rPr>
                <w:rFonts w:hAnsi="宋体"/>
                <w:highlight w:val="none"/>
              </w:rPr>
              <w:t>7</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主</w:t>
            </w:r>
            <w:r>
              <w:rPr>
                <w:rFonts w:hAnsi="宋体"/>
                <w:spacing w:val="2"/>
                <w:highlight w:val="none"/>
              </w:rPr>
              <w:t>导</w:t>
            </w:r>
            <w:r>
              <w:rPr>
                <w:rFonts w:hAnsi="宋体"/>
                <w:spacing w:val="-1"/>
                <w:highlight w:val="none"/>
              </w:rPr>
              <w:t>风</w:t>
            </w:r>
            <w:r>
              <w:rPr>
                <w:rFonts w:hAnsi="宋体"/>
                <w:highlight w:val="none"/>
              </w:rPr>
              <w:t>向</w:t>
            </w:r>
          </w:p>
        </w:tc>
        <w:tc>
          <w:tcPr>
            <w:tcW w:w="3242" w:type="dxa"/>
          </w:tcPr>
          <w:p>
            <w:pPr>
              <w:pStyle w:val="64"/>
              <w:rPr>
                <w:rFonts w:hAnsi="宋体"/>
                <w:highlight w:val="none"/>
              </w:rPr>
            </w:pPr>
            <w:r>
              <w:rPr>
                <w:rFonts w:hAnsi="宋体"/>
                <w:spacing w:val="-1"/>
                <w:highlight w:val="none"/>
              </w:rPr>
              <w:t>E</w:t>
            </w:r>
            <w:r>
              <w:rPr>
                <w:rFonts w:hAnsi="宋体"/>
                <w:highlight w:val="none"/>
              </w:rPr>
              <w:t>NE</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648" w:type="dxa"/>
          </w:tcPr>
          <w:p>
            <w:pPr>
              <w:pStyle w:val="64"/>
              <w:rPr>
                <w:rFonts w:hAnsi="宋体"/>
                <w:highlight w:val="none"/>
              </w:rPr>
            </w:pPr>
            <w:r>
              <w:rPr>
                <w:rFonts w:hAnsi="宋体"/>
                <w:highlight w:val="none"/>
              </w:rPr>
              <w:t>8</w:t>
            </w:r>
          </w:p>
        </w:tc>
        <w:tc>
          <w:tcPr>
            <w:tcW w:w="4060" w:type="dxa"/>
          </w:tcPr>
          <w:p>
            <w:pPr>
              <w:pStyle w:val="64"/>
              <w:rPr>
                <w:rFonts w:hAnsi="宋体"/>
                <w:highlight w:val="none"/>
              </w:rPr>
            </w:pPr>
            <w:r>
              <w:rPr>
                <w:rFonts w:hAnsi="宋体"/>
                <w:spacing w:val="-1"/>
                <w:highlight w:val="none"/>
              </w:rPr>
              <w:t>多</w:t>
            </w:r>
            <w:r>
              <w:rPr>
                <w:rFonts w:hAnsi="宋体"/>
                <w:spacing w:val="2"/>
                <w:highlight w:val="none"/>
              </w:rPr>
              <w:t>年</w:t>
            </w:r>
            <w:r>
              <w:rPr>
                <w:rFonts w:hAnsi="宋体"/>
                <w:spacing w:val="-1"/>
                <w:highlight w:val="none"/>
              </w:rPr>
              <w:t>主</w:t>
            </w:r>
            <w:r>
              <w:rPr>
                <w:rFonts w:hAnsi="宋体"/>
                <w:spacing w:val="2"/>
                <w:highlight w:val="none"/>
              </w:rPr>
              <w:t>导</w:t>
            </w:r>
            <w:r>
              <w:rPr>
                <w:rFonts w:hAnsi="宋体"/>
                <w:spacing w:val="-1"/>
                <w:highlight w:val="none"/>
              </w:rPr>
              <w:t>风</w:t>
            </w:r>
            <w:r>
              <w:rPr>
                <w:rFonts w:hAnsi="宋体"/>
                <w:spacing w:val="2"/>
                <w:highlight w:val="none"/>
              </w:rPr>
              <w:t>向</w:t>
            </w:r>
            <w:r>
              <w:rPr>
                <w:rFonts w:hAnsi="宋体"/>
                <w:spacing w:val="-1"/>
                <w:highlight w:val="none"/>
              </w:rPr>
              <w:t>风</w:t>
            </w:r>
            <w:r>
              <w:rPr>
                <w:rFonts w:hAnsi="宋体"/>
                <w:spacing w:val="2"/>
                <w:highlight w:val="none"/>
              </w:rPr>
              <w:t>频（</w:t>
            </w:r>
            <w:r>
              <w:rPr>
                <w:rFonts w:hAnsi="宋体"/>
                <w:spacing w:val="-2"/>
                <w:highlight w:val="none"/>
              </w:rPr>
              <w:t>%</w:t>
            </w:r>
            <w:r>
              <w:rPr>
                <w:rFonts w:hAnsi="宋体"/>
                <w:highlight w:val="none"/>
              </w:rPr>
              <w:t>）</w:t>
            </w:r>
          </w:p>
        </w:tc>
        <w:tc>
          <w:tcPr>
            <w:tcW w:w="3242" w:type="dxa"/>
          </w:tcPr>
          <w:p>
            <w:pPr>
              <w:pStyle w:val="64"/>
              <w:rPr>
                <w:rFonts w:hAnsi="宋体"/>
                <w:highlight w:val="none"/>
              </w:rPr>
            </w:pPr>
            <w:r>
              <w:rPr>
                <w:rFonts w:hint="eastAsia" w:hAnsi="宋体"/>
                <w:spacing w:val="1"/>
                <w:highlight w:val="none"/>
              </w:rPr>
              <w:t>12</w:t>
            </w:r>
          </w:p>
        </w:tc>
      </w:tr>
    </w:tbl>
    <w:p>
      <w:pPr>
        <w:pStyle w:val="62"/>
        <w:ind w:firstLine="480"/>
        <w:rPr>
          <w:rFonts w:hAnsi="宋体"/>
          <w:highlight w:val="none"/>
        </w:rPr>
      </w:pPr>
      <w:r>
        <w:rPr>
          <w:rFonts w:hint="eastAsia" w:hAnsi="宋体"/>
          <w:highlight w:val="none"/>
        </w:rPr>
        <w:t>2、</w:t>
      </w:r>
      <w:r>
        <w:rPr>
          <w:rFonts w:hAnsi="宋体"/>
          <w:highlight w:val="none"/>
        </w:rPr>
        <w:t>风向玫瑰图</w:t>
      </w:r>
    </w:p>
    <w:p>
      <w:pPr>
        <w:pStyle w:val="62"/>
        <w:ind w:firstLine="496"/>
        <w:rPr>
          <w:rFonts w:hAnsi="宋体"/>
          <w:spacing w:val="4"/>
          <w:highlight w:val="none"/>
        </w:rPr>
      </w:pPr>
      <w:r>
        <w:rPr>
          <w:rFonts w:hAnsi="宋体"/>
          <w:spacing w:val="4"/>
          <w:highlight w:val="none"/>
        </w:rPr>
        <w:t>评价收集了繁峙县气象站风频玫瑰图，见图5-1。</w:t>
      </w:r>
    </w:p>
    <w:p>
      <w:pPr>
        <w:tabs>
          <w:tab w:val="left" w:pos="3060"/>
        </w:tabs>
        <w:spacing w:line="240" w:lineRule="auto"/>
        <w:ind w:firstLine="0" w:firstLineChars="0"/>
        <w:jc w:val="center"/>
        <w:rPr>
          <w:rFonts w:ascii="宋体" w:hAnsi="宋体"/>
          <w:spacing w:val="4"/>
          <w:highlight w:val="none"/>
        </w:rPr>
      </w:pPr>
      <w:r>
        <w:rPr>
          <w:rFonts w:ascii="宋体" w:hAnsi="宋体"/>
          <w:spacing w:val="4"/>
          <w:highlight w:val="none"/>
        </w:rPr>
        <w:drawing>
          <wp:inline distT="0" distB="0" distL="0" distR="0">
            <wp:extent cx="3028315" cy="25901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028315" cy="2590165"/>
                    </a:xfrm>
                    <a:prstGeom prst="rect">
                      <a:avLst/>
                    </a:prstGeom>
                    <a:noFill/>
                  </pic:spPr>
                </pic:pic>
              </a:graphicData>
            </a:graphic>
          </wp:inline>
        </w:drawing>
      </w:r>
    </w:p>
    <w:p>
      <w:pPr>
        <w:pStyle w:val="62"/>
        <w:ind w:firstLine="0" w:firstLineChars="0"/>
        <w:jc w:val="center"/>
        <w:rPr>
          <w:rFonts w:hAnsi="宋体"/>
          <w:highlight w:val="none"/>
        </w:rPr>
      </w:pPr>
      <w:r>
        <w:rPr>
          <w:rFonts w:hAnsi="宋体"/>
          <w:highlight w:val="none"/>
        </w:rPr>
        <w:t>图5-1</w:t>
      </w:r>
      <w:r>
        <w:rPr>
          <w:rFonts w:hint="eastAsia" w:hAnsi="宋体"/>
          <w:highlight w:val="none"/>
        </w:rPr>
        <w:t xml:space="preserve">  </w:t>
      </w:r>
      <w:r>
        <w:rPr>
          <w:rFonts w:hAnsi="宋体"/>
          <w:highlight w:val="none"/>
        </w:rPr>
        <w:t>繁峙县多年风玫瑰图</w:t>
      </w:r>
    </w:p>
    <w:p>
      <w:pPr>
        <w:pStyle w:val="4"/>
        <w:ind w:firstLine="562"/>
        <w:rPr>
          <w:rFonts w:hAnsi="宋体"/>
          <w:highlight w:val="none"/>
        </w:rPr>
      </w:pPr>
      <w:bookmarkStart w:id="156" w:name="_Toc4678463"/>
      <w:r>
        <w:rPr>
          <w:rFonts w:hAnsi="宋体"/>
          <w:highlight w:val="none"/>
        </w:rPr>
        <w:t>5.</w:t>
      </w:r>
      <w:r>
        <w:rPr>
          <w:rFonts w:hint="eastAsia" w:hAnsi="宋体"/>
          <w:highlight w:val="none"/>
        </w:rPr>
        <w:t>2</w:t>
      </w:r>
      <w:r>
        <w:rPr>
          <w:rFonts w:hAnsi="宋体"/>
          <w:highlight w:val="none"/>
        </w:rPr>
        <w:t>.</w:t>
      </w:r>
      <w:r>
        <w:rPr>
          <w:rFonts w:hint="eastAsia" w:hAnsi="宋体"/>
          <w:highlight w:val="none"/>
        </w:rPr>
        <w:t>2</w:t>
      </w:r>
      <w:r>
        <w:rPr>
          <w:rFonts w:hAnsi="宋体"/>
          <w:highlight w:val="none"/>
        </w:rPr>
        <w:t>运营期大气环境影响</w:t>
      </w:r>
      <w:bookmarkEnd w:id="156"/>
      <w:r>
        <w:rPr>
          <w:rFonts w:hAnsi="宋体"/>
          <w:highlight w:val="none"/>
        </w:rPr>
        <w:t>预测</w:t>
      </w:r>
    </w:p>
    <w:p>
      <w:pPr>
        <w:snapToGrid w:val="0"/>
        <w:ind w:firstLine="480"/>
        <w:rPr>
          <w:rFonts w:ascii="宋体" w:hAnsi="宋体" w:cstheme="minorBidi"/>
          <w:bCs/>
          <w:highlight w:val="none"/>
        </w:rPr>
      </w:pPr>
      <w:r>
        <w:rPr>
          <w:rFonts w:hint="eastAsia" w:ascii="宋体" w:hAnsi="宋体" w:cstheme="minorBidi"/>
          <w:bCs/>
          <w:highlight w:val="none"/>
        </w:rPr>
        <w:t>5.2.2.1项目所在区域达标判断</w:t>
      </w:r>
    </w:p>
    <w:p>
      <w:pPr>
        <w:snapToGrid w:val="0"/>
        <w:ind w:firstLine="480"/>
        <w:rPr>
          <w:rFonts w:ascii="宋体" w:hAnsi="宋体"/>
          <w:highlight w:val="none"/>
        </w:rPr>
      </w:pPr>
      <w:r>
        <w:rPr>
          <w:rFonts w:hint="eastAsia"/>
          <w:highlight w:val="none"/>
        </w:rPr>
        <w:t>本项目环境空气质量例行监测资料引用忻州市</w:t>
      </w:r>
      <w:r>
        <w:rPr>
          <w:highlight w:val="none"/>
        </w:rPr>
        <w:t>2021年1月1日-2021年12月31日环境空气质量主要污染物浓度分析表</w:t>
      </w:r>
      <w:r>
        <w:rPr>
          <w:rFonts w:hint="eastAsia" w:ascii="宋体" w:hAnsi="宋体" w:cstheme="minorBidi"/>
          <w:bCs/>
          <w:highlight w:val="none"/>
        </w:rPr>
        <w:t>。</w:t>
      </w:r>
      <w:r>
        <w:rPr>
          <w:rFonts w:ascii="宋体" w:hAnsi="宋体" w:cstheme="minorBidi"/>
          <w:bCs/>
          <w:highlight w:val="none"/>
        </w:rPr>
        <w:t>环境空气质量现状监测结果见表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2</w:t>
      </w:r>
      <w:r>
        <w:rPr>
          <w:rFonts w:ascii="宋体" w:hAnsi="宋体" w:cstheme="minorBidi"/>
          <w:bCs/>
          <w:highlight w:val="none"/>
        </w:rPr>
        <w:t>。</w:t>
      </w:r>
    </w:p>
    <w:p>
      <w:pPr>
        <w:pStyle w:val="62"/>
        <w:ind w:firstLine="480"/>
        <w:jc w:val="center"/>
        <w:rPr>
          <w:rFonts w:hAnsi="宋体"/>
          <w:highlight w:val="none"/>
          <w:vertAlign w:val="superscript"/>
        </w:rPr>
      </w:pP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2  </w:t>
      </w:r>
      <w:r>
        <w:rPr>
          <w:rFonts w:hAnsi="宋体"/>
          <w:highlight w:val="none"/>
        </w:rPr>
        <w:t>繁峙县20</w:t>
      </w:r>
      <w:r>
        <w:rPr>
          <w:rFonts w:hint="eastAsia" w:hAnsi="宋体"/>
          <w:highlight w:val="none"/>
        </w:rPr>
        <w:t>20</w:t>
      </w:r>
      <w:r>
        <w:rPr>
          <w:rFonts w:hAnsi="宋体"/>
          <w:highlight w:val="none"/>
        </w:rPr>
        <w:t>年大气环境例行监测点统计结果单位：μg/m</w:t>
      </w:r>
      <w:r>
        <w:rPr>
          <w:rFonts w:hAnsi="宋体"/>
          <w:highlight w:val="none"/>
          <w:vertAlign w:val="superscript"/>
        </w:rPr>
        <w:t>3</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18"/>
        <w:gridCol w:w="1120"/>
        <w:gridCol w:w="1119"/>
        <w:gridCol w:w="1119"/>
        <w:gridCol w:w="1121"/>
        <w:gridCol w:w="1117"/>
        <w:gridCol w:w="1117"/>
        <w:gridCol w:w="111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18" w:type="dxa"/>
            <w:vAlign w:val="center"/>
          </w:tcPr>
          <w:p>
            <w:pPr>
              <w:pStyle w:val="64"/>
              <w:rPr>
                <w:rFonts w:hAnsi="宋体"/>
                <w:highlight w:val="none"/>
                <w:lang w:val="zh-CN"/>
              </w:rPr>
            </w:pPr>
            <w:r>
              <w:rPr>
                <w:rFonts w:hAnsi="宋体"/>
                <w:highlight w:val="none"/>
                <w:lang w:val="zh-CN"/>
              </w:rPr>
              <w:t>城市</w:t>
            </w:r>
          </w:p>
        </w:tc>
        <w:tc>
          <w:tcPr>
            <w:tcW w:w="1120" w:type="dxa"/>
            <w:vAlign w:val="center"/>
          </w:tcPr>
          <w:p>
            <w:pPr>
              <w:pStyle w:val="64"/>
              <w:rPr>
                <w:rFonts w:hAnsi="宋体"/>
                <w:highlight w:val="none"/>
                <w:lang w:val="zh-CN"/>
              </w:rPr>
            </w:pPr>
            <w:r>
              <w:rPr>
                <w:rFonts w:hAnsi="宋体"/>
                <w:highlight w:val="none"/>
                <w:lang w:val="zh-CN"/>
              </w:rPr>
              <w:t>县区</w:t>
            </w:r>
          </w:p>
        </w:tc>
        <w:tc>
          <w:tcPr>
            <w:tcW w:w="1119" w:type="dxa"/>
            <w:vAlign w:val="center"/>
          </w:tcPr>
          <w:p>
            <w:pPr>
              <w:pStyle w:val="64"/>
              <w:rPr>
                <w:rFonts w:hAnsi="宋体"/>
                <w:highlight w:val="none"/>
                <w:lang w:val="zh-CN"/>
              </w:rPr>
            </w:pPr>
            <w:r>
              <w:rPr>
                <w:rFonts w:hAnsi="宋体"/>
                <w:highlight w:val="none"/>
                <w:lang w:val="zh-CN"/>
              </w:rPr>
              <w:t>SO</w:t>
            </w:r>
            <w:r>
              <w:rPr>
                <w:rFonts w:hAnsi="宋体"/>
                <w:highlight w:val="none"/>
                <w:vertAlign w:val="subscript"/>
                <w:lang w:val="zh-CN"/>
              </w:rPr>
              <w:t>2</w:t>
            </w:r>
            <w:r>
              <w:rPr>
                <w:rFonts w:hAnsi="宋体"/>
                <w:highlight w:val="none"/>
                <w:lang w:val="zh-CN"/>
              </w:rPr>
              <w:t>浓度均值</w:t>
            </w:r>
          </w:p>
        </w:tc>
        <w:tc>
          <w:tcPr>
            <w:tcW w:w="1119" w:type="dxa"/>
            <w:vAlign w:val="center"/>
          </w:tcPr>
          <w:p>
            <w:pPr>
              <w:pStyle w:val="64"/>
              <w:rPr>
                <w:rFonts w:hAnsi="宋体"/>
                <w:highlight w:val="none"/>
                <w:lang w:val="zh-CN"/>
              </w:rPr>
            </w:pPr>
            <w:r>
              <w:rPr>
                <w:rFonts w:hAnsi="宋体"/>
                <w:highlight w:val="none"/>
                <w:lang w:val="zh-CN"/>
              </w:rPr>
              <w:t>NO</w:t>
            </w:r>
            <w:r>
              <w:rPr>
                <w:rFonts w:hAnsi="宋体"/>
                <w:highlight w:val="none"/>
                <w:vertAlign w:val="subscript"/>
                <w:lang w:val="zh-CN"/>
              </w:rPr>
              <w:t>2</w:t>
            </w:r>
            <w:r>
              <w:rPr>
                <w:rFonts w:hAnsi="宋体"/>
                <w:highlight w:val="none"/>
                <w:lang w:val="zh-CN"/>
              </w:rPr>
              <w:t>浓度均值</w:t>
            </w:r>
          </w:p>
        </w:tc>
        <w:tc>
          <w:tcPr>
            <w:tcW w:w="1121" w:type="dxa"/>
            <w:vAlign w:val="center"/>
          </w:tcPr>
          <w:p>
            <w:pPr>
              <w:pStyle w:val="64"/>
              <w:rPr>
                <w:rFonts w:hAnsi="宋体"/>
                <w:highlight w:val="none"/>
                <w:lang w:val="zh-CN"/>
              </w:rPr>
            </w:pPr>
            <w:r>
              <w:rPr>
                <w:rFonts w:hAnsi="宋体"/>
                <w:highlight w:val="none"/>
                <w:lang w:val="zh-CN"/>
              </w:rPr>
              <w:t>PM</w:t>
            </w:r>
            <w:r>
              <w:rPr>
                <w:rFonts w:hAnsi="宋体"/>
                <w:highlight w:val="none"/>
                <w:vertAlign w:val="subscript"/>
                <w:lang w:val="zh-CN"/>
              </w:rPr>
              <w:t>10</w:t>
            </w:r>
            <w:r>
              <w:rPr>
                <w:rFonts w:hAnsi="宋体"/>
                <w:highlight w:val="none"/>
                <w:lang w:val="zh-CN"/>
              </w:rPr>
              <w:t>浓度均值</w:t>
            </w:r>
          </w:p>
        </w:tc>
        <w:tc>
          <w:tcPr>
            <w:tcW w:w="1117" w:type="dxa"/>
            <w:vAlign w:val="center"/>
          </w:tcPr>
          <w:p>
            <w:pPr>
              <w:pStyle w:val="64"/>
              <w:rPr>
                <w:rFonts w:hAnsi="宋体"/>
                <w:highlight w:val="none"/>
                <w:lang w:val="zh-CN"/>
              </w:rPr>
            </w:pPr>
            <w:r>
              <w:rPr>
                <w:rFonts w:hAnsi="宋体"/>
                <w:highlight w:val="none"/>
                <w:lang w:val="zh-CN"/>
              </w:rPr>
              <w:t>PM</w:t>
            </w:r>
            <w:r>
              <w:rPr>
                <w:rFonts w:hAnsi="宋体"/>
                <w:highlight w:val="none"/>
                <w:vertAlign w:val="subscript"/>
                <w:lang w:val="zh-CN"/>
              </w:rPr>
              <w:t>2.5</w:t>
            </w:r>
            <w:r>
              <w:rPr>
                <w:rFonts w:hAnsi="宋体"/>
                <w:highlight w:val="none"/>
                <w:lang w:val="zh-CN"/>
              </w:rPr>
              <w:t>浓度均值</w:t>
            </w:r>
          </w:p>
        </w:tc>
        <w:tc>
          <w:tcPr>
            <w:tcW w:w="1117" w:type="dxa"/>
            <w:vAlign w:val="center"/>
          </w:tcPr>
          <w:p>
            <w:pPr>
              <w:pStyle w:val="64"/>
              <w:rPr>
                <w:rFonts w:hAnsi="宋体"/>
                <w:highlight w:val="none"/>
                <w:lang w:val="zh-CN"/>
              </w:rPr>
            </w:pPr>
            <w:r>
              <w:rPr>
                <w:rFonts w:hAnsi="宋体"/>
                <w:highlight w:val="none"/>
                <w:lang w:val="zh-CN"/>
              </w:rPr>
              <w:t>CO百分位数</w:t>
            </w:r>
          </w:p>
        </w:tc>
        <w:tc>
          <w:tcPr>
            <w:tcW w:w="1119" w:type="dxa"/>
            <w:vAlign w:val="center"/>
          </w:tcPr>
          <w:p>
            <w:pPr>
              <w:pStyle w:val="64"/>
              <w:rPr>
                <w:rFonts w:hAnsi="宋体"/>
                <w:highlight w:val="none"/>
                <w:lang w:val="zh-CN"/>
              </w:rPr>
            </w:pPr>
            <w:r>
              <w:rPr>
                <w:rFonts w:hAnsi="宋体"/>
                <w:highlight w:val="none"/>
                <w:lang w:val="zh-CN"/>
              </w:rPr>
              <w:t>O</w:t>
            </w:r>
            <w:r>
              <w:rPr>
                <w:rFonts w:hAnsi="宋体"/>
                <w:highlight w:val="none"/>
                <w:vertAlign w:val="subscript"/>
                <w:lang w:val="zh-CN"/>
              </w:rPr>
              <w:t>3—</w:t>
            </w:r>
            <w:r>
              <w:rPr>
                <w:rFonts w:hAnsi="宋体"/>
                <w:highlight w:val="none"/>
                <w:lang w:val="zh-CN"/>
              </w:rPr>
              <w:t>8h百分位数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18" w:type="dxa"/>
            <w:vAlign w:val="center"/>
          </w:tcPr>
          <w:p>
            <w:pPr>
              <w:pStyle w:val="64"/>
              <w:rPr>
                <w:rFonts w:hAnsi="宋体"/>
                <w:highlight w:val="none"/>
                <w:lang w:val="zh-CN"/>
              </w:rPr>
            </w:pPr>
            <w:r>
              <w:rPr>
                <w:rFonts w:hAnsi="宋体"/>
                <w:highlight w:val="none"/>
                <w:lang w:val="zh-CN"/>
              </w:rPr>
              <w:t>忻州</w:t>
            </w:r>
          </w:p>
        </w:tc>
        <w:tc>
          <w:tcPr>
            <w:tcW w:w="1120" w:type="dxa"/>
            <w:vAlign w:val="center"/>
          </w:tcPr>
          <w:p>
            <w:pPr>
              <w:pStyle w:val="64"/>
              <w:rPr>
                <w:rFonts w:hAnsi="宋体"/>
                <w:highlight w:val="none"/>
                <w:lang w:val="zh-CN"/>
              </w:rPr>
            </w:pPr>
            <w:r>
              <w:rPr>
                <w:rFonts w:hAnsi="宋体"/>
                <w:highlight w:val="none"/>
                <w:lang w:val="zh-CN"/>
              </w:rPr>
              <w:t>繁峙县</w:t>
            </w:r>
          </w:p>
        </w:tc>
        <w:tc>
          <w:tcPr>
            <w:tcW w:w="1119" w:type="dxa"/>
            <w:vAlign w:val="center"/>
          </w:tcPr>
          <w:p>
            <w:pPr>
              <w:pStyle w:val="64"/>
              <w:rPr>
                <w:rFonts w:hAnsi="宋体"/>
                <w:highlight w:val="none"/>
                <w:lang w:val="zh-CN"/>
              </w:rPr>
            </w:pPr>
            <w:r>
              <w:rPr>
                <w:rFonts w:hint="eastAsia" w:hAnsi="宋体"/>
                <w:highlight w:val="none"/>
                <w:lang w:val="en-US" w:eastAsia="zh-CN"/>
              </w:rPr>
              <w:t>23</w:t>
            </w:r>
          </w:p>
        </w:tc>
        <w:tc>
          <w:tcPr>
            <w:tcW w:w="1119" w:type="dxa"/>
            <w:vAlign w:val="center"/>
          </w:tcPr>
          <w:p>
            <w:pPr>
              <w:pStyle w:val="64"/>
              <w:rPr>
                <w:rFonts w:hAnsi="宋体"/>
                <w:highlight w:val="none"/>
                <w:lang w:val="zh-CN"/>
              </w:rPr>
            </w:pPr>
            <w:r>
              <w:rPr>
                <w:rFonts w:hint="eastAsia" w:hAnsi="宋体"/>
                <w:highlight w:val="none"/>
                <w:lang w:val="en-US" w:eastAsia="zh-CN"/>
              </w:rPr>
              <w:t>27</w:t>
            </w:r>
          </w:p>
        </w:tc>
        <w:tc>
          <w:tcPr>
            <w:tcW w:w="1121" w:type="dxa"/>
            <w:vAlign w:val="center"/>
          </w:tcPr>
          <w:p>
            <w:pPr>
              <w:pStyle w:val="64"/>
              <w:rPr>
                <w:rFonts w:hAnsi="宋体"/>
                <w:highlight w:val="none"/>
                <w:lang w:val="zh-CN"/>
              </w:rPr>
            </w:pPr>
            <w:r>
              <w:rPr>
                <w:rFonts w:hint="eastAsia" w:hAnsi="宋体"/>
                <w:highlight w:val="none"/>
                <w:lang w:val="en-US" w:eastAsia="zh-CN"/>
              </w:rPr>
              <w:t>78</w:t>
            </w:r>
          </w:p>
        </w:tc>
        <w:tc>
          <w:tcPr>
            <w:tcW w:w="1117" w:type="dxa"/>
            <w:vAlign w:val="center"/>
          </w:tcPr>
          <w:p>
            <w:pPr>
              <w:pStyle w:val="64"/>
              <w:rPr>
                <w:rFonts w:hAnsi="宋体"/>
                <w:highlight w:val="none"/>
                <w:lang w:val="zh-CN"/>
              </w:rPr>
            </w:pPr>
            <w:r>
              <w:rPr>
                <w:rFonts w:hint="eastAsia" w:hAnsi="宋体"/>
                <w:highlight w:val="none"/>
                <w:lang w:val="en-US" w:eastAsia="zh-CN"/>
              </w:rPr>
              <w:t>29</w:t>
            </w:r>
          </w:p>
        </w:tc>
        <w:tc>
          <w:tcPr>
            <w:tcW w:w="1117" w:type="dxa"/>
            <w:vAlign w:val="center"/>
          </w:tcPr>
          <w:p>
            <w:pPr>
              <w:pStyle w:val="64"/>
              <w:rPr>
                <w:rFonts w:hAnsi="宋体"/>
                <w:highlight w:val="none"/>
                <w:lang w:val="zh-CN"/>
              </w:rPr>
            </w:pPr>
            <w:r>
              <w:rPr>
                <w:rFonts w:hint="eastAsia" w:hAnsi="宋体"/>
                <w:highlight w:val="none"/>
                <w:lang w:val="zh-CN"/>
              </w:rPr>
              <w:t>1.</w:t>
            </w:r>
            <w:r>
              <w:rPr>
                <w:rFonts w:hint="eastAsia" w:hAnsi="宋体"/>
                <w:highlight w:val="none"/>
                <w:lang w:val="en-US" w:eastAsia="zh-CN"/>
              </w:rPr>
              <w:t>4</w:t>
            </w:r>
          </w:p>
        </w:tc>
        <w:tc>
          <w:tcPr>
            <w:tcW w:w="1119" w:type="dxa"/>
            <w:vAlign w:val="center"/>
          </w:tcPr>
          <w:p>
            <w:pPr>
              <w:pStyle w:val="64"/>
              <w:rPr>
                <w:rFonts w:hAnsi="宋体"/>
                <w:highlight w:val="none"/>
                <w:lang w:val="zh-CN"/>
              </w:rPr>
            </w:pPr>
            <w:r>
              <w:rPr>
                <w:rFonts w:hint="eastAsia" w:hAnsi="宋体"/>
                <w:highlight w:val="none"/>
                <w:lang w:val="zh-CN"/>
              </w:rPr>
              <w:t>1</w:t>
            </w:r>
            <w:r>
              <w:rPr>
                <w:rFonts w:hint="eastAsia" w:hAnsi="宋体"/>
                <w:highlight w:val="none"/>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38" w:type="dxa"/>
            <w:gridSpan w:val="2"/>
            <w:vAlign w:val="center"/>
          </w:tcPr>
          <w:p>
            <w:pPr>
              <w:pStyle w:val="64"/>
              <w:rPr>
                <w:rFonts w:hAnsi="宋体"/>
                <w:highlight w:val="none"/>
                <w:lang w:val="zh-CN"/>
              </w:rPr>
            </w:pPr>
            <w:r>
              <w:rPr>
                <w:rFonts w:hAnsi="宋体"/>
                <w:highlight w:val="none"/>
                <w:lang w:val="zh-CN"/>
              </w:rPr>
              <w:t>年均值标准限值</w:t>
            </w:r>
          </w:p>
        </w:tc>
        <w:tc>
          <w:tcPr>
            <w:tcW w:w="1119" w:type="dxa"/>
            <w:vAlign w:val="center"/>
          </w:tcPr>
          <w:p>
            <w:pPr>
              <w:pStyle w:val="64"/>
              <w:rPr>
                <w:rFonts w:hAnsi="宋体"/>
                <w:highlight w:val="none"/>
                <w:lang w:val="zh-CN"/>
              </w:rPr>
            </w:pPr>
            <w:r>
              <w:rPr>
                <w:rFonts w:hAnsi="宋体"/>
                <w:highlight w:val="none"/>
                <w:lang w:val="zh-CN"/>
              </w:rPr>
              <w:t>60</w:t>
            </w:r>
          </w:p>
        </w:tc>
        <w:tc>
          <w:tcPr>
            <w:tcW w:w="1119" w:type="dxa"/>
            <w:vAlign w:val="center"/>
          </w:tcPr>
          <w:p>
            <w:pPr>
              <w:pStyle w:val="64"/>
              <w:rPr>
                <w:rFonts w:hAnsi="宋体"/>
                <w:highlight w:val="none"/>
                <w:lang w:val="zh-CN"/>
              </w:rPr>
            </w:pPr>
            <w:r>
              <w:rPr>
                <w:rFonts w:hAnsi="宋体"/>
                <w:highlight w:val="none"/>
                <w:lang w:val="zh-CN"/>
              </w:rPr>
              <w:t>40</w:t>
            </w:r>
          </w:p>
        </w:tc>
        <w:tc>
          <w:tcPr>
            <w:tcW w:w="1121" w:type="dxa"/>
            <w:vAlign w:val="center"/>
          </w:tcPr>
          <w:p>
            <w:pPr>
              <w:pStyle w:val="64"/>
              <w:rPr>
                <w:rFonts w:hAnsi="宋体"/>
                <w:highlight w:val="none"/>
                <w:lang w:val="zh-CN"/>
              </w:rPr>
            </w:pPr>
            <w:r>
              <w:rPr>
                <w:rFonts w:hAnsi="宋体"/>
                <w:highlight w:val="none"/>
                <w:lang w:val="zh-CN"/>
              </w:rPr>
              <w:t>70</w:t>
            </w:r>
          </w:p>
        </w:tc>
        <w:tc>
          <w:tcPr>
            <w:tcW w:w="1117" w:type="dxa"/>
            <w:vAlign w:val="center"/>
          </w:tcPr>
          <w:p>
            <w:pPr>
              <w:pStyle w:val="64"/>
              <w:rPr>
                <w:rFonts w:hAnsi="宋体"/>
                <w:highlight w:val="none"/>
                <w:lang w:val="zh-CN"/>
              </w:rPr>
            </w:pPr>
            <w:r>
              <w:rPr>
                <w:rFonts w:hAnsi="宋体"/>
                <w:highlight w:val="none"/>
                <w:lang w:val="zh-CN"/>
              </w:rPr>
              <w:t>35</w:t>
            </w:r>
          </w:p>
        </w:tc>
        <w:tc>
          <w:tcPr>
            <w:tcW w:w="1117" w:type="dxa"/>
            <w:vAlign w:val="center"/>
          </w:tcPr>
          <w:p>
            <w:pPr>
              <w:pStyle w:val="64"/>
              <w:rPr>
                <w:rFonts w:hAnsi="宋体"/>
                <w:highlight w:val="none"/>
                <w:lang w:val="zh-CN"/>
              </w:rPr>
            </w:pPr>
            <w:r>
              <w:rPr>
                <w:rFonts w:hAnsi="宋体"/>
                <w:highlight w:val="none"/>
                <w:lang w:val="zh-CN"/>
              </w:rPr>
              <w:t>4</w:t>
            </w:r>
          </w:p>
        </w:tc>
        <w:tc>
          <w:tcPr>
            <w:tcW w:w="1119" w:type="dxa"/>
            <w:vAlign w:val="center"/>
          </w:tcPr>
          <w:p>
            <w:pPr>
              <w:pStyle w:val="64"/>
              <w:rPr>
                <w:rFonts w:hAnsi="宋体"/>
                <w:highlight w:val="none"/>
                <w:lang w:val="zh-CN"/>
              </w:rPr>
            </w:pPr>
            <w:r>
              <w:rPr>
                <w:rFonts w:hAnsi="宋体"/>
                <w:highlight w:val="none"/>
                <w:lang w:val="zh-CN"/>
              </w:rPr>
              <w:t>160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38" w:type="dxa"/>
            <w:gridSpan w:val="2"/>
            <w:vMerge w:val="restart"/>
            <w:vAlign w:val="center"/>
          </w:tcPr>
          <w:p>
            <w:pPr>
              <w:pStyle w:val="64"/>
              <w:rPr>
                <w:rFonts w:hAnsi="宋体"/>
                <w:highlight w:val="none"/>
                <w:lang w:val="zh-CN"/>
              </w:rPr>
            </w:pPr>
            <w:r>
              <w:rPr>
                <w:rFonts w:hAnsi="宋体"/>
                <w:highlight w:val="none"/>
                <w:lang w:val="zh-CN"/>
              </w:rPr>
              <w:t>达标分析</w:t>
            </w:r>
          </w:p>
        </w:tc>
        <w:tc>
          <w:tcPr>
            <w:tcW w:w="1119" w:type="dxa"/>
            <w:vAlign w:val="center"/>
          </w:tcPr>
          <w:p>
            <w:pPr>
              <w:pStyle w:val="64"/>
              <w:rPr>
                <w:rFonts w:hAnsi="宋体"/>
                <w:highlight w:val="none"/>
                <w:lang w:val="zh-CN"/>
              </w:rPr>
            </w:pPr>
            <w:r>
              <w:rPr>
                <w:rFonts w:hint="eastAsia" w:hAnsi="宋体"/>
                <w:highlight w:val="none"/>
                <w:lang w:val="en-US" w:eastAsia="zh-CN"/>
              </w:rPr>
              <w:t>3</w:t>
            </w:r>
            <w:r>
              <w:rPr>
                <w:rFonts w:hint="eastAsia" w:hAnsi="宋体"/>
                <w:highlight w:val="none"/>
                <w:lang w:val="zh-CN"/>
              </w:rPr>
              <w:t>8.3</w:t>
            </w:r>
          </w:p>
        </w:tc>
        <w:tc>
          <w:tcPr>
            <w:tcW w:w="1119" w:type="dxa"/>
            <w:vAlign w:val="center"/>
          </w:tcPr>
          <w:p>
            <w:pPr>
              <w:pStyle w:val="64"/>
              <w:rPr>
                <w:rFonts w:hAnsi="宋体"/>
                <w:highlight w:val="none"/>
                <w:lang w:val="zh-CN"/>
              </w:rPr>
            </w:pPr>
            <w:r>
              <w:rPr>
                <w:rFonts w:hint="eastAsia" w:hAnsi="宋体"/>
                <w:highlight w:val="none"/>
                <w:lang w:val="en-US" w:eastAsia="zh-CN"/>
              </w:rPr>
              <w:t>67</w:t>
            </w:r>
            <w:r>
              <w:rPr>
                <w:rFonts w:hint="eastAsia" w:hAnsi="宋体"/>
                <w:highlight w:val="none"/>
                <w:lang w:val="zh-CN"/>
              </w:rPr>
              <w:t>.5</w:t>
            </w:r>
          </w:p>
        </w:tc>
        <w:tc>
          <w:tcPr>
            <w:tcW w:w="1121" w:type="dxa"/>
            <w:vAlign w:val="center"/>
          </w:tcPr>
          <w:p>
            <w:pPr>
              <w:pStyle w:val="64"/>
              <w:rPr>
                <w:rFonts w:hAnsi="宋体"/>
                <w:highlight w:val="none"/>
                <w:lang w:val="zh-CN"/>
              </w:rPr>
            </w:pPr>
            <w:r>
              <w:rPr>
                <w:rFonts w:hint="eastAsia" w:hAnsi="宋体"/>
                <w:highlight w:val="none"/>
                <w:lang w:val="zh-CN"/>
              </w:rPr>
              <w:t>1</w:t>
            </w:r>
            <w:r>
              <w:rPr>
                <w:rFonts w:hint="eastAsia" w:hAnsi="宋体"/>
                <w:highlight w:val="none"/>
                <w:lang w:val="en-US" w:eastAsia="zh-CN"/>
              </w:rPr>
              <w:t>1</w:t>
            </w:r>
            <w:r>
              <w:rPr>
                <w:rFonts w:hint="eastAsia" w:hAnsi="宋体"/>
                <w:highlight w:val="none"/>
                <w:lang w:val="zh-CN"/>
              </w:rPr>
              <w:t>1.4</w:t>
            </w:r>
          </w:p>
        </w:tc>
        <w:tc>
          <w:tcPr>
            <w:tcW w:w="1117" w:type="dxa"/>
            <w:vAlign w:val="center"/>
          </w:tcPr>
          <w:p>
            <w:pPr>
              <w:pStyle w:val="64"/>
              <w:rPr>
                <w:rFonts w:hAnsi="宋体"/>
                <w:highlight w:val="none"/>
                <w:lang w:val="zh-CN"/>
              </w:rPr>
            </w:pPr>
            <w:r>
              <w:rPr>
                <w:rFonts w:hint="eastAsia" w:hAnsi="宋体"/>
                <w:highlight w:val="none"/>
                <w:lang w:val="en-US" w:eastAsia="zh-CN"/>
              </w:rPr>
              <w:t>82.9</w:t>
            </w:r>
          </w:p>
        </w:tc>
        <w:tc>
          <w:tcPr>
            <w:tcW w:w="1117" w:type="dxa"/>
            <w:vAlign w:val="center"/>
          </w:tcPr>
          <w:p>
            <w:pPr>
              <w:pStyle w:val="64"/>
              <w:rPr>
                <w:rFonts w:hAnsi="宋体"/>
                <w:highlight w:val="none"/>
                <w:lang w:val="zh-CN"/>
              </w:rPr>
            </w:pPr>
            <w:r>
              <w:rPr>
                <w:rFonts w:hint="eastAsia" w:hAnsi="宋体"/>
                <w:highlight w:val="none"/>
                <w:lang w:val="en-US" w:eastAsia="zh-CN"/>
              </w:rPr>
              <w:t>35</w:t>
            </w:r>
          </w:p>
        </w:tc>
        <w:tc>
          <w:tcPr>
            <w:tcW w:w="1119" w:type="dxa"/>
            <w:vAlign w:val="center"/>
          </w:tcPr>
          <w:p>
            <w:pPr>
              <w:pStyle w:val="64"/>
              <w:rPr>
                <w:rFonts w:hAnsi="宋体"/>
                <w:highlight w:val="none"/>
                <w:lang w:val="zh-CN"/>
              </w:rPr>
            </w:pPr>
            <w:r>
              <w:rPr>
                <w:rFonts w:hint="eastAsia" w:hAnsi="宋体"/>
                <w:highlight w:val="none"/>
                <w:lang w:val="en-US" w:eastAsia="zh-CN"/>
              </w:rPr>
              <w:t>93.75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38" w:type="dxa"/>
            <w:gridSpan w:val="2"/>
            <w:vMerge w:val="continue"/>
            <w:vAlign w:val="center"/>
          </w:tcPr>
          <w:p>
            <w:pPr>
              <w:pStyle w:val="64"/>
              <w:rPr>
                <w:rFonts w:hAnsi="宋体"/>
                <w:highlight w:val="none"/>
                <w:lang w:val="zh-CN"/>
              </w:rPr>
            </w:pPr>
          </w:p>
        </w:tc>
        <w:tc>
          <w:tcPr>
            <w:tcW w:w="1119" w:type="dxa"/>
            <w:vAlign w:val="center"/>
          </w:tcPr>
          <w:p>
            <w:pPr>
              <w:pStyle w:val="64"/>
              <w:rPr>
                <w:rFonts w:hAnsi="宋体"/>
                <w:highlight w:val="none"/>
                <w:lang w:val="zh-CN"/>
              </w:rPr>
            </w:pPr>
            <w:r>
              <w:rPr>
                <w:rFonts w:hAnsi="宋体"/>
                <w:highlight w:val="none"/>
                <w:lang w:val="zh-CN"/>
              </w:rPr>
              <w:t>达标</w:t>
            </w:r>
          </w:p>
        </w:tc>
        <w:tc>
          <w:tcPr>
            <w:tcW w:w="1119" w:type="dxa"/>
            <w:vAlign w:val="center"/>
          </w:tcPr>
          <w:p>
            <w:pPr>
              <w:pStyle w:val="64"/>
              <w:rPr>
                <w:rFonts w:hAnsi="宋体"/>
                <w:highlight w:val="none"/>
                <w:lang w:val="zh-CN"/>
              </w:rPr>
            </w:pPr>
            <w:r>
              <w:rPr>
                <w:rFonts w:hAnsi="宋体"/>
                <w:highlight w:val="none"/>
                <w:lang w:val="zh-CN"/>
              </w:rPr>
              <w:t>达标</w:t>
            </w:r>
          </w:p>
        </w:tc>
        <w:tc>
          <w:tcPr>
            <w:tcW w:w="1121" w:type="dxa"/>
            <w:vAlign w:val="center"/>
          </w:tcPr>
          <w:p>
            <w:pPr>
              <w:pStyle w:val="64"/>
              <w:rPr>
                <w:rFonts w:hAnsi="宋体"/>
                <w:highlight w:val="none"/>
                <w:lang w:val="zh-CN"/>
              </w:rPr>
            </w:pPr>
            <w:r>
              <w:rPr>
                <w:rFonts w:hAnsi="宋体"/>
                <w:highlight w:val="none"/>
                <w:lang w:val="zh-CN"/>
              </w:rPr>
              <w:t>不达标</w:t>
            </w:r>
          </w:p>
        </w:tc>
        <w:tc>
          <w:tcPr>
            <w:tcW w:w="1117" w:type="dxa"/>
            <w:vAlign w:val="center"/>
          </w:tcPr>
          <w:p>
            <w:pPr>
              <w:pStyle w:val="64"/>
              <w:rPr>
                <w:rFonts w:hAnsi="宋体"/>
                <w:highlight w:val="none"/>
                <w:lang w:val="zh-CN"/>
              </w:rPr>
            </w:pPr>
            <w:r>
              <w:rPr>
                <w:rFonts w:hAnsi="宋体"/>
                <w:highlight w:val="none"/>
                <w:lang w:val="zh-CN"/>
              </w:rPr>
              <w:t>达标</w:t>
            </w:r>
          </w:p>
        </w:tc>
        <w:tc>
          <w:tcPr>
            <w:tcW w:w="1117" w:type="dxa"/>
            <w:vAlign w:val="center"/>
          </w:tcPr>
          <w:p>
            <w:pPr>
              <w:pStyle w:val="64"/>
              <w:rPr>
                <w:rFonts w:hAnsi="宋体"/>
                <w:highlight w:val="none"/>
                <w:lang w:val="zh-CN"/>
              </w:rPr>
            </w:pPr>
            <w:r>
              <w:rPr>
                <w:rFonts w:hAnsi="宋体"/>
                <w:highlight w:val="none"/>
                <w:lang w:val="zh-CN"/>
              </w:rPr>
              <w:t>达标</w:t>
            </w:r>
          </w:p>
        </w:tc>
        <w:tc>
          <w:tcPr>
            <w:tcW w:w="1119" w:type="dxa"/>
            <w:vAlign w:val="center"/>
          </w:tcPr>
          <w:p>
            <w:pPr>
              <w:pStyle w:val="64"/>
              <w:rPr>
                <w:rFonts w:hAnsi="宋体"/>
                <w:highlight w:val="none"/>
                <w:lang w:val="zh-CN"/>
              </w:rPr>
            </w:pPr>
            <w:r>
              <w:rPr>
                <w:rFonts w:hAnsi="宋体"/>
                <w:highlight w:val="none"/>
                <w:lang w:val="zh-CN"/>
              </w:rPr>
              <w:t>达标</w:t>
            </w:r>
          </w:p>
        </w:tc>
      </w:tr>
    </w:tbl>
    <w:p>
      <w:pPr>
        <w:snapToGrid w:val="0"/>
        <w:ind w:firstLine="480"/>
        <w:rPr>
          <w:rFonts w:ascii="宋体" w:hAnsi="宋体" w:cstheme="minorBidi"/>
          <w:highlight w:val="none"/>
        </w:rPr>
      </w:pPr>
      <w:r>
        <w:rPr>
          <w:rFonts w:ascii="宋体" w:hAnsi="宋体" w:cstheme="minorBidi"/>
          <w:bCs/>
          <w:highlight w:val="none"/>
        </w:rPr>
        <w:t>经上表分析，例行监测因子NO</w:t>
      </w:r>
      <w:r>
        <w:rPr>
          <w:rFonts w:ascii="宋体" w:hAnsi="宋体" w:cstheme="minorBidi"/>
          <w:bCs/>
          <w:highlight w:val="none"/>
          <w:vertAlign w:val="subscript"/>
        </w:rPr>
        <w:t>2</w:t>
      </w:r>
      <w:r>
        <w:rPr>
          <w:rFonts w:ascii="宋体" w:hAnsi="宋体" w:cstheme="minorBidi"/>
          <w:bCs/>
          <w:highlight w:val="none"/>
        </w:rPr>
        <w:t>、CO、PM</w:t>
      </w:r>
      <w:r>
        <w:rPr>
          <w:rFonts w:ascii="宋体" w:hAnsi="宋体" w:cstheme="minorBidi"/>
          <w:bCs/>
          <w:highlight w:val="none"/>
          <w:vertAlign w:val="subscript"/>
        </w:rPr>
        <w:t>2.5</w:t>
      </w:r>
      <w:r>
        <w:rPr>
          <w:rFonts w:ascii="宋体" w:hAnsi="宋体" w:cstheme="minorBidi"/>
          <w:bCs/>
          <w:highlight w:val="none"/>
        </w:rPr>
        <w:t>、SO</w:t>
      </w:r>
      <w:r>
        <w:rPr>
          <w:rFonts w:ascii="宋体" w:hAnsi="宋体" w:cstheme="minorBidi"/>
          <w:bCs/>
          <w:highlight w:val="none"/>
          <w:vertAlign w:val="subscript"/>
        </w:rPr>
        <w:t>2</w:t>
      </w:r>
      <w:r>
        <w:rPr>
          <w:rFonts w:ascii="宋体" w:hAnsi="宋体" w:cstheme="minorBidi"/>
          <w:bCs/>
          <w:highlight w:val="none"/>
        </w:rPr>
        <w:t>、O</w:t>
      </w:r>
      <w:r>
        <w:rPr>
          <w:rFonts w:ascii="宋体" w:hAnsi="宋体" w:cstheme="minorBidi"/>
          <w:bCs/>
          <w:highlight w:val="none"/>
          <w:vertAlign w:val="subscript"/>
        </w:rPr>
        <w:t>3</w:t>
      </w:r>
      <w:r>
        <w:rPr>
          <w:rFonts w:ascii="宋体" w:hAnsi="宋体" w:cstheme="minorBidi"/>
          <w:bCs/>
          <w:highlight w:val="none"/>
        </w:rPr>
        <w:t>年均值</w:t>
      </w:r>
      <w:r>
        <w:rPr>
          <w:rFonts w:hint="eastAsia" w:ascii="宋体" w:hAnsi="宋体" w:cstheme="minorBidi"/>
          <w:bCs/>
          <w:highlight w:val="none"/>
          <w:lang w:val="en-US" w:eastAsia="zh-CN"/>
        </w:rPr>
        <w:t>未</w:t>
      </w:r>
      <w:r>
        <w:rPr>
          <w:rFonts w:ascii="宋体" w:hAnsi="宋体" w:cstheme="minorBidi"/>
          <w:bCs/>
          <w:highlight w:val="none"/>
        </w:rPr>
        <w:t>超过《环境空气质量标准》中的二级标准，PM</w:t>
      </w:r>
      <w:r>
        <w:rPr>
          <w:rFonts w:ascii="宋体" w:hAnsi="宋体" w:cstheme="minorBidi"/>
          <w:bCs/>
          <w:highlight w:val="none"/>
          <w:vertAlign w:val="subscript"/>
        </w:rPr>
        <w:t>10</w:t>
      </w:r>
      <w:r>
        <w:rPr>
          <w:rFonts w:ascii="宋体" w:hAnsi="宋体" w:cstheme="minorBidi"/>
          <w:bCs/>
          <w:highlight w:val="none"/>
        </w:rPr>
        <w:t>年均值超过《环境空气质量标准》中的二级标准，监测结果表明，项目所在地为不达标区。</w:t>
      </w:r>
    </w:p>
    <w:p>
      <w:pPr>
        <w:snapToGrid w:val="0"/>
        <w:ind w:firstLine="480"/>
        <w:rPr>
          <w:rFonts w:ascii="宋体" w:hAnsi="宋体" w:cstheme="minorBidi"/>
          <w:bCs/>
          <w:highlight w:val="none"/>
        </w:rPr>
      </w:pPr>
      <w:r>
        <w:rPr>
          <w:rFonts w:hint="eastAsia" w:ascii="宋体" w:hAnsi="宋体" w:cstheme="minorBidi"/>
          <w:bCs/>
          <w:highlight w:val="none"/>
        </w:rPr>
        <w:t>5.2.2.2</w:t>
      </w:r>
      <w:r>
        <w:rPr>
          <w:rFonts w:ascii="宋体" w:hAnsi="宋体" w:cstheme="minorBidi"/>
          <w:bCs/>
          <w:highlight w:val="none"/>
        </w:rPr>
        <w:t>大气预</w:t>
      </w:r>
      <w:r>
        <w:rPr>
          <w:rFonts w:hint="eastAsia" w:ascii="宋体" w:hAnsi="宋体" w:cstheme="minorBidi"/>
          <w:bCs/>
          <w:highlight w:val="none"/>
        </w:rPr>
        <w:t>测</w:t>
      </w:r>
      <w:r>
        <w:rPr>
          <w:rFonts w:ascii="宋体" w:hAnsi="宋体" w:cstheme="minorBidi"/>
          <w:bCs/>
          <w:highlight w:val="none"/>
        </w:rPr>
        <w:t>模式及参数的选择</w:t>
      </w:r>
    </w:p>
    <w:p>
      <w:pPr>
        <w:snapToGrid w:val="0"/>
        <w:ind w:firstLine="496"/>
        <w:rPr>
          <w:rFonts w:ascii="宋体" w:hAnsi="宋体" w:cstheme="minorBidi"/>
          <w:spacing w:val="4"/>
          <w:highlight w:val="none"/>
        </w:rPr>
      </w:pPr>
      <w:r>
        <w:rPr>
          <w:rFonts w:ascii="宋体" w:hAnsi="宋体" w:cstheme="minorBidi"/>
          <w:spacing w:val="4"/>
          <w:highlight w:val="none"/>
        </w:rPr>
        <w:t>本项目环境空气评价等级为</w:t>
      </w:r>
      <w:r>
        <w:rPr>
          <w:rFonts w:hint="eastAsia" w:ascii="宋体" w:hAnsi="宋体" w:cstheme="minorBidi"/>
          <w:spacing w:val="4"/>
          <w:highlight w:val="none"/>
        </w:rPr>
        <w:t>二</w:t>
      </w:r>
      <w:r>
        <w:rPr>
          <w:rFonts w:ascii="宋体" w:hAnsi="宋体" w:cstheme="minorBidi"/>
          <w:spacing w:val="4"/>
          <w:highlight w:val="none"/>
        </w:rPr>
        <w:t>级，根据《环境影响评价技术导则大气环境》(HJ2.2-2018)，不进行进一步预测，只根据估算模式计算结果进行影响分析。</w:t>
      </w:r>
    </w:p>
    <w:p>
      <w:pPr>
        <w:snapToGrid w:val="0"/>
        <w:ind w:firstLine="496"/>
        <w:rPr>
          <w:rFonts w:ascii="宋体" w:hAnsi="宋体" w:cstheme="minorBidi"/>
          <w:spacing w:val="4"/>
          <w:highlight w:val="none"/>
        </w:rPr>
      </w:pPr>
      <w:r>
        <w:rPr>
          <w:rFonts w:hint="eastAsia" w:ascii="宋体" w:hAnsi="宋体" w:cstheme="minorBidi"/>
          <w:spacing w:val="4"/>
          <w:highlight w:val="none"/>
        </w:rPr>
        <w:t>本项目采用导则推荐的</w:t>
      </w:r>
      <w:r>
        <w:rPr>
          <w:rFonts w:ascii="宋体" w:hAnsi="宋体" w:cstheme="minorBidi"/>
          <w:spacing w:val="4"/>
          <w:highlight w:val="none"/>
        </w:rPr>
        <w:t>估算</w:t>
      </w:r>
      <w:r>
        <w:rPr>
          <w:rFonts w:hint="eastAsia" w:ascii="宋体" w:hAnsi="宋体" w:cstheme="minorBidi"/>
          <w:spacing w:val="4"/>
          <w:highlight w:val="none"/>
        </w:rPr>
        <w:t>模型AERSCREEN进行估算。该模型适用于</w:t>
      </w:r>
      <w:r>
        <w:rPr>
          <w:rFonts w:ascii="宋体" w:hAnsi="宋体" w:cstheme="minorBidi"/>
          <w:spacing w:val="4"/>
          <w:highlight w:val="none"/>
        </w:rPr>
        <w:t>点源、面源和体源等污染源</w:t>
      </w:r>
      <w:r>
        <w:rPr>
          <w:rFonts w:hint="eastAsia" w:ascii="宋体" w:hAnsi="宋体" w:cstheme="minorBidi"/>
          <w:spacing w:val="4"/>
          <w:highlight w:val="none"/>
        </w:rPr>
        <w:t>，可以计算短期浓度最大值及对应距离，可以模拟熏烟和</w:t>
      </w:r>
      <w:r>
        <w:rPr>
          <w:rFonts w:ascii="宋体" w:hAnsi="宋体" w:cstheme="minorBidi"/>
          <w:spacing w:val="4"/>
          <w:highlight w:val="none"/>
        </w:rPr>
        <w:t>建筑物下洗等特殊条件下</w:t>
      </w:r>
      <w:r>
        <w:rPr>
          <w:rFonts w:hint="eastAsia" w:ascii="宋体" w:hAnsi="宋体" w:cstheme="minorBidi"/>
          <w:spacing w:val="4"/>
          <w:highlight w:val="none"/>
        </w:rPr>
        <w:t>短期浓度最大值及对应距离</w:t>
      </w:r>
      <w:r>
        <w:rPr>
          <w:rFonts w:ascii="宋体" w:hAnsi="宋体" w:cstheme="minorBidi"/>
          <w:spacing w:val="4"/>
          <w:highlight w:val="none"/>
        </w:rPr>
        <w:t>。</w:t>
      </w:r>
    </w:p>
    <w:p>
      <w:pPr>
        <w:snapToGrid w:val="0"/>
        <w:ind w:firstLine="480"/>
        <w:rPr>
          <w:rFonts w:ascii="宋体" w:hAnsi="宋体" w:cstheme="minorBidi"/>
          <w:bCs/>
          <w:highlight w:val="none"/>
        </w:rPr>
      </w:pPr>
      <w:r>
        <w:rPr>
          <w:rFonts w:hint="eastAsia" w:ascii="宋体" w:hAnsi="宋体" w:cstheme="minorBidi"/>
          <w:bCs/>
          <w:highlight w:val="none"/>
        </w:rPr>
        <w:t>5.2.2.3运营期环境空气影响预测</w:t>
      </w:r>
    </w:p>
    <w:p>
      <w:pPr>
        <w:snapToGrid w:val="0"/>
        <w:ind w:firstLine="496"/>
        <w:rPr>
          <w:rFonts w:ascii="宋体" w:hAnsi="宋体" w:cstheme="minorBidi"/>
          <w:spacing w:val="4"/>
          <w:highlight w:val="none"/>
        </w:rPr>
      </w:pPr>
      <w:r>
        <w:rPr>
          <w:rFonts w:hint="eastAsia" w:ascii="宋体" w:hAnsi="宋体" w:cstheme="minorBidi"/>
          <w:spacing w:val="4"/>
          <w:highlight w:val="none"/>
        </w:rPr>
        <w:t>1、</w:t>
      </w:r>
      <w:r>
        <w:rPr>
          <w:rFonts w:ascii="宋体" w:hAnsi="宋体" w:cstheme="minorBidi"/>
          <w:spacing w:val="4"/>
          <w:highlight w:val="none"/>
        </w:rPr>
        <w:t>预测内容</w:t>
      </w:r>
    </w:p>
    <w:p>
      <w:pPr>
        <w:snapToGrid w:val="0"/>
        <w:ind w:firstLine="496"/>
        <w:rPr>
          <w:rFonts w:ascii="宋体" w:hAnsi="宋体" w:cstheme="minorBidi"/>
          <w:spacing w:val="4"/>
          <w:highlight w:val="none"/>
        </w:rPr>
      </w:pPr>
      <w:r>
        <w:rPr>
          <w:rFonts w:ascii="宋体" w:hAnsi="宋体" w:cstheme="minorBidi"/>
          <w:spacing w:val="4"/>
          <w:highlight w:val="none"/>
        </w:rPr>
        <w:t>本次评价利用估算模式计算了项目主要污染物</w:t>
      </w:r>
      <w:r>
        <w:rPr>
          <w:rFonts w:hint="eastAsia" w:ascii="宋体" w:hAnsi="宋体" w:cstheme="minorBidi"/>
          <w:spacing w:val="4"/>
          <w:highlight w:val="none"/>
        </w:rPr>
        <w:t>PM</w:t>
      </w:r>
      <w:r>
        <w:rPr>
          <w:rFonts w:hint="eastAsia" w:ascii="宋体" w:hAnsi="宋体" w:cstheme="minorBidi"/>
          <w:spacing w:val="4"/>
          <w:highlight w:val="none"/>
          <w:vertAlign w:val="subscript"/>
        </w:rPr>
        <w:t>10</w:t>
      </w:r>
      <w:r>
        <w:rPr>
          <w:rFonts w:hint="eastAsia" w:ascii="宋体" w:hAnsi="宋体" w:cstheme="minorBidi"/>
          <w:spacing w:val="4"/>
          <w:highlight w:val="none"/>
        </w:rPr>
        <w:t>、TSP污染物</w:t>
      </w:r>
      <w:r>
        <w:rPr>
          <w:rFonts w:ascii="宋体" w:hAnsi="宋体" w:cstheme="minorBidi"/>
          <w:spacing w:val="4"/>
          <w:highlight w:val="none"/>
        </w:rPr>
        <w:t>在不同距离处所引起的浓度，说明工程排放的各污染物对环境空气影响程度。</w:t>
      </w:r>
    </w:p>
    <w:p>
      <w:pPr>
        <w:autoSpaceDE w:val="0"/>
        <w:autoSpaceDN w:val="0"/>
        <w:ind w:firstLine="480"/>
        <w:rPr>
          <w:rFonts w:ascii="宋体" w:hAnsi="宋体" w:cs="宋体"/>
          <w:kern w:val="0"/>
          <w:szCs w:val="22"/>
          <w:highlight w:val="none"/>
          <w:lang w:val="zh-CN" w:bidi="zh-CN"/>
        </w:rPr>
      </w:pPr>
      <w:r>
        <w:rPr>
          <w:rFonts w:hint="eastAsia" w:ascii="宋体" w:hAnsi="宋体" w:cs="宋体"/>
          <w:kern w:val="0"/>
          <w:szCs w:val="22"/>
          <w:highlight w:val="none"/>
          <w:lang w:val="zh-CN" w:bidi="zh-CN"/>
        </w:rPr>
        <w:t>2、项目参数</w:t>
      </w:r>
    </w:p>
    <w:p>
      <w:pPr>
        <w:autoSpaceDE w:val="0"/>
        <w:autoSpaceDN w:val="0"/>
        <w:ind w:firstLine="480"/>
        <w:rPr>
          <w:rFonts w:ascii="宋体" w:hAnsi="宋体" w:cs="宋体"/>
          <w:kern w:val="0"/>
          <w:szCs w:val="22"/>
          <w:highlight w:val="none"/>
          <w:lang w:val="zh-CN" w:bidi="zh-CN"/>
        </w:rPr>
      </w:pPr>
      <w:r>
        <w:rPr>
          <w:rFonts w:hint="eastAsia" w:ascii="宋体" w:hAnsi="宋体" w:cs="宋体"/>
          <w:kern w:val="0"/>
          <w:szCs w:val="22"/>
          <w:highlight w:val="none"/>
          <w:lang w:val="zh-CN" w:bidi="zh-CN"/>
        </w:rPr>
        <w:t>估算模式所用参数见表</w:t>
      </w:r>
      <w:r>
        <w:rPr>
          <w:rFonts w:ascii="宋体" w:hAnsi="宋体" w:cs="宋体"/>
          <w:kern w:val="0"/>
          <w:szCs w:val="22"/>
          <w:highlight w:val="none"/>
          <w:lang w:val="zh-CN" w:bidi="zh-CN"/>
        </w:rPr>
        <w:t>5.</w:t>
      </w:r>
      <w:r>
        <w:rPr>
          <w:rFonts w:hint="eastAsia" w:ascii="宋体" w:hAnsi="宋体" w:cs="宋体"/>
          <w:kern w:val="0"/>
          <w:szCs w:val="22"/>
          <w:highlight w:val="none"/>
          <w:lang w:val="zh-CN" w:bidi="zh-CN"/>
        </w:rPr>
        <w:t>2</w:t>
      </w:r>
      <w:r>
        <w:rPr>
          <w:rFonts w:ascii="宋体" w:hAnsi="宋体" w:cs="宋体"/>
          <w:kern w:val="0"/>
          <w:szCs w:val="22"/>
          <w:highlight w:val="none"/>
          <w:lang w:val="zh-CN" w:bidi="zh-CN"/>
        </w:rPr>
        <w:t>-</w:t>
      </w:r>
      <w:r>
        <w:rPr>
          <w:rFonts w:hint="eastAsia" w:ascii="宋体" w:hAnsi="宋体" w:cs="宋体"/>
          <w:kern w:val="0"/>
          <w:szCs w:val="22"/>
          <w:highlight w:val="none"/>
          <w:lang w:val="zh-CN" w:bidi="zh-CN"/>
        </w:rPr>
        <w:t>3。</w:t>
      </w:r>
    </w:p>
    <w:p>
      <w:pPr>
        <w:ind w:firstLine="480" w:firstLineChars="0"/>
        <w:jc w:val="center"/>
        <w:rPr>
          <w:rFonts w:ascii="宋体" w:hAnsi="宋体"/>
          <w:kern w:val="0"/>
          <w:highlight w:val="none"/>
        </w:rPr>
      </w:pPr>
      <w:r>
        <w:rPr>
          <w:rFonts w:hint="eastAsia" w:ascii="宋体" w:hAnsi="宋体"/>
          <w:kern w:val="0"/>
          <w:highlight w:val="none"/>
        </w:rPr>
        <w:t>表</w:t>
      </w:r>
      <w:r>
        <w:rPr>
          <w:rFonts w:ascii="宋体" w:hAnsi="宋体" w:cs="宋体"/>
          <w:kern w:val="0"/>
          <w:szCs w:val="22"/>
          <w:highlight w:val="none"/>
          <w:lang w:val="zh-CN" w:bidi="zh-CN"/>
        </w:rPr>
        <w:t>5.</w:t>
      </w:r>
      <w:r>
        <w:rPr>
          <w:rFonts w:hint="eastAsia" w:ascii="宋体" w:hAnsi="宋体" w:cs="宋体"/>
          <w:kern w:val="0"/>
          <w:szCs w:val="22"/>
          <w:highlight w:val="none"/>
          <w:lang w:val="zh-CN" w:bidi="zh-CN"/>
        </w:rPr>
        <w:t>2</w:t>
      </w:r>
      <w:r>
        <w:rPr>
          <w:rFonts w:ascii="宋体" w:hAnsi="宋体" w:cs="宋体"/>
          <w:kern w:val="0"/>
          <w:szCs w:val="22"/>
          <w:highlight w:val="none"/>
          <w:lang w:val="zh-CN" w:bidi="zh-CN"/>
        </w:rPr>
        <w:t>-</w:t>
      </w:r>
      <w:r>
        <w:rPr>
          <w:rFonts w:hint="eastAsia" w:ascii="宋体" w:hAnsi="宋体" w:cs="宋体"/>
          <w:kern w:val="0"/>
          <w:szCs w:val="22"/>
          <w:highlight w:val="none"/>
          <w:lang w:val="zh-CN" w:bidi="zh-CN"/>
        </w:rPr>
        <w:t>3</w:t>
      </w:r>
      <w:r>
        <w:rPr>
          <w:rFonts w:hint="eastAsia" w:ascii="宋体" w:hAnsi="宋体"/>
          <w:kern w:val="0"/>
          <w:highlight w:val="none"/>
        </w:rPr>
        <w:t xml:space="preserve">  估算模型参数表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2794"/>
        <w:gridCol w:w="393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014" w:type="dxa"/>
            <w:gridSpan w:val="2"/>
            <w:vAlign w:val="center"/>
          </w:tcPr>
          <w:p>
            <w:pPr>
              <w:pStyle w:val="64"/>
              <w:rPr>
                <w:rFonts w:hAnsi="宋体"/>
                <w:szCs w:val="22"/>
                <w:highlight w:val="none"/>
                <w:lang w:val="zh-CN" w:bidi="zh-CN"/>
              </w:rPr>
            </w:pPr>
            <w:r>
              <w:rPr>
                <w:rFonts w:hint="eastAsia" w:hAnsi="宋体"/>
                <w:highlight w:val="none"/>
                <w:lang w:val="zh-CN" w:bidi="zh-CN"/>
              </w:rPr>
              <w:t>参数</w:t>
            </w:r>
          </w:p>
        </w:tc>
        <w:tc>
          <w:tcPr>
            <w:tcW w:w="3936" w:type="dxa"/>
            <w:vAlign w:val="center"/>
          </w:tcPr>
          <w:p>
            <w:pPr>
              <w:pStyle w:val="64"/>
              <w:rPr>
                <w:rFonts w:hAnsi="宋体"/>
                <w:szCs w:val="22"/>
                <w:highlight w:val="none"/>
                <w:lang w:val="zh-CN" w:bidi="zh-CN"/>
              </w:rPr>
            </w:pPr>
            <w:r>
              <w:rPr>
                <w:rFonts w:hint="eastAsia" w:hAnsi="宋体"/>
                <w:highlight w:val="none"/>
                <w:lang w:val="zh-CN" w:bidi="zh-CN"/>
              </w:rPr>
              <w:t>取值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restart"/>
            <w:vAlign w:val="center"/>
          </w:tcPr>
          <w:p>
            <w:pPr>
              <w:pStyle w:val="64"/>
              <w:rPr>
                <w:rFonts w:hAnsi="宋体"/>
                <w:szCs w:val="22"/>
                <w:highlight w:val="none"/>
                <w:lang w:val="zh-CN" w:bidi="zh-CN"/>
              </w:rPr>
            </w:pPr>
            <w:r>
              <w:rPr>
                <w:rFonts w:hint="eastAsia" w:hAnsi="宋体"/>
                <w:highlight w:val="none"/>
                <w:lang w:val="zh-CN" w:bidi="zh-CN"/>
              </w:rPr>
              <w:t>城市</w:t>
            </w:r>
            <w:r>
              <w:rPr>
                <w:rFonts w:hAnsi="宋体"/>
                <w:highlight w:val="none"/>
                <w:lang w:val="zh-CN" w:bidi="zh-CN"/>
              </w:rPr>
              <w:t>/</w:t>
            </w:r>
            <w:r>
              <w:rPr>
                <w:rFonts w:hint="eastAsia" w:hAnsi="宋体"/>
                <w:highlight w:val="none"/>
                <w:lang w:val="zh-CN" w:bidi="zh-CN"/>
              </w:rPr>
              <w:t>农村选项</w:t>
            </w:r>
          </w:p>
        </w:tc>
        <w:tc>
          <w:tcPr>
            <w:tcW w:w="2794" w:type="dxa"/>
            <w:vAlign w:val="center"/>
          </w:tcPr>
          <w:p>
            <w:pPr>
              <w:pStyle w:val="64"/>
              <w:rPr>
                <w:rFonts w:hAnsi="宋体"/>
                <w:szCs w:val="22"/>
                <w:highlight w:val="none"/>
                <w:lang w:val="zh-CN" w:bidi="zh-CN"/>
              </w:rPr>
            </w:pPr>
            <w:r>
              <w:rPr>
                <w:rFonts w:hint="eastAsia" w:hAnsi="宋体"/>
                <w:highlight w:val="none"/>
                <w:lang w:val="zh-CN" w:bidi="zh-CN"/>
              </w:rPr>
              <w:t>城市</w:t>
            </w:r>
            <w:r>
              <w:rPr>
                <w:rFonts w:hAnsi="宋体"/>
                <w:highlight w:val="none"/>
                <w:lang w:val="zh-CN" w:bidi="zh-CN"/>
              </w:rPr>
              <w:t>/</w:t>
            </w:r>
            <w:r>
              <w:rPr>
                <w:rFonts w:hint="eastAsia" w:hAnsi="宋体"/>
                <w:highlight w:val="none"/>
                <w:lang w:val="zh-CN" w:bidi="zh-CN"/>
              </w:rPr>
              <w:t>农村</w:t>
            </w:r>
          </w:p>
        </w:tc>
        <w:tc>
          <w:tcPr>
            <w:tcW w:w="3936" w:type="dxa"/>
            <w:vAlign w:val="center"/>
          </w:tcPr>
          <w:p>
            <w:pPr>
              <w:pStyle w:val="64"/>
              <w:rPr>
                <w:rFonts w:hAnsi="宋体"/>
                <w:szCs w:val="22"/>
                <w:highlight w:val="none"/>
                <w:lang w:val="zh-CN" w:bidi="zh-CN"/>
              </w:rPr>
            </w:pPr>
            <w:r>
              <w:rPr>
                <w:rFonts w:hint="eastAsia" w:hAnsi="宋体"/>
                <w:highlight w:val="none"/>
                <w:lang w:val="zh-CN" w:bidi="zh-CN"/>
              </w:rPr>
              <w:t>农村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continue"/>
            <w:vAlign w:val="center"/>
          </w:tcPr>
          <w:p>
            <w:pPr>
              <w:pStyle w:val="64"/>
              <w:rPr>
                <w:rFonts w:hAnsi="宋体"/>
                <w:szCs w:val="22"/>
                <w:highlight w:val="none"/>
                <w:lang w:val="zh-CN" w:bidi="zh-CN"/>
              </w:rPr>
            </w:pPr>
          </w:p>
        </w:tc>
        <w:tc>
          <w:tcPr>
            <w:tcW w:w="2794" w:type="dxa"/>
            <w:vAlign w:val="center"/>
          </w:tcPr>
          <w:p>
            <w:pPr>
              <w:pStyle w:val="64"/>
              <w:rPr>
                <w:rFonts w:hAnsi="宋体"/>
                <w:szCs w:val="22"/>
                <w:highlight w:val="none"/>
                <w:lang w:val="zh-CN" w:bidi="zh-CN"/>
              </w:rPr>
            </w:pPr>
            <w:r>
              <w:rPr>
                <w:rFonts w:hint="eastAsia" w:hAnsi="宋体"/>
                <w:highlight w:val="none"/>
                <w:lang w:val="zh-CN" w:bidi="zh-CN"/>
              </w:rPr>
              <w:t>人口数</w:t>
            </w:r>
            <w:r>
              <w:rPr>
                <w:rFonts w:hAnsi="宋体"/>
                <w:highlight w:val="none"/>
                <w:lang w:val="zh-CN" w:bidi="zh-CN"/>
              </w:rPr>
              <w:t>(</w:t>
            </w:r>
            <w:r>
              <w:rPr>
                <w:rFonts w:hint="eastAsia" w:hAnsi="宋体"/>
                <w:highlight w:val="none"/>
                <w:lang w:val="zh-CN" w:bidi="zh-CN"/>
              </w:rPr>
              <w:t>城市人口数</w:t>
            </w:r>
            <w:r>
              <w:rPr>
                <w:rFonts w:hAnsi="宋体"/>
                <w:highlight w:val="none"/>
                <w:lang w:val="zh-CN" w:bidi="zh-CN"/>
              </w:rPr>
              <w:t>)</w:t>
            </w:r>
          </w:p>
        </w:tc>
        <w:tc>
          <w:tcPr>
            <w:tcW w:w="3936" w:type="dxa"/>
            <w:vAlign w:val="center"/>
          </w:tcPr>
          <w:p>
            <w:pPr>
              <w:pStyle w:val="64"/>
              <w:rPr>
                <w:rFonts w:hAnsi="宋体"/>
                <w:szCs w:val="22"/>
                <w:highlight w:val="none"/>
                <w:lang w:val="zh-CN" w:bidi="zh-CN"/>
              </w:rPr>
            </w:pPr>
            <w:r>
              <w:rPr>
                <w:rFonts w:hAnsi="宋体"/>
                <w:highlight w:val="none"/>
                <w:lang w:val="zh-CN" w:bidi="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014" w:type="dxa"/>
            <w:gridSpan w:val="2"/>
            <w:vAlign w:val="center"/>
          </w:tcPr>
          <w:p>
            <w:pPr>
              <w:pStyle w:val="64"/>
              <w:rPr>
                <w:rFonts w:hAnsi="宋体"/>
                <w:szCs w:val="22"/>
                <w:highlight w:val="none"/>
                <w:lang w:val="zh-CN" w:bidi="zh-CN"/>
              </w:rPr>
            </w:pPr>
            <w:r>
              <w:rPr>
                <w:rFonts w:hint="eastAsia" w:hAnsi="宋体"/>
                <w:highlight w:val="none"/>
                <w:lang w:val="zh-CN" w:bidi="zh-CN"/>
              </w:rPr>
              <w:t>最高环境温度</w:t>
            </w:r>
          </w:p>
        </w:tc>
        <w:tc>
          <w:tcPr>
            <w:tcW w:w="3936" w:type="dxa"/>
            <w:vAlign w:val="center"/>
          </w:tcPr>
          <w:p>
            <w:pPr>
              <w:pStyle w:val="64"/>
              <w:rPr>
                <w:rFonts w:hAnsi="宋体"/>
                <w:szCs w:val="22"/>
                <w:highlight w:val="none"/>
                <w:lang w:val="zh-CN" w:bidi="zh-CN"/>
              </w:rPr>
            </w:pPr>
            <w:r>
              <w:rPr>
                <w:rFonts w:hint="eastAsia" w:hAnsi="宋体"/>
                <w:highlight w:val="none"/>
                <w:lang w:val="zh-CN" w:bidi="zh-CN"/>
              </w:rPr>
              <w:t>38.2</w:t>
            </w:r>
            <w:r>
              <w:rPr>
                <w:rFonts w:hAnsi="宋体"/>
                <w:highlight w:val="none"/>
                <w:lang w:val="zh-CN" w:bidi="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014" w:type="dxa"/>
            <w:gridSpan w:val="2"/>
            <w:vAlign w:val="center"/>
          </w:tcPr>
          <w:p>
            <w:pPr>
              <w:pStyle w:val="64"/>
              <w:rPr>
                <w:rFonts w:hAnsi="宋体"/>
                <w:szCs w:val="22"/>
                <w:highlight w:val="none"/>
                <w:lang w:val="zh-CN" w:bidi="zh-CN"/>
              </w:rPr>
            </w:pPr>
            <w:r>
              <w:rPr>
                <w:rFonts w:hint="eastAsia" w:hAnsi="宋体"/>
                <w:highlight w:val="none"/>
                <w:lang w:val="zh-CN" w:bidi="zh-CN"/>
              </w:rPr>
              <w:t>最低环境温度</w:t>
            </w:r>
          </w:p>
        </w:tc>
        <w:tc>
          <w:tcPr>
            <w:tcW w:w="3936" w:type="dxa"/>
          </w:tcPr>
          <w:p>
            <w:pPr>
              <w:pStyle w:val="64"/>
              <w:rPr>
                <w:rFonts w:hAnsi="宋体"/>
                <w:highlight w:val="none"/>
              </w:rPr>
            </w:pPr>
            <w:r>
              <w:rPr>
                <w:rFonts w:hAnsi="宋体"/>
                <w:highlight w:val="none"/>
              </w:rPr>
              <w:t>-25.7</w:t>
            </w:r>
            <w:r>
              <w:rPr>
                <w:rFonts w:hAnsi="宋体"/>
                <w:highlight w:val="none"/>
                <w:lang w:val="zh-CN" w:bidi="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014" w:type="dxa"/>
            <w:gridSpan w:val="2"/>
            <w:vAlign w:val="center"/>
          </w:tcPr>
          <w:p>
            <w:pPr>
              <w:pStyle w:val="64"/>
              <w:rPr>
                <w:rFonts w:hAnsi="宋体"/>
                <w:szCs w:val="22"/>
                <w:highlight w:val="none"/>
                <w:lang w:val="zh-CN" w:bidi="zh-CN"/>
              </w:rPr>
            </w:pPr>
            <w:r>
              <w:rPr>
                <w:rFonts w:hint="eastAsia" w:hAnsi="宋体"/>
                <w:highlight w:val="none"/>
                <w:lang w:val="zh-CN" w:bidi="zh-CN"/>
              </w:rPr>
              <w:t>土地利用类型</w:t>
            </w:r>
          </w:p>
        </w:tc>
        <w:tc>
          <w:tcPr>
            <w:tcW w:w="3936" w:type="dxa"/>
          </w:tcPr>
          <w:p>
            <w:pPr>
              <w:pStyle w:val="64"/>
              <w:rPr>
                <w:rFonts w:hAnsi="宋体"/>
                <w:highlight w:val="none"/>
              </w:rPr>
            </w:pPr>
            <w:r>
              <w:rPr>
                <w:rFonts w:hint="eastAsia" w:hAnsi="宋体"/>
                <w:highlight w:val="none"/>
              </w:rPr>
              <w:t>农田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014" w:type="dxa"/>
            <w:gridSpan w:val="2"/>
            <w:vAlign w:val="center"/>
          </w:tcPr>
          <w:p>
            <w:pPr>
              <w:pStyle w:val="64"/>
              <w:rPr>
                <w:rFonts w:hAnsi="宋体"/>
                <w:szCs w:val="22"/>
                <w:highlight w:val="none"/>
                <w:lang w:val="zh-CN" w:bidi="zh-CN"/>
              </w:rPr>
            </w:pPr>
            <w:r>
              <w:rPr>
                <w:rFonts w:hint="eastAsia" w:hAnsi="宋体"/>
                <w:highlight w:val="none"/>
                <w:lang w:val="zh-CN" w:bidi="zh-CN"/>
              </w:rPr>
              <w:t>区域湿度条件</w:t>
            </w:r>
          </w:p>
        </w:tc>
        <w:tc>
          <w:tcPr>
            <w:tcW w:w="3936" w:type="dxa"/>
            <w:vAlign w:val="center"/>
          </w:tcPr>
          <w:p>
            <w:pPr>
              <w:pStyle w:val="64"/>
              <w:rPr>
                <w:rFonts w:hAnsi="宋体"/>
                <w:szCs w:val="22"/>
                <w:highlight w:val="none"/>
                <w:lang w:val="zh-CN" w:bidi="zh-CN"/>
              </w:rPr>
            </w:pPr>
            <w:r>
              <w:rPr>
                <w:rFonts w:hint="eastAsia" w:hAnsi="宋体"/>
                <w:highlight w:val="none"/>
                <w:lang w:val="zh-CN" w:bidi="zh-CN"/>
              </w:rPr>
              <w:t>中等湿度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restart"/>
            <w:vAlign w:val="center"/>
          </w:tcPr>
          <w:p>
            <w:pPr>
              <w:pStyle w:val="64"/>
              <w:rPr>
                <w:rFonts w:hAnsi="宋体"/>
                <w:szCs w:val="22"/>
                <w:highlight w:val="none"/>
                <w:lang w:val="zh-CN" w:bidi="zh-CN"/>
              </w:rPr>
            </w:pPr>
            <w:r>
              <w:rPr>
                <w:rFonts w:hint="eastAsia" w:hAnsi="宋体"/>
                <w:highlight w:val="none"/>
                <w:lang w:val="zh-CN" w:bidi="zh-CN"/>
              </w:rPr>
              <w:t>是否考虑地形</w:t>
            </w:r>
          </w:p>
        </w:tc>
        <w:tc>
          <w:tcPr>
            <w:tcW w:w="2794" w:type="dxa"/>
            <w:vAlign w:val="center"/>
          </w:tcPr>
          <w:p>
            <w:pPr>
              <w:pStyle w:val="64"/>
              <w:rPr>
                <w:rFonts w:hAnsi="宋体"/>
                <w:szCs w:val="22"/>
                <w:highlight w:val="none"/>
                <w:lang w:val="zh-CN" w:bidi="zh-CN"/>
              </w:rPr>
            </w:pPr>
            <w:r>
              <w:rPr>
                <w:rFonts w:hint="eastAsia" w:hAnsi="宋体"/>
                <w:highlight w:val="none"/>
                <w:lang w:val="zh-CN" w:bidi="zh-CN"/>
              </w:rPr>
              <w:t>考虑地形</w:t>
            </w:r>
          </w:p>
        </w:tc>
        <w:tc>
          <w:tcPr>
            <w:tcW w:w="3936" w:type="dxa"/>
            <w:vAlign w:val="center"/>
          </w:tcPr>
          <w:p>
            <w:pPr>
              <w:pStyle w:val="64"/>
              <w:rPr>
                <w:rFonts w:hAnsi="宋体"/>
                <w:szCs w:val="22"/>
                <w:highlight w:val="none"/>
                <w:lang w:val="zh-CN" w:bidi="zh-CN"/>
              </w:rPr>
            </w:pPr>
            <w:r>
              <w:rPr>
                <w:rFonts w:hint="eastAsia" w:hAnsi="宋体"/>
                <w:highlight w:val="none"/>
                <w:lang w:val="zh-CN" w:bidi="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continue"/>
            <w:vAlign w:val="center"/>
          </w:tcPr>
          <w:p>
            <w:pPr>
              <w:pStyle w:val="64"/>
              <w:rPr>
                <w:rFonts w:hAnsi="宋体"/>
                <w:szCs w:val="22"/>
                <w:highlight w:val="none"/>
                <w:lang w:val="zh-CN" w:bidi="zh-CN"/>
              </w:rPr>
            </w:pPr>
          </w:p>
        </w:tc>
        <w:tc>
          <w:tcPr>
            <w:tcW w:w="2794" w:type="dxa"/>
            <w:vAlign w:val="center"/>
          </w:tcPr>
          <w:p>
            <w:pPr>
              <w:pStyle w:val="64"/>
              <w:rPr>
                <w:rFonts w:hAnsi="宋体"/>
                <w:szCs w:val="22"/>
                <w:highlight w:val="none"/>
                <w:lang w:val="zh-CN" w:bidi="zh-CN"/>
              </w:rPr>
            </w:pPr>
            <w:r>
              <w:rPr>
                <w:rFonts w:hint="eastAsia" w:hAnsi="宋体"/>
                <w:highlight w:val="none"/>
                <w:lang w:val="zh-CN" w:bidi="zh-CN"/>
              </w:rPr>
              <w:t>地形数据分辨率</w:t>
            </w:r>
            <w:r>
              <w:rPr>
                <w:rFonts w:hAnsi="宋体"/>
                <w:highlight w:val="none"/>
                <w:lang w:val="zh-CN" w:bidi="zh-CN"/>
              </w:rPr>
              <w:t>(m)</w:t>
            </w:r>
          </w:p>
        </w:tc>
        <w:tc>
          <w:tcPr>
            <w:tcW w:w="3936" w:type="dxa"/>
            <w:vAlign w:val="center"/>
          </w:tcPr>
          <w:p>
            <w:pPr>
              <w:pStyle w:val="64"/>
              <w:rPr>
                <w:rFonts w:hAnsi="宋体"/>
                <w:szCs w:val="22"/>
                <w:highlight w:val="none"/>
                <w:lang w:val="zh-CN" w:bidi="zh-CN"/>
              </w:rPr>
            </w:pPr>
            <w:r>
              <w:rPr>
                <w:rFonts w:hAnsi="宋体"/>
                <w:highlight w:val="none"/>
                <w:lang w:val="zh-CN" w:bidi="zh-CN"/>
              </w:rPr>
              <w:t>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restart"/>
            <w:vAlign w:val="center"/>
          </w:tcPr>
          <w:p>
            <w:pPr>
              <w:pStyle w:val="64"/>
              <w:rPr>
                <w:rFonts w:hAnsi="宋体"/>
                <w:szCs w:val="22"/>
                <w:highlight w:val="none"/>
                <w:lang w:val="zh-CN" w:bidi="zh-CN"/>
              </w:rPr>
            </w:pPr>
            <w:r>
              <w:rPr>
                <w:rFonts w:hint="eastAsia" w:hAnsi="宋体"/>
                <w:highlight w:val="none"/>
                <w:lang w:val="zh-CN" w:bidi="zh-CN"/>
              </w:rPr>
              <w:t>是否考虑岸线熏烟</w:t>
            </w:r>
          </w:p>
        </w:tc>
        <w:tc>
          <w:tcPr>
            <w:tcW w:w="2794" w:type="dxa"/>
            <w:vAlign w:val="center"/>
          </w:tcPr>
          <w:p>
            <w:pPr>
              <w:pStyle w:val="64"/>
              <w:rPr>
                <w:rFonts w:hAnsi="宋体"/>
                <w:szCs w:val="22"/>
                <w:highlight w:val="none"/>
                <w:lang w:val="zh-CN" w:bidi="zh-CN"/>
              </w:rPr>
            </w:pPr>
            <w:r>
              <w:rPr>
                <w:rFonts w:hint="eastAsia" w:hAnsi="宋体"/>
                <w:highlight w:val="none"/>
                <w:lang w:val="zh-CN" w:bidi="zh-CN"/>
              </w:rPr>
              <w:t>考虑岸线熏烟</w:t>
            </w:r>
          </w:p>
        </w:tc>
        <w:tc>
          <w:tcPr>
            <w:tcW w:w="3936" w:type="dxa"/>
            <w:vAlign w:val="center"/>
          </w:tcPr>
          <w:p>
            <w:pPr>
              <w:pStyle w:val="64"/>
              <w:rPr>
                <w:rFonts w:hAnsi="宋体"/>
                <w:szCs w:val="22"/>
                <w:highlight w:val="none"/>
                <w:lang w:val="zh-CN" w:bidi="zh-CN"/>
              </w:rPr>
            </w:pPr>
            <w:r>
              <w:rPr>
                <w:rFonts w:hint="eastAsia" w:hAnsi="宋体"/>
                <w:highlight w:val="none"/>
                <w:lang w:val="zh-CN" w:bidi="zh-CN"/>
              </w:rPr>
              <w:t>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continue"/>
            <w:vAlign w:val="center"/>
          </w:tcPr>
          <w:p>
            <w:pPr>
              <w:pStyle w:val="64"/>
              <w:rPr>
                <w:rFonts w:hAnsi="宋体"/>
                <w:szCs w:val="22"/>
                <w:highlight w:val="none"/>
                <w:lang w:val="zh-CN" w:bidi="zh-CN"/>
              </w:rPr>
            </w:pPr>
          </w:p>
        </w:tc>
        <w:tc>
          <w:tcPr>
            <w:tcW w:w="2794" w:type="dxa"/>
            <w:vAlign w:val="center"/>
          </w:tcPr>
          <w:p>
            <w:pPr>
              <w:pStyle w:val="64"/>
              <w:rPr>
                <w:rFonts w:hAnsi="宋体"/>
                <w:szCs w:val="22"/>
                <w:highlight w:val="none"/>
                <w:lang w:val="zh-CN" w:bidi="zh-CN"/>
              </w:rPr>
            </w:pPr>
            <w:r>
              <w:rPr>
                <w:rFonts w:hint="eastAsia" w:hAnsi="宋体"/>
                <w:highlight w:val="none"/>
                <w:lang w:val="zh-CN" w:bidi="zh-CN"/>
              </w:rPr>
              <w:t>岸线距离</w:t>
            </w:r>
            <w:r>
              <w:rPr>
                <w:rFonts w:hAnsi="宋体"/>
                <w:highlight w:val="none"/>
                <w:lang w:val="zh-CN" w:bidi="zh-CN"/>
              </w:rPr>
              <w:t>/m</w:t>
            </w:r>
          </w:p>
        </w:tc>
        <w:tc>
          <w:tcPr>
            <w:tcW w:w="3936" w:type="dxa"/>
            <w:vAlign w:val="center"/>
          </w:tcPr>
          <w:p>
            <w:pPr>
              <w:pStyle w:val="64"/>
              <w:rPr>
                <w:rFonts w:hAnsi="宋体"/>
                <w:szCs w:val="22"/>
                <w:highlight w:val="none"/>
                <w:lang w:val="zh-CN" w:bidi="zh-CN"/>
              </w:rPr>
            </w:pPr>
            <w:r>
              <w:rPr>
                <w:rFonts w:hAnsi="宋体"/>
                <w:highlight w:val="none"/>
                <w:lang w:val="zh-CN" w:bidi="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0" w:type="dxa"/>
            <w:vMerge w:val="continue"/>
            <w:vAlign w:val="center"/>
          </w:tcPr>
          <w:p>
            <w:pPr>
              <w:pStyle w:val="64"/>
              <w:rPr>
                <w:rFonts w:hAnsi="宋体"/>
                <w:szCs w:val="22"/>
                <w:highlight w:val="none"/>
                <w:lang w:val="zh-CN" w:bidi="zh-CN"/>
              </w:rPr>
            </w:pPr>
          </w:p>
        </w:tc>
        <w:tc>
          <w:tcPr>
            <w:tcW w:w="2794" w:type="dxa"/>
            <w:vAlign w:val="center"/>
          </w:tcPr>
          <w:p>
            <w:pPr>
              <w:pStyle w:val="64"/>
              <w:rPr>
                <w:rFonts w:hAnsi="宋体"/>
                <w:szCs w:val="22"/>
                <w:highlight w:val="none"/>
                <w:lang w:val="zh-CN" w:bidi="zh-CN"/>
              </w:rPr>
            </w:pPr>
            <w:r>
              <w:rPr>
                <w:rFonts w:hint="eastAsia" w:hAnsi="宋体"/>
                <w:highlight w:val="none"/>
                <w:lang w:val="zh-CN" w:bidi="zh-CN"/>
              </w:rPr>
              <w:t>岸线方向</w:t>
            </w:r>
            <w:r>
              <w:rPr>
                <w:rFonts w:hAnsi="宋体"/>
                <w:highlight w:val="none"/>
                <w:lang w:val="zh-CN" w:bidi="zh-CN"/>
              </w:rPr>
              <w:t>/°</w:t>
            </w:r>
          </w:p>
        </w:tc>
        <w:tc>
          <w:tcPr>
            <w:tcW w:w="3936" w:type="dxa"/>
            <w:vAlign w:val="center"/>
          </w:tcPr>
          <w:p>
            <w:pPr>
              <w:pStyle w:val="64"/>
              <w:rPr>
                <w:rFonts w:hAnsi="宋体"/>
                <w:szCs w:val="22"/>
                <w:highlight w:val="none"/>
                <w:lang w:val="zh-CN" w:bidi="zh-CN"/>
              </w:rPr>
            </w:pPr>
            <w:r>
              <w:rPr>
                <w:rFonts w:hAnsi="宋体"/>
                <w:highlight w:val="none"/>
                <w:lang w:val="zh-CN" w:bidi="zh-CN"/>
              </w:rPr>
              <w:t>/</w:t>
            </w:r>
          </w:p>
        </w:tc>
      </w:tr>
    </w:tbl>
    <w:p>
      <w:pPr>
        <w:snapToGrid w:val="0"/>
        <w:ind w:firstLine="496"/>
        <w:rPr>
          <w:rFonts w:ascii="宋体" w:hAnsi="宋体" w:cstheme="minorBidi"/>
          <w:spacing w:val="4"/>
          <w:highlight w:val="none"/>
        </w:rPr>
      </w:pPr>
      <w:r>
        <w:rPr>
          <w:rFonts w:hint="eastAsia" w:ascii="宋体" w:hAnsi="宋体" w:cstheme="minorBidi"/>
          <w:spacing w:val="4"/>
          <w:highlight w:val="none"/>
        </w:rPr>
        <w:t>3、</w:t>
      </w:r>
      <w:r>
        <w:rPr>
          <w:rFonts w:ascii="宋体" w:hAnsi="宋体" w:cstheme="minorBidi"/>
          <w:spacing w:val="4"/>
          <w:highlight w:val="none"/>
        </w:rPr>
        <w:t>污染源参数</w:t>
      </w:r>
    </w:p>
    <w:p>
      <w:pPr>
        <w:snapToGrid w:val="0"/>
        <w:ind w:firstLine="480"/>
        <w:rPr>
          <w:rFonts w:ascii="宋体" w:hAnsi="宋体" w:cstheme="minorBidi"/>
          <w:spacing w:val="4"/>
          <w:highlight w:val="none"/>
        </w:rPr>
      </w:pPr>
      <w:r>
        <w:rPr>
          <w:rFonts w:hint="eastAsia" w:ascii="宋体" w:hAnsi="宋体" w:cstheme="minorBidi"/>
          <w:bCs/>
          <w:highlight w:val="none"/>
        </w:rPr>
        <w:t>本项目</w:t>
      </w:r>
      <w:r>
        <w:rPr>
          <w:rFonts w:ascii="宋体" w:hAnsi="宋体" w:cstheme="minorBidi"/>
          <w:bCs/>
          <w:highlight w:val="none"/>
        </w:rPr>
        <w:t>评价</w:t>
      </w:r>
      <w:r>
        <w:rPr>
          <w:rFonts w:hint="eastAsia" w:ascii="宋体" w:hAnsi="宋体" w:cstheme="minorBidi"/>
          <w:bCs/>
          <w:highlight w:val="none"/>
        </w:rPr>
        <w:t>正常排放污染源</w:t>
      </w:r>
      <w:r>
        <w:rPr>
          <w:rFonts w:ascii="宋体" w:hAnsi="宋体" w:cstheme="minorBidi"/>
          <w:bCs/>
          <w:highlight w:val="none"/>
        </w:rPr>
        <w:t>选取</w:t>
      </w:r>
      <w:r>
        <w:rPr>
          <w:rFonts w:ascii="宋体" w:hAnsi="宋体" w:cstheme="minorBidi"/>
          <w:spacing w:val="4"/>
          <w:highlight w:val="none"/>
        </w:rPr>
        <w:t>的计算参数见表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4</w:t>
      </w:r>
      <w:r>
        <w:rPr>
          <w:rFonts w:ascii="宋体" w:hAnsi="宋体" w:cstheme="minorBidi"/>
          <w:spacing w:val="4"/>
          <w:highlight w:val="none"/>
        </w:rPr>
        <w:t>。</w:t>
      </w:r>
    </w:p>
    <w:p>
      <w:pPr>
        <w:pStyle w:val="62"/>
        <w:ind w:firstLine="480"/>
        <w:jc w:val="center"/>
        <w:rPr>
          <w:rFonts w:hAnsi="宋体"/>
          <w:highlight w:val="none"/>
        </w:rPr>
      </w:pP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4  </w:t>
      </w:r>
      <w:r>
        <w:rPr>
          <w:rFonts w:hAnsi="宋体"/>
          <w:highlight w:val="none"/>
        </w:rPr>
        <w:t>主要废气污染源参数一览表(点源)</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266"/>
        <w:gridCol w:w="1161"/>
        <w:gridCol w:w="1120"/>
        <w:gridCol w:w="821"/>
        <w:gridCol w:w="823"/>
        <w:gridCol w:w="868"/>
        <w:gridCol w:w="909"/>
        <w:gridCol w:w="104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935" w:type="dxa"/>
            <w:vMerge w:val="restart"/>
            <w:vAlign w:val="center"/>
          </w:tcPr>
          <w:p>
            <w:pPr>
              <w:pStyle w:val="64"/>
              <w:rPr>
                <w:rFonts w:hAnsi="宋体"/>
                <w:szCs w:val="22"/>
                <w:highlight w:val="none"/>
              </w:rPr>
            </w:pPr>
            <w:r>
              <w:rPr>
                <w:rFonts w:hAnsi="宋体"/>
                <w:highlight w:val="none"/>
              </w:rPr>
              <w:t>污染源名称</w:t>
            </w:r>
          </w:p>
        </w:tc>
        <w:tc>
          <w:tcPr>
            <w:tcW w:w="2427" w:type="dxa"/>
            <w:gridSpan w:val="2"/>
            <w:vAlign w:val="center"/>
          </w:tcPr>
          <w:p>
            <w:pPr>
              <w:pStyle w:val="64"/>
              <w:rPr>
                <w:rFonts w:hAnsi="宋体"/>
                <w:szCs w:val="22"/>
                <w:highlight w:val="none"/>
              </w:rPr>
            </w:pPr>
            <w:r>
              <w:rPr>
                <w:rFonts w:hAnsi="宋体"/>
                <w:highlight w:val="none"/>
              </w:rPr>
              <w:t>排气筒底部中心坐标(°)</w:t>
            </w:r>
          </w:p>
        </w:tc>
        <w:tc>
          <w:tcPr>
            <w:tcW w:w="1120" w:type="dxa"/>
            <w:vMerge w:val="restart"/>
            <w:vAlign w:val="center"/>
          </w:tcPr>
          <w:p>
            <w:pPr>
              <w:pStyle w:val="64"/>
              <w:rPr>
                <w:rFonts w:hAnsi="宋体"/>
                <w:szCs w:val="22"/>
                <w:highlight w:val="none"/>
              </w:rPr>
            </w:pPr>
            <w:r>
              <w:rPr>
                <w:rFonts w:hAnsi="宋体"/>
                <w:highlight w:val="none"/>
              </w:rPr>
              <w:t>排气筒底部海拔高度(m)</w:t>
            </w:r>
          </w:p>
        </w:tc>
        <w:tc>
          <w:tcPr>
            <w:tcW w:w="3421" w:type="dxa"/>
            <w:gridSpan w:val="4"/>
            <w:vAlign w:val="center"/>
          </w:tcPr>
          <w:p>
            <w:pPr>
              <w:pStyle w:val="64"/>
              <w:rPr>
                <w:rFonts w:hAnsi="宋体"/>
                <w:szCs w:val="22"/>
                <w:highlight w:val="none"/>
              </w:rPr>
            </w:pPr>
            <w:r>
              <w:rPr>
                <w:rFonts w:hAnsi="宋体"/>
                <w:highlight w:val="none"/>
              </w:rPr>
              <w:t>排气筒参数</w:t>
            </w:r>
          </w:p>
        </w:tc>
        <w:tc>
          <w:tcPr>
            <w:tcW w:w="1047" w:type="dxa"/>
            <w:vAlign w:val="center"/>
          </w:tcPr>
          <w:p>
            <w:pPr>
              <w:pStyle w:val="64"/>
              <w:rPr>
                <w:rFonts w:hAnsi="宋体"/>
                <w:szCs w:val="22"/>
                <w:highlight w:val="none"/>
              </w:rPr>
            </w:pPr>
            <w:r>
              <w:rPr>
                <w:rFonts w:hAnsi="宋体"/>
                <w:highlight w:val="none"/>
              </w:rPr>
              <w:t>污染物排放速率(kg/h)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pStyle w:val="64"/>
              <w:rPr>
                <w:rFonts w:hAnsi="宋体"/>
                <w:szCs w:val="22"/>
                <w:highlight w:val="none"/>
              </w:rPr>
            </w:pPr>
          </w:p>
        </w:tc>
        <w:tc>
          <w:tcPr>
            <w:tcW w:w="1266" w:type="dxa"/>
            <w:vAlign w:val="center"/>
          </w:tcPr>
          <w:p>
            <w:pPr>
              <w:pStyle w:val="64"/>
              <w:rPr>
                <w:rFonts w:hAnsi="宋体"/>
                <w:szCs w:val="22"/>
                <w:highlight w:val="none"/>
              </w:rPr>
            </w:pPr>
            <w:r>
              <w:rPr>
                <w:rFonts w:hAnsi="宋体"/>
                <w:highlight w:val="none"/>
              </w:rPr>
              <w:t>经度</w:t>
            </w:r>
          </w:p>
        </w:tc>
        <w:tc>
          <w:tcPr>
            <w:tcW w:w="1161" w:type="dxa"/>
            <w:vAlign w:val="center"/>
          </w:tcPr>
          <w:p>
            <w:pPr>
              <w:pStyle w:val="64"/>
              <w:rPr>
                <w:rFonts w:hAnsi="宋体"/>
                <w:szCs w:val="22"/>
                <w:highlight w:val="none"/>
              </w:rPr>
            </w:pPr>
            <w:r>
              <w:rPr>
                <w:rFonts w:hAnsi="宋体"/>
                <w:highlight w:val="none"/>
              </w:rPr>
              <w:t>纬度</w:t>
            </w:r>
          </w:p>
        </w:tc>
        <w:tc>
          <w:tcPr>
            <w:tcW w:w="1120" w:type="dxa"/>
            <w:vMerge w:val="continue"/>
            <w:vAlign w:val="center"/>
          </w:tcPr>
          <w:p>
            <w:pPr>
              <w:pStyle w:val="64"/>
              <w:rPr>
                <w:rFonts w:hAnsi="宋体"/>
                <w:szCs w:val="22"/>
                <w:highlight w:val="none"/>
              </w:rPr>
            </w:pPr>
          </w:p>
        </w:tc>
        <w:tc>
          <w:tcPr>
            <w:tcW w:w="821" w:type="dxa"/>
            <w:vAlign w:val="center"/>
          </w:tcPr>
          <w:p>
            <w:pPr>
              <w:pStyle w:val="64"/>
              <w:rPr>
                <w:rFonts w:hAnsi="宋体"/>
                <w:szCs w:val="22"/>
                <w:highlight w:val="none"/>
              </w:rPr>
            </w:pPr>
            <w:r>
              <w:rPr>
                <w:rFonts w:hAnsi="宋体"/>
                <w:highlight w:val="none"/>
              </w:rPr>
              <w:t>高度(m)</w:t>
            </w:r>
          </w:p>
        </w:tc>
        <w:tc>
          <w:tcPr>
            <w:tcW w:w="823" w:type="dxa"/>
            <w:vAlign w:val="center"/>
          </w:tcPr>
          <w:p>
            <w:pPr>
              <w:pStyle w:val="64"/>
              <w:rPr>
                <w:rFonts w:hAnsi="宋体"/>
                <w:szCs w:val="22"/>
                <w:highlight w:val="none"/>
              </w:rPr>
            </w:pPr>
            <w:r>
              <w:rPr>
                <w:rFonts w:hAnsi="宋体"/>
                <w:highlight w:val="none"/>
              </w:rPr>
              <w:t>内径(m)</w:t>
            </w:r>
          </w:p>
        </w:tc>
        <w:tc>
          <w:tcPr>
            <w:tcW w:w="868" w:type="dxa"/>
            <w:vAlign w:val="center"/>
          </w:tcPr>
          <w:p>
            <w:pPr>
              <w:pStyle w:val="64"/>
              <w:rPr>
                <w:rFonts w:hAnsi="宋体"/>
                <w:szCs w:val="22"/>
                <w:highlight w:val="none"/>
              </w:rPr>
            </w:pPr>
            <w:r>
              <w:rPr>
                <w:rFonts w:hAnsi="宋体"/>
                <w:highlight w:val="none"/>
              </w:rPr>
              <w:t>温度(℃)</w:t>
            </w:r>
          </w:p>
        </w:tc>
        <w:tc>
          <w:tcPr>
            <w:tcW w:w="909" w:type="dxa"/>
            <w:vAlign w:val="center"/>
          </w:tcPr>
          <w:p>
            <w:pPr>
              <w:pStyle w:val="64"/>
              <w:rPr>
                <w:rFonts w:hAnsi="宋体"/>
                <w:szCs w:val="22"/>
                <w:highlight w:val="none"/>
              </w:rPr>
            </w:pPr>
            <w:r>
              <w:rPr>
                <w:rFonts w:hAnsi="宋体"/>
                <w:highlight w:val="none"/>
              </w:rPr>
              <w:t>流速(m/s)</w:t>
            </w:r>
          </w:p>
        </w:tc>
        <w:tc>
          <w:tcPr>
            <w:tcW w:w="1047" w:type="dxa"/>
            <w:vAlign w:val="center"/>
          </w:tcPr>
          <w:p>
            <w:pPr>
              <w:pStyle w:val="64"/>
              <w:rPr>
                <w:rFonts w:hAnsi="宋体"/>
                <w:szCs w:val="22"/>
                <w:highlight w:val="none"/>
              </w:rPr>
            </w:pPr>
            <w:r>
              <w:rPr>
                <w:rFonts w:hAnsi="宋体"/>
                <w:highlight w:val="none"/>
              </w:rPr>
              <w:t>PM</w:t>
            </w:r>
            <w:r>
              <w:rPr>
                <w:rFonts w:hAnsi="宋体"/>
                <w:highlight w:val="none"/>
                <w:vertAlign w:val="subscript"/>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935" w:type="dxa"/>
            <w:vAlign w:val="center"/>
          </w:tcPr>
          <w:p>
            <w:pPr>
              <w:pStyle w:val="64"/>
              <w:rPr>
                <w:rFonts w:hAnsi="宋体"/>
                <w:szCs w:val="22"/>
                <w:highlight w:val="none"/>
              </w:rPr>
            </w:pPr>
            <w:r>
              <w:rPr>
                <w:rFonts w:hint="eastAsia" w:hAnsi="宋体"/>
                <w:highlight w:val="none"/>
              </w:rPr>
              <w:t>破碎</w:t>
            </w:r>
            <w:r>
              <w:rPr>
                <w:rFonts w:hAnsi="宋体"/>
                <w:highlight w:val="none"/>
              </w:rPr>
              <w:t>排气筒</w:t>
            </w:r>
          </w:p>
        </w:tc>
        <w:tc>
          <w:tcPr>
            <w:tcW w:w="1266" w:type="dxa"/>
            <w:vAlign w:val="center"/>
          </w:tcPr>
          <w:p>
            <w:pPr>
              <w:pStyle w:val="64"/>
              <w:rPr>
                <w:rFonts w:hAnsi="宋体"/>
                <w:szCs w:val="22"/>
                <w:highlight w:val="none"/>
              </w:rPr>
            </w:pPr>
            <w:r>
              <w:rPr>
                <w:rFonts w:hAnsi="宋体"/>
                <w:highlight w:val="none"/>
              </w:rPr>
              <w:t>113.448112</w:t>
            </w:r>
          </w:p>
        </w:tc>
        <w:tc>
          <w:tcPr>
            <w:tcW w:w="1161" w:type="dxa"/>
            <w:vAlign w:val="center"/>
          </w:tcPr>
          <w:p>
            <w:pPr>
              <w:pStyle w:val="64"/>
              <w:rPr>
                <w:rFonts w:hAnsi="宋体"/>
                <w:szCs w:val="22"/>
                <w:highlight w:val="none"/>
              </w:rPr>
            </w:pPr>
            <w:r>
              <w:rPr>
                <w:rFonts w:hAnsi="宋体"/>
                <w:highlight w:val="none"/>
              </w:rPr>
              <w:t>39.206329</w:t>
            </w:r>
          </w:p>
        </w:tc>
        <w:tc>
          <w:tcPr>
            <w:tcW w:w="1120" w:type="dxa"/>
            <w:vAlign w:val="center"/>
          </w:tcPr>
          <w:p>
            <w:pPr>
              <w:pStyle w:val="64"/>
              <w:rPr>
                <w:rFonts w:hAnsi="宋体"/>
                <w:szCs w:val="22"/>
                <w:highlight w:val="none"/>
              </w:rPr>
            </w:pPr>
            <w:r>
              <w:rPr>
                <w:rFonts w:hAnsi="宋体"/>
                <w:highlight w:val="none"/>
              </w:rPr>
              <w:t>107</w:t>
            </w:r>
            <w:r>
              <w:rPr>
                <w:rFonts w:hint="eastAsia" w:hAnsi="宋体"/>
                <w:highlight w:val="none"/>
              </w:rPr>
              <w:t>9</w:t>
            </w:r>
          </w:p>
        </w:tc>
        <w:tc>
          <w:tcPr>
            <w:tcW w:w="821" w:type="dxa"/>
            <w:vAlign w:val="center"/>
          </w:tcPr>
          <w:p>
            <w:pPr>
              <w:pStyle w:val="64"/>
              <w:rPr>
                <w:rFonts w:hAnsi="宋体"/>
                <w:szCs w:val="22"/>
                <w:highlight w:val="none"/>
              </w:rPr>
            </w:pPr>
            <w:r>
              <w:rPr>
                <w:rFonts w:hAnsi="宋体"/>
                <w:highlight w:val="none"/>
              </w:rPr>
              <w:t>15</w:t>
            </w:r>
          </w:p>
        </w:tc>
        <w:tc>
          <w:tcPr>
            <w:tcW w:w="823" w:type="dxa"/>
            <w:vAlign w:val="center"/>
          </w:tcPr>
          <w:p>
            <w:pPr>
              <w:pStyle w:val="64"/>
              <w:rPr>
                <w:rFonts w:hAnsi="宋体"/>
                <w:szCs w:val="22"/>
                <w:highlight w:val="none"/>
              </w:rPr>
            </w:pPr>
            <w:r>
              <w:rPr>
                <w:rFonts w:hAnsi="宋体"/>
                <w:highlight w:val="none"/>
              </w:rPr>
              <w:t>1</w:t>
            </w:r>
            <w:r>
              <w:rPr>
                <w:rFonts w:hint="eastAsia" w:hAnsi="宋体"/>
                <w:highlight w:val="none"/>
              </w:rPr>
              <w:t>.2</w:t>
            </w:r>
          </w:p>
        </w:tc>
        <w:tc>
          <w:tcPr>
            <w:tcW w:w="868" w:type="dxa"/>
            <w:vAlign w:val="center"/>
          </w:tcPr>
          <w:p>
            <w:pPr>
              <w:pStyle w:val="64"/>
              <w:rPr>
                <w:rFonts w:hAnsi="宋体"/>
                <w:szCs w:val="22"/>
                <w:highlight w:val="none"/>
              </w:rPr>
            </w:pPr>
            <w:r>
              <w:rPr>
                <w:rFonts w:hAnsi="宋体"/>
                <w:highlight w:val="none"/>
              </w:rPr>
              <w:t>20</w:t>
            </w:r>
          </w:p>
        </w:tc>
        <w:tc>
          <w:tcPr>
            <w:tcW w:w="909" w:type="dxa"/>
            <w:vAlign w:val="center"/>
          </w:tcPr>
          <w:p>
            <w:pPr>
              <w:pStyle w:val="64"/>
              <w:rPr>
                <w:rFonts w:hAnsi="宋体"/>
                <w:szCs w:val="22"/>
                <w:highlight w:val="none"/>
              </w:rPr>
            </w:pPr>
            <w:r>
              <w:rPr>
                <w:rFonts w:hAnsi="宋体"/>
                <w:highlight w:val="none"/>
              </w:rPr>
              <w:t>10</w:t>
            </w:r>
          </w:p>
        </w:tc>
        <w:tc>
          <w:tcPr>
            <w:tcW w:w="1047" w:type="dxa"/>
            <w:vAlign w:val="center"/>
          </w:tcPr>
          <w:p>
            <w:pPr>
              <w:pStyle w:val="64"/>
              <w:rPr>
                <w:rFonts w:hAnsi="宋体"/>
                <w:szCs w:val="22"/>
                <w:highlight w:val="none"/>
              </w:rPr>
            </w:pPr>
            <w:r>
              <w:rPr>
                <w:rFonts w:hAnsi="宋体"/>
                <w:highlight w:val="none"/>
              </w:rPr>
              <w:t>0.39</w:t>
            </w:r>
          </w:p>
        </w:tc>
      </w:tr>
    </w:tbl>
    <w:p>
      <w:pPr>
        <w:pStyle w:val="62"/>
        <w:ind w:firstLine="480"/>
        <w:jc w:val="center"/>
        <w:rPr>
          <w:rFonts w:hAnsi="宋体"/>
          <w:highlight w:val="none"/>
        </w:rPr>
      </w:pPr>
      <w:r>
        <w:rPr>
          <w:rFonts w:hint="eastAsia" w:hAnsi="宋体"/>
          <w:highlight w:val="none"/>
        </w:rPr>
        <w:t>续</w:t>
      </w: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4  </w:t>
      </w:r>
      <w:r>
        <w:rPr>
          <w:rFonts w:hAnsi="宋体"/>
          <w:highlight w:val="none"/>
        </w:rPr>
        <w:t>主要废气污染源参数一览表(矩形面源)</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1337"/>
        <w:gridCol w:w="1219"/>
        <w:gridCol w:w="716"/>
        <w:gridCol w:w="893"/>
        <w:gridCol w:w="743"/>
        <w:gridCol w:w="1042"/>
        <w:gridCol w:w="124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Merge w:val="restart"/>
            <w:vAlign w:val="center"/>
          </w:tcPr>
          <w:p>
            <w:pPr>
              <w:pStyle w:val="64"/>
              <w:rPr>
                <w:rFonts w:hAnsi="宋体"/>
                <w:szCs w:val="22"/>
                <w:highlight w:val="none"/>
              </w:rPr>
            </w:pPr>
            <w:r>
              <w:rPr>
                <w:rFonts w:hAnsi="宋体"/>
                <w:highlight w:val="none"/>
              </w:rPr>
              <w:t>污染源名称</w:t>
            </w:r>
          </w:p>
        </w:tc>
        <w:tc>
          <w:tcPr>
            <w:tcW w:w="2556" w:type="dxa"/>
            <w:gridSpan w:val="2"/>
            <w:vAlign w:val="center"/>
          </w:tcPr>
          <w:p>
            <w:pPr>
              <w:pStyle w:val="64"/>
              <w:rPr>
                <w:rFonts w:hAnsi="宋体"/>
                <w:szCs w:val="22"/>
                <w:highlight w:val="none"/>
              </w:rPr>
            </w:pPr>
            <w:r>
              <w:rPr>
                <w:rFonts w:hAnsi="宋体"/>
                <w:highlight w:val="none"/>
              </w:rPr>
              <w:t>坐标(°)</w:t>
            </w:r>
          </w:p>
        </w:tc>
        <w:tc>
          <w:tcPr>
            <w:tcW w:w="716" w:type="dxa"/>
            <w:vMerge w:val="restart"/>
            <w:vAlign w:val="center"/>
          </w:tcPr>
          <w:p>
            <w:pPr>
              <w:pStyle w:val="64"/>
              <w:rPr>
                <w:rFonts w:hAnsi="宋体"/>
                <w:szCs w:val="22"/>
                <w:highlight w:val="none"/>
              </w:rPr>
            </w:pPr>
            <w:r>
              <w:rPr>
                <w:rFonts w:hAnsi="宋体"/>
                <w:highlight w:val="none"/>
              </w:rPr>
              <w:t>海拔高度(m)</w:t>
            </w:r>
          </w:p>
        </w:tc>
        <w:tc>
          <w:tcPr>
            <w:tcW w:w="2678" w:type="dxa"/>
            <w:gridSpan w:val="3"/>
            <w:vAlign w:val="center"/>
          </w:tcPr>
          <w:p>
            <w:pPr>
              <w:pStyle w:val="64"/>
              <w:rPr>
                <w:rFonts w:hAnsi="宋体"/>
                <w:szCs w:val="22"/>
                <w:highlight w:val="none"/>
              </w:rPr>
            </w:pPr>
            <w:r>
              <w:rPr>
                <w:rFonts w:hAnsi="宋体"/>
                <w:highlight w:val="none"/>
              </w:rPr>
              <w:t>矩形面源</w:t>
            </w:r>
          </w:p>
        </w:tc>
        <w:tc>
          <w:tcPr>
            <w:tcW w:w="1248" w:type="dxa"/>
            <w:vAlign w:val="center"/>
          </w:tcPr>
          <w:p>
            <w:pPr>
              <w:pStyle w:val="64"/>
              <w:rPr>
                <w:rFonts w:hAnsi="宋体"/>
                <w:szCs w:val="22"/>
                <w:highlight w:val="none"/>
              </w:rPr>
            </w:pPr>
            <w:r>
              <w:rPr>
                <w:rFonts w:hAnsi="宋体"/>
                <w:highlight w:val="none"/>
              </w:rPr>
              <w:t>污染物排放速率(kg/h)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Merge w:val="continue"/>
            <w:vAlign w:val="center"/>
          </w:tcPr>
          <w:p>
            <w:pPr>
              <w:pStyle w:val="64"/>
              <w:rPr>
                <w:rFonts w:hAnsi="宋体"/>
                <w:szCs w:val="22"/>
                <w:highlight w:val="none"/>
              </w:rPr>
            </w:pPr>
          </w:p>
        </w:tc>
        <w:tc>
          <w:tcPr>
            <w:tcW w:w="1337" w:type="dxa"/>
            <w:vAlign w:val="center"/>
          </w:tcPr>
          <w:p>
            <w:pPr>
              <w:pStyle w:val="64"/>
              <w:rPr>
                <w:rFonts w:hAnsi="宋体"/>
                <w:szCs w:val="22"/>
                <w:highlight w:val="none"/>
              </w:rPr>
            </w:pPr>
            <w:r>
              <w:rPr>
                <w:rFonts w:hAnsi="宋体"/>
                <w:highlight w:val="none"/>
              </w:rPr>
              <w:t>经度</w:t>
            </w:r>
          </w:p>
        </w:tc>
        <w:tc>
          <w:tcPr>
            <w:tcW w:w="1219" w:type="dxa"/>
            <w:vAlign w:val="center"/>
          </w:tcPr>
          <w:p>
            <w:pPr>
              <w:pStyle w:val="64"/>
              <w:rPr>
                <w:rFonts w:hAnsi="宋体"/>
                <w:szCs w:val="22"/>
                <w:highlight w:val="none"/>
              </w:rPr>
            </w:pPr>
            <w:r>
              <w:rPr>
                <w:rFonts w:hAnsi="宋体"/>
                <w:highlight w:val="none"/>
              </w:rPr>
              <w:t>纬度</w:t>
            </w:r>
          </w:p>
        </w:tc>
        <w:tc>
          <w:tcPr>
            <w:tcW w:w="716" w:type="dxa"/>
            <w:vMerge w:val="continue"/>
            <w:vAlign w:val="center"/>
          </w:tcPr>
          <w:p>
            <w:pPr>
              <w:pStyle w:val="64"/>
              <w:rPr>
                <w:rFonts w:hAnsi="宋体"/>
                <w:szCs w:val="22"/>
                <w:highlight w:val="none"/>
              </w:rPr>
            </w:pPr>
          </w:p>
        </w:tc>
        <w:tc>
          <w:tcPr>
            <w:tcW w:w="893" w:type="dxa"/>
            <w:vAlign w:val="center"/>
          </w:tcPr>
          <w:p>
            <w:pPr>
              <w:pStyle w:val="64"/>
              <w:rPr>
                <w:rFonts w:hAnsi="宋体"/>
                <w:szCs w:val="22"/>
                <w:highlight w:val="none"/>
              </w:rPr>
            </w:pPr>
            <w:r>
              <w:rPr>
                <w:rFonts w:hAnsi="宋体"/>
                <w:highlight w:val="none"/>
              </w:rPr>
              <w:t>长度(m)</w:t>
            </w:r>
          </w:p>
        </w:tc>
        <w:tc>
          <w:tcPr>
            <w:tcW w:w="743" w:type="dxa"/>
            <w:vAlign w:val="center"/>
          </w:tcPr>
          <w:p>
            <w:pPr>
              <w:pStyle w:val="64"/>
              <w:rPr>
                <w:rFonts w:hAnsi="宋体"/>
                <w:szCs w:val="22"/>
                <w:highlight w:val="none"/>
              </w:rPr>
            </w:pPr>
            <w:r>
              <w:rPr>
                <w:rFonts w:hAnsi="宋体"/>
                <w:highlight w:val="none"/>
              </w:rPr>
              <w:t>宽度(m)</w:t>
            </w:r>
          </w:p>
        </w:tc>
        <w:tc>
          <w:tcPr>
            <w:tcW w:w="1042" w:type="dxa"/>
            <w:vAlign w:val="center"/>
          </w:tcPr>
          <w:p>
            <w:pPr>
              <w:pStyle w:val="64"/>
              <w:rPr>
                <w:rFonts w:hAnsi="宋体"/>
                <w:szCs w:val="22"/>
                <w:highlight w:val="none"/>
              </w:rPr>
            </w:pPr>
            <w:r>
              <w:rPr>
                <w:rFonts w:hAnsi="宋体"/>
                <w:highlight w:val="none"/>
              </w:rPr>
              <w:t>有效高度(m)</w:t>
            </w:r>
          </w:p>
        </w:tc>
        <w:tc>
          <w:tcPr>
            <w:tcW w:w="1248" w:type="dxa"/>
            <w:vAlign w:val="center"/>
          </w:tcPr>
          <w:p>
            <w:pPr>
              <w:pStyle w:val="64"/>
              <w:rPr>
                <w:rFonts w:hAnsi="宋体"/>
                <w:szCs w:val="22"/>
                <w:highlight w:val="none"/>
              </w:rPr>
            </w:pPr>
            <w:r>
              <w:rPr>
                <w:rFonts w:hAnsi="宋体"/>
                <w:highlight w:val="none"/>
              </w:rPr>
              <w:t>TSP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Align w:val="center"/>
          </w:tcPr>
          <w:p>
            <w:pPr>
              <w:pStyle w:val="64"/>
              <w:rPr>
                <w:rFonts w:hAnsi="宋体"/>
                <w:highlight w:val="none"/>
              </w:rPr>
            </w:pPr>
            <w:r>
              <w:rPr>
                <w:rFonts w:hint="eastAsia" w:hAnsi="宋体"/>
                <w:highlight w:val="none"/>
              </w:rPr>
              <w:t>原料</w:t>
            </w:r>
            <w:r>
              <w:rPr>
                <w:rFonts w:hAnsi="宋体"/>
                <w:highlight w:val="none"/>
              </w:rPr>
              <w:t>库</w:t>
            </w:r>
          </w:p>
        </w:tc>
        <w:tc>
          <w:tcPr>
            <w:tcW w:w="1337" w:type="dxa"/>
            <w:vAlign w:val="center"/>
          </w:tcPr>
          <w:p>
            <w:pPr>
              <w:pStyle w:val="64"/>
              <w:rPr>
                <w:rFonts w:hAnsi="宋体"/>
                <w:szCs w:val="22"/>
                <w:highlight w:val="none"/>
              </w:rPr>
            </w:pPr>
            <w:r>
              <w:rPr>
                <w:rFonts w:hAnsi="宋体"/>
                <w:highlight w:val="none"/>
              </w:rPr>
              <w:t>113.44772</w:t>
            </w:r>
          </w:p>
        </w:tc>
        <w:tc>
          <w:tcPr>
            <w:tcW w:w="1219" w:type="dxa"/>
            <w:vAlign w:val="center"/>
          </w:tcPr>
          <w:p>
            <w:pPr>
              <w:pStyle w:val="64"/>
              <w:rPr>
                <w:rFonts w:hAnsi="宋体"/>
                <w:szCs w:val="22"/>
                <w:highlight w:val="none"/>
              </w:rPr>
            </w:pPr>
            <w:r>
              <w:rPr>
                <w:rFonts w:hAnsi="宋体"/>
                <w:highlight w:val="none"/>
              </w:rPr>
              <w:t>39.206183</w:t>
            </w:r>
          </w:p>
        </w:tc>
        <w:tc>
          <w:tcPr>
            <w:tcW w:w="716" w:type="dxa"/>
            <w:vAlign w:val="center"/>
          </w:tcPr>
          <w:p>
            <w:pPr>
              <w:pStyle w:val="64"/>
              <w:rPr>
                <w:rFonts w:hAnsi="宋体"/>
                <w:szCs w:val="22"/>
                <w:highlight w:val="none"/>
              </w:rPr>
            </w:pPr>
            <w:r>
              <w:rPr>
                <w:rFonts w:hAnsi="宋体"/>
                <w:highlight w:val="none"/>
              </w:rPr>
              <w:t>107</w:t>
            </w:r>
            <w:r>
              <w:rPr>
                <w:rFonts w:hint="eastAsia" w:hAnsi="宋体"/>
                <w:highlight w:val="none"/>
              </w:rPr>
              <w:t>9</w:t>
            </w:r>
          </w:p>
        </w:tc>
        <w:tc>
          <w:tcPr>
            <w:tcW w:w="893" w:type="dxa"/>
            <w:vAlign w:val="center"/>
          </w:tcPr>
          <w:p>
            <w:pPr>
              <w:pStyle w:val="64"/>
              <w:rPr>
                <w:rFonts w:hAnsi="宋体"/>
                <w:szCs w:val="22"/>
                <w:highlight w:val="none"/>
              </w:rPr>
            </w:pPr>
            <w:r>
              <w:rPr>
                <w:rFonts w:hAnsi="宋体"/>
                <w:highlight w:val="none"/>
              </w:rPr>
              <w:t>30</w:t>
            </w:r>
          </w:p>
        </w:tc>
        <w:tc>
          <w:tcPr>
            <w:tcW w:w="743" w:type="dxa"/>
            <w:vAlign w:val="center"/>
          </w:tcPr>
          <w:p>
            <w:pPr>
              <w:pStyle w:val="64"/>
              <w:rPr>
                <w:rFonts w:hAnsi="宋体"/>
                <w:szCs w:val="22"/>
                <w:highlight w:val="none"/>
              </w:rPr>
            </w:pPr>
            <w:r>
              <w:rPr>
                <w:rFonts w:hAnsi="宋体"/>
                <w:highlight w:val="none"/>
              </w:rPr>
              <w:t>40</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0.0963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1752" w:type="dxa"/>
            <w:vAlign w:val="center"/>
          </w:tcPr>
          <w:p>
            <w:pPr>
              <w:pStyle w:val="64"/>
              <w:rPr>
                <w:rFonts w:hAnsi="宋体"/>
                <w:highlight w:val="none"/>
              </w:rPr>
            </w:pPr>
            <w:r>
              <w:rPr>
                <w:rFonts w:hint="eastAsia" w:hAnsi="宋体"/>
                <w:highlight w:val="none"/>
              </w:rPr>
              <w:t>废石库</w:t>
            </w:r>
          </w:p>
        </w:tc>
        <w:tc>
          <w:tcPr>
            <w:tcW w:w="1337" w:type="dxa"/>
            <w:vAlign w:val="center"/>
          </w:tcPr>
          <w:p>
            <w:pPr>
              <w:pStyle w:val="64"/>
              <w:rPr>
                <w:rFonts w:hAnsi="宋体"/>
                <w:szCs w:val="22"/>
                <w:highlight w:val="none"/>
              </w:rPr>
            </w:pPr>
            <w:r>
              <w:rPr>
                <w:rFonts w:hAnsi="宋体"/>
                <w:highlight w:val="none"/>
              </w:rPr>
              <w:t>113.448476</w:t>
            </w:r>
          </w:p>
        </w:tc>
        <w:tc>
          <w:tcPr>
            <w:tcW w:w="1219" w:type="dxa"/>
            <w:vAlign w:val="center"/>
          </w:tcPr>
          <w:p>
            <w:pPr>
              <w:pStyle w:val="64"/>
              <w:rPr>
                <w:rFonts w:hAnsi="宋体"/>
                <w:szCs w:val="22"/>
                <w:highlight w:val="none"/>
              </w:rPr>
            </w:pPr>
            <w:r>
              <w:rPr>
                <w:rFonts w:hAnsi="宋体"/>
                <w:highlight w:val="none"/>
              </w:rPr>
              <w:t>39.206379</w:t>
            </w:r>
          </w:p>
        </w:tc>
        <w:tc>
          <w:tcPr>
            <w:tcW w:w="716" w:type="dxa"/>
            <w:vAlign w:val="center"/>
          </w:tcPr>
          <w:p>
            <w:pPr>
              <w:pStyle w:val="64"/>
              <w:rPr>
                <w:rFonts w:hAnsi="宋体"/>
                <w:szCs w:val="22"/>
                <w:highlight w:val="none"/>
              </w:rPr>
            </w:pPr>
            <w:r>
              <w:rPr>
                <w:rFonts w:hAnsi="宋体"/>
                <w:highlight w:val="none"/>
              </w:rPr>
              <w:t>1079</w:t>
            </w:r>
          </w:p>
        </w:tc>
        <w:tc>
          <w:tcPr>
            <w:tcW w:w="893" w:type="dxa"/>
            <w:vAlign w:val="center"/>
          </w:tcPr>
          <w:p>
            <w:pPr>
              <w:pStyle w:val="64"/>
              <w:rPr>
                <w:rFonts w:hAnsi="宋体"/>
                <w:szCs w:val="22"/>
                <w:highlight w:val="none"/>
              </w:rPr>
            </w:pPr>
            <w:r>
              <w:rPr>
                <w:rFonts w:hAnsi="宋体"/>
                <w:highlight w:val="none"/>
              </w:rPr>
              <w:t>33</w:t>
            </w:r>
          </w:p>
        </w:tc>
        <w:tc>
          <w:tcPr>
            <w:tcW w:w="743" w:type="dxa"/>
            <w:vAlign w:val="center"/>
          </w:tcPr>
          <w:p>
            <w:pPr>
              <w:pStyle w:val="64"/>
              <w:rPr>
                <w:rFonts w:hAnsi="宋体"/>
                <w:szCs w:val="22"/>
                <w:highlight w:val="none"/>
              </w:rPr>
            </w:pPr>
            <w:r>
              <w:rPr>
                <w:rFonts w:hAnsi="宋体"/>
                <w:highlight w:val="none"/>
              </w:rPr>
              <w:t>30</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0.0683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Align w:val="center"/>
          </w:tcPr>
          <w:p>
            <w:pPr>
              <w:pStyle w:val="64"/>
              <w:rPr>
                <w:rFonts w:hAnsi="宋体"/>
                <w:highlight w:val="none"/>
              </w:rPr>
            </w:pPr>
            <w:r>
              <w:rPr>
                <w:rFonts w:hint="eastAsia" w:hAnsi="宋体"/>
                <w:highlight w:val="none"/>
              </w:rPr>
              <w:t>成品</w:t>
            </w:r>
            <w:r>
              <w:rPr>
                <w:rFonts w:hAnsi="宋体"/>
                <w:highlight w:val="none"/>
              </w:rPr>
              <w:t>库</w:t>
            </w:r>
          </w:p>
        </w:tc>
        <w:tc>
          <w:tcPr>
            <w:tcW w:w="1337" w:type="dxa"/>
            <w:vAlign w:val="center"/>
          </w:tcPr>
          <w:p>
            <w:pPr>
              <w:pStyle w:val="64"/>
              <w:rPr>
                <w:rFonts w:hAnsi="宋体"/>
                <w:szCs w:val="22"/>
                <w:highlight w:val="none"/>
              </w:rPr>
            </w:pPr>
            <w:r>
              <w:rPr>
                <w:rFonts w:hAnsi="宋体"/>
                <w:highlight w:val="none"/>
              </w:rPr>
              <w:t>113.448954</w:t>
            </w:r>
          </w:p>
        </w:tc>
        <w:tc>
          <w:tcPr>
            <w:tcW w:w="1219" w:type="dxa"/>
            <w:vAlign w:val="center"/>
          </w:tcPr>
          <w:p>
            <w:pPr>
              <w:pStyle w:val="64"/>
              <w:rPr>
                <w:rFonts w:hAnsi="宋体"/>
                <w:szCs w:val="22"/>
                <w:highlight w:val="none"/>
              </w:rPr>
            </w:pPr>
            <w:r>
              <w:rPr>
                <w:rFonts w:hAnsi="宋体"/>
                <w:highlight w:val="none"/>
              </w:rPr>
              <w:t>39.206449</w:t>
            </w:r>
          </w:p>
        </w:tc>
        <w:tc>
          <w:tcPr>
            <w:tcW w:w="716" w:type="dxa"/>
            <w:vAlign w:val="center"/>
          </w:tcPr>
          <w:p>
            <w:pPr>
              <w:pStyle w:val="64"/>
              <w:rPr>
                <w:rFonts w:hAnsi="宋体"/>
                <w:szCs w:val="22"/>
                <w:highlight w:val="none"/>
              </w:rPr>
            </w:pPr>
            <w:r>
              <w:rPr>
                <w:rFonts w:hAnsi="宋体"/>
                <w:highlight w:val="none"/>
              </w:rPr>
              <w:t>1079</w:t>
            </w:r>
          </w:p>
        </w:tc>
        <w:tc>
          <w:tcPr>
            <w:tcW w:w="893" w:type="dxa"/>
            <w:vAlign w:val="center"/>
          </w:tcPr>
          <w:p>
            <w:pPr>
              <w:pStyle w:val="64"/>
              <w:rPr>
                <w:rFonts w:hAnsi="宋体"/>
                <w:szCs w:val="22"/>
                <w:highlight w:val="none"/>
              </w:rPr>
            </w:pPr>
            <w:r>
              <w:rPr>
                <w:rFonts w:hAnsi="宋体"/>
                <w:highlight w:val="none"/>
              </w:rPr>
              <w:t>25</w:t>
            </w:r>
          </w:p>
        </w:tc>
        <w:tc>
          <w:tcPr>
            <w:tcW w:w="743" w:type="dxa"/>
            <w:vAlign w:val="center"/>
          </w:tcPr>
          <w:p>
            <w:pPr>
              <w:pStyle w:val="64"/>
              <w:rPr>
                <w:rFonts w:hAnsi="宋体"/>
                <w:szCs w:val="22"/>
                <w:highlight w:val="none"/>
              </w:rPr>
            </w:pPr>
            <w:r>
              <w:rPr>
                <w:rFonts w:hAnsi="宋体"/>
                <w:highlight w:val="none"/>
              </w:rPr>
              <w:t>20</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0.0040</w:t>
            </w:r>
            <w:r>
              <w:rPr>
                <w:rFonts w:hint="eastAsia" w:hAnsi="宋体"/>
                <w:highlight w:val="none"/>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752" w:type="dxa"/>
            <w:vAlign w:val="center"/>
          </w:tcPr>
          <w:p>
            <w:pPr>
              <w:pStyle w:val="64"/>
              <w:rPr>
                <w:rFonts w:hAnsi="宋体"/>
                <w:highlight w:val="none"/>
              </w:rPr>
            </w:pPr>
            <w:r>
              <w:rPr>
                <w:rFonts w:hint="eastAsia" w:hAnsi="宋体"/>
                <w:highlight w:val="none"/>
              </w:rPr>
              <w:t>尾矿库</w:t>
            </w:r>
          </w:p>
        </w:tc>
        <w:tc>
          <w:tcPr>
            <w:tcW w:w="1337" w:type="dxa"/>
            <w:vAlign w:val="center"/>
          </w:tcPr>
          <w:p>
            <w:pPr>
              <w:pStyle w:val="64"/>
              <w:rPr>
                <w:rFonts w:hAnsi="宋体"/>
                <w:szCs w:val="22"/>
                <w:highlight w:val="none"/>
              </w:rPr>
            </w:pPr>
            <w:r>
              <w:rPr>
                <w:rFonts w:hAnsi="宋体"/>
                <w:highlight w:val="none"/>
              </w:rPr>
              <w:t>113.449758</w:t>
            </w:r>
          </w:p>
        </w:tc>
        <w:tc>
          <w:tcPr>
            <w:tcW w:w="1219" w:type="dxa"/>
            <w:vAlign w:val="center"/>
          </w:tcPr>
          <w:p>
            <w:pPr>
              <w:pStyle w:val="64"/>
              <w:rPr>
                <w:rFonts w:hAnsi="宋体"/>
                <w:szCs w:val="22"/>
                <w:highlight w:val="none"/>
              </w:rPr>
            </w:pPr>
            <w:r>
              <w:rPr>
                <w:rFonts w:hAnsi="宋体"/>
                <w:highlight w:val="none"/>
              </w:rPr>
              <w:t>39.206902</w:t>
            </w:r>
          </w:p>
        </w:tc>
        <w:tc>
          <w:tcPr>
            <w:tcW w:w="716" w:type="dxa"/>
            <w:vAlign w:val="center"/>
          </w:tcPr>
          <w:p>
            <w:pPr>
              <w:pStyle w:val="64"/>
              <w:rPr>
                <w:rFonts w:hAnsi="宋体"/>
                <w:szCs w:val="22"/>
                <w:highlight w:val="none"/>
              </w:rPr>
            </w:pPr>
            <w:r>
              <w:rPr>
                <w:rFonts w:hAnsi="宋体"/>
                <w:highlight w:val="none"/>
              </w:rPr>
              <w:t>107</w:t>
            </w:r>
            <w:r>
              <w:rPr>
                <w:rFonts w:hint="eastAsia" w:hAnsi="宋体"/>
                <w:highlight w:val="none"/>
              </w:rPr>
              <w:t>7</w:t>
            </w:r>
          </w:p>
        </w:tc>
        <w:tc>
          <w:tcPr>
            <w:tcW w:w="893" w:type="dxa"/>
            <w:vAlign w:val="center"/>
          </w:tcPr>
          <w:p>
            <w:pPr>
              <w:pStyle w:val="64"/>
              <w:rPr>
                <w:rFonts w:hAnsi="宋体"/>
                <w:szCs w:val="22"/>
                <w:highlight w:val="none"/>
              </w:rPr>
            </w:pPr>
            <w:r>
              <w:rPr>
                <w:rFonts w:hAnsi="宋体"/>
                <w:highlight w:val="none"/>
              </w:rPr>
              <w:t>8</w:t>
            </w:r>
          </w:p>
        </w:tc>
        <w:tc>
          <w:tcPr>
            <w:tcW w:w="743" w:type="dxa"/>
            <w:vAlign w:val="center"/>
          </w:tcPr>
          <w:p>
            <w:pPr>
              <w:pStyle w:val="64"/>
              <w:rPr>
                <w:rFonts w:hAnsi="宋体"/>
                <w:szCs w:val="22"/>
                <w:highlight w:val="none"/>
              </w:rPr>
            </w:pPr>
            <w:r>
              <w:rPr>
                <w:rFonts w:hAnsi="宋体"/>
                <w:highlight w:val="none"/>
              </w:rPr>
              <w:t>25</w:t>
            </w:r>
          </w:p>
        </w:tc>
        <w:tc>
          <w:tcPr>
            <w:tcW w:w="1042" w:type="dxa"/>
            <w:vAlign w:val="center"/>
          </w:tcPr>
          <w:p>
            <w:pPr>
              <w:pStyle w:val="64"/>
              <w:rPr>
                <w:rFonts w:hAnsi="宋体"/>
                <w:szCs w:val="22"/>
                <w:highlight w:val="none"/>
              </w:rPr>
            </w:pPr>
            <w:r>
              <w:rPr>
                <w:rFonts w:hAnsi="宋体"/>
                <w:highlight w:val="none"/>
              </w:rPr>
              <w:t>10</w:t>
            </w:r>
          </w:p>
        </w:tc>
        <w:tc>
          <w:tcPr>
            <w:tcW w:w="1248" w:type="dxa"/>
            <w:vAlign w:val="center"/>
          </w:tcPr>
          <w:p>
            <w:pPr>
              <w:pStyle w:val="64"/>
              <w:rPr>
                <w:rFonts w:hAnsi="宋体"/>
                <w:szCs w:val="22"/>
                <w:highlight w:val="none"/>
              </w:rPr>
            </w:pPr>
            <w:r>
              <w:rPr>
                <w:rFonts w:hAnsi="宋体"/>
                <w:highlight w:val="none"/>
              </w:rPr>
              <w:t>0.010</w:t>
            </w:r>
            <w:r>
              <w:rPr>
                <w:rFonts w:hint="eastAsia" w:hAnsi="宋体"/>
                <w:highlight w:val="none"/>
              </w:rPr>
              <w:t>83</w:t>
            </w:r>
          </w:p>
        </w:tc>
      </w:tr>
    </w:tbl>
    <w:p>
      <w:pPr>
        <w:snapToGrid w:val="0"/>
        <w:ind w:firstLine="496"/>
        <w:rPr>
          <w:rFonts w:ascii="宋体" w:hAnsi="宋体" w:cstheme="minorBidi"/>
          <w:spacing w:val="4"/>
          <w:highlight w:val="none"/>
        </w:rPr>
      </w:pPr>
      <w:r>
        <w:rPr>
          <w:rFonts w:hint="eastAsia" w:ascii="宋体" w:hAnsi="宋体" w:cstheme="minorBidi"/>
          <w:spacing w:val="4"/>
          <w:highlight w:val="none"/>
        </w:rPr>
        <w:t>4、</w:t>
      </w:r>
      <w:r>
        <w:rPr>
          <w:rFonts w:ascii="宋体" w:hAnsi="宋体" w:cstheme="minorBidi"/>
          <w:spacing w:val="4"/>
          <w:highlight w:val="none"/>
        </w:rPr>
        <w:t>估算结果</w:t>
      </w:r>
    </w:p>
    <w:p>
      <w:pPr>
        <w:snapToGrid w:val="0"/>
        <w:ind w:firstLine="480"/>
        <w:rPr>
          <w:rFonts w:ascii="宋体" w:hAnsi="宋体" w:cstheme="minorBidi"/>
          <w:bCs/>
          <w:highlight w:val="none"/>
        </w:rPr>
      </w:pPr>
      <w:r>
        <w:rPr>
          <w:rFonts w:ascii="宋体" w:hAnsi="宋体" w:cstheme="minorBidi"/>
          <w:bCs/>
          <w:highlight w:val="none"/>
        </w:rPr>
        <w:t>本次评价采用估算模型对各污染源正常排放的污染物浓度进行估算，估算结果见表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5</w:t>
      </w:r>
      <w:r>
        <w:rPr>
          <w:rFonts w:hint="eastAsia" w:ascii="宋体" w:hAnsi="宋体" w:cstheme="minorBidi"/>
          <w:bCs/>
          <w:highlight w:val="none"/>
        </w:rPr>
        <w:t>。</w:t>
      </w:r>
    </w:p>
    <w:p>
      <w:pPr>
        <w:pStyle w:val="62"/>
        <w:ind w:firstLine="480"/>
        <w:jc w:val="center"/>
        <w:rPr>
          <w:rFonts w:hAnsi="宋体"/>
          <w:highlight w:val="none"/>
        </w:rPr>
      </w:pP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5  </w:t>
      </w:r>
      <w:r>
        <w:rPr>
          <w:rFonts w:hint="eastAsia" w:hAnsi="宋体"/>
          <w:sz w:val="23"/>
          <w:szCs w:val="23"/>
          <w:highlight w:val="none"/>
        </w:rPr>
        <w:t>原料</w:t>
      </w:r>
      <w:r>
        <w:rPr>
          <w:rFonts w:hAnsi="宋体"/>
          <w:sz w:val="23"/>
          <w:szCs w:val="23"/>
          <w:highlight w:val="none"/>
        </w:rPr>
        <w:t>库</w:t>
      </w:r>
      <w:r>
        <w:rPr>
          <w:rFonts w:hint="eastAsia" w:hAnsi="宋体"/>
          <w:highlight w:val="none"/>
        </w:rPr>
        <w:t>大气污染物估算结果一览表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1"/>
        <w:gridCol w:w="3449"/>
        <w:gridCol w:w="24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restart"/>
            <w:vAlign w:val="center"/>
          </w:tcPr>
          <w:p>
            <w:pPr>
              <w:pStyle w:val="64"/>
              <w:rPr>
                <w:rFonts w:hAnsi="宋体"/>
                <w:szCs w:val="22"/>
                <w:highlight w:val="none"/>
              </w:rPr>
            </w:pPr>
            <w:r>
              <w:rPr>
                <w:rFonts w:hAnsi="宋体"/>
                <w:highlight w:val="none"/>
              </w:rPr>
              <w:t>下风向距离</w:t>
            </w:r>
          </w:p>
        </w:tc>
        <w:tc>
          <w:tcPr>
            <w:tcW w:w="5849" w:type="dxa"/>
            <w:gridSpan w:val="2"/>
            <w:vAlign w:val="center"/>
          </w:tcPr>
          <w:p>
            <w:pPr>
              <w:pStyle w:val="64"/>
              <w:rPr>
                <w:rFonts w:hAnsi="宋体"/>
                <w:szCs w:val="22"/>
                <w:highlight w:val="none"/>
              </w:rPr>
            </w:pPr>
            <w:r>
              <w:rPr>
                <w:rFonts w:hint="eastAsia" w:hAnsi="宋体"/>
                <w:highlight w:val="none"/>
              </w:rPr>
              <w:t>原料</w:t>
            </w:r>
            <w:r>
              <w:rPr>
                <w:rFonts w:hAnsi="宋体"/>
                <w:highlight w:val="none"/>
              </w:rPr>
              <w:t>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continue"/>
            <w:vAlign w:val="center"/>
          </w:tcPr>
          <w:p>
            <w:pPr>
              <w:pStyle w:val="64"/>
              <w:rPr>
                <w:rFonts w:hAnsi="宋体"/>
                <w:szCs w:val="22"/>
                <w:highlight w:val="none"/>
              </w:rPr>
            </w:pPr>
          </w:p>
        </w:tc>
        <w:tc>
          <w:tcPr>
            <w:tcW w:w="3449" w:type="dxa"/>
            <w:vAlign w:val="center"/>
          </w:tcPr>
          <w:p>
            <w:pPr>
              <w:pStyle w:val="64"/>
              <w:rPr>
                <w:rFonts w:hAnsi="宋体"/>
                <w:szCs w:val="22"/>
                <w:highlight w:val="none"/>
              </w:rPr>
            </w:pPr>
            <w:r>
              <w:rPr>
                <w:rFonts w:hAnsi="宋体"/>
                <w:highlight w:val="none"/>
              </w:rPr>
              <w:t>TSP浓度(μg/m³)</w:t>
            </w:r>
          </w:p>
        </w:tc>
        <w:tc>
          <w:tcPr>
            <w:tcW w:w="2400" w:type="dxa"/>
            <w:vAlign w:val="center"/>
          </w:tcPr>
          <w:p>
            <w:pPr>
              <w:pStyle w:val="64"/>
              <w:rPr>
                <w:rFonts w:hAnsi="宋体"/>
                <w:szCs w:val="22"/>
                <w:highlight w:val="none"/>
              </w:rPr>
            </w:pPr>
            <w:r>
              <w:rPr>
                <w:rFonts w:hAnsi="宋体"/>
                <w:highlight w:val="none"/>
              </w:rPr>
              <w:t>TSP占标率(%)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50.0</w:t>
            </w:r>
          </w:p>
        </w:tc>
        <w:tc>
          <w:tcPr>
            <w:tcW w:w="3449" w:type="dxa"/>
            <w:vAlign w:val="center"/>
          </w:tcPr>
          <w:p>
            <w:pPr>
              <w:pStyle w:val="64"/>
              <w:rPr>
                <w:rFonts w:hAnsi="宋体"/>
                <w:szCs w:val="22"/>
                <w:highlight w:val="none"/>
              </w:rPr>
            </w:pPr>
            <w:r>
              <w:rPr>
                <w:rFonts w:hAnsi="宋体"/>
                <w:highlight w:val="none"/>
              </w:rPr>
              <w:t>73.0420</w:t>
            </w:r>
          </w:p>
        </w:tc>
        <w:tc>
          <w:tcPr>
            <w:tcW w:w="2400" w:type="dxa"/>
            <w:vAlign w:val="center"/>
          </w:tcPr>
          <w:p>
            <w:pPr>
              <w:pStyle w:val="64"/>
              <w:rPr>
                <w:rFonts w:hAnsi="宋体"/>
                <w:szCs w:val="22"/>
                <w:highlight w:val="none"/>
              </w:rPr>
            </w:pPr>
            <w:r>
              <w:rPr>
                <w:rFonts w:hAnsi="宋体"/>
                <w:highlight w:val="none"/>
              </w:rPr>
              <w:t>8.116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100.0</w:t>
            </w:r>
          </w:p>
        </w:tc>
        <w:tc>
          <w:tcPr>
            <w:tcW w:w="3449" w:type="dxa"/>
            <w:vAlign w:val="center"/>
          </w:tcPr>
          <w:p>
            <w:pPr>
              <w:pStyle w:val="64"/>
              <w:rPr>
                <w:rFonts w:hAnsi="宋体"/>
                <w:szCs w:val="22"/>
                <w:highlight w:val="none"/>
              </w:rPr>
            </w:pPr>
            <w:r>
              <w:rPr>
                <w:rFonts w:hAnsi="宋体"/>
                <w:highlight w:val="none"/>
              </w:rPr>
              <w:t>54.4190</w:t>
            </w:r>
          </w:p>
        </w:tc>
        <w:tc>
          <w:tcPr>
            <w:tcW w:w="2400" w:type="dxa"/>
            <w:vAlign w:val="center"/>
          </w:tcPr>
          <w:p>
            <w:pPr>
              <w:pStyle w:val="64"/>
              <w:rPr>
                <w:rFonts w:hAnsi="宋体"/>
                <w:szCs w:val="22"/>
                <w:highlight w:val="none"/>
              </w:rPr>
            </w:pPr>
            <w:r>
              <w:rPr>
                <w:rFonts w:hAnsi="宋体"/>
                <w:highlight w:val="none"/>
              </w:rPr>
              <w:t>6.047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w:t>
            </w:r>
          </w:p>
        </w:tc>
        <w:tc>
          <w:tcPr>
            <w:tcW w:w="3449" w:type="dxa"/>
            <w:vAlign w:val="center"/>
          </w:tcPr>
          <w:p>
            <w:pPr>
              <w:pStyle w:val="64"/>
              <w:rPr>
                <w:rFonts w:hAnsi="宋体"/>
                <w:szCs w:val="22"/>
                <w:highlight w:val="none"/>
              </w:rPr>
            </w:pPr>
            <w:r>
              <w:rPr>
                <w:rFonts w:hAnsi="宋体"/>
                <w:highlight w:val="none"/>
              </w:rPr>
              <w:t>33.0710</w:t>
            </w:r>
          </w:p>
        </w:tc>
        <w:tc>
          <w:tcPr>
            <w:tcW w:w="2400" w:type="dxa"/>
            <w:vAlign w:val="center"/>
          </w:tcPr>
          <w:p>
            <w:pPr>
              <w:pStyle w:val="64"/>
              <w:rPr>
                <w:rFonts w:hAnsi="宋体"/>
                <w:szCs w:val="22"/>
                <w:highlight w:val="none"/>
              </w:rPr>
            </w:pPr>
            <w:r>
              <w:rPr>
                <w:rFonts w:hAnsi="宋体"/>
                <w:highlight w:val="none"/>
              </w:rPr>
              <w:t>3.675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300.0</w:t>
            </w:r>
          </w:p>
        </w:tc>
        <w:tc>
          <w:tcPr>
            <w:tcW w:w="3449" w:type="dxa"/>
            <w:vAlign w:val="center"/>
          </w:tcPr>
          <w:p>
            <w:pPr>
              <w:pStyle w:val="64"/>
              <w:rPr>
                <w:rFonts w:hAnsi="宋体"/>
                <w:szCs w:val="22"/>
                <w:highlight w:val="none"/>
              </w:rPr>
            </w:pPr>
            <w:r>
              <w:rPr>
                <w:rFonts w:hAnsi="宋体"/>
                <w:highlight w:val="none"/>
              </w:rPr>
              <w:t>24.7510</w:t>
            </w:r>
          </w:p>
        </w:tc>
        <w:tc>
          <w:tcPr>
            <w:tcW w:w="2400" w:type="dxa"/>
            <w:vAlign w:val="center"/>
          </w:tcPr>
          <w:p>
            <w:pPr>
              <w:pStyle w:val="64"/>
              <w:rPr>
                <w:rFonts w:hAnsi="宋体"/>
                <w:szCs w:val="22"/>
                <w:highlight w:val="none"/>
              </w:rPr>
            </w:pPr>
            <w:r>
              <w:rPr>
                <w:rFonts w:hAnsi="宋体"/>
                <w:highlight w:val="none"/>
              </w:rPr>
              <w:t>2.750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400.0</w:t>
            </w:r>
          </w:p>
        </w:tc>
        <w:tc>
          <w:tcPr>
            <w:tcW w:w="3449" w:type="dxa"/>
            <w:vAlign w:val="center"/>
          </w:tcPr>
          <w:p>
            <w:pPr>
              <w:pStyle w:val="64"/>
              <w:rPr>
                <w:rFonts w:hAnsi="宋体"/>
                <w:szCs w:val="22"/>
                <w:highlight w:val="none"/>
              </w:rPr>
            </w:pPr>
            <w:r>
              <w:rPr>
                <w:rFonts w:hAnsi="宋体"/>
                <w:highlight w:val="none"/>
              </w:rPr>
              <w:t>20.1770</w:t>
            </w:r>
          </w:p>
        </w:tc>
        <w:tc>
          <w:tcPr>
            <w:tcW w:w="2400" w:type="dxa"/>
            <w:vAlign w:val="center"/>
          </w:tcPr>
          <w:p>
            <w:pPr>
              <w:pStyle w:val="64"/>
              <w:rPr>
                <w:rFonts w:hAnsi="宋体"/>
                <w:szCs w:val="22"/>
                <w:highlight w:val="none"/>
              </w:rPr>
            </w:pPr>
            <w:r>
              <w:rPr>
                <w:rFonts w:hAnsi="宋体"/>
                <w:highlight w:val="none"/>
              </w:rPr>
              <w:t>2.242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500.0</w:t>
            </w:r>
          </w:p>
        </w:tc>
        <w:tc>
          <w:tcPr>
            <w:tcW w:w="3449" w:type="dxa"/>
            <w:vAlign w:val="center"/>
          </w:tcPr>
          <w:p>
            <w:pPr>
              <w:pStyle w:val="64"/>
              <w:rPr>
                <w:rFonts w:hAnsi="宋体"/>
                <w:szCs w:val="22"/>
                <w:highlight w:val="none"/>
              </w:rPr>
            </w:pPr>
            <w:r>
              <w:rPr>
                <w:rFonts w:hAnsi="宋体"/>
                <w:highlight w:val="none"/>
              </w:rPr>
              <w:t>17.8320</w:t>
            </w:r>
          </w:p>
        </w:tc>
        <w:tc>
          <w:tcPr>
            <w:tcW w:w="2400" w:type="dxa"/>
            <w:vAlign w:val="center"/>
          </w:tcPr>
          <w:p>
            <w:pPr>
              <w:pStyle w:val="64"/>
              <w:rPr>
                <w:rFonts w:hAnsi="宋体"/>
                <w:szCs w:val="22"/>
                <w:highlight w:val="none"/>
              </w:rPr>
            </w:pPr>
            <w:r>
              <w:rPr>
                <w:rFonts w:hAnsi="宋体"/>
                <w:highlight w:val="none"/>
              </w:rPr>
              <w:t>1.981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600.0</w:t>
            </w:r>
          </w:p>
        </w:tc>
        <w:tc>
          <w:tcPr>
            <w:tcW w:w="3449" w:type="dxa"/>
            <w:vAlign w:val="center"/>
          </w:tcPr>
          <w:p>
            <w:pPr>
              <w:pStyle w:val="64"/>
              <w:rPr>
                <w:rFonts w:hAnsi="宋体"/>
                <w:szCs w:val="22"/>
                <w:highlight w:val="none"/>
              </w:rPr>
            </w:pPr>
            <w:r>
              <w:rPr>
                <w:rFonts w:hAnsi="宋体"/>
                <w:highlight w:val="none"/>
              </w:rPr>
              <w:t>16.8050</w:t>
            </w:r>
          </w:p>
        </w:tc>
        <w:tc>
          <w:tcPr>
            <w:tcW w:w="2400" w:type="dxa"/>
            <w:vAlign w:val="center"/>
          </w:tcPr>
          <w:p>
            <w:pPr>
              <w:pStyle w:val="64"/>
              <w:rPr>
                <w:rFonts w:hAnsi="宋体"/>
                <w:szCs w:val="22"/>
                <w:highlight w:val="none"/>
              </w:rPr>
            </w:pPr>
            <w:r>
              <w:rPr>
                <w:rFonts w:hAnsi="宋体"/>
                <w:highlight w:val="none"/>
              </w:rPr>
              <w:t>1.867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700.0</w:t>
            </w:r>
          </w:p>
        </w:tc>
        <w:tc>
          <w:tcPr>
            <w:tcW w:w="3449" w:type="dxa"/>
            <w:vAlign w:val="center"/>
          </w:tcPr>
          <w:p>
            <w:pPr>
              <w:pStyle w:val="64"/>
              <w:rPr>
                <w:rFonts w:hAnsi="宋体"/>
                <w:szCs w:val="22"/>
                <w:highlight w:val="none"/>
              </w:rPr>
            </w:pPr>
            <w:r>
              <w:rPr>
                <w:rFonts w:hAnsi="宋体"/>
                <w:highlight w:val="none"/>
              </w:rPr>
              <w:t>15.9540</w:t>
            </w:r>
          </w:p>
        </w:tc>
        <w:tc>
          <w:tcPr>
            <w:tcW w:w="2400" w:type="dxa"/>
            <w:vAlign w:val="center"/>
          </w:tcPr>
          <w:p>
            <w:pPr>
              <w:pStyle w:val="64"/>
              <w:rPr>
                <w:rFonts w:hAnsi="宋体"/>
                <w:szCs w:val="22"/>
                <w:highlight w:val="none"/>
              </w:rPr>
            </w:pPr>
            <w:r>
              <w:rPr>
                <w:rFonts w:hAnsi="宋体"/>
                <w:highlight w:val="none"/>
              </w:rPr>
              <w:t>1.773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800.0</w:t>
            </w:r>
          </w:p>
        </w:tc>
        <w:tc>
          <w:tcPr>
            <w:tcW w:w="3449" w:type="dxa"/>
            <w:vAlign w:val="center"/>
          </w:tcPr>
          <w:p>
            <w:pPr>
              <w:pStyle w:val="64"/>
              <w:rPr>
                <w:rFonts w:hAnsi="宋体"/>
                <w:szCs w:val="22"/>
                <w:highlight w:val="none"/>
              </w:rPr>
            </w:pPr>
            <w:r>
              <w:rPr>
                <w:rFonts w:hAnsi="宋体"/>
                <w:highlight w:val="none"/>
              </w:rPr>
              <w:t>15.2260</w:t>
            </w:r>
          </w:p>
        </w:tc>
        <w:tc>
          <w:tcPr>
            <w:tcW w:w="2400" w:type="dxa"/>
            <w:vAlign w:val="center"/>
          </w:tcPr>
          <w:p>
            <w:pPr>
              <w:pStyle w:val="64"/>
              <w:rPr>
                <w:rFonts w:hAnsi="宋体"/>
                <w:szCs w:val="22"/>
                <w:highlight w:val="none"/>
              </w:rPr>
            </w:pPr>
            <w:r>
              <w:rPr>
                <w:rFonts w:hAnsi="宋体"/>
                <w:highlight w:val="none"/>
              </w:rPr>
              <w:t>1.692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900.0</w:t>
            </w:r>
          </w:p>
        </w:tc>
        <w:tc>
          <w:tcPr>
            <w:tcW w:w="3449" w:type="dxa"/>
            <w:vAlign w:val="center"/>
          </w:tcPr>
          <w:p>
            <w:pPr>
              <w:pStyle w:val="64"/>
              <w:rPr>
                <w:rFonts w:hAnsi="宋体"/>
                <w:szCs w:val="22"/>
                <w:highlight w:val="none"/>
              </w:rPr>
            </w:pPr>
            <w:r>
              <w:rPr>
                <w:rFonts w:hAnsi="宋体"/>
                <w:highlight w:val="none"/>
              </w:rPr>
              <w:t>14.6630</w:t>
            </w:r>
          </w:p>
        </w:tc>
        <w:tc>
          <w:tcPr>
            <w:tcW w:w="2400" w:type="dxa"/>
            <w:vAlign w:val="center"/>
          </w:tcPr>
          <w:p>
            <w:pPr>
              <w:pStyle w:val="64"/>
              <w:rPr>
                <w:rFonts w:hAnsi="宋体"/>
                <w:szCs w:val="22"/>
                <w:highlight w:val="none"/>
              </w:rPr>
            </w:pPr>
            <w:r>
              <w:rPr>
                <w:rFonts w:hAnsi="宋体"/>
                <w:highlight w:val="none"/>
              </w:rPr>
              <w:t>1.629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1000.0</w:t>
            </w:r>
          </w:p>
        </w:tc>
        <w:tc>
          <w:tcPr>
            <w:tcW w:w="3449" w:type="dxa"/>
            <w:vAlign w:val="center"/>
          </w:tcPr>
          <w:p>
            <w:pPr>
              <w:pStyle w:val="64"/>
              <w:rPr>
                <w:rFonts w:hAnsi="宋体"/>
                <w:szCs w:val="22"/>
                <w:highlight w:val="none"/>
              </w:rPr>
            </w:pPr>
            <w:r>
              <w:rPr>
                <w:rFonts w:hAnsi="宋体"/>
                <w:highlight w:val="none"/>
              </w:rPr>
              <w:t>14.0540</w:t>
            </w:r>
          </w:p>
        </w:tc>
        <w:tc>
          <w:tcPr>
            <w:tcW w:w="2400" w:type="dxa"/>
            <w:vAlign w:val="center"/>
          </w:tcPr>
          <w:p>
            <w:pPr>
              <w:pStyle w:val="64"/>
              <w:rPr>
                <w:rFonts w:hAnsi="宋体"/>
                <w:szCs w:val="22"/>
                <w:highlight w:val="none"/>
              </w:rPr>
            </w:pPr>
            <w:r>
              <w:rPr>
                <w:rFonts w:hAnsi="宋体"/>
                <w:highlight w:val="none"/>
              </w:rPr>
              <w:t>1.562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1200.0</w:t>
            </w:r>
          </w:p>
        </w:tc>
        <w:tc>
          <w:tcPr>
            <w:tcW w:w="3449" w:type="dxa"/>
            <w:vAlign w:val="center"/>
          </w:tcPr>
          <w:p>
            <w:pPr>
              <w:pStyle w:val="64"/>
              <w:rPr>
                <w:rFonts w:hAnsi="宋体"/>
                <w:szCs w:val="22"/>
                <w:highlight w:val="none"/>
              </w:rPr>
            </w:pPr>
            <w:r>
              <w:rPr>
                <w:rFonts w:hAnsi="宋体"/>
                <w:highlight w:val="none"/>
              </w:rPr>
              <w:t>12.9870</w:t>
            </w:r>
          </w:p>
        </w:tc>
        <w:tc>
          <w:tcPr>
            <w:tcW w:w="2400" w:type="dxa"/>
            <w:vAlign w:val="center"/>
          </w:tcPr>
          <w:p>
            <w:pPr>
              <w:pStyle w:val="64"/>
              <w:rPr>
                <w:rFonts w:hAnsi="宋体"/>
                <w:szCs w:val="22"/>
                <w:highlight w:val="none"/>
              </w:rPr>
            </w:pPr>
            <w:r>
              <w:rPr>
                <w:rFonts w:hAnsi="宋体"/>
                <w:highlight w:val="none"/>
              </w:rPr>
              <w:t>1.443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1400.0</w:t>
            </w:r>
          </w:p>
        </w:tc>
        <w:tc>
          <w:tcPr>
            <w:tcW w:w="3449" w:type="dxa"/>
            <w:vAlign w:val="center"/>
          </w:tcPr>
          <w:p>
            <w:pPr>
              <w:pStyle w:val="64"/>
              <w:rPr>
                <w:rFonts w:hAnsi="宋体"/>
                <w:szCs w:val="22"/>
                <w:highlight w:val="none"/>
              </w:rPr>
            </w:pPr>
            <w:r>
              <w:rPr>
                <w:rFonts w:hAnsi="宋体"/>
                <w:highlight w:val="none"/>
              </w:rPr>
              <w:t>12.0730</w:t>
            </w:r>
          </w:p>
        </w:tc>
        <w:tc>
          <w:tcPr>
            <w:tcW w:w="2400" w:type="dxa"/>
            <w:vAlign w:val="center"/>
          </w:tcPr>
          <w:p>
            <w:pPr>
              <w:pStyle w:val="64"/>
              <w:rPr>
                <w:rFonts w:hAnsi="宋体"/>
                <w:szCs w:val="22"/>
                <w:highlight w:val="none"/>
              </w:rPr>
            </w:pPr>
            <w:r>
              <w:rPr>
                <w:rFonts w:hAnsi="宋体"/>
                <w:highlight w:val="none"/>
              </w:rPr>
              <w:t>1.341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1600.0</w:t>
            </w:r>
          </w:p>
        </w:tc>
        <w:tc>
          <w:tcPr>
            <w:tcW w:w="3449" w:type="dxa"/>
            <w:vAlign w:val="center"/>
          </w:tcPr>
          <w:p>
            <w:pPr>
              <w:pStyle w:val="64"/>
              <w:rPr>
                <w:rFonts w:hAnsi="宋体"/>
                <w:szCs w:val="22"/>
                <w:highlight w:val="none"/>
              </w:rPr>
            </w:pPr>
            <w:r>
              <w:rPr>
                <w:rFonts w:hAnsi="宋体"/>
                <w:highlight w:val="none"/>
              </w:rPr>
              <w:t>11.2740</w:t>
            </w:r>
          </w:p>
        </w:tc>
        <w:tc>
          <w:tcPr>
            <w:tcW w:w="2400" w:type="dxa"/>
            <w:vAlign w:val="center"/>
          </w:tcPr>
          <w:p>
            <w:pPr>
              <w:pStyle w:val="64"/>
              <w:rPr>
                <w:rFonts w:hAnsi="宋体"/>
                <w:szCs w:val="22"/>
                <w:highlight w:val="none"/>
              </w:rPr>
            </w:pPr>
            <w:r>
              <w:rPr>
                <w:rFonts w:hAnsi="宋体"/>
                <w:highlight w:val="none"/>
              </w:rPr>
              <w:t>1.253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1800.0</w:t>
            </w:r>
          </w:p>
        </w:tc>
        <w:tc>
          <w:tcPr>
            <w:tcW w:w="3449" w:type="dxa"/>
            <w:vAlign w:val="center"/>
          </w:tcPr>
          <w:p>
            <w:pPr>
              <w:pStyle w:val="64"/>
              <w:rPr>
                <w:rFonts w:hAnsi="宋体"/>
                <w:szCs w:val="22"/>
                <w:highlight w:val="none"/>
              </w:rPr>
            </w:pPr>
            <w:r>
              <w:rPr>
                <w:rFonts w:hAnsi="宋体"/>
                <w:highlight w:val="none"/>
              </w:rPr>
              <w:t>10.5670</w:t>
            </w:r>
          </w:p>
        </w:tc>
        <w:tc>
          <w:tcPr>
            <w:tcW w:w="2400" w:type="dxa"/>
            <w:vAlign w:val="center"/>
          </w:tcPr>
          <w:p>
            <w:pPr>
              <w:pStyle w:val="64"/>
              <w:rPr>
                <w:rFonts w:hAnsi="宋体"/>
                <w:szCs w:val="22"/>
                <w:highlight w:val="none"/>
              </w:rPr>
            </w:pPr>
            <w:r>
              <w:rPr>
                <w:rFonts w:hAnsi="宋体"/>
                <w:highlight w:val="none"/>
              </w:rPr>
              <w:t>1.174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2000.0</w:t>
            </w:r>
          </w:p>
        </w:tc>
        <w:tc>
          <w:tcPr>
            <w:tcW w:w="3449" w:type="dxa"/>
            <w:vAlign w:val="center"/>
          </w:tcPr>
          <w:p>
            <w:pPr>
              <w:pStyle w:val="64"/>
              <w:rPr>
                <w:rFonts w:hAnsi="宋体"/>
                <w:szCs w:val="22"/>
                <w:highlight w:val="none"/>
              </w:rPr>
            </w:pPr>
            <w:r>
              <w:rPr>
                <w:rFonts w:hAnsi="宋体"/>
                <w:highlight w:val="none"/>
              </w:rPr>
              <w:t>9.9368</w:t>
            </w:r>
          </w:p>
        </w:tc>
        <w:tc>
          <w:tcPr>
            <w:tcW w:w="2400" w:type="dxa"/>
            <w:vAlign w:val="center"/>
          </w:tcPr>
          <w:p>
            <w:pPr>
              <w:pStyle w:val="64"/>
              <w:rPr>
                <w:rFonts w:hAnsi="宋体"/>
                <w:szCs w:val="22"/>
                <w:highlight w:val="none"/>
              </w:rPr>
            </w:pPr>
            <w:r>
              <w:rPr>
                <w:rFonts w:hAnsi="宋体"/>
                <w:highlight w:val="none"/>
              </w:rPr>
              <w:t>1.104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2500.0</w:t>
            </w:r>
          </w:p>
        </w:tc>
        <w:tc>
          <w:tcPr>
            <w:tcW w:w="3449" w:type="dxa"/>
            <w:vAlign w:val="center"/>
          </w:tcPr>
          <w:p>
            <w:pPr>
              <w:pStyle w:val="64"/>
              <w:rPr>
                <w:rFonts w:hAnsi="宋体"/>
                <w:szCs w:val="22"/>
                <w:highlight w:val="none"/>
              </w:rPr>
            </w:pPr>
            <w:r>
              <w:rPr>
                <w:rFonts w:hAnsi="宋体"/>
                <w:highlight w:val="none"/>
              </w:rPr>
              <w:t>8.6250</w:t>
            </w:r>
          </w:p>
        </w:tc>
        <w:tc>
          <w:tcPr>
            <w:tcW w:w="2400" w:type="dxa"/>
            <w:vAlign w:val="center"/>
          </w:tcPr>
          <w:p>
            <w:pPr>
              <w:pStyle w:val="64"/>
              <w:rPr>
                <w:rFonts w:hAnsi="宋体"/>
                <w:szCs w:val="22"/>
                <w:highlight w:val="none"/>
              </w:rPr>
            </w:pPr>
            <w:r>
              <w:rPr>
                <w:rFonts w:hAnsi="宋体"/>
                <w:highlight w:val="none"/>
              </w:rPr>
              <w:t>0.958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下风向最大浓度</w:t>
            </w:r>
          </w:p>
        </w:tc>
        <w:tc>
          <w:tcPr>
            <w:tcW w:w="3449" w:type="dxa"/>
            <w:vAlign w:val="center"/>
          </w:tcPr>
          <w:p>
            <w:pPr>
              <w:pStyle w:val="64"/>
              <w:rPr>
                <w:rFonts w:hAnsi="宋体"/>
                <w:szCs w:val="22"/>
                <w:highlight w:val="none"/>
              </w:rPr>
            </w:pPr>
            <w:r>
              <w:rPr>
                <w:rFonts w:hAnsi="宋体"/>
                <w:highlight w:val="none"/>
              </w:rPr>
              <w:t>80.5950</w:t>
            </w:r>
          </w:p>
        </w:tc>
        <w:tc>
          <w:tcPr>
            <w:tcW w:w="2400" w:type="dxa"/>
            <w:vAlign w:val="center"/>
          </w:tcPr>
          <w:p>
            <w:pPr>
              <w:pStyle w:val="64"/>
              <w:rPr>
                <w:rFonts w:hAnsi="宋体"/>
                <w:szCs w:val="22"/>
                <w:highlight w:val="none"/>
              </w:rPr>
            </w:pPr>
            <w:r>
              <w:rPr>
                <w:rFonts w:hAnsi="宋体"/>
                <w:highlight w:val="none"/>
              </w:rPr>
              <w:t>8.955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下风向最大浓度出现距离</w:t>
            </w:r>
          </w:p>
        </w:tc>
        <w:tc>
          <w:tcPr>
            <w:tcW w:w="3449" w:type="dxa"/>
            <w:vAlign w:val="center"/>
          </w:tcPr>
          <w:p>
            <w:pPr>
              <w:pStyle w:val="64"/>
              <w:rPr>
                <w:rFonts w:hAnsi="宋体"/>
                <w:szCs w:val="22"/>
                <w:highlight w:val="none"/>
              </w:rPr>
            </w:pPr>
            <w:r>
              <w:rPr>
                <w:rFonts w:hAnsi="宋体"/>
                <w:highlight w:val="none"/>
              </w:rPr>
              <w:t>25.0</w:t>
            </w:r>
          </w:p>
        </w:tc>
        <w:tc>
          <w:tcPr>
            <w:tcW w:w="2400" w:type="dxa"/>
            <w:vAlign w:val="center"/>
          </w:tcPr>
          <w:p>
            <w:pPr>
              <w:pStyle w:val="64"/>
              <w:rPr>
                <w:rFonts w:hAnsi="宋体"/>
                <w:szCs w:val="22"/>
                <w:highlight w:val="none"/>
              </w:rPr>
            </w:pPr>
            <w:r>
              <w:rPr>
                <w:rFonts w:hAnsi="宋体"/>
                <w:highlight w:val="none"/>
              </w:rPr>
              <w:t>25.0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D10%最远距离</w:t>
            </w:r>
          </w:p>
        </w:tc>
        <w:tc>
          <w:tcPr>
            <w:tcW w:w="3449" w:type="dxa"/>
            <w:vAlign w:val="center"/>
          </w:tcPr>
          <w:p>
            <w:pPr>
              <w:pStyle w:val="64"/>
              <w:rPr>
                <w:rFonts w:hAnsi="宋体"/>
                <w:szCs w:val="22"/>
                <w:highlight w:val="none"/>
              </w:rPr>
            </w:pPr>
            <w:r>
              <w:rPr>
                <w:rFonts w:hAnsi="宋体"/>
                <w:highlight w:val="none"/>
              </w:rPr>
              <w:t>/</w:t>
            </w:r>
          </w:p>
        </w:tc>
        <w:tc>
          <w:tcPr>
            <w:tcW w:w="2400" w:type="dxa"/>
            <w:vAlign w:val="center"/>
          </w:tcPr>
          <w:p>
            <w:pPr>
              <w:pStyle w:val="64"/>
              <w:rPr>
                <w:rFonts w:hAnsi="宋体"/>
                <w:szCs w:val="22"/>
                <w:highlight w:val="none"/>
              </w:rPr>
            </w:pPr>
            <w:r>
              <w:rPr>
                <w:rFonts w:hAnsi="宋体"/>
                <w:highlight w:val="none"/>
              </w:rPr>
              <w:t>/</w:t>
            </w:r>
          </w:p>
        </w:tc>
      </w:tr>
    </w:tbl>
    <w:p>
      <w:pPr>
        <w:pStyle w:val="62"/>
        <w:ind w:firstLine="480"/>
        <w:jc w:val="center"/>
        <w:rPr>
          <w:rFonts w:hAnsi="宋体"/>
          <w:highlight w:val="none"/>
        </w:rPr>
      </w:pPr>
      <w:r>
        <w:rPr>
          <w:rFonts w:hint="eastAsia" w:hAnsi="宋体"/>
          <w:highlight w:val="none"/>
        </w:rPr>
        <w:t>续</w:t>
      </w: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5  </w:t>
      </w:r>
      <w:r>
        <w:rPr>
          <w:rFonts w:hint="eastAsia" w:hAnsi="宋体"/>
          <w:sz w:val="23"/>
          <w:szCs w:val="23"/>
          <w:highlight w:val="none"/>
        </w:rPr>
        <w:t>废石</w:t>
      </w:r>
      <w:r>
        <w:rPr>
          <w:rFonts w:hAnsi="宋体"/>
          <w:sz w:val="23"/>
          <w:szCs w:val="23"/>
          <w:highlight w:val="none"/>
        </w:rPr>
        <w:t>库</w:t>
      </w:r>
      <w:r>
        <w:rPr>
          <w:rFonts w:hint="eastAsia" w:hAnsi="宋体"/>
          <w:highlight w:val="none"/>
        </w:rPr>
        <w:t>大气污染物估算结果一览表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1"/>
        <w:gridCol w:w="3449"/>
        <w:gridCol w:w="24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restart"/>
            <w:vAlign w:val="center"/>
          </w:tcPr>
          <w:p>
            <w:pPr>
              <w:pStyle w:val="64"/>
              <w:rPr>
                <w:rFonts w:hAnsi="宋体"/>
                <w:szCs w:val="22"/>
                <w:highlight w:val="none"/>
              </w:rPr>
            </w:pPr>
            <w:r>
              <w:rPr>
                <w:rFonts w:hAnsi="宋体"/>
                <w:highlight w:val="none"/>
              </w:rPr>
              <w:t>下风向距离</w:t>
            </w:r>
          </w:p>
        </w:tc>
        <w:tc>
          <w:tcPr>
            <w:tcW w:w="5849" w:type="dxa"/>
            <w:gridSpan w:val="2"/>
            <w:vAlign w:val="center"/>
          </w:tcPr>
          <w:p>
            <w:pPr>
              <w:pStyle w:val="64"/>
              <w:rPr>
                <w:rFonts w:hAnsi="宋体"/>
                <w:szCs w:val="22"/>
                <w:highlight w:val="none"/>
              </w:rPr>
            </w:pPr>
            <w:r>
              <w:rPr>
                <w:rFonts w:hint="eastAsia" w:hAnsi="宋体"/>
                <w:sz w:val="23"/>
                <w:szCs w:val="23"/>
                <w:highlight w:val="none"/>
              </w:rPr>
              <w:t>废石</w:t>
            </w:r>
            <w:r>
              <w:rPr>
                <w:rFonts w:hAnsi="宋体"/>
                <w:sz w:val="23"/>
                <w:szCs w:val="23"/>
                <w:highlight w:val="none"/>
              </w:rPr>
              <w:t>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continue"/>
            <w:vAlign w:val="center"/>
          </w:tcPr>
          <w:p>
            <w:pPr>
              <w:pStyle w:val="64"/>
              <w:rPr>
                <w:rFonts w:hAnsi="宋体"/>
                <w:szCs w:val="22"/>
                <w:highlight w:val="none"/>
              </w:rPr>
            </w:pPr>
          </w:p>
        </w:tc>
        <w:tc>
          <w:tcPr>
            <w:tcW w:w="3449" w:type="dxa"/>
            <w:vAlign w:val="center"/>
          </w:tcPr>
          <w:p>
            <w:pPr>
              <w:pStyle w:val="64"/>
              <w:rPr>
                <w:rFonts w:hAnsi="宋体"/>
                <w:szCs w:val="22"/>
                <w:highlight w:val="none"/>
              </w:rPr>
            </w:pPr>
            <w:r>
              <w:rPr>
                <w:rFonts w:hAnsi="宋体"/>
                <w:highlight w:val="none"/>
              </w:rPr>
              <w:t>TSP浓度(μg/m³)</w:t>
            </w:r>
          </w:p>
        </w:tc>
        <w:tc>
          <w:tcPr>
            <w:tcW w:w="2400" w:type="dxa"/>
            <w:vAlign w:val="center"/>
          </w:tcPr>
          <w:p>
            <w:pPr>
              <w:pStyle w:val="64"/>
              <w:rPr>
                <w:rFonts w:hAnsi="宋体"/>
                <w:szCs w:val="22"/>
                <w:highlight w:val="none"/>
              </w:rPr>
            </w:pPr>
            <w:r>
              <w:rPr>
                <w:rFonts w:hAnsi="宋体"/>
                <w:highlight w:val="none"/>
              </w:rPr>
              <w:t>TSP占标率(%)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50.0</w:t>
            </w:r>
          </w:p>
        </w:tc>
        <w:tc>
          <w:tcPr>
            <w:tcW w:w="3449" w:type="dxa"/>
            <w:vAlign w:val="center"/>
          </w:tcPr>
          <w:p>
            <w:pPr>
              <w:pStyle w:val="64"/>
              <w:rPr>
                <w:rFonts w:hAnsi="宋体"/>
                <w:szCs w:val="22"/>
                <w:highlight w:val="none"/>
              </w:rPr>
            </w:pPr>
            <w:r>
              <w:rPr>
                <w:rFonts w:hAnsi="宋体"/>
                <w:highlight w:val="none"/>
              </w:rPr>
              <w:t>52.5280</w:t>
            </w:r>
          </w:p>
        </w:tc>
        <w:tc>
          <w:tcPr>
            <w:tcW w:w="2400" w:type="dxa"/>
            <w:vAlign w:val="center"/>
          </w:tcPr>
          <w:p>
            <w:pPr>
              <w:pStyle w:val="64"/>
              <w:rPr>
                <w:rFonts w:hAnsi="宋体"/>
                <w:szCs w:val="22"/>
                <w:highlight w:val="none"/>
              </w:rPr>
            </w:pPr>
            <w:r>
              <w:rPr>
                <w:rFonts w:hAnsi="宋体"/>
                <w:highlight w:val="none"/>
              </w:rPr>
              <w:t>5.836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100.0</w:t>
            </w:r>
          </w:p>
        </w:tc>
        <w:tc>
          <w:tcPr>
            <w:tcW w:w="3449" w:type="dxa"/>
            <w:vAlign w:val="center"/>
          </w:tcPr>
          <w:p>
            <w:pPr>
              <w:pStyle w:val="64"/>
              <w:rPr>
                <w:rFonts w:hAnsi="宋体"/>
                <w:szCs w:val="22"/>
                <w:highlight w:val="none"/>
              </w:rPr>
            </w:pPr>
            <w:r>
              <w:rPr>
                <w:rFonts w:hAnsi="宋体"/>
                <w:highlight w:val="none"/>
              </w:rPr>
              <w:t>38.5590</w:t>
            </w:r>
          </w:p>
        </w:tc>
        <w:tc>
          <w:tcPr>
            <w:tcW w:w="2400" w:type="dxa"/>
            <w:vAlign w:val="center"/>
          </w:tcPr>
          <w:p>
            <w:pPr>
              <w:pStyle w:val="64"/>
              <w:rPr>
                <w:rFonts w:hAnsi="宋体"/>
                <w:szCs w:val="22"/>
                <w:highlight w:val="none"/>
              </w:rPr>
            </w:pPr>
            <w:r>
              <w:rPr>
                <w:rFonts w:hAnsi="宋体"/>
                <w:highlight w:val="none"/>
              </w:rPr>
              <w:t>4.284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w:t>
            </w:r>
          </w:p>
        </w:tc>
        <w:tc>
          <w:tcPr>
            <w:tcW w:w="3449" w:type="dxa"/>
            <w:vAlign w:val="center"/>
          </w:tcPr>
          <w:p>
            <w:pPr>
              <w:pStyle w:val="64"/>
              <w:rPr>
                <w:rFonts w:hAnsi="宋体"/>
                <w:szCs w:val="22"/>
                <w:highlight w:val="none"/>
              </w:rPr>
            </w:pPr>
            <w:r>
              <w:rPr>
                <w:rFonts w:hAnsi="宋体"/>
                <w:highlight w:val="none"/>
              </w:rPr>
              <w:t>23.4750</w:t>
            </w:r>
          </w:p>
        </w:tc>
        <w:tc>
          <w:tcPr>
            <w:tcW w:w="2400" w:type="dxa"/>
            <w:vAlign w:val="center"/>
          </w:tcPr>
          <w:p>
            <w:pPr>
              <w:pStyle w:val="64"/>
              <w:rPr>
                <w:rFonts w:hAnsi="宋体"/>
                <w:szCs w:val="22"/>
                <w:highlight w:val="none"/>
              </w:rPr>
            </w:pPr>
            <w:r>
              <w:rPr>
                <w:rFonts w:hAnsi="宋体"/>
                <w:highlight w:val="none"/>
              </w:rPr>
              <w:t>2.608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300.0</w:t>
            </w:r>
          </w:p>
        </w:tc>
        <w:tc>
          <w:tcPr>
            <w:tcW w:w="3449" w:type="dxa"/>
            <w:vAlign w:val="center"/>
          </w:tcPr>
          <w:p>
            <w:pPr>
              <w:pStyle w:val="64"/>
              <w:rPr>
                <w:rFonts w:hAnsi="宋体"/>
                <w:szCs w:val="22"/>
                <w:highlight w:val="none"/>
              </w:rPr>
            </w:pPr>
            <w:r>
              <w:rPr>
                <w:rFonts w:hAnsi="宋体"/>
                <w:highlight w:val="none"/>
              </w:rPr>
              <w:t>17.5690</w:t>
            </w:r>
          </w:p>
        </w:tc>
        <w:tc>
          <w:tcPr>
            <w:tcW w:w="2400" w:type="dxa"/>
            <w:vAlign w:val="center"/>
          </w:tcPr>
          <w:p>
            <w:pPr>
              <w:pStyle w:val="64"/>
              <w:rPr>
                <w:rFonts w:hAnsi="宋体"/>
                <w:szCs w:val="22"/>
                <w:highlight w:val="none"/>
              </w:rPr>
            </w:pPr>
            <w:r>
              <w:rPr>
                <w:rFonts w:hAnsi="宋体"/>
                <w:highlight w:val="none"/>
              </w:rPr>
              <w:t>1.952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400.0</w:t>
            </w:r>
          </w:p>
        </w:tc>
        <w:tc>
          <w:tcPr>
            <w:tcW w:w="3449" w:type="dxa"/>
            <w:vAlign w:val="center"/>
          </w:tcPr>
          <w:p>
            <w:pPr>
              <w:pStyle w:val="64"/>
              <w:rPr>
                <w:rFonts w:hAnsi="宋体"/>
                <w:szCs w:val="22"/>
                <w:highlight w:val="none"/>
              </w:rPr>
            </w:pPr>
            <w:r>
              <w:rPr>
                <w:rFonts w:hAnsi="宋体"/>
                <w:highlight w:val="none"/>
              </w:rPr>
              <w:t>14.3220</w:t>
            </w:r>
          </w:p>
        </w:tc>
        <w:tc>
          <w:tcPr>
            <w:tcW w:w="2400" w:type="dxa"/>
            <w:vAlign w:val="center"/>
          </w:tcPr>
          <w:p>
            <w:pPr>
              <w:pStyle w:val="64"/>
              <w:rPr>
                <w:rFonts w:hAnsi="宋体"/>
                <w:szCs w:val="22"/>
                <w:highlight w:val="none"/>
              </w:rPr>
            </w:pPr>
            <w:r>
              <w:rPr>
                <w:rFonts w:hAnsi="宋体"/>
                <w:highlight w:val="none"/>
              </w:rPr>
              <w:t>1.591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500.0</w:t>
            </w:r>
          </w:p>
        </w:tc>
        <w:tc>
          <w:tcPr>
            <w:tcW w:w="3449" w:type="dxa"/>
            <w:vAlign w:val="center"/>
          </w:tcPr>
          <w:p>
            <w:pPr>
              <w:pStyle w:val="64"/>
              <w:rPr>
                <w:rFonts w:hAnsi="宋体"/>
                <w:szCs w:val="22"/>
                <w:highlight w:val="none"/>
              </w:rPr>
            </w:pPr>
            <w:r>
              <w:rPr>
                <w:rFonts w:hAnsi="宋体"/>
                <w:highlight w:val="none"/>
              </w:rPr>
              <w:t>12.6570</w:t>
            </w:r>
          </w:p>
        </w:tc>
        <w:tc>
          <w:tcPr>
            <w:tcW w:w="2400" w:type="dxa"/>
            <w:vAlign w:val="center"/>
          </w:tcPr>
          <w:p>
            <w:pPr>
              <w:pStyle w:val="64"/>
              <w:rPr>
                <w:rFonts w:hAnsi="宋体"/>
                <w:szCs w:val="22"/>
                <w:highlight w:val="none"/>
              </w:rPr>
            </w:pPr>
            <w:r>
              <w:rPr>
                <w:rFonts w:hAnsi="宋体"/>
                <w:highlight w:val="none"/>
              </w:rPr>
              <w:t>1.406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600.0</w:t>
            </w:r>
          </w:p>
        </w:tc>
        <w:tc>
          <w:tcPr>
            <w:tcW w:w="3449" w:type="dxa"/>
            <w:vAlign w:val="center"/>
          </w:tcPr>
          <w:p>
            <w:pPr>
              <w:pStyle w:val="64"/>
              <w:rPr>
                <w:rFonts w:hAnsi="宋体"/>
                <w:szCs w:val="22"/>
                <w:highlight w:val="none"/>
              </w:rPr>
            </w:pPr>
            <w:r>
              <w:rPr>
                <w:rFonts w:hAnsi="宋体"/>
                <w:highlight w:val="none"/>
              </w:rPr>
              <w:t>11.9320</w:t>
            </w:r>
          </w:p>
        </w:tc>
        <w:tc>
          <w:tcPr>
            <w:tcW w:w="2400" w:type="dxa"/>
            <w:vAlign w:val="center"/>
          </w:tcPr>
          <w:p>
            <w:pPr>
              <w:pStyle w:val="64"/>
              <w:rPr>
                <w:rFonts w:hAnsi="宋体"/>
                <w:szCs w:val="22"/>
                <w:highlight w:val="none"/>
              </w:rPr>
            </w:pPr>
            <w:r>
              <w:rPr>
                <w:rFonts w:hAnsi="宋体"/>
                <w:highlight w:val="none"/>
              </w:rPr>
              <w:t>1.326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700.0</w:t>
            </w:r>
          </w:p>
        </w:tc>
        <w:tc>
          <w:tcPr>
            <w:tcW w:w="3449" w:type="dxa"/>
            <w:vAlign w:val="center"/>
          </w:tcPr>
          <w:p>
            <w:pPr>
              <w:pStyle w:val="64"/>
              <w:rPr>
                <w:rFonts w:hAnsi="宋体"/>
                <w:szCs w:val="22"/>
                <w:highlight w:val="none"/>
              </w:rPr>
            </w:pPr>
            <w:r>
              <w:rPr>
                <w:rFonts w:hAnsi="宋体"/>
                <w:highlight w:val="none"/>
              </w:rPr>
              <w:t>11.3260</w:t>
            </w:r>
          </w:p>
        </w:tc>
        <w:tc>
          <w:tcPr>
            <w:tcW w:w="2400" w:type="dxa"/>
            <w:vAlign w:val="center"/>
          </w:tcPr>
          <w:p>
            <w:pPr>
              <w:pStyle w:val="64"/>
              <w:rPr>
                <w:rFonts w:hAnsi="宋体"/>
                <w:szCs w:val="22"/>
                <w:highlight w:val="none"/>
              </w:rPr>
            </w:pPr>
            <w:r>
              <w:rPr>
                <w:rFonts w:hAnsi="宋体"/>
                <w:highlight w:val="none"/>
              </w:rPr>
              <w:t>1.258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800.0</w:t>
            </w:r>
          </w:p>
        </w:tc>
        <w:tc>
          <w:tcPr>
            <w:tcW w:w="3449" w:type="dxa"/>
            <w:vAlign w:val="center"/>
          </w:tcPr>
          <w:p>
            <w:pPr>
              <w:pStyle w:val="64"/>
              <w:rPr>
                <w:rFonts w:hAnsi="宋体"/>
                <w:szCs w:val="22"/>
                <w:highlight w:val="none"/>
              </w:rPr>
            </w:pPr>
            <w:r>
              <w:rPr>
                <w:rFonts w:hAnsi="宋体"/>
                <w:highlight w:val="none"/>
              </w:rPr>
              <w:t>10.8080</w:t>
            </w:r>
          </w:p>
        </w:tc>
        <w:tc>
          <w:tcPr>
            <w:tcW w:w="2400" w:type="dxa"/>
            <w:vAlign w:val="center"/>
          </w:tcPr>
          <w:p>
            <w:pPr>
              <w:pStyle w:val="64"/>
              <w:rPr>
                <w:rFonts w:hAnsi="宋体"/>
                <w:szCs w:val="22"/>
                <w:highlight w:val="none"/>
              </w:rPr>
            </w:pPr>
            <w:r>
              <w:rPr>
                <w:rFonts w:hAnsi="宋体"/>
                <w:highlight w:val="none"/>
              </w:rPr>
              <w:t>1.201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900.0</w:t>
            </w:r>
          </w:p>
        </w:tc>
        <w:tc>
          <w:tcPr>
            <w:tcW w:w="3449" w:type="dxa"/>
            <w:vAlign w:val="center"/>
          </w:tcPr>
          <w:p>
            <w:pPr>
              <w:pStyle w:val="64"/>
              <w:rPr>
                <w:rFonts w:hAnsi="宋体"/>
                <w:szCs w:val="22"/>
                <w:highlight w:val="none"/>
              </w:rPr>
            </w:pPr>
            <w:r>
              <w:rPr>
                <w:rFonts w:hAnsi="宋体"/>
                <w:highlight w:val="none"/>
              </w:rPr>
              <w:t>10.4080</w:t>
            </w:r>
          </w:p>
        </w:tc>
        <w:tc>
          <w:tcPr>
            <w:tcW w:w="2400" w:type="dxa"/>
            <w:vAlign w:val="center"/>
          </w:tcPr>
          <w:p>
            <w:pPr>
              <w:pStyle w:val="64"/>
              <w:rPr>
                <w:rFonts w:hAnsi="宋体"/>
                <w:szCs w:val="22"/>
                <w:highlight w:val="none"/>
              </w:rPr>
            </w:pPr>
            <w:r>
              <w:rPr>
                <w:rFonts w:hAnsi="宋体"/>
                <w:highlight w:val="none"/>
              </w:rPr>
              <w:t>1.156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1000.0</w:t>
            </w:r>
          </w:p>
        </w:tc>
        <w:tc>
          <w:tcPr>
            <w:tcW w:w="3449" w:type="dxa"/>
            <w:vAlign w:val="center"/>
          </w:tcPr>
          <w:p>
            <w:pPr>
              <w:pStyle w:val="64"/>
              <w:rPr>
                <w:rFonts w:hAnsi="宋体"/>
                <w:szCs w:val="22"/>
                <w:highlight w:val="none"/>
              </w:rPr>
            </w:pPr>
            <w:r>
              <w:rPr>
                <w:rFonts w:hAnsi="宋体"/>
                <w:highlight w:val="none"/>
              </w:rPr>
              <w:t>9.9758</w:t>
            </w:r>
          </w:p>
        </w:tc>
        <w:tc>
          <w:tcPr>
            <w:tcW w:w="2400" w:type="dxa"/>
            <w:vAlign w:val="center"/>
          </w:tcPr>
          <w:p>
            <w:pPr>
              <w:pStyle w:val="64"/>
              <w:rPr>
                <w:rFonts w:hAnsi="宋体"/>
                <w:szCs w:val="22"/>
                <w:highlight w:val="none"/>
              </w:rPr>
            </w:pPr>
            <w:r>
              <w:rPr>
                <w:rFonts w:hAnsi="宋体"/>
                <w:highlight w:val="none"/>
              </w:rPr>
              <w:t>1.108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1200.0</w:t>
            </w:r>
          </w:p>
        </w:tc>
        <w:tc>
          <w:tcPr>
            <w:tcW w:w="3449" w:type="dxa"/>
            <w:vAlign w:val="center"/>
          </w:tcPr>
          <w:p>
            <w:pPr>
              <w:pStyle w:val="64"/>
              <w:rPr>
                <w:rFonts w:hAnsi="宋体"/>
                <w:szCs w:val="22"/>
                <w:highlight w:val="none"/>
              </w:rPr>
            </w:pPr>
            <w:r>
              <w:rPr>
                <w:rFonts w:hAnsi="宋体"/>
                <w:highlight w:val="none"/>
              </w:rPr>
              <w:t>9.2189</w:t>
            </w:r>
          </w:p>
        </w:tc>
        <w:tc>
          <w:tcPr>
            <w:tcW w:w="2400" w:type="dxa"/>
            <w:vAlign w:val="center"/>
          </w:tcPr>
          <w:p>
            <w:pPr>
              <w:pStyle w:val="64"/>
              <w:rPr>
                <w:rFonts w:hAnsi="宋体"/>
                <w:szCs w:val="22"/>
                <w:highlight w:val="none"/>
              </w:rPr>
            </w:pPr>
            <w:r>
              <w:rPr>
                <w:rFonts w:hAnsi="宋体"/>
                <w:highlight w:val="none"/>
              </w:rPr>
              <w:t>1.024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1400.0</w:t>
            </w:r>
          </w:p>
        </w:tc>
        <w:tc>
          <w:tcPr>
            <w:tcW w:w="3449" w:type="dxa"/>
            <w:vAlign w:val="center"/>
          </w:tcPr>
          <w:p>
            <w:pPr>
              <w:pStyle w:val="64"/>
              <w:rPr>
                <w:rFonts w:hAnsi="宋体"/>
                <w:szCs w:val="22"/>
                <w:highlight w:val="none"/>
              </w:rPr>
            </w:pPr>
            <w:r>
              <w:rPr>
                <w:rFonts w:hAnsi="宋体"/>
                <w:highlight w:val="none"/>
              </w:rPr>
              <w:t>8.5697</w:t>
            </w:r>
          </w:p>
        </w:tc>
        <w:tc>
          <w:tcPr>
            <w:tcW w:w="2400" w:type="dxa"/>
            <w:vAlign w:val="center"/>
          </w:tcPr>
          <w:p>
            <w:pPr>
              <w:pStyle w:val="64"/>
              <w:rPr>
                <w:rFonts w:hAnsi="宋体"/>
                <w:szCs w:val="22"/>
                <w:highlight w:val="none"/>
              </w:rPr>
            </w:pPr>
            <w:r>
              <w:rPr>
                <w:rFonts w:hAnsi="宋体"/>
                <w:highlight w:val="none"/>
              </w:rPr>
              <w:t>0.952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1600.0</w:t>
            </w:r>
          </w:p>
        </w:tc>
        <w:tc>
          <w:tcPr>
            <w:tcW w:w="3449" w:type="dxa"/>
            <w:vAlign w:val="center"/>
          </w:tcPr>
          <w:p>
            <w:pPr>
              <w:pStyle w:val="64"/>
              <w:rPr>
                <w:rFonts w:hAnsi="宋体"/>
                <w:szCs w:val="22"/>
                <w:highlight w:val="none"/>
              </w:rPr>
            </w:pPr>
            <w:r>
              <w:rPr>
                <w:rFonts w:hAnsi="宋体"/>
                <w:highlight w:val="none"/>
              </w:rPr>
              <w:t>8.0024</w:t>
            </w:r>
          </w:p>
        </w:tc>
        <w:tc>
          <w:tcPr>
            <w:tcW w:w="2400" w:type="dxa"/>
            <w:vAlign w:val="center"/>
          </w:tcPr>
          <w:p>
            <w:pPr>
              <w:pStyle w:val="64"/>
              <w:rPr>
                <w:rFonts w:hAnsi="宋体"/>
                <w:szCs w:val="22"/>
                <w:highlight w:val="none"/>
              </w:rPr>
            </w:pPr>
            <w:r>
              <w:rPr>
                <w:rFonts w:hAnsi="宋体"/>
                <w:highlight w:val="none"/>
              </w:rPr>
              <w:t>0.889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1800.0</w:t>
            </w:r>
          </w:p>
        </w:tc>
        <w:tc>
          <w:tcPr>
            <w:tcW w:w="3449" w:type="dxa"/>
            <w:vAlign w:val="center"/>
          </w:tcPr>
          <w:p>
            <w:pPr>
              <w:pStyle w:val="64"/>
              <w:rPr>
                <w:rFonts w:hAnsi="宋体"/>
                <w:szCs w:val="22"/>
                <w:highlight w:val="none"/>
              </w:rPr>
            </w:pPr>
            <w:r>
              <w:rPr>
                <w:rFonts w:hAnsi="宋体"/>
                <w:highlight w:val="none"/>
              </w:rPr>
              <w:t>7.5008</w:t>
            </w:r>
          </w:p>
        </w:tc>
        <w:tc>
          <w:tcPr>
            <w:tcW w:w="2400" w:type="dxa"/>
            <w:vAlign w:val="center"/>
          </w:tcPr>
          <w:p>
            <w:pPr>
              <w:pStyle w:val="64"/>
              <w:rPr>
                <w:rFonts w:hAnsi="宋体"/>
                <w:szCs w:val="22"/>
                <w:highlight w:val="none"/>
              </w:rPr>
            </w:pPr>
            <w:r>
              <w:rPr>
                <w:rFonts w:hAnsi="宋体"/>
                <w:highlight w:val="none"/>
              </w:rPr>
              <w:t>0.833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2000.0</w:t>
            </w:r>
          </w:p>
        </w:tc>
        <w:tc>
          <w:tcPr>
            <w:tcW w:w="3449" w:type="dxa"/>
            <w:vAlign w:val="center"/>
          </w:tcPr>
          <w:p>
            <w:pPr>
              <w:pStyle w:val="64"/>
              <w:rPr>
                <w:rFonts w:hAnsi="宋体"/>
                <w:szCs w:val="22"/>
                <w:highlight w:val="none"/>
              </w:rPr>
            </w:pPr>
            <w:r>
              <w:rPr>
                <w:rFonts w:hAnsi="宋体"/>
                <w:highlight w:val="none"/>
              </w:rPr>
              <w:t>7.0536</w:t>
            </w:r>
          </w:p>
        </w:tc>
        <w:tc>
          <w:tcPr>
            <w:tcW w:w="2400" w:type="dxa"/>
            <w:vAlign w:val="center"/>
          </w:tcPr>
          <w:p>
            <w:pPr>
              <w:pStyle w:val="64"/>
              <w:rPr>
                <w:rFonts w:hAnsi="宋体"/>
                <w:szCs w:val="22"/>
                <w:highlight w:val="none"/>
              </w:rPr>
            </w:pPr>
            <w:r>
              <w:rPr>
                <w:rFonts w:hAnsi="宋体"/>
                <w:highlight w:val="none"/>
              </w:rPr>
              <w:t>0.784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2500.0</w:t>
            </w:r>
          </w:p>
        </w:tc>
        <w:tc>
          <w:tcPr>
            <w:tcW w:w="3449" w:type="dxa"/>
            <w:vAlign w:val="center"/>
          </w:tcPr>
          <w:p>
            <w:pPr>
              <w:pStyle w:val="64"/>
              <w:rPr>
                <w:rFonts w:hAnsi="宋体"/>
                <w:szCs w:val="22"/>
                <w:highlight w:val="none"/>
              </w:rPr>
            </w:pPr>
            <w:r>
              <w:rPr>
                <w:rFonts w:hAnsi="宋体"/>
                <w:highlight w:val="none"/>
              </w:rPr>
              <w:t>6.1224</w:t>
            </w:r>
          </w:p>
        </w:tc>
        <w:tc>
          <w:tcPr>
            <w:tcW w:w="2400" w:type="dxa"/>
            <w:vAlign w:val="center"/>
          </w:tcPr>
          <w:p>
            <w:pPr>
              <w:pStyle w:val="64"/>
              <w:rPr>
                <w:rFonts w:hAnsi="宋体"/>
                <w:szCs w:val="22"/>
                <w:highlight w:val="none"/>
              </w:rPr>
            </w:pPr>
            <w:r>
              <w:rPr>
                <w:rFonts w:hAnsi="宋体"/>
                <w:highlight w:val="none"/>
              </w:rPr>
              <w:t>0.680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下风向最大浓度</w:t>
            </w:r>
          </w:p>
        </w:tc>
        <w:tc>
          <w:tcPr>
            <w:tcW w:w="3449" w:type="dxa"/>
            <w:vAlign w:val="center"/>
          </w:tcPr>
          <w:p>
            <w:pPr>
              <w:pStyle w:val="64"/>
              <w:rPr>
                <w:rFonts w:hAnsi="宋体"/>
                <w:szCs w:val="22"/>
                <w:highlight w:val="none"/>
              </w:rPr>
            </w:pPr>
            <w:r>
              <w:rPr>
                <w:rFonts w:hAnsi="宋体"/>
                <w:highlight w:val="none"/>
              </w:rPr>
              <w:t>61.5070</w:t>
            </w:r>
          </w:p>
        </w:tc>
        <w:tc>
          <w:tcPr>
            <w:tcW w:w="2400" w:type="dxa"/>
            <w:vAlign w:val="center"/>
          </w:tcPr>
          <w:p>
            <w:pPr>
              <w:pStyle w:val="64"/>
              <w:rPr>
                <w:rFonts w:hAnsi="宋体"/>
                <w:szCs w:val="22"/>
                <w:highlight w:val="none"/>
              </w:rPr>
            </w:pPr>
            <w:r>
              <w:rPr>
                <w:rFonts w:hAnsi="宋体"/>
                <w:highlight w:val="none"/>
              </w:rPr>
              <w:t>6.834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下风向最大浓度出现距离</w:t>
            </w:r>
          </w:p>
        </w:tc>
        <w:tc>
          <w:tcPr>
            <w:tcW w:w="3449" w:type="dxa"/>
            <w:vAlign w:val="center"/>
          </w:tcPr>
          <w:p>
            <w:pPr>
              <w:pStyle w:val="64"/>
              <w:rPr>
                <w:rFonts w:hAnsi="宋体"/>
                <w:szCs w:val="22"/>
                <w:highlight w:val="none"/>
              </w:rPr>
            </w:pPr>
            <w:r>
              <w:rPr>
                <w:rFonts w:hAnsi="宋体"/>
                <w:highlight w:val="none"/>
              </w:rPr>
              <w:t>24.01</w:t>
            </w:r>
          </w:p>
        </w:tc>
        <w:tc>
          <w:tcPr>
            <w:tcW w:w="2400" w:type="dxa"/>
            <w:vAlign w:val="center"/>
          </w:tcPr>
          <w:p>
            <w:pPr>
              <w:pStyle w:val="64"/>
              <w:rPr>
                <w:rFonts w:hAnsi="宋体"/>
                <w:szCs w:val="22"/>
                <w:highlight w:val="none"/>
              </w:rPr>
            </w:pPr>
            <w:r>
              <w:rPr>
                <w:rFonts w:hAnsi="宋体"/>
                <w:highlight w:val="none"/>
              </w:rPr>
              <w:t>24.01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D10%最远距离</w:t>
            </w:r>
          </w:p>
        </w:tc>
        <w:tc>
          <w:tcPr>
            <w:tcW w:w="3449" w:type="dxa"/>
            <w:vAlign w:val="center"/>
          </w:tcPr>
          <w:p>
            <w:pPr>
              <w:pStyle w:val="64"/>
              <w:rPr>
                <w:rFonts w:hAnsi="宋体"/>
                <w:szCs w:val="22"/>
                <w:highlight w:val="none"/>
              </w:rPr>
            </w:pPr>
            <w:r>
              <w:rPr>
                <w:rFonts w:hAnsi="宋体"/>
                <w:highlight w:val="none"/>
              </w:rPr>
              <w:t>/</w:t>
            </w:r>
          </w:p>
        </w:tc>
        <w:tc>
          <w:tcPr>
            <w:tcW w:w="2400" w:type="dxa"/>
            <w:vAlign w:val="center"/>
          </w:tcPr>
          <w:p>
            <w:pPr>
              <w:pStyle w:val="64"/>
              <w:rPr>
                <w:rFonts w:hAnsi="宋体"/>
                <w:szCs w:val="22"/>
                <w:highlight w:val="none"/>
              </w:rPr>
            </w:pPr>
            <w:r>
              <w:rPr>
                <w:rFonts w:hAnsi="宋体"/>
                <w:highlight w:val="none"/>
              </w:rPr>
              <w:t>/</w:t>
            </w:r>
          </w:p>
        </w:tc>
      </w:tr>
    </w:tbl>
    <w:p>
      <w:pPr>
        <w:pStyle w:val="62"/>
        <w:ind w:firstLine="480"/>
        <w:jc w:val="center"/>
        <w:rPr>
          <w:rFonts w:hAnsi="宋体"/>
          <w:highlight w:val="none"/>
        </w:rPr>
      </w:pPr>
      <w:r>
        <w:rPr>
          <w:rFonts w:hAnsi="宋体"/>
          <w:highlight w:val="none"/>
        </w:rPr>
        <w:t>续表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5  </w:t>
      </w:r>
      <w:r>
        <w:rPr>
          <w:rFonts w:hint="eastAsia" w:hAnsi="宋体"/>
          <w:sz w:val="23"/>
          <w:szCs w:val="23"/>
          <w:highlight w:val="none"/>
        </w:rPr>
        <w:t>成品</w:t>
      </w:r>
      <w:r>
        <w:rPr>
          <w:rFonts w:hAnsi="宋体"/>
          <w:sz w:val="23"/>
          <w:szCs w:val="23"/>
          <w:highlight w:val="none"/>
        </w:rPr>
        <w:t>库</w:t>
      </w:r>
      <w:r>
        <w:rPr>
          <w:rFonts w:hint="eastAsia" w:hAnsi="宋体"/>
          <w:highlight w:val="none"/>
        </w:rPr>
        <w:t>大气污染物估算结果一览表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1"/>
        <w:gridCol w:w="3449"/>
        <w:gridCol w:w="24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restart"/>
            <w:vAlign w:val="center"/>
          </w:tcPr>
          <w:p>
            <w:pPr>
              <w:pStyle w:val="64"/>
              <w:rPr>
                <w:rFonts w:hAnsi="宋体"/>
                <w:szCs w:val="22"/>
                <w:highlight w:val="none"/>
              </w:rPr>
            </w:pPr>
            <w:r>
              <w:rPr>
                <w:rFonts w:hAnsi="宋体"/>
                <w:highlight w:val="none"/>
              </w:rPr>
              <w:t>下风向距离</w:t>
            </w:r>
          </w:p>
        </w:tc>
        <w:tc>
          <w:tcPr>
            <w:tcW w:w="5849" w:type="dxa"/>
            <w:gridSpan w:val="2"/>
            <w:vAlign w:val="center"/>
          </w:tcPr>
          <w:p>
            <w:pPr>
              <w:pStyle w:val="64"/>
              <w:rPr>
                <w:rFonts w:hAnsi="宋体"/>
                <w:szCs w:val="22"/>
                <w:highlight w:val="none"/>
              </w:rPr>
            </w:pPr>
            <w:r>
              <w:rPr>
                <w:rFonts w:hint="eastAsia" w:hAnsi="宋体"/>
                <w:highlight w:val="none"/>
              </w:rPr>
              <w:t>成品</w:t>
            </w:r>
            <w:r>
              <w:rPr>
                <w:rFonts w:hAnsi="宋体"/>
                <w:highlight w:val="none"/>
              </w:rPr>
              <w:t>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continue"/>
            <w:vAlign w:val="center"/>
          </w:tcPr>
          <w:p>
            <w:pPr>
              <w:pStyle w:val="64"/>
              <w:rPr>
                <w:rFonts w:hAnsi="宋体"/>
                <w:szCs w:val="22"/>
                <w:highlight w:val="none"/>
              </w:rPr>
            </w:pPr>
          </w:p>
        </w:tc>
        <w:tc>
          <w:tcPr>
            <w:tcW w:w="3449" w:type="dxa"/>
            <w:vAlign w:val="center"/>
          </w:tcPr>
          <w:p>
            <w:pPr>
              <w:pStyle w:val="64"/>
              <w:rPr>
                <w:rFonts w:hAnsi="宋体"/>
                <w:szCs w:val="22"/>
                <w:highlight w:val="none"/>
              </w:rPr>
            </w:pPr>
            <w:r>
              <w:rPr>
                <w:rFonts w:hAnsi="宋体"/>
                <w:highlight w:val="none"/>
              </w:rPr>
              <w:t>TSP浓度(μg/m³)</w:t>
            </w:r>
          </w:p>
        </w:tc>
        <w:tc>
          <w:tcPr>
            <w:tcW w:w="2400" w:type="dxa"/>
            <w:vAlign w:val="center"/>
          </w:tcPr>
          <w:p>
            <w:pPr>
              <w:pStyle w:val="64"/>
              <w:rPr>
                <w:rFonts w:hAnsi="宋体"/>
                <w:szCs w:val="22"/>
                <w:highlight w:val="none"/>
              </w:rPr>
            </w:pPr>
            <w:r>
              <w:rPr>
                <w:rFonts w:hAnsi="宋体"/>
                <w:highlight w:val="none"/>
              </w:rPr>
              <w:t>TSP占标率(%)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50.0</w:t>
            </w:r>
          </w:p>
        </w:tc>
        <w:tc>
          <w:tcPr>
            <w:tcW w:w="3449" w:type="dxa"/>
            <w:vAlign w:val="center"/>
          </w:tcPr>
          <w:p>
            <w:pPr>
              <w:pStyle w:val="64"/>
              <w:rPr>
                <w:rFonts w:hAnsi="宋体"/>
                <w:szCs w:val="22"/>
                <w:highlight w:val="none"/>
              </w:rPr>
            </w:pPr>
            <w:r>
              <w:rPr>
                <w:rFonts w:hAnsi="宋体"/>
                <w:highlight w:val="none"/>
              </w:rPr>
              <w:t>3.4691</w:t>
            </w:r>
          </w:p>
        </w:tc>
        <w:tc>
          <w:tcPr>
            <w:tcW w:w="2400" w:type="dxa"/>
            <w:vAlign w:val="center"/>
          </w:tcPr>
          <w:p>
            <w:pPr>
              <w:pStyle w:val="64"/>
              <w:rPr>
                <w:rFonts w:hAnsi="宋体"/>
                <w:szCs w:val="22"/>
                <w:highlight w:val="none"/>
              </w:rPr>
            </w:pPr>
            <w:r>
              <w:rPr>
                <w:rFonts w:hAnsi="宋体"/>
                <w:highlight w:val="none"/>
              </w:rPr>
              <w:t>0.385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100.0</w:t>
            </w:r>
          </w:p>
        </w:tc>
        <w:tc>
          <w:tcPr>
            <w:tcW w:w="3449" w:type="dxa"/>
            <w:vAlign w:val="center"/>
          </w:tcPr>
          <w:p>
            <w:pPr>
              <w:pStyle w:val="64"/>
              <w:rPr>
                <w:rFonts w:hAnsi="宋体"/>
                <w:szCs w:val="22"/>
                <w:highlight w:val="none"/>
              </w:rPr>
            </w:pPr>
            <w:r>
              <w:rPr>
                <w:rFonts w:hAnsi="宋体"/>
                <w:highlight w:val="none"/>
              </w:rPr>
              <w:t>2.3657</w:t>
            </w:r>
          </w:p>
        </w:tc>
        <w:tc>
          <w:tcPr>
            <w:tcW w:w="2400" w:type="dxa"/>
            <w:vAlign w:val="center"/>
          </w:tcPr>
          <w:p>
            <w:pPr>
              <w:pStyle w:val="64"/>
              <w:rPr>
                <w:rFonts w:hAnsi="宋体"/>
                <w:szCs w:val="22"/>
                <w:highlight w:val="none"/>
              </w:rPr>
            </w:pPr>
            <w:r>
              <w:rPr>
                <w:rFonts w:hAnsi="宋体"/>
                <w:highlight w:val="none"/>
              </w:rPr>
              <w:t>0.263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w:t>
            </w:r>
          </w:p>
        </w:tc>
        <w:tc>
          <w:tcPr>
            <w:tcW w:w="3449" w:type="dxa"/>
            <w:vAlign w:val="center"/>
          </w:tcPr>
          <w:p>
            <w:pPr>
              <w:pStyle w:val="64"/>
              <w:rPr>
                <w:rFonts w:hAnsi="宋体"/>
                <w:szCs w:val="22"/>
                <w:highlight w:val="none"/>
              </w:rPr>
            </w:pPr>
            <w:r>
              <w:rPr>
                <w:rFonts w:hAnsi="宋体"/>
                <w:highlight w:val="none"/>
              </w:rPr>
              <w:t>1.3848</w:t>
            </w:r>
          </w:p>
        </w:tc>
        <w:tc>
          <w:tcPr>
            <w:tcW w:w="2400" w:type="dxa"/>
            <w:vAlign w:val="center"/>
          </w:tcPr>
          <w:p>
            <w:pPr>
              <w:pStyle w:val="64"/>
              <w:rPr>
                <w:rFonts w:hAnsi="宋体"/>
                <w:szCs w:val="22"/>
                <w:highlight w:val="none"/>
              </w:rPr>
            </w:pPr>
            <w:r>
              <w:rPr>
                <w:rFonts w:hAnsi="宋体"/>
                <w:highlight w:val="none"/>
              </w:rPr>
              <w:t>0.154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300.0</w:t>
            </w:r>
          </w:p>
        </w:tc>
        <w:tc>
          <w:tcPr>
            <w:tcW w:w="3449" w:type="dxa"/>
            <w:vAlign w:val="center"/>
          </w:tcPr>
          <w:p>
            <w:pPr>
              <w:pStyle w:val="64"/>
              <w:rPr>
                <w:rFonts w:hAnsi="宋体"/>
                <w:szCs w:val="22"/>
                <w:highlight w:val="none"/>
              </w:rPr>
            </w:pPr>
            <w:r>
              <w:rPr>
                <w:rFonts w:hAnsi="宋体"/>
                <w:highlight w:val="none"/>
              </w:rPr>
              <w:t>1.0364</w:t>
            </w:r>
          </w:p>
        </w:tc>
        <w:tc>
          <w:tcPr>
            <w:tcW w:w="2400" w:type="dxa"/>
            <w:vAlign w:val="center"/>
          </w:tcPr>
          <w:p>
            <w:pPr>
              <w:pStyle w:val="64"/>
              <w:rPr>
                <w:rFonts w:hAnsi="宋体"/>
                <w:szCs w:val="22"/>
                <w:highlight w:val="none"/>
              </w:rPr>
            </w:pPr>
            <w:r>
              <w:rPr>
                <w:rFonts w:hAnsi="宋体"/>
                <w:highlight w:val="none"/>
              </w:rPr>
              <w:t>0.115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400.0</w:t>
            </w:r>
          </w:p>
        </w:tc>
        <w:tc>
          <w:tcPr>
            <w:tcW w:w="3449" w:type="dxa"/>
            <w:vAlign w:val="center"/>
          </w:tcPr>
          <w:p>
            <w:pPr>
              <w:pStyle w:val="64"/>
              <w:rPr>
                <w:rFonts w:hAnsi="宋体"/>
                <w:szCs w:val="22"/>
                <w:highlight w:val="none"/>
              </w:rPr>
            </w:pPr>
            <w:r>
              <w:rPr>
                <w:rFonts w:hAnsi="宋体"/>
                <w:highlight w:val="none"/>
              </w:rPr>
              <w:t>0.8448</w:t>
            </w:r>
          </w:p>
        </w:tc>
        <w:tc>
          <w:tcPr>
            <w:tcW w:w="2400" w:type="dxa"/>
            <w:vAlign w:val="center"/>
          </w:tcPr>
          <w:p>
            <w:pPr>
              <w:pStyle w:val="64"/>
              <w:rPr>
                <w:rFonts w:hAnsi="宋体"/>
                <w:szCs w:val="22"/>
                <w:highlight w:val="none"/>
              </w:rPr>
            </w:pPr>
            <w:r>
              <w:rPr>
                <w:rFonts w:hAnsi="宋体"/>
                <w:highlight w:val="none"/>
              </w:rPr>
              <w:t>0.094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500.0</w:t>
            </w:r>
          </w:p>
        </w:tc>
        <w:tc>
          <w:tcPr>
            <w:tcW w:w="3449" w:type="dxa"/>
            <w:vAlign w:val="center"/>
          </w:tcPr>
          <w:p>
            <w:pPr>
              <w:pStyle w:val="64"/>
              <w:rPr>
                <w:rFonts w:hAnsi="宋体"/>
                <w:szCs w:val="22"/>
                <w:highlight w:val="none"/>
              </w:rPr>
            </w:pPr>
            <w:r>
              <w:rPr>
                <w:rFonts w:hAnsi="宋体"/>
                <w:highlight w:val="none"/>
              </w:rPr>
              <w:t>0.7530</w:t>
            </w:r>
          </w:p>
        </w:tc>
        <w:tc>
          <w:tcPr>
            <w:tcW w:w="2400" w:type="dxa"/>
            <w:vAlign w:val="center"/>
          </w:tcPr>
          <w:p>
            <w:pPr>
              <w:pStyle w:val="64"/>
              <w:rPr>
                <w:rFonts w:hAnsi="宋体"/>
                <w:szCs w:val="22"/>
                <w:highlight w:val="none"/>
              </w:rPr>
            </w:pPr>
            <w:r>
              <w:rPr>
                <w:rFonts w:hAnsi="宋体"/>
                <w:highlight w:val="none"/>
              </w:rPr>
              <w:t>0.084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600.0</w:t>
            </w:r>
          </w:p>
        </w:tc>
        <w:tc>
          <w:tcPr>
            <w:tcW w:w="3449" w:type="dxa"/>
            <w:vAlign w:val="center"/>
          </w:tcPr>
          <w:p>
            <w:pPr>
              <w:pStyle w:val="64"/>
              <w:rPr>
                <w:rFonts w:hAnsi="宋体"/>
                <w:szCs w:val="22"/>
                <w:highlight w:val="none"/>
              </w:rPr>
            </w:pPr>
            <w:r>
              <w:rPr>
                <w:rFonts w:hAnsi="宋体"/>
                <w:highlight w:val="none"/>
              </w:rPr>
              <w:t>0.7118</w:t>
            </w:r>
          </w:p>
        </w:tc>
        <w:tc>
          <w:tcPr>
            <w:tcW w:w="2400" w:type="dxa"/>
            <w:vAlign w:val="center"/>
          </w:tcPr>
          <w:p>
            <w:pPr>
              <w:pStyle w:val="64"/>
              <w:rPr>
                <w:rFonts w:hAnsi="宋体"/>
                <w:szCs w:val="22"/>
                <w:highlight w:val="none"/>
              </w:rPr>
            </w:pPr>
            <w:r>
              <w:rPr>
                <w:rFonts w:hAnsi="宋体"/>
                <w:highlight w:val="none"/>
              </w:rPr>
              <w:t>0.079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700.0</w:t>
            </w:r>
          </w:p>
        </w:tc>
        <w:tc>
          <w:tcPr>
            <w:tcW w:w="3449" w:type="dxa"/>
            <w:vAlign w:val="center"/>
          </w:tcPr>
          <w:p>
            <w:pPr>
              <w:pStyle w:val="64"/>
              <w:rPr>
                <w:rFonts w:hAnsi="宋体"/>
                <w:szCs w:val="22"/>
                <w:highlight w:val="none"/>
              </w:rPr>
            </w:pPr>
            <w:r>
              <w:rPr>
                <w:rFonts w:hAnsi="宋体"/>
                <w:highlight w:val="none"/>
              </w:rPr>
              <w:t>0.6744</w:t>
            </w:r>
          </w:p>
        </w:tc>
        <w:tc>
          <w:tcPr>
            <w:tcW w:w="2400" w:type="dxa"/>
            <w:vAlign w:val="center"/>
          </w:tcPr>
          <w:p>
            <w:pPr>
              <w:pStyle w:val="64"/>
              <w:rPr>
                <w:rFonts w:hAnsi="宋体"/>
                <w:szCs w:val="22"/>
                <w:highlight w:val="none"/>
              </w:rPr>
            </w:pPr>
            <w:r>
              <w:rPr>
                <w:rFonts w:hAnsi="宋体"/>
                <w:highlight w:val="none"/>
              </w:rPr>
              <w:t>0.075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800.0</w:t>
            </w:r>
          </w:p>
        </w:tc>
        <w:tc>
          <w:tcPr>
            <w:tcW w:w="3449" w:type="dxa"/>
            <w:vAlign w:val="center"/>
          </w:tcPr>
          <w:p>
            <w:pPr>
              <w:pStyle w:val="64"/>
              <w:rPr>
                <w:rFonts w:hAnsi="宋体"/>
                <w:szCs w:val="22"/>
                <w:highlight w:val="none"/>
              </w:rPr>
            </w:pPr>
            <w:r>
              <w:rPr>
                <w:rFonts w:hAnsi="宋体"/>
                <w:highlight w:val="none"/>
              </w:rPr>
              <w:t>0.6423</w:t>
            </w:r>
          </w:p>
        </w:tc>
        <w:tc>
          <w:tcPr>
            <w:tcW w:w="2400" w:type="dxa"/>
            <w:vAlign w:val="center"/>
          </w:tcPr>
          <w:p>
            <w:pPr>
              <w:pStyle w:val="64"/>
              <w:rPr>
                <w:rFonts w:hAnsi="宋体"/>
                <w:szCs w:val="22"/>
                <w:highlight w:val="none"/>
              </w:rPr>
            </w:pPr>
            <w:r>
              <w:rPr>
                <w:rFonts w:hAnsi="宋体"/>
                <w:highlight w:val="none"/>
              </w:rPr>
              <w:t>0.071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900.0</w:t>
            </w:r>
          </w:p>
        </w:tc>
        <w:tc>
          <w:tcPr>
            <w:tcW w:w="3449" w:type="dxa"/>
            <w:vAlign w:val="center"/>
          </w:tcPr>
          <w:p>
            <w:pPr>
              <w:pStyle w:val="64"/>
              <w:rPr>
                <w:rFonts w:hAnsi="宋体"/>
                <w:szCs w:val="22"/>
                <w:highlight w:val="none"/>
              </w:rPr>
            </w:pPr>
            <w:r>
              <w:rPr>
                <w:rFonts w:hAnsi="宋体"/>
                <w:highlight w:val="none"/>
              </w:rPr>
              <w:t>0.6139</w:t>
            </w:r>
          </w:p>
        </w:tc>
        <w:tc>
          <w:tcPr>
            <w:tcW w:w="2400" w:type="dxa"/>
            <w:vAlign w:val="center"/>
          </w:tcPr>
          <w:p>
            <w:pPr>
              <w:pStyle w:val="64"/>
              <w:rPr>
                <w:rFonts w:hAnsi="宋体"/>
                <w:szCs w:val="22"/>
                <w:highlight w:val="none"/>
              </w:rPr>
            </w:pPr>
            <w:r>
              <w:rPr>
                <w:rFonts w:hAnsi="宋体"/>
                <w:highlight w:val="none"/>
              </w:rPr>
              <w:t>0.068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1000.0</w:t>
            </w:r>
          </w:p>
        </w:tc>
        <w:tc>
          <w:tcPr>
            <w:tcW w:w="3449" w:type="dxa"/>
            <w:vAlign w:val="center"/>
          </w:tcPr>
          <w:p>
            <w:pPr>
              <w:pStyle w:val="64"/>
              <w:rPr>
                <w:rFonts w:hAnsi="宋体"/>
                <w:szCs w:val="22"/>
                <w:highlight w:val="none"/>
              </w:rPr>
            </w:pPr>
            <w:r>
              <w:rPr>
                <w:rFonts w:hAnsi="宋体"/>
                <w:highlight w:val="none"/>
              </w:rPr>
              <w:t>0.5885</w:t>
            </w:r>
          </w:p>
        </w:tc>
        <w:tc>
          <w:tcPr>
            <w:tcW w:w="2400" w:type="dxa"/>
            <w:vAlign w:val="center"/>
          </w:tcPr>
          <w:p>
            <w:pPr>
              <w:pStyle w:val="64"/>
              <w:rPr>
                <w:rFonts w:hAnsi="宋体"/>
                <w:szCs w:val="22"/>
                <w:highlight w:val="none"/>
              </w:rPr>
            </w:pPr>
            <w:r>
              <w:rPr>
                <w:rFonts w:hAnsi="宋体"/>
                <w:highlight w:val="none"/>
              </w:rPr>
              <w:t>0.065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1200.0</w:t>
            </w:r>
          </w:p>
        </w:tc>
        <w:tc>
          <w:tcPr>
            <w:tcW w:w="3449" w:type="dxa"/>
            <w:vAlign w:val="center"/>
          </w:tcPr>
          <w:p>
            <w:pPr>
              <w:pStyle w:val="64"/>
              <w:rPr>
                <w:rFonts w:hAnsi="宋体"/>
                <w:szCs w:val="22"/>
                <w:highlight w:val="none"/>
              </w:rPr>
            </w:pPr>
            <w:r>
              <w:rPr>
                <w:rFonts w:hAnsi="宋体"/>
                <w:highlight w:val="none"/>
              </w:rPr>
              <w:t>0.5438</w:t>
            </w:r>
          </w:p>
        </w:tc>
        <w:tc>
          <w:tcPr>
            <w:tcW w:w="2400" w:type="dxa"/>
            <w:vAlign w:val="center"/>
          </w:tcPr>
          <w:p>
            <w:pPr>
              <w:pStyle w:val="64"/>
              <w:rPr>
                <w:rFonts w:hAnsi="宋体"/>
                <w:szCs w:val="22"/>
                <w:highlight w:val="none"/>
              </w:rPr>
            </w:pPr>
            <w:r>
              <w:rPr>
                <w:rFonts w:hAnsi="宋体"/>
                <w:highlight w:val="none"/>
              </w:rPr>
              <w:t>0.060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1400.0</w:t>
            </w:r>
          </w:p>
        </w:tc>
        <w:tc>
          <w:tcPr>
            <w:tcW w:w="3449" w:type="dxa"/>
            <w:vAlign w:val="center"/>
          </w:tcPr>
          <w:p>
            <w:pPr>
              <w:pStyle w:val="64"/>
              <w:rPr>
                <w:rFonts w:hAnsi="宋体"/>
                <w:szCs w:val="22"/>
                <w:highlight w:val="none"/>
              </w:rPr>
            </w:pPr>
            <w:r>
              <w:rPr>
                <w:rFonts w:hAnsi="宋体"/>
                <w:highlight w:val="none"/>
              </w:rPr>
              <w:t>0.5055</w:t>
            </w:r>
          </w:p>
        </w:tc>
        <w:tc>
          <w:tcPr>
            <w:tcW w:w="2400" w:type="dxa"/>
            <w:vAlign w:val="center"/>
          </w:tcPr>
          <w:p>
            <w:pPr>
              <w:pStyle w:val="64"/>
              <w:rPr>
                <w:rFonts w:hAnsi="宋体"/>
                <w:szCs w:val="22"/>
                <w:highlight w:val="none"/>
              </w:rPr>
            </w:pPr>
            <w:r>
              <w:rPr>
                <w:rFonts w:hAnsi="宋体"/>
                <w:highlight w:val="none"/>
              </w:rPr>
              <w:t>0.056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1600.0</w:t>
            </w:r>
          </w:p>
        </w:tc>
        <w:tc>
          <w:tcPr>
            <w:tcW w:w="3449" w:type="dxa"/>
            <w:vAlign w:val="center"/>
          </w:tcPr>
          <w:p>
            <w:pPr>
              <w:pStyle w:val="64"/>
              <w:rPr>
                <w:rFonts w:hAnsi="宋体"/>
                <w:szCs w:val="22"/>
                <w:highlight w:val="none"/>
              </w:rPr>
            </w:pPr>
            <w:r>
              <w:rPr>
                <w:rFonts w:hAnsi="宋体"/>
                <w:highlight w:val="none"/>
              </w:rPr>
              <w:t>0.4721</w:t>
            </w:r>
          </w:p>
        </w:tc>
        <w:tc>
          <w:tcPr>
            <w:tcW w:w="2400" w:type="dxa"/>
            <w:vAlign w:val="center"/>
          </w:tcPr>
          <w:p>
            <w:pPr>
              <w:pStyle w:val="64"/>
              <w:rPr>
                <w:rFonts w:hAnsi="宋体"/>
                <w:szCs w:val="22"/>
                <w:highlight w:val="none"/>
              </w:rPr>
            </w:pPr>
            <w:r>
              <w:rPr>
                <w:rFonts w:hAnsi="宋体"/>
                <w:highlight w:val="none"/>
              </w:rPr>
              <w:t>0.052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1800.0</w:t>
            </w:r>
          </w:p>
        </w:tc>
        <w:tc>
          <w:tcPr>
            <w:tcW w:w="3449" w:type="dxa"/>
            <w:vAlign w:val="center"/>
          </w:tcPr>
          <w:p>
            <w:pPr>
              <w:pStyle w:val="64"/>
              <w:rPr>
                <w:rFonts w:hAnsi="宋体"/>
                <w:szCs w:val="22"/>
                <w:highlight w:val="none"/>
              </w:rPr>
            </w:pPr>
            <w:r>
              <w:rPr>
                <w:rFonts w:hAnsi="宋体"/>
                <w:highlight w:val="none"/>
              </w:rPr>
              <w:t>0.4425</w:t>
            </w:r>
          </w:p>
        </w:tc>
        <w:tc>
          <w:tcPr>
            <w:tcW w:w="2400" w:type="dxa"/>
            <w:vAlign w:val="center"/>
          </w:tcPr>
          <w:p>
            <w:pPr>
              <w:pStyle w:val="64"/>
              <w:rPr>
                <w:rFonts w:hAnsi="宋体"/>
                <w:szCs w:val="22"/>
                <w:highlight w:val="none"/>
              </w:rPr>
            </w:pPr>
            <w:r>
              <w:rPr>
                <w:rFonts w:hAnsi="宋体"/>
                <w:highlight w:val="none"/>
              </w:rPr>
              <w:t>0.049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2000.0</w:t>
            </w:r>
          </w:p>
        </w:tc>
        <w:tc>
          <w:tcPr>
            <w:tcW w:w="3449" w:type="dxa"/>
            <w:vAlign w:val="center"/>
          </w:tcPr>
          <w:p>
            <w:pPr>
              <w:pStyle w:val="64"/>
              <w:rPr>
                <w:rFonts w:hAnsi="宋体"/>
                <w:szCs w:val="22"/>
                <w:highlight w:val="none"/>
              </w:rPr>
            </w:pPr>
            <w:r>
              <w:rPr>
                <w:rFonts w:hAnsi="宋体"/>
                <w:highlight w:val="none"/>
              </w:rPr>
              <w:t>0.4161</w:t>
            </w:r>
          </w:p>
        </w:tc>
        <w:tc>
          <w:tcPr>
            <w:tcW w:w="2400" w:type="dxa"/>
            <w:vAlign w:val="center"/>
          </w:tcPr>
          <w:p>
            <w:pPr>
              <w:pStyle w:val="64"/>
              <w:rPr>
                <w:rFonts w:hAnsi="宋体"/>
                <w:szCs w:val="22"/>
                <w:highlight w:val="none"/>
              </w:rPr>
            </w:pPr>
            <w:r>
              <w:rPr>
                <w:rFonts w:hAnsi="宋体"/>
                <w:highlight w:val="none"/>
              </w:rPr>
              <w:t>0.046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2500.0</w:t>
            </w:r>
          </w:p>
        </w:tc>
        <w:tc>
          <w:tcPr>
            <w:tcW w:w="3449" w:type="dxa"/>
            <w:vAlign w:val="center"/>
          </w:tcPr>
          <w:p>
            <w:pPr>
              <w:pStyle w:val="64"/>
              <w:rPr>
                <w:rFonts w:hAnsi="宋体"/>
                <w:szCs w:val="22"/>
                <w:highlight w:val="none"/>
              </w:rPr>
            </w:pPr>
            <w:r>
              <w:rPr>
                <w:rFonts w:hAnsi="宋体"/>
                <w:highlight w:val="none"/>
              </w:rPr>
              <w:t>0.3612</w:t>
            </w:r>
          </w:p>
        </w:tc>
        <w:tc>
          <w:tcPr>
            <w:tcW w:w="2400" w:type="dxa"/>
            <w:vAlign w:val="center"/>
          </w:tcPr>
          <w:p>
            <w:pPr>
              <w:pStyle w:val="64"/>
              <w:rPr>
                <w:rFonts w:hAnsi="宋体"/>
                <w:szCs w:val="22"/>
                <w:highlight w:val="none"/>
              </w:rPr>
            </w:pPr>
            <w:r>
              <w:rPr>
                <w:rFonts w:hAnsi="宋体"/>
                <w:highlight w:val="none"/>
              </w:rPr>
              <w:t>0.040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下风向最大浓度</w:t>
            </w:r>
          </w:p>
        </w:tc>
        <w:tc>
          <w:tcPr>
            <w:tcW w:w="3449" w:type="dxa"/>
            <w:vAlign w:val="center"/>
          </w:tcPr>
          <w:p>
            <w:pPr>
              <w:pStyle w:val="64"/>
              <w:rPr>
                <w:rFonts w:hAnsi="宋体"/>
                <w:szCs w:val="22"/>
                <w:highlight w:val="none"/>
              </w:rPr>
            </w:pPr>
            <w:r>
              <w:rPr>
                <w:rFonts w:hAnsi="宋体"/>
                <w:highlight w:val="none"/>
              </w:rPr>
              <w:t>4.5941</w:t>
            </w:r>
          </w:p>
        </w:tc>
        <w:tc>
          <w:tcPr>
            <w:tcW w:w="2400" w:type="dxa"/>
            <w:vAlign w:val="center"/>
          </w:tcPr>
          <w:p>
            <w:pPr>
              <w:pStyle w:val="64"/>
              <w:rPr>
                <w:rFonts w:hAnsi="宋体"/>
                <w:szCs w:val="22"/>
                <w:highlight w:val="none"/>
              </w:rPr>
            </w:pPr>
            <w:r>
              <w:rPr>
                <w:rFonts w:hAnsi="宋体"/>
                <w:highlight w:val="none"/>
              </w:rPr>
              <w:t>0.510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下风向最大浓度出现距离</w:t>
            </w:r>
          </w:p>
        </w:tc>
        <w:tc>
          <w:tcPr>
            <w:tcW w:w="3449" w:type="dxa"/>
            <w:vAlign w:val="center"/>
          </w:tcPr>
          <w:p>
            <w:pPr>
              <w:pStyle w:val="64"/>
              <w:rPr>
                <w:rFonts w:hAnsi="宋体"/>
                <w:szCs w:val="22"/>
                <w:highlight w:val="none"/>
              </w:rPr>
            </w:pPr>
            <w:r>
              <w:rPr>
                <w:rFonts w:hAnsi="宋体"/>
                <w:highlight w:val="none"/>
              </w:rPr>
              <w:t>21.0</w:t>
            </w:r>
          </w:p>
        </w:tc>
        <w:tc>
          <w:tcPr>
            <w:tcW w:w="2400" w:type="dxa"/>
            <w:vAlign w:val="center"/>
          </w:tcPr>
          <w:p>
            <w:pPr>
              <w:pStyle w:val="64"/>
              <w:rPr>
                <w:rFonts w:hAnsi="宋体"/>
                <w:szCs w:val="22"/>
                <w:highlight w:val="none"/>
              </w:rPr>
            </w:pPr>
            <w:r>
              <w:rPr>
                <w:rFonts w:hAnsi="宋体"/>
                <w:highlight w:val="none"/>
              </w:rPr>
              <w:t>21.0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D10%最远距离</w:t>
            </w:r>
          </w:p>
        </w:tc>
        <w:tc>
          <w:tcPr>
            <w:tcW w:w="3449" w:type="dxa"/>
            <w:vAlign w:val="center"/>
          </w:tcPr>
          <w:p>
            <w:pPr>
              <w:pStyle w:val="64"/>
              <w:rPr>
                <w:rFonts w:hAnsi="宋体"/>
                <w:szCs w:val="22"/>
                <w:highlight w:val="none"/>
              </w:rPr>
            </w:pPr>
            <w:r>
              <w:rPr>
                <w:rFonts w:hAnsi="宋体"/>
                <w:highlight w:val="none"/>
              </w:rPr>
              <w:t>/</w:t>
            </w:r>
          </w:p>
        </w:tc>
        <w:tc>
          <w:tcPr>
            <w:tcW w:w="2400" w:type="dxa"/>
            <w:vAlign w:val="center"/>
          </w:tcPr>
          <w:p>
            <w:pPr>
              <w:pStyle w:val="64"/>
              <w:rPr>
                <w:rFonts w:hAnsi="宋体"/>
                <w:szCs w:val="22"/>
                <w:highlight w:val="none"/>
              </w:rPr>
            </w:pPr>
            <w:r>
              <w:rPr>
                <w:rFonts w:hAnsi="宋体"/>
                <w:highlight w:val="none"/>
              </w:rPr>
              <w:t>/</w:t>
            </w:r>
          </w:p>
        </w:tc>
      </w:tr>
    </w:tbl>
    <w:p>
      <w:pPr>
        <w:pStyle w:val="62"/>
        <w:ind w:firstLine="480"/>
        <w:jc w:val="center"/>
        <w:rPr>
          <w:rFonts w:hAnsi="宋体"/>
          <w:highlight w:val="none"/>
        </w:rPr>
      </w:pPr>
      <w:r>
        <w:rPr>
          <w:rFonts w:hAnsi="宋体"/>
          <w:highlight w:val="none"/>
        </w:rPr>
        <w:t>续表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5  </w:t>
      </w:r>
      <w:r>
        <w:rPr>
          <w:rFonts w:hint="eastAsia" w:hAnsi="宋体"/>
          <w:sz w:val="23"/>
          <w:szCs w:val="23"/>
          <w:highlight w:val="none"/>
        </w:rPr>
        <w:t>尾矿库</w:t>
      </w:r>
      <w:r>
        <w:rPr>
          <w:rFonts w:hint="eastAsia" w:hAnsi="宋体"/>
          <w:highlight w:val="none"/>
        </w:rPr>
        <w:t>大气污染物估算结果一览表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1"/>
        <w:gridCol w:w="3449"/>
        <w:gridCol w:w="24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restart"/>
            <w:vAlign w:val="center"/>
          </w:tcPr>
          <w:p>
            <w:pPr>
              <w:pStyle w:val="64"/>
              <w:rPr>
                <w:rFonts w:hAnsi="宋体"/>
                <w:szCs w:val="22"/>
                <w:highlight w:val="none"/>
              </w:rPr>
            </w:pPr>
            <w:r>
              <w:rPr>
                <w:rFonts w:hAnsi="宋体"/>
                <w:highlight w:val="none"/>
              </w:rPr>
              <w:t>下风向距离</w:t>
            </w:r>
          </w:p>
        </w:tc>
        <w:tc>
          <w:tcPr>
            <w:tcW w:w="5849" w:type="dxa"/>
            <w:gridSpan w:val="2"/>
            <w:vAlign w:val="center"/>
          </w:tcPr>
          <w:p>
            <w:pPr>
              <w:pStyle w:val="64"/>
              <w:rPr>
                <w:rFonts w:hAnsi="宋体"/>
                <w:szCs w:val="22"/>
                <w:highlight w:val="none"/>
              </w:rPr>
            </w:pPr>
            <w:r>
              <w:rPr>
                <w:rFonts w:hint="eastAsia" w:hAnsi="宋体"/>
                <w:highlight w:val="none"/>
              </w:rPr>
              <w:t>尾矿库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continue"/>
            <w:vAlign w:val="center"/>
          </w:tcPr>
          <w:p>
            <w:pPr>
              <w:pStyle w:val="64"/>
              <w:rPr>
                <w:rFonts w:hAnsi="宋体"/>
                <w:szCs w:val="22"/>
                <w:highlight w:val="none"/>
              </w:rPr>
            </w:pPr>
          </w:p>
        </w:tc>
        <w:tc>
          <w:tcPr>
            <w:tcW w:w="3449" w:type="dxa"/>
            <w:vAlign w:val="center"/>
          </w:tcPr>
          <w:p>
            <w:pPr>
              <w:pStyle w:val="64"/>
              <w:rPr>
                <w:rFonts w:hAnsi="宋体"/>
                <w:szCs w:val="22"/>
                <w:highlight w:val="none"/>
              </w:rPr>
            </w:pPr>
            <w:r>
              <w:rPr>
                <w:rFonts w:hAnsi="宋体"/>
                <w:highlight w:val="none"/>
              </w:rPr>
              <w:t>TSP浓度(μg/m³)</w:t>
            </w:r>
          </w:p>
        </w:tc>
        <w:tc>
          <w:tcPr>
            <w:tcW w:w="2400" w:type="dxa"/>
            <w:vAlign w:val="center"/>
          </w:tcPr>
          <w:p>
            <w:pPr>
              <w:pStyle w:val="64"/>
              <w:rPr>
                <w:rFonts w:hAnsi="宋体"/>
                <w:szCs w:val="22"/>
                <w:highlight w:val="none"/>
              </w:rPr>
            </w:pPr>
            <w:r>
              <w:rPr>
                <w:rFonts w:hAnsi="宋体"/>
                <w:highlight w:val="none"/>
              </w:rPr>
              <w:t>TSP占标率(%)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50.0</w:t>
            </w:r>
          </w:p>
        </w:tc>
        <w:tc>
          <w:tcPr>
            <w:tcW w:w="3449" w:type="dxa"/>
            <w:vAlign w:val="center"/>
          </w:tcPr>
          <w:p>
            <w:pPr>
              <w:pStyle w:val="64"/>
              <w:rPr>
                <w:rFonts w:hAnsi="宋体"/>
                <w:szCs w:val="22"/>
                <w:highlight w:val="none"/>
              </w:rPr>
            </w:pPr>
            <w:r>
              <w:rPr>
                <w:rFonts w:hAnsi="宋体"/>
                <w:highlight w:val="none"/>
              </w:rPr>
              <w:t>9.3933</w:t>
            </w:r>
          </w:p>
        </w:tc>
        <w:tc>
          <w:tcPr>
            <w:tcW w:w="2400" w:type="dxa"/>
            <w:vAlign w:val="center"/>
          </w:tcPr>
          <w:p>
            <w:pPr>
              <w:pStyle w:val="64"/>
              <w:rPr>
                <w:rFonts w:hAnsi="宋体"/>
                <w:szCs w:val="22"/>
                <w:highlight w:val="none"/>
              </w:rPr>
            </w:pPr>
            <w:r>
              <w:rPr>
                <w:rFonts w:hAnsi="宋体"/>
                <w:highlight w:val="none"/>
              </w:rPr>
              <w:t>1.044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100.0</w:t>
            </w:r>
          </w:p>
        </w:tc>
        <w:tc>
          <w:tcPr>
            <w:tcW w:w="3449" w:type="dxa"/>
            <w:vAlign w:val="center"/>
          </w:tcPr>
          <w:p>
            <w:pPr>
              <w:pStyle w:val="64"/>
              <w:rPr>
                <w:rFonts w:hAnsi="宋体"/>
                <w:szCs w:val="22"/>
                <w:highlight w:val="none"/>
              </w:rPr>
            </w:pPr>
            <w:r>
              <w:rPr>
                <w:rFonts w:hAnsi="宋体"/>
                <w:highlight w:val="none"/>
              </w:rPr>
              <w:t>6.1005</w:t>
            </w:r>
          </w:p>
        </w:tc>
        <w:tc>
          <w:tcPr>
            <w:tcW w:w="2400" w:type="dxa"/>
            <w:vAlign w:val="center"/>
          </w:tcPr>
          <w:p>
            <w:pPr>
              <w:pStyle w:val="64"/>
              <w:rPr>
                <w:rFonts w:hAnsi="宋体"/>
                <w:szCs w:val="22"/>
                <w:highlight w:val="none"/>
              </w:rPr>
            </w:pPr>
            <w:r>
              <w:rPr>
                <w:rFonts w:hAnsi="宋体"/>
                <w:highlight w:val="none"/>
              </w:rPr>
              <w:t>0.678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w:t>
            </w:r>
          </w:p>
        </w:tc>
        <w:tc>
          <w:tcPr>
            <w:tcW w:w="3449" w:type="dxa"/>
            <w:vAlign w:val="center"/>
          </w:tcPr>
          <w:p>
            <w:pPr>
              <w:pStyle w:val="64"/>
              <w:rPr>
                <w:rFonts w:hAnsi="宋体"/>
                <w:szCs w:val="22"/>
                <w:highlight w:val="none"/>
              </w:rPr>
            </w:pPr>
            <w:r>
              <w:rPr>
                <w:rFonts w:hAnsi="宋体"/>
                <w:highlight w:val="none"/>
              </w:rPr>
              <w:t>3.4634</w:t>
            </w:r>
          </w:p>
        </w:tc>
        <w:tc>
          <w:tcPr>
            <w:tcW w:w="2400" w:type="dxa"/>
            <w:vAlign w:val="center"/>
          </w:tcPr>
          <w:p>
            <w:pPr>
              <w:pStyle w:val="64"/>
              <w:rPr>
                <w:rFonts w:hAnsi="宋体"/>
                <w:szCs w:val="22"/>
                <w:highlight w:val="none"/>
              </w:rPr>
            </w:pPr>
            <w:r>
              <w:rPr>
                <w:rFonts w:hAnsi="宋体"/>
                <w:highlight w:val="none"/>
              </w:rPr>
              <w:t>0.385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300.0</w:t>
            </w:r>
          </w:p>
        </w:tc>
        <w:tc>
          <w:tcPr>
            <w:tcW w:w="3449" w:type="dxa"/>
            <w:vAlign w:val="center"/>
          </w:tcPr>
          <w:p>
            <w:pPr>
              <w:pStyle w:val="64"/>
              <w:rPr>
                <w:rFonts w:hAnsi="宋体"/>
                <w:szCs w:val="22"/>
                <w:highlight w:val="none"/>
              </w:rPr>
            </w:pPr>
            <w:r>
              <w:rPr>
                <w:rFonts w:hAnsi="宋体"/>
                <w:highlight w:val="none"/>
              </w:rPr>
              <w:t>2.5921</w:t>
            </w:r>
          </w:p>
        </w:tc>
        <w:tc>
          <w:tcPr>
            <w:tcW w:w="2400" w:type="dxa"/>
            <w:vAlign w:val="center"/>
          </w:tcPr>
          <w:p>
            <w:pPr>
              <w:pStyle w:val="64"/>
              <w:rPr>
                <w:rFonts w:hAnsi="宋体"/>
                <w:szCs w:val="22"/>
                <w:highlight w:val="none"/>
              </w:rPr>
            </w:pPr>
            <w:r>
              <w:rPr>
                <w:rFonts w:hAnsi="宋体"/>
                <w:highlight w:val="none"/>
              </w:rPr>
              <w:t>0.288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400.0</w:t>
            </w:r>
          </w:p>
        </w:tc>
        <w:tc>
          <w:tcPr>
            <w:tcW w:w="3449" w:type="dxa"/>
            <w:vAlign w:val="center"/>
          </w:tcPr>
          <w:p>
            <w:pPr>
              <w:pStyle w:val="64"/>
              <w:rPr>
                <w:rFonts w:hAnsi="宋体"/>
                <w:szCs w:val="22"/>
                <w:highlight w:val="none"/>
              </w:rPr>
            </w:pPr>
            <w:r>
              <w:rPr>
                <w:rFonts w:hAnsi="宋体"/>
                <w:highlight w:val="none"/>
              </w:rPr>
              <w:t>2.1131</w:t>
            </w:r>
          </w:p>
        </w:tc>
        <w:tc>
          <w:tcPr>
            <w:tcW w:w="2400" w:type="dxa"/>
            <w:vAlign w:val="center"/>
          </w:tcPr>
          <w:p>
            <w:pPr>
              <w:pStyle w:val="64"/>
              <w:rPr>
                <w:rFonts w:hAnsi="宋体"/>
                <w:szCs w:val="22"/>
                <w:highlight w:val="none"/>
              </w:rPr>
            </w:pPr>
            <w:r>
              <w:rPr>
                <w:rFonts w:hAnsi="宋体"/>
                <w:highlight w:val="none"/>
              </w:rPr>
              <w:t>0.235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500.0</w:t>
            </w:r>
          </w:p>
        </w:tc>
        <w:tc>
          <w:tcPr>
            <w:tcW w:w="3449" w:type="dxa"/>
            <w:vAlign w:val="center"/>
          </w:tcPr>
          <w:p>
            <w:pPr>
              <w:pStyle w:val="64"/>
              <w:rPr>
                <w:rFonts w:hAnsi="宋体"/>
                <w:szCs w:val="22"/>
                <w:highlight w:val="none"/>
              </w:rPr>
            </w:pPr>
            <w:r>
              <w:rPr>
                <w:rFonts w:hAnsi="宋体"/>
                <w:highlight w:val="none"/>
              </w:rPr>
              <w:t>1.8946</w:t>
            </w:r>
          </w:p>
        </w:tc>
        <w:tc>
          <w:tcPr>
            <w:tcW w:w="2400" w:type="dxa"/>
            <w:vAlign w:val="center"/>
          </w:tcPr>
          <w:p>
            <w:pPr>
              <w:pStyle w:val="64"/>
              <w:rPr>
                <w:rFonts w:hAnsi="宋体"/>
                <w:szCs w:val="22"/>
                <w:highlight w:val="none"/>
              </w:rPr>
            </w:pPr>
            <w:r>
              <w:rPr>
                <w:rFonts w:hAnsi="宋体"/>
                <w:highlight w:val="none"/>
              </w:rPr>
              <w:t>0.211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600.0</w:t>
            </w:r>
          </w:p>
        </w:tc>
        <w:tc>
          <w:tcPr>
            <w:tcW w:w="3449" w:type="dxa"/>
            <w:vAlign w:val="center"/>
          </w:tcPr>
          <w:p>
            <w:pPr>
              <w:pStyle w:val="64"/>
              <w:rPr>
                <w:rFonts w:hAnsi="宋体"/>
                <w:szCs w:val="22"/>
                <w:highlight w:val="none"/>
              </w:rPr>
            </w:pPr>
            <w:r>
              <w:rPr>
                <w:rFonts w:hAnsi="宋体"/>
                <w:highlight w:val="none"/>
              </w:rPr>
              <w:t>1.7804</w:t>
            </w:r>
          </w:p>
        </w:tc>
        <w:tc>
          <w:tcPr>
            <w:tcW w:w="2400" w:type="dxa"/>
            <w:vAlign w:val="center"/>
          </w:tcPr>
          <w:p>
            <w:pPr>
              <w:pStyle w:val="64"/>
              <w:rPr>
                <w:rFonts w:hAnsi="宋体"/>
                <w:szCs w:val="22"/>
                <w:highlight w:val="none"/>
              </w:rPr>
            </w:pPr>
            <w:r>
              <w:rPr>
                <w:rFonts w:hAnsi="宋体"/>
                <w:highlight w:val="none"/>
              </w:rPr>
              <w:t>0.198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700.0</w:t>
            </w:r>
          </w:p>
        </w:tc>
        <w:tc>
          <w:tcPr>
            <w:tcW w:w="3449" w:type="dxa"/>
            <w:vAlign w:val="center"/>
          </w:tcPr>
          <w:p>
            <w:pPr>
              <w:pStyle w:val="64"/>
              <w:rPr>
                <w:rFonts w:hAnsi="宋体"/>
                <w:szCs w:val="22"/>
                <w:highlight w:val="none"/>
              </w:rPr>
            </w:pPr>
            <w:r>
              <w:rPr>
                <w:rFonts w:hAnsi="宋体"/>
                <w:highlight w:val="none"/>
              </w:rPr>
              <w:t>1.6867</w:t>
            </w:r>
          </w:p>
        </w:tc>
        <w:tc>
          <w:tcPr>
            <w:tcW w:w="2400" w:type="dxa"/>
            <w:vAlign w:val="center"/>
          </w:tcPr>
          <w:p>
            <w:pPr>
              <w:pStyle w:val="64"/>
              <w:rPr>
                <w:rFonts w:hAnsi="宋体"/>
                <w:szCs w:val="22"/>
                <w:highlight w:val="none"/>
              </w:rPr>
            </w:pPr>
            <w:r>
              <w:rPr>
                <w:rFonts w:hAnsi="宋体"/>
                <w:highlight w:val="none"/>
              </w:rPr>
              <w:t>0.187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800.0</w:t>
            </w:r>
          </w:p>
        </w:tc>
        <w:tc>
          <w:tcPr>
            <w:tcW w:w="3449" w:type="dxa"/>
            <w:vAlign w:val="center"/>
          </w:tcPr>
          <w:p>
            <w:pPr>
              <w:pStyle w:val="64"/>
              <w:rPr>
                <w:rFonts w:hAnsi="宋体"/>
                <w:szCs w:val="22"/>
                <w:highlight w:val="none"/>
              </w:rPr>
            </w:pPr>
            <w:r>
              <w:rPr>
                <w:rFonts w:hAnsi="宋体"/>
                <w:highlight w:val="none"/>
              </w:rPr>
              <w:t>1.6064</w:t>
            </w:r>
          </w:p>
        </w:tc>
        <w:tc>
          <w:tcPr>
            <w:tcW w:w="2400" w:type="dxa"/>
            <w:vAlign w:val="center"/>
          </w:tcPr>
          <w:p>
            <w:pPr>
              <w:pStyle w:val="64"/>
              <w:rPr>
                <w:rFonts w:hAnsi="宋体"/>
                <w:szCs w:val="22"/>
                <w:highlight w:val="none"/>
              </w:rPr>
            </w:pPr>
            <w:r>
              <w:rPr>
                <w:rFonts w:hAnsi="宋体"/>
                <w:highlight w:val="none"/>
              </w:rPr>
              <w:t>0.178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900.0</w:t>
            </w:r>
          </w:p>
        </w:tc>
        <w:tc>
          <w:tcPr>
            <w:tcW w:w="3449" w:type="dxa"/>
            <w:vAlign w:val="center"/>
          </w:tcPr>
          <w:p>
            <w:pPr>
              <w:pStyle w:val="64"/>
              <w:rPr>
                <w:rFonts w:hAnsi="宋体"/>
                <w:szCs w:val="22"/>
                <w:highlight w:val="none"/>
              </w:rPr>
            </w:pPr>
            <w:r>
              <w:rPr>
                <w:rFonts w:hAnsi="宋体"/>
                <w:highlight w:val="none"/>
              </w:rPr>
              <w:t>1.5356</w:t>
            </w:r>
          </w:p>
        </w:tc>
        <w:tc>
          <w:tcPr>
            <w:tcW w:w="2400" w:type="dxa"/>
            <w:vAlign w:val="center"/>
          </w:tcPr>
          <w:p>
            <w:pPr>
              <w:pStyle w:val="64"/>
              <w:rPr>
                <w:rFonts w:hAnsi="宋体"/>
                <w:szCs w:val="22"/>
                <w:highlight w:val="none"/>
              </w:rPr>
            </w:pPr>
            <w:r>
              <w:rPr>
                <w:rFonts w:hAnsi="宋体"/>
                <w:highlight w:val="none"/>
              </w:rPr>
              <w:t>0.171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1000.0</w:t>
            </w:r>
          </w:p>
        </w:tc>
        <w:tc>
          <w:tcPr>
            <w:tcW w:w="3449" w:type="dxa"/>
            <w:vAlign w:val="center"/>
          </w:tcPr>
          <w:p>
            <w:pPr>
              <w:pStyle w:val="64"/>
              <w:rPr>
                <w:rFonts w:hAnsi="宋体"/>
                <w:szCs w:val="22"/>
                <w:highlight w:val="none"/>
              </w:rPr>
            </w:pPr>
            <w:r>
              <w:rPr>
                <w:rFonts w:hAnsi="宋体"/>
                <w:highlight w:val="none"/>
              </w:rPr>
              <w:t>1.4718</w:t>
            </w:r>
          </w:p>
        </w:tc>
        <w:tc>
          <w:tcPr>
            <w:tcW w:w="2400" w:type="dxa"/>
            <w:vAlign w:val="center"/>
          </w:tcPr>
          <w:p>
            <w:pPr>
              <w:pStyle w:val="64"/>
              <w:rPr>
                <w:rFonts w:hAnsi="宋体"/>
                <w:szCs w:val="22"/>
                <w:highlight w:val="none"/>
              </w:rPr>
            </w:pPr>
            <w:r>
              <w:rPr>
                <w:rFonts w:hAnsi="宋体"/>
                <w:highlight w:val="none"/>
              </w:rPr>
              <w:t>0.164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1200.0</w:t>
            </w:r>
          </w:p>
        </w:tc>
        <w:tc>
          <w:tcPr>
            <w:tcW w:w="3449" w:type="dxa"/>
            <w:vAlign w:val="center"/>
          </w:tcPr>
          <w:p>
            <w:pPr>
              <w:pStyle w:val="64"/>
              <w:rPr>
                <w:rFonts w:hAnsi="宋体"/>
                <w:szCs w:val="22"/>
                <w:highlight w:val="none"/>
              </w:rPr>
            </w:pPr>
            <w:r>
              <w:rPr>
                <w:rFonts w:hAnsi="宋体"/>
                <w:highlight w:val="none"/>
              </w:rPr>
              <w:t>1.3601</w:t>
            </w:r>
          </w:p>
        </w:tc>
        <w:tc>
          <w:tcPr>
            <w:tcW w:w="2400" w:type="dxa"/>
            <w:vAlign w:val="center"/>
          </w:tcPr>
          <w:p>
            <w:pPr>
              <w:pStyle w:val="64"/>
              <w:rPr>
                <w:rFonts w:hAnsi="宋体"/>
                <w:szCs w:val="22"/>
                <w:highlight w:val="none"/>
              </w:rPr>
            </w:pPr>
            <w:r>
              <w:rPr>
                <w:rFonts w:hAnsi="宋体"/>
                <w:highlight w:val="none"/>
              </w:rPr>
              <w:t>0.151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1400.0</w:t>
            </w:r>
          </w:p>
        </w:tc>
        <w:tc>
          <w:tcPr>
            <w:tcW w:w="3449" w:type="dxa"/>
            <w:vAlign w:val="center"/>
          </w:tcPr>
          <w:p>
            <w:pPr>
              <w:pStyle w:val="64"/>
              <w:rPr>
                <w:rFonts w:hAnsi="宋体"/>
                <w:szCs w:val="22"/>
                <w:highlight w:val="none"/>
              </w:rPr>
            </w:pPr>
            <w:r>
              <w:rPr>
                <w:rFonts w:hAnsi="宋体"/>
                <w:highlight w:val="none"/>
              </w:rPr>
              <w:t>1.2644</w:t>
            </w:r>
          </w:p>
        </w:tc>
        <w:tc>
          <w:tcPr>
            <w:tcW w:w="2400" w:type="dxa"/>
            <w:vAlign w:val="center"/>
          </w:tcPr>
          <w:p>
            <w:pPr>
              <w:pStyle w:val="64"/>
              <w:rPr>
                <w:rFonts w:hAnsi="宋体"/>
                <w:szCs w:val="22"/>
                <w:highlight w:val="none"/>
              </w:rPr>
            </w:pPr>
            <w:r>
              <w:rPr>
                <w:rFonts w:hAnsi="宋体"/>
                <w:highlight w:val="none"/>
              </w:rPr>
              <w:t>0.140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1600.0</w:t>
            </w:r>
          </w:p>
        </w:tc>
        <w:tc>
          <w:tcPr>
            <w:tcW w:w="3449" w:type="dxa"/>
            <w:vAlign w:val="center"/>
          </w:tcPr>
          <w:p>
            <w:pPr>
              <w:pStyle w:val="64"/>
              <w:rPr>
                <w:rFonts w:hAnsi="宋体"/>
                <w:szCs w:val="22"/>
                <w:highlight w:val="none"/>
              </w:rPr>
            </w:pPr>
            <w:r>
              <w:rPr>
                <w:rFonts w:hAnsi="宋体"/>
                <w:highlight w:val="none"/>
              </w:rPr>
              <w:t>1.1806</w:t>
            </w:r>
          </w:p>
        </w:tc>
        <w:tc>
          <w:tcPr>
            <w:tcW w:w="2400" w:type="dxa"/>
            <w:vAlign w:val="center"/>
          </w:tcPr>
          <w:p>
            <w:pPr>
              <w:pStyle w:val="64"/>
              <w:rPr>
                <w:rFonts w:hAnsi="宋体"/>
                <w:szCs w:val="22"/>
                <w:highlight w:val="none"/>
              </w:rPr>
            </w:pPr>
            <w:r>
              <w:rPr>
                <w:rFonts w:hAnsi="宋体"/>
                <w:highlight w:val="none"/>
              </w:rPr>
              <w:t>0.131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1800.0</w:t>
            </w:r>
          </w:p>
        </w:tc>
        <w:tc>
          <w:tcPr>
            <w:tcW w:w="3449" w:type="dxa"/>
            <w:vAlign w:val="center"/>
          </w:tcPr>
          <w:p>
            <w:pPr>
              <w:pStyle w:val="64"/>
              <w:rPr>
                <w:rFonts w:hAnsi="宋体"/>
                <w:szCs w:val="22"/>
                <w:highlight w:val="none"/>
              </w:rPr>
            </w:pPr>
            <w:r>
              <w:rPr>
                <w:rFonts w:hAnsi="宋体"/>
                <w:highlight w:val="none"/>
              </w:rPr>
              <w:t>1.1066</w:t>
            </w:r>
          </w:p>
        </w:tc>
        <w:tc>
          <w:tcPr>
            <w:tcW w:w="2400" w:type="dxa"/>
            <w:vAlign w:val="center"/>
          </w:tcPr>
          <w:p>
            <w:pPr>
              <w:pStyle w:val="64"/>
              <w:rPr>
                <w:rFonts w:hAnsi="宋体"/>
                <w:szCs w:val="22"/>
                <w:highlight w:val="none"/>
              </w:rPr>
            </w:pPr>
            <w:r>
              <w:rPr>
                <w:rFonts w:hAnsi="宋体"/>
                <w:highlight w:val="none"/>
              </w:rPr>
              <w:t>0.123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2000.0</w:t>
            </w:r>
          </w:p>
        </w:tc>
        <w:tc>
          <w:tcPr>
            <w:tcW w:w="3449" w:type="dxa"/>
            <w:vAlign w:val="center"/>
          </w:tcPr>
          <w:p>
            <w:pPr>
              <w:pStyle w:val="64"/>
              <w:rPr>
                <w:rFonts w:hAnsi="宋体"/>
                <w:szCs w:val="22"/>
                <w:highlight w:val="none"/>
              </w:rPr>
            </w:pPr>
            <w:r>
              <w:rPr>
                <w:rFonts w:hAnsi="宋体"/>
                <w:highlight w:val="none"/>
              </w:rPr>
              <w:t>1.0407</w:t>
            </w:r>
          </w:p>
        </w:tc>
        <w:tc>
          <w:tcPr>
            <w:tcW w:w="2400" w:type="dxa"/>
            <w:vAlign w:val="center"/>
          </w:tcPr>
          <w:p>
            <w:pPr>
              <w:pStyle w:val="64"/>
              <w:rPr>
                <w:rFonts w:hAnsi="宋体"/>
                <w:szCs w:val="22"/>
                <w:highlight w:val="none"/>
              </w:rPr>
            </w:pPr>
            <w:r>
              <w:rPr>
                <w:rFonts w:hAnsi="宋体"/>
                <w:highlight w:val="none"/>
              </w:rPr>
              <w:t>0.116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2500.0</w:t>
            </w:r>
          </w:p>
        </w:tc>
        <w:tc>
          <w:tcPr>
            <w:tcW w:w="3449" w:type="dxa"/>
            <w:vAlign w:val="center"/>
          </w:tcPr>
          <w:p>
            <w:pPr>
              <w:pStyle w:val="64"/>
              <w:rPr>
                <w:rFonts w:hAnsi="宋体"/>
                <w:szCs w:val="22"/>
                <w:highlight w:val="none"/>
              </w:rPr>
            </w:pPr>
            <w:r>
              <w:rPr>
                <w:rFonts w:hAnsi="宋体"/>
                <w:highlight w:val="none"/>
              </w:rPr>
              <w:t>0.9033</w:t>
            </w:r>
          </w:p>
        </w:tc>
        <w:tc>
          <w:tcPr>
            <w:tcW w:w="2400" w:type="dxa"/>
            <w:vAlign w:val="center"/>
          </w:tcPr>
          <w:p>
            <w:pPr>
              <w:pStyle w:val="64"/>
              <w:rPr>
                <w:rFonts w:hAnsi="宋体"/>
                <w:szCs w:val="22"/>
                <w:highlight w:val="none"/>
              </w:rPr>
            </w:pPr>
            <w:r>
              <w:rPr>
                <w:rFonts w:hAnsi="宋体"/>
                <w:highlight w:val="none"/>
              </w:rPr>
              <w:t>0.100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下风向最大浓度</w:t>
            </w:r>
          </w:p>
        </w:tc>
        <w:tc>
          <w:tcPr>
            <w:tcW w:w="3449" w:type="dxa"/>
            <w:vAlign w:val="center"/>
          </w:tcPr>
          <w:p>
            <w:pPr>
              <w:pStyle w:val="64"/>
              <w:rPr>
                <w:rFonts w:hAnsi="宋体"/>
                <w:szCs w:val="22"/>
                <w:highlight w:val="none"/>
              </w:rPr>
            </w:pPr>
            <w:r>
              <w:rPr>
                <w:rFonts w:hAnsi="宋体"/>
                <w:highlight w:val="none"/>
              </w:rPr>
              <w:t>15.3790</w:t>
            </w:r>
          </w:p>
        </w:tc>
        <w:tc>
          <w:tcPr>
            <w:tcW w:w="2400" w:type="dxa"/>
            <w:vAlign w:val="center"/>
          </w:tcPr>
          <w:p>
            <w:pPr>
              <w:pStyle w:val="64"/>
              <w:rPr>
                <w:rFonts w:hAnsi="宋体"/>
                <w:szCs w:val="22"/>
                <w:highlight w:val="none"/>
              </w:rPr>
            </w:pPr>
            <w:r>
              <w:rPr>
                <w:rFonts w:hAnsi="宋体"/>
                <w:highlight w:val="none"/>
              </w:rPr>
              <w:t>1.709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下风向最大浓度出现距离</w:t>
            </w:r>
          </w:p>
        </w:tc>
        <w:tc>
          <w:tcPr>
            <w:tcW w:w="3449" w:type="dxa"/>
            <w:vAlign w:val="center"/>
          </w:tcPr>
          <w:p>
            <w:pPr>
              <w:pStyle w:val="64"/>
              <w:rPr>
                <w:rFonts w:hAnsi="宋体"/>
                <w:szCs w:val="22"/>
                <w:highlight w:val="none"/>
              </w:rPr>
            </w:pPr>
            <w:r>
              <w:rPr>
                <w:rFonts w:hAnsi="宋体"/>
                <w:highlight w:val="none"/>
              </w:rPr>
              <w:t>14.0</w:t>
            </w:r>
          </w:p>
        </w:tc>
        <w:tc>
          <w:tcPr>
            <w:tcW w:w="2400" w:type="dxa"/>
            <w:vAlign w:val="center"/>
          </w:tcPr>
          <w:p>
            <w:pPr>
              <w:pStyle w:val="64"/>
              <w:rPr>
                <w:rFonts w:hAnsi="宋体"/>
                <w:szCs w:val="22"/>
                <w:highlight w:val="none"/>
              </w:rPr>
            </w:pPr>
            <w:r>
              <w:rPr>
                <w:rFonts w:hAnsi="宋体"/>
                <w:highlight w:val="none"/>
              </w:rPr>
              <w:t>14.0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D10%最远距离</w:t>
            </w:r>
          </w:p>
        </w:tc>
        <w:tc>
          <w:tcPr>
            <w:tcW w:w="3449" w:type="dxa"/>
            <w:vAlign w:val="center"/>
          </w:tcPr>
          <w:p>
            <w:pPr>
              <w:pStyle w:val="64"/>
              <w:rPr>
                <w:rFonts w:hAnsi="宋体"/>
                <w:szCs w:val="22"/>
                <w:highlight w:val="none"/>
              </w:rPr>
            </w:pPr>
            <w:r>
              <w:rPr>
                <w:rFonts w:hAnsi="宋体"/>
                <w:highlight w:val="none"/>
              </w:rPr>
              <w:t>/</w:t>
            </w:r>
          </w:p>
        </w:tc>
        <w:tc>
          <w:tcPr>
            <w:tcW w:w="2400" w:type="dxa"/>
            <w:vAlign w:val="center"/>
          </w:tcPr>
          <w:p>
            <w:pPr>
              <w:pStyle w:val="64"/>
              <w:rPr>
                <w:rFonts w:hAnsi="宋体"/>
                <w:szCs w:val="22"/>
                <w:highlight w:val="none"/>
              </w:rPr>
            </w:pPr>
            <w:r>
              <w:rPr>
                <w:rFonts w:hAnsi="宋体"/>
                <w:highlight w:val="none"/>
              </w:rPr>
              <w:t>/</w:t>
            </w:r>
          </w:p>
        </w:tc>
      </w:tr>
    </w:tbl>
    <w:p>
      <w:pPr>
        <w:pStyle w:val="62"/>
        <w:ind w:firstLine="480"/>
        <w:jc w:val="center"/>
        <w:rPr>
          <w:rFonts w:hAnsi="宋体"/>
          <w:highlight w:val="none"/>
        </w:rPr>
      </w:pPr>
      <w:r>
        <w:rPr>
          <w:rFonts w:hint="eastAsia" w:hAnsi="宋体"/>
          <w:highlight w:val="none"/>
        </w:rPr>
        <w:t>续</w:t>
      </w: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5  </w:t>
      </w:r>
      <w:r>
        <w:rPr>
          <w:rFonts w:hint="eastAsia" w:hAnsi="宋体"/>
          <w:szCs w:val="24"/>
          <w:highlight w:val="none"/>
        </w:rPr>
        <w:t>破碎</w:t>
      </w:r>
      <w:r>
        <w:rPr>
          <w:rFonts w:hint="eastAsia" w:hAnsi="宋体"/>
          <w:highlight w:val="none"/>
        </w:rPr>
        <w:t>排气筒大气污染物浓度估算结果一览表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101"/>
        <w:gridCol w:w="3449"/>
        <w:gridCol w:w="24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restart"/>
            <w:vAlign w:val="center"/>
          </w:tcPr>
          <w:p>
            <w:pPr>
              <w:pStyle w:val="64"/>
              <w:rPr>
                <w:rFonts w:hAnsi="宋体"/>
                <w:szCs w:val="22"/>
                <w:highlight w:val="none"/>
              </w:rPr>
            </w:pPr>
            <w:r>
              <w:rPr>
                <w:rFonts w:hAnsi="宋体"/>
                <w:highlight w:val="none"/>
              </w:rPr>
              <w:t>下风向距离</w:t>
            </w:r>
          </w:p>
        </w:tc>
        <w:tc>
          <w:tcPr>
            <w:tcW w:w="5849" w:type="dxa"/>
            <w:gridSpan w:val="2"/>
            <w:vAlign w:val="center"/>
          </w:tcPr>
          <w:p>
            <w:pPr>
              <w:pStyle w:val="64"/>
              <w:rPr>
                <w:rFonts w:hAnsi="宋体"/>
                <w:szCs w:val="22"/>
                <w:highlight w:val="none"/>
              </w:rPr>
            </w:pPr>
            <w:r>
              <w:rPr>
                <w:rFonts w:hint="eastAsia" w:hAnsi="宋体"/>
                <w:szCs w:val="20"/>
                <w:highlight w:val="none"/>
                <w:lang w:val="zh-CN"/>
              </w:rPr>
              <w:t>破碎排气筒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Merge w:val="continue"/>
            <w:vAlign w:val="center"/>
          </w:tcPr>
          <w:p>
            <w:pPr>
              <w:pStyle w:val="64"/>
              <w:rPr>
                <w:rFonts w:hAnsi="宋体"/>
                <w:szCs w:val="22"/>
                <w:highlight w:val="none"/>
              </w:rPr>
            </w:pPr>
          </w:p>
        </w:tc>
        <w:tc>
          <w:tcPr>
            <w:tcW w:w="3449" w:type="dxa"/>
            <w:vAlign w:val="center"/>
          </w:tcPr>
          <w:p>
            <w:pPr>
              <w:pStyle w:val="64"/>
              <w:rPr>
                <w:rFonts w:hAnsi="宋体"/>
                <w:szCs w:val="22"/>
                <w:highlight w:val="none"/>
              </w:rPr>
            </w:pPr>
            <w:r>
              <w:rPr>
                <w:rFonts w:hAnsi="宋体"/>
                <w:highlight w:val="none"/>
              </w:rPr>
              <w:t>PM</w:t>
            </w:r>
            <w:r>
              <w:rPr>
                <w:rFonts w:hAnsi="宋体"/>
                <w:highlight w:val="none"/>
                <w:vertAlign w:val="subscript"/>
              </w:rPr>
              <w:t>10</w:t>
            </w:r>
            <w:r>
              <w:rPr>
                <w:rFonts w:hAnsi="宋体"/>
                <w:highlight w:val="none"/>
              </w:rPr>
              <w:t>浓度(μg/m³)</w:t>
            </w:r>
          </w:p>
        </w:tc>
        <w:tc>
          <w:tcPr>
            <w:tcW w:w="2400" w:type="dxa"/>
            <w:vAlign w:val="center"/>
          </w:tcPr>
          <w:p>
            <w:pPr>
              <w:pStyle w:val="64"/>
              <w:rPr>
                <w:rFonts w:hAnsi="宋体"/>
                <w:szCs w:val="22"/>
                <w:highlight w:val="none"/>
              </w:rPr>
            </w:pPr>
            <w:r>
              <w:rPr>
                <w:rFonts w:hAnsi="宋体"/>
                <w:highlight w:val="none"/>
              </w:rPr>
              <w:t>PM</w:t>
            </w:r>
            <w:r>
              <w:rPr>
                <w:rFonts w:hAnsi="宋体"/>
                <w:highlight w:val="none"/>
                <w:vertAlign w:val="subscript"/>
              </w:rPr>
              <w:t>10</w:t>
            </w:r>
            <w:r>
              <w:rPr>
                <w:rFonts w:hAnsi="宋体"/>
                <w:highlight w:val="none"/>
              </w:rPr>
              <w:t>占标率(%)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50.0</w:t>
            </w:r>
          </w:p>
        </w:tc>
        <w:tc>
          <w:tcPr>
            <w:tcW w:w="3449" w:type="dxa"/>
            <w:vAlign w:val="center"/>
          </w:tcPr>
          <w:p>
            <w:pPr>
              <w:pStyle w:val="64"/>
              <w:rPr>
                <w:rFonts w:hAnsi="宋体"/>
                <w:szCs w:val="22"/>
                <w:highlight w:val="none"/>
              </w:rPr>
            </w:pPr>
            <w:r>
              <w:rPr>
                <w:rFonts w:hAnsi="宋体"/>
                <w:highlight w:val="none"/>
              </w:rPr>
              <w:t>17.8440</w:t>
            </w:r>
          </w:p>
        </w:tc>
        <w:tc>
          <w:tcPr>
            <w:tcW w:w="2400" w:type="dxa"/>
            <w:vAlign w:val="center"/>
          </w:tcPr>
          <w:p>
            <w:pPr>
              <w:pStyle w:val="64"/>
              <w:rPr>
                <w:rFonts w:hAnsi="宋体"/>
                <w:szCs w:val="22"/>
                <w:highlight w:val="none"/>
              </w:rPr>
            </w:pPr>
            <w:r>
              <w:rPr>
                <w:rFonts w:hAnsi="宋体"/>
                <w:highlight w:val="none"/>
              </w:rPr>
              <w:t>3.965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100.0</w:t>
            </w:r>
          </w:p>
        </w:tc>
        <w:tc>
          <w:tcPr>
            <w:tcW w:w="3449" w:type="dxa"/>
            <w:vAlign w:val="center"/>
          </w:tcPr>
          <w:p>
            <w:pPr>
              <w:pStyle w:val="64"/>
              <w:rPr>
                <w:rFonts w:hAnsi="宋体"/>
                <w:szCs w:val="22"/>
                <w:highlight w:val="none"/>
              </w:rPr>
            </w:pPr>
            <w:r>
              <w:rPr>
                <w:rFonts w:hAnsi="宋体"/>
                <w:highlight w:val="none"/>
              </w:rPr>
              <w:t>29.3540</w:t>
            </w:r>
          </w:p>
        </w:tc>
        <w:tc>
          <w:tcPr>
            <w:tcW w:w="2400" w:type="dxa"/>
            <w:vAlign w:val="center"/>
          </w:tcPr>
          <w:p>
            <w:pPr>
              <w:pStyle w:val="64"/>
              <w:rPr>
                <w:rFonts w:hAnsi="宋体"/>
                <w:szCs w:val="22"/>
                <w:highlight w:val="none"/>
              </w:rPr>
            </w:pPr>
            <w:r>
              <w:rPr>
                <w:rFonts w:hAnsi="宋体"/>
                <w:highlight w:val="none"/>
              </w:rPr>
              <w:t>6.523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w:t>
            </w:r>
          </w:p>
        </w:tc>
        <w:tc>
          <w:tcPr>
            <w:tcW w:w="3449" w:type="dxa"/>
            <w:vAlign w:val="center"/>
          </w:tcPr>
          <w:p>
            <w:pPr>
              <w:pStyle w:val="64"/>
              <w:rPr>
                <w:rFonts w:hAnsi="宋体"/>
                <w:szCs w:val="22"/>
                <w:highlight w:val="none"/>
              </w:rPr>
            </w:pPr>
            <w:r>
              <w:rPr>
                <w:rFonts w:hAnsi="宋体"/>
                <w:highlight w:val="none"/>
              </w:rPr>
              <w:t>35.7660</w:t>
            </w:r>
          </w:p>
        </w:tc>
        <w:tc>
          <w:tcPr>
            <w:tcW w:w="2400" w:type="dxa"/>
            <w:vAlign w:val="center"/>
          </w:tcPr>
          <w:p>
            <w:pPr>
              <w:pStyle w:val="64"/>
              <w:rPr>
                <w:rFonts w:hAnsi="宋体"/>
                <w:szCs w:val="22"/>
                <w:highlight w:val="none"/>
              </w:rPr>
            </w:pPr>
            <w:r>
              <w:rPr>
                <w:rFonts w:hAnsi="宋体"/>
                <w:highlight w:val="none"/>
              </w:rPr>
              <w:t>7.948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300.0</w:t>
            </w:r>
          </w:p>
        </w:tc>
        <w:tc>
          <w:tcPr>
            <w:tcW w:w="3449" w:type="dxa"/>
            <w:vAlign w:val="center"/>
          </w:tcPr>
          <w:p>
            <w:pPr>
              <w:pStyle w:val="64"/>
              <w:rPr>
                <w:rFonts w:hAnsi="宋体"/>
                <w:szCs w:val="22"/>
                <w:highlight w:val="none"/>
              </w:rPr>
            </w:pPr>
            <w:r>
              <w:rPr>
                <w:rFonts w:hAnsi="宋体"/>
                <w:highlight w:val="none"/>
              </w:rPr>
              <w:t>30.9820</w:t>
            </w:r>
          </w:p>
        </w:tc>
        <w:tc>
          <w:tcPr>
            <w:tcW w:w="2400" w:type="dxa"/>
            <w:vAlign w:val="center"/>
          </w:tcPr>
          <w:p>
            <w:pPr>
              <w:pStyle w:val="64"/>
              <w:rPr>
                <w:rFonts w:hAnsi="宋体"/>
                <w:szCs w:val="22"/>
                <w:highlight w:val="none"/>
              </w:rPr>
            </w:pPr>
            <w:r>
              <w:rPr>
                <w:rFonts w:hAnsi="宋体"/>
                <w:highlight w:val="none"/>
              </w:rPr>
              <w:t>6.885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400.0</w:t>
            </w:r>
          </w:p>
        </w:tc>
        <w:tc>
          <w:tcPr>
            <w:tcW w:w="3449" w:type="dxa"/>
            <w:vAlign w:val="center"/>
          </w:tcPr>
          <w:p>
            <w:pPr>
              <w:pStyle w:val="64"/>
              <w:rPr>
                <w:rFonts w:hAnsi="宋体"/>
                <w:szCs w:val="22"/>
                <w:highlight w:val="none"/>
              </w:rPr>
            </w:pPr>
            <w:r>
              <w:rPr>
                <w:rFonts w:hAnsi="宋体"/>
                <w:highlight w:val="none"/>
              </w:rPr>
              <w:t>24.6770</w:t>
            </w:r>
          </w:p>
        </w:tc>
        <w:tc>
          <w:tcPr>
            <w:tcW w:w="2400" w:type="dxa"/>
            <w:vAlign w:val="center"/>
          </w:tcPr>
          <w:p>
            <w:pPr>
              <w:pStyle w:val="64"/>
              <w:rPr>
                <w:rFonts w:hAnsi="宋体"/>
                <w:szCs w:val="22"/>
                <w:highlight w:val="none"/>
              </w:rPr>
            </w:pPr>
            <w:r>
              <w:rPr>
                <w:rFonts w:hAnsi="宋体"/>
                <w:highlight w:val="none"/>
              </w:rPr>
              <w:t>5.484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500.0</w:t>
            </w:r>
          </w:p>
        </w:tc>
        <w:tc>
          <w:tcPr>
            <w:tcW w:w="3449" w:type="dxa"/>
            <w:vAlign w:val="center"/>
          </w:tcPr>
          <w:p>
            <w:pPr>
              <w:pStyle w:val="64"/>
              <w:rPr>
                <w:rFonts w:hAnsi="宋体"/>
                <w:szCs w:val="22"/>
                <w:highlight w:val="none"/>
              </w:rPr>
            </w:pPr>
            <w:r>
              <w:rPr>
                <w:rFonts w:hAnsi="宋体"/>
                <w:highlight w:val="none"/>
              </w:rPr>
              <w:t>19.8190</w:t>
            </w:r>
          </w:p>
        </w:tc>
        <w:tc>
          <w:tcPr>
            <w:tcW w:w="2400" w:type="dxa"/>
            <w:vAlign w:val="center"/>
          </w:tcPr>
          <w:p>
            <w:pPr>
              <w:pStyle w:val="64"/>
              <w:rPr>
                <w:rFonts w:hAnsi="宋体"/>
                <w:szCs w:val="22"/>
                <w:highlight w:val="none"/>
              </w:rPr>
            </w:pPr>
            <w:r>
              <w:rPr>
                <w:rFonts w:hAnsi="宋体"/>
                <w:highlight w:val="none"/>
              </w:rPr>
              <w:t>4.404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600.0</w:t>
            </w:r>
          </w:p>
        </w:tc>
        <w:tc>
          <w:tcPr>
            <w:tcW w:w="3449" w:type="dxa"/>
            <w:vAlign w:val="center"/>
          </w:tcPr>
          <w:p>
            <w:pPr>
              <w:pStyle w:val="64"/>
              <w:rPr>
                <w:rFonts w:hAnsi="宋体"/>
                <w:szCs w:val="22"/>
                <w:highlight w:val="none"/>
              </w:rPr>
            </w:pPr>
            <w:r>
              <w:rPr>
                <w:rFonts w:hAnsi="宋体"/>
                <w:highlight w:val="none"/>
              </w:rPr>
              <w:t>18.8610</w:t>
            </w:r>
          </w:p>
        </w:tc>
        <w:tc>
          <w:tcPr>
            <w:tcW w:w="2400" w:type="dxa"/>
            <w:vAlign w:val="center"/>
          </w:tcPr>
          <w:p>
            <w:pPr>
              <w:pStyle w:val="64"/>
              <w:rPr>
                <w:rFonts w:hAnsi="宋体"/>
                <w:szCs w:val="22"/>
                <w:highlight w:val="none"/>
              </w:rPr>
            </w:pPr>
            <w:r>
              <w:rPr>
                <w:rFonts w:hAnsi="宋体"/>
                <w:highlight w:val="none"/>
              </w:rPr>
              <w:t>4.191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700.0</w:t>
            </w:r>
          </w:p>
        </w:tc>
        <w:tc>
          <w:tcPr>
            <w:tcW w:w="3449" w:type="dxa"/>
            <w:vAlign w:val="center"/>
          </w:tcPr>
          <w:p>
            <w:pPr>
              <w:pStyle w:val="64"/>
              <w:rPr>
                <w:rFonts w:hAnsi="宋体"/>
                <w:szCs w:val="22"/>
                <w:highlight w:val="none"/>
              </w:rPr>
            </w:pPr>
            <w:r>
              <w:rPr>
                <w:rFonts w:hAnsi="宋体"/>
                <w:highlight w:val="none"/>
              </w:rPr>
              <w:t>18.0610</w:t>
            </w:r>
          </w:p>
        </w:tc>
        <w:tc>
          <w:tcPr>
            <w:tcW w:w="2400" w:type="dxa"/>
            <w:vAlign w:val="center"/>
          </w:tcPr>
          <w:p>
            <w:pPr>
              <w:pStyle w:val="64"/>
              <w:rPr>
                <w:rFonts w:hAnsi="宋体"/>
                <w:szCs w:val="22"/>
                <w:highlight w:val="none"/>
              </w:rPr>
            </w:pPr>
            <w:r>
              <w:rPr>
                <w:rFonts w:hAnsi="宋体"/>
                <w:highlight w:val="none"/>
              </w:rPr>
              <w:t>4.014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800.0</w:t>
            </w:r>
          </w:p>
        </w:tc>
        <w:tc>
          <w:tcPr>
            <w:tcW w:w="3449" w:type="dxa"/>
            <w:vAlign w:val="center"/>
          </w:tcPr>
          <w:p>
            <w:pPr>
              <w:pStyle w:val="64"/>
              <w:rPr>
                <w:rFonts w:hAnsi="宋体"/>
                <w:szCs w:val="22"/>
                <w:highlight w:val="none"/>
              </w:rPr>
            </w:pPr>
            <w:r>
              <w:rPr>
                <w:rFonts w:hAnsi="宋体"/>
                <w:highlight w:val="none"/>
              </w:rPr>
              <w:t>16.9930</w:t>
            </w:r>
          </w:p>
        </w:tc>
        <w:tc>
          <w:tcPr>
            <w:tcW w:w="2400" w:type="dxa"/>
            <w:vAlign w:val="center"/>
          </w:tcPr>
          <w:p>
            <w:pPr>
              <w:pStyle w:val="64"/>
              <w:rPr>
                <w:rFonts w:hAnsi="宋体"/>
                <w:szCs w:val="22"/>
                <w:highlight w:val="none"/>
              </w:rPr>
            </w:pPr>
            <w:r>
              <w:rPr>
                <w:rFonts w:hAnsi="宋体"/>
                <w:highlight w:val="none"/>
              </w:rPr>
              <w:t>3.776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900.0</w:t>
            </w:r>
          </w:p>
        </w:tc>
        <w:tc>
          <w:tcPr>
            <w:tcW w:w="3449" w:type="dxa"/>
            <w:vAlign w:val="center"/>
          </w:tcPr>
          <w:p>
            <w:pPr>
              <w:pStyle w:val="64"/>
              <w:rPr>
                <w:rFonts w:hAnsi="宋体"/>
                <w:szCs w:val="22"/>
                <w:highlight w:val="none"/>
              </w:rPr>
            </w:pPr>
            <w:r>
              <w:rPr>
                <w:rFonts w:hAnsi="宋体"/>
                <w:highlight w:val="none"/>
              </w:rPr>
              <w:t>15.8600</w:t>
            </w:r>
          </w:p>
        </w:tc>
        <w:tc>
          <w:tcPr>
            <w:tcW w:w="2400" w:type="dxa"/>
            <w:vAlign w:val="center"/>
          </w:tcPr>
          <w:p>
            <w:pPr>
              <w:pStyle w:val="64"/>
              <w:rPr>
                <w:rFonts w:hAnsi="宋体"/>
                <w:szCs w:val="22"/>
                <w:highlight w:val="none"/>
              </w:rPr>
            </w:pPr>
            <w:r>
              <w:rPr>
                <w:rFonts w:hAnsi="宋体"/>
                <w:highlight w:val="none"/>
              </w:rPr>
              <w:t>3.524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1000.0</w:t>
            </w:r>
          </w:p>
        </w:tc>
        <w:tc>
          <w:tcPr>
            <w:tcW w:w="3449" w:type="dxa"/>
            <w:vAlign w:val="center"/>
          </w:tcPr>
          <w:p>
            <w:pPr>
              <w:pStyle w:val="64"/>
              <w:rPr>
                <w:rFonts w:hAnsi="宋体"/>
                <w:szCs w:val="22"/>
                <w:highlight w:val="none"/>
              </w:rPr>
            </w:pPr>
            <w:r>
              <w:rPr>
                <w:rFonts w:hAnsi="宋体"/>
                <w:highlight w:val="none"/>
              </w:rPr>
              <w:t>14.7570</w:t>
            </w:r>
          </w:p>
        </w:tc>
        <w:tc>
          <w:tcPr>
            <w:tcW w:w="2400" w:type="dxa"/>
            <w:vAlign w:val="center"/>
          </w:tcPr>
          <w:p>
            <w:pPr>
              <w:pStyle w:val="64"/>
              <w:rPr>
                <w:rFonts w:hAnsi="宋体"/>
                <w:szCs w:val="22"/>
                <w:highlight w:val="none"/>
              </w:rPr>
            </w:pPr>
            <w:r>
              <w:rPr>
                <w:rFonts w:hAnsi="宋体"/>
                <w:highlight w:val="none"/>
              </w:rPr>
              <w:t>3.279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1200.0</w:t>
            </w:r>
          </w:p>
        </w:tc>
        <w:tc>
          <w:tcPr>
            <w:tcW w:w="3449" w:type="dxa"/>
            <w:vAlign w:val="center"/>
          </w:tcPr>
          <w:p>
            <w:pPr>
              <w:pStyle w:val="64"/>
              <w:rPr>
                <w:rFonts w:hAnsi="宋体"/>
                <w:szCs w:val="22"/>
                <w:highlight w:val="none"/>
              </w:rPr>
            </w:pPr>
            <w:r>
              <w:rPr>
                <w:rFonts w:hAnsi="宋体"/>
                <w:highlight w:val="none"/>
              </w:rPr>
              <w:t>13.3770</w:t>
            </w:r>
          </w:p>
        </w:tc>
        <w:tc>
          <w:tcPr>
            <w:tcW w:w="2400" w:type="dxa"/>
            <w:vAlign w:val="center"/>
          </w:tcPr>
          <w:p>
            <w:pPr>
              <w:pStyle w:val="64"/>
              <w:rPr>
                <w:rFonts w:hAnsi="宋体"/>
                <w:szCs w:val="22"/>
                <w:highlight w:val="none"/>
              </w:rPr>
            </w:pPr>
            <w:r>
              <w:rPr>
                <w:rFonts w:hAnsi="宋体"/>
                <w:highlight w:val="none"/>
              </w:rPr>
              <w:t>2.973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1400.0</w:t>
            </w:r>
          </w:p>
        </w:tc>
        <w:tc>
          <w:tcPr>
            <w:tcW w:w="3449" w:type="dxa"/>
            <w:vAlign w:val="center"/>
          </w:tcPr>
          <w:p>
            <w:pPr>
              <w:pStyle w:val="64"/>
              <w:rPr>
                <w:rFonts w:hAnsi="宋体"/>
                <w:szCs w:val="22"/>
                <w:highlight w:val="none"/>
              </w:rPr>
            </w:pPr>
            <w:r>
              <w:rPr>
                <w:rFonts w:hAnsi="宋体"/>
                <w:highlight w:val="none"/>
              </w:rPr>
              <w:t>12.2100</w:t>
            </w:r>
          </w:p>
        </w:tc>
        <w:tc>
          <w:tcPr>
            <w:tcW w:w="2400" w:type="dxa"/>
            <w:vAlign w:val="center"/>
          </w:tcPr>
          <w:p>
            <w:pPr>
              <w:pStyle w:val="64"/>
              <w:rPr>
                <w:rFonts w:hAnsi="宋体"/>
                <w:szCs w:val="22"/>
                <w:highlight w:val="none"/>
              </w:rPr>
            </w:pPr>
            <w:r>
              <w:rPr>
                <w:rFonts w:hAnsi="宋体"/>
                <w:highlight w:val="none"/>
              </w:rPr>
              <w:t>2.713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1600.0</w:t>
            </w:r>
          </w:p>
        </w:tc>
        <w:tc>
          <w:tcPr>
            <w:tcW w:w="3449" w:type="dxa"/>
            <w:vAlign w:val="center"/>
          </w:tcPr>
          <w:p>
            <w:pPr>
              <w:pStyle w:val="64"/>
              <w:rPr>
                <w:rFonts w:hAnsi="宋体"/>
                <w:szCs w:val="22"/>
                <w:highlight w:val="none"/>
              </w:rPr>
            </w:pPr>
            <w:r>
              <w:rPr>
                <w:rFonts w:hAnsi="宋体"/>
                <w:highlight w:val="none"/>
              </w:rPr>
              <w:t>11.1070</w:t>
            </w:r>
          </w:p>
        </w:tc>
        <w:tc>
          <w:tcPr>
            <w:tcW w:w="2400" w:type="dxa"/>
            <w:vAlign w:val="center"/>
          </w:tcPr>
          <w:p>
            <w:pPr>
              <w:pStyle w:val="64"/>
              <w:rPr>
                <w:rFonts w:hAnsi="宋体"/>
                <w:szCs w:val="22"/>
                <w:highlight w:val="none"/>
              </w:rPr>
            </w:pPr>
            <w:r>
              <w:rPr>
                <w:rFonts w:hAnsi="宋体"/>
                <w:highlight w:val="none"/>
              </w:rPr>
              <w:t>2.468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1800.0</w:t>
            </w:r>
          </w:p>
        </w:tc>
        <w:tc>
          <w:tcPr>
            <w:tcW w:w="3449" w:type="dxa"/>
            <w:vAlign w:val="center"/>
          </w:tcPr>
          <w:p>
            <w:pPr>
              <w:pStyle w:val="64"/>
              <w:rPr>
                <w:rFonts w:hAnsi="宋体"/>
                <w:szCs w:val="22"/>
                <w:highlight w:val="none"/>
              </w:rPr>
            </w:pPr>
            <w:r>
              <w:rPr>
                <w:rFonts w:hAnsi="宋体"/>
                <w:highlight w:val="none"/>
              </w:rPr>
              <w:t>10.1120</w:t>
            </w:r>
          </w:p>
        </w:tc>
        <w:tc>
          <w:tcPr>
            <w:tcW w:w="2400" w:type="dxa"/>
            <w:vAlign w:val="center"/>
          </w:tcPr>
          <w:p>
            <w:pPr>
              <w:pStyle w:val="64"/>
              <w:rPr>
                <w:rFonts w:hAnsi="宋体"/>
                <w:szCs w:val="22"/>
                <w:highlight w:val="none"/>
              </w:rPr>
            </w:pPr>
            <w:r>
              <w:rPr>
                <w:rFonts w:hAnsi="宋体"/>
                <w:highlight w:val="none"/>
              </w:rPr>
              <w:t>2.247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2000.0</w:t>
            </w:r>
          </w:p>
        </w:tc>
        <w:tc>
          <w:tcPr>
            <w:tcW w:w="3449" w:type="dxa"/>
            <w:vAlign w:val="center"/>
          </w:tcPr>
          <w:p>
            <w:pPr>
              <w:pStyle w:val="64"/>
              <w:rPr>
                <w:rFonts w:hAnsi="宋体"/>
                <w:szCs w:val="22"/>
                <w:highlight w:val="none"/>
              </w:rPr>
            </w:pPr>
            <w:r>
              <w:rPr>
                <w:rFonts w:hAnsi="宋体"/>
                <w:highlight w:val="none"/>
              </w:rPr>
              <w:t>9.2311</w:t>
            </w:r>
          </w:p>
        </w:tc>
        <w:tc>
          <w:tcPr>
            <w:tcW w:w="2400" w:type="dxa"/>
            <w:vAlign w:val="center"/>
          </w:tcPr>
          <w:p>
            <w:pPr>
              <w:pStyle w:val="64"/>
              <w:rPr>
                <w:rFonts w:hAnsi="宋体"/>
                <w:szCs w:val="22"/>
                <w:highlight w:val="none"/>
              </w:rPr>
            </w:pPr>
            <w:r>
              <w:rPr>
                <w:rFonts w:hAnsi="宋体"/>
                <w:highlight w:val="none"/>
              </w:rPr>
              <w:t>2.051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2500.0</w:t>
            </w:r>
          </w:p>
        </w:tc>
        <w:tc>
          <w:tcPr>
            <w:tcW w:w="3449" w:type="dxa"/>
            <w:vAlign w:val="center"/>
          </w:tcPr>
          <w:p>
            <w:pPr>
              <w:pStyle w:val="64"/>
              <w:rPr>
                <w:rFonts w:hAnsi="宋体"/>
                <w:szCs w:val="22"/>
                <w:highlight w:val="none"/>
              </w:rPr>
            </w:pPr>
            <w:r>
              <w:rPr>
                <w:rFonts w:hAnsi="宋体"/>
                <w:highlight w:val="none"/>
              </w:rPr>
              <w:t>7.9369</w:t>
            </w:r>
          </w:p>
        </w:tc>
        <w:tc>
          <w:tcPr>
            <w:tcW w:w="2400" w:type="dxa"/>
            <w:vAlign w:val="center"/>
          </w:tcPr>
          <w:p>
            <w:pPr>
              <w:pStyle w:val="64"/>
              <w:rPr>
                <w:rFonts w:hAnsi="宋体"/>
                <w:szCs w:val="22"/>
                <w:highlight w:val="none"/>
              </w:rPr>
            </w:pPr>
            <w:r>
              <w:rPr>
                <w:rFonts w:hAnsi="宋体"/>
                <w:highlight w:val="none"/>
              </w:rPr>
              <w:t>1.764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101" w:type="dxa"/>
            <w:vAlign w:val="center"/>
          </w:tcPr>
          <w:p>
            <w:pPr>
              <w:pStyle w:val="64"/>
              <w:rPr>
                <w:rFonts w:hAnsi="宋体"/>
                <w:szCs w:val="22"/>
                <w:highlight w:val="none"/>
              </w:rPr>
            </w:pPr>
            <w:r>
              <w:rPr>
                <w:rFonts w:hAnsi="宋体"/>
                <w:highlight w:val="none"/>
              </w:rPr>
              <w:t>下风向最大浓度</w:t>
            </w:r>
          </w:p>
        </w:tc>
        <w:tc>
          <w:tcPr>
            <w:tcW w:w="3449" w:type="dxa"/>
            <w:vAlign w:val="center"/>
          </w:tcPr>
          <w:p>
            <w:pPr>
              <w:pStyle w:val="64"/>
              <w:rPr>
                <w:rFonts w:hAnsi="宋体"/>
                <w:szCs w:val="22"/>
                <w:highlight w:val="none"/>
              </w:rPr>
            </w:pPr>
            <w:r>
              <w:rPr>
                <w:rFonts w:hAnsi="宋体"/>
                <w:highlight w:val="none"/>
              </w:rPr>
              <w:t>35.7680</w:t>
            </w:r>
          </w:p>
        </w:tc>
        <w:tc>
          <w:tcPr>
            <w:tcW w:w="2400" w:type="dxa"/>
            <w:vAlign w:val="center"/>
          </w:tcPr>
          <w:p>
            <w:pPr>
              <w:pStyle w:val="64"/>
              <w:rPr>
                <w:rFonts w:hAnsi="宋体"/>
                <w:szCs w:val="22"/>
                <w:highlight w:val="none"/>
              </w:rPr>
            </w:pPr>
            <w:r>
              <w:rPr>
                <w:rFonts w:hAnsi="宋体"/>
                <w:highlight w:val="none"/>
              </w:rPr>
              <w:t>7.948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下风向最大浓度出现距离</w:t>
            </w:r>
          </w:p>
        </w:tc>
        <w:tc>
          <w:tcPr>
            <w:tcW w:w="3449" w:type="dxa"/>
            <w:vAlign w:val="center"/>
          </w:tcPr>
          <w:p>
            <w:pPr>
              <w:pStyle w:val="64"/>
              <w:rPr>
                <w:rFonts w:hAnsi="宋体"/>
                <w:szCs w:val="22"/>
                <w:highlight w:val="none"/>
              </w:rPr>
            </w:pPr>
            <w:r>
              <w:rPr>
                <w:rFonts w:hAnsi="宋体"/>
                <w:highlight w:val="none"/>
              </w:rPr>
              <w:t>201.0</w:t>
            </w:r>
          </w:p>
        </w:tc>
        <w:tc>
          <w:tcPr>
            <w:tcW w:w="2400" w:type="dxa"/>
            <w:vAlign w:val="center"/>
          </w:tcPr>
          <w:p>
            <w:pPr>
              <w:pStyle w:val="64"/>
              <w:rPr>
                <w:rFonts w:hAnsi="宋体"/>
                <w:szCs w:val="22"/>
                <w:highlight w:val="none"/>
              </w:rPr>
            </w:pPr>
            <w:r>
              <w:rPr>
                <w:rFonts w:hAnsi="宋体"/>
                <w:highlight w:val="none"/>
              </w:rPr>
              <w:t>201.0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101" w:type="dxa"/>
            <w:vAlign w:val="center"/>
          </w:tcPr>
          <w:p>
            <w:pPr>
              <w:pStyle w:val="64"/>
              <w:rPr>
                <w:rFonts w:hAnsi="宋体"/>
                <w:szCs w:val="22"/>
                <w:highlight w:val="none"/>
              </w:rPr>
            </w:pPr>
            <w:r>
              <w:rPr>
                <w:rFonts w:hAnsi="宋体"/>
                <w:highlight w:val="none"/>
              </w:rPr>
              <w:t>D10%最远距离</w:t>
            </w:r>
          </w:p>
        </w:tc>
        <w:tc>
          <w:tcPr>
            <w:tcW w:w="3449" w:type="dxa"/>
            <w:vAlign w:val="center"/>
          </w:tcPr>
          <w:p>
            <w:pPr>
              <w:pStyle w:val="64"/>
              <w:rPr>
                <w:rFonts w:hAnsi="宋体"/>
                <w:szCs w:val="22"/>
                <w:highlight w:val="none"/>
              </w:rPr>
            </w:pPr>
            <w:r>
              <w:rPr>
                <w:rFonts w:hAnsi="宋体"/>
                <w:highlight w:val="none"/>
              </w:rPr>
              <w:t>/</w:t>
            </w:r>
          </w:p>
        </w:tc>
        <w:tc>
          <w:tcPr>
            <w:tcW w:w="2400" w:type="dxa"/>
            <w:vAlign w:val="center"/>
          </w:tcPr>
          <w:p>
            <w:pPr>
              <w:pStyle w:val="64"/>
              <w:rPr>
                <w:rFonts w:hAnsi="宋体"/>
                <w:szCs w:val="22"/>
                <w:highlight w:val="none"/>
              </w:rPr>
            </w:pPr>
            <w:r>
              <w:rPr>
                <w:rFonts w:hAnsi="宋体"/>
                <w:highlight w:val="none"/>
              </w:rPr>
              <w:t>/</w:t>
            </w:r>
          </w:p>
        </w:tc>
      </w:tr>
    </w:tbl>
    <w:p>
      <w:pPr>
        <w:snapToGrid w:val="0"/>
        <w:ind w:firstLine="496"/>
        <w:rPr>
          <w:rFonts w:ascii="宋体" w:hAnsi="宋体" w:cstheme="minorBidi"/>
          <w:spacing w:val="4"/>
          <w:highlight w:val="none"/>
        </w:rPr>
      </w:pPr>
      <w:r>
        <w:rPr>
          <w:rFonts w:hint="eastAsia" w:ascii="宋体" w:hAnsi="宋体" w:cstheme="minorBidi"/>
          <w:spacing w:val="4"/>
          <w:highlight w:val="none"/>
        </w:rPr>
        <w:t>4、有组组织大气环境影响预测</w:t>
      </w:r>
    </w:p>
    <w:p>
      <w:pPr>
        <w:pStyle w:val="62"/>
        <w:ind w:firstLine="480"/>
        <w:rPr>
          <w:rFonts w:hAnsi="宋体"/>
          <w:highlight w:val="none"/>
        </w:rPr>
      </w:pPr>
      <w:r>
        <w:rPr>
          <w:rFonts w:hint="eastAsia" w:hAnsi="宋体"/>
          <w:szCs w:val="22"/>
          <w:highlight w:val="none"/>
        </w:rPr>
        <w:t>排气筒</w:t>
      </w:r>
      <w:r>
        <w:rPr>
          <w:rFonts w:hAnsi="宋体"/>
          <w:szCs w:val="22"/>
          <w:highlight w:val="none"/>
        </w:rPr>
        <w:t>大气污染物</w:t>
      </w:r>
      <w:r>
        <w:rPr>
          <w:rFonts w:hint="eastAsia" w:hAnsi="宋体"/>
          <w:szCs w:val="22"/>
          <w:highlight w:val="none"/>
        </w:rPr>
        <w:t>正常排放</w:t>
      </w:r>
      <w:r>
        <w:rPr>
          <w:rFonts w:hAnsi="宋体"/>
          <w:highlight w:val="none"/>
        </w:rPr>
        <w:t>的</w:t>
      </w:r>
      <w:r>
        <w:rPr>
          <w:rFonts w:hint="eastAsia" w:hAnsi="宋体"/>
          <w:bCs/>
          <w:highlight w:val="none"/>
        </w:rPr>
        <w:t>PM</w:t>
      </w:r>
      <w:r>
        <w:rPr>
          <w:rFonts w:hint="eastAsia" w:hAnsi="宋体"/>
          <w:bCs/>
          <w:highlight w:val="none"/>
          <w:vertAlign w:val="subscript"/>
        </w:rPr>
        <w:t>10</w:t>
      </w:r>
      <w:r>
        <w:rPr>
          <w:rFonts w:hAnsi="宋体"/>
          <w:highlight w:val="none"/>
        </w:rPr>
        <w:t>最大地面浓度为35.7680</w:t>
      </w:r>
      <w:r>
        <w:rPr>
          <w:rFonts w:hint="eastAsia" w:hAnsi="宋体"/>
          <w:highlight w:val="none"/>
        </w:rPr>
        <w:t>u</w:t>
      </w:r>
      <w:r>
        <w:rPr>
          <w:rFonts w:hAnsi="宋体"/>
          <w:highlight w:val="none"/>
        </w:rPr>
        <w:t>g/m</w:t>
      </w:r>
      <w:r>
        <w:rPr>
          <w:rFonts w:hAnsi="宋体"/>
          <w:highlight w:val="none"/>
          <w:vertAlign w:val="superscript"/>
        </w:rPr>
        <w:t>3</w:t>
      </w:r>
      <w:r>
        <w:rPr>
          <w:rFonts w:hAnsi="宋体"/>
          <w:highlight w:val="none"/>
        </w:rPr>
        <w:t>，占标率为</w:t>
      </w:r>
      <w:r>
        <w:rPr>
          <w:rFonts w:hint="eastAsia" w:hAnsi="宋体"/>
          <w:highlight w:val="none"/>
        </w:rPr>
        <w:t>7.948</w:t>
      </w:r>
      <w:r>
        <w:rPr>
          <w:rFonts w:hAnsi="宋体"/>
          <w:highlight w:val="none"/>
        </w:rPr>
        <w:t>%，出现距离为</w:t>
      </w:r>
      <w:r>
        <w:rPr>
          <w:rFonts w:hint="eastAsia" w:hAnsi="宋体"/>
          <w:highlight w:val="none"/>
        </w:rPr>
        <w:t>201</w:t>
      </w:r>
      <w:r>
        <w:rPr>
          <w:rFonts w:hAnsi="宋体"/>
          <w:highlight w:val="none"/>
        </w:rPr>
        <w:t>m。</w:t>
      </w:r>
    </w:p>
    <w:p>
      <w:pPr>
        <w:snapToGrid w:val="0"/>
        <w:ind w:firstLine="496"/>
        <w:rPr>
          <w:rFonts w:ascii="宋体" w:hAnsi="宋体" w:cstheme="minorBidi"/>
          <w:spacing w:val="4"/>
          <w:highlight w:val="none"/>
        </w:rPr>
      </w:pPr>
      <w:r>
        <w:rPr>
          <w:rFonts w:hint="eastAsia" w:ascii="宋体" w:hAnsi="宋体" w:cstheme="minorBidi"/>
          <w:spacing w:val="4"/>
          <w:highlight w:val="none"/>
        </w:rPr>
        <w:t>5、无组织大气环境影响预测</w:t>
      </w:r>
    </w:p>
    <w:p>
      <w:pPr>
        <w:snapToGrid w:val="0"/>
        <w:ind w:firstLine="460"/>
        <w:rPr>
          <w:rFonts w:ascii="宋体" w:hAnsi="宋体" w:cstheme="minorBidi"/>
          <w:spacing w:val="4"/>
          <w:highlight w:val="none"/>
        </w:rPr>
      </w:pPr>
      <w:r>
        <w:rPr>
          <w:rFonts w:hint="eastAsia" w:hAnsi="宋体"/>
          <w:sz w:val="23"/>
          <w:szCs w:val="23"/>
          <w:highlight w:val="none"/>
        </w:rPr>
        <w:t>原料</w:t>
      </w:r>
      <w:r>
        <w:rPr>
          <w:rFonts w:hAnsi="宋体"/>
          <w:sz w:val="23"/>
          <w:szCs w:val="23"/>
          <w:highlight w:val="none"/>
        </w:rPr>
        <w:t>库</w:t>
      </w:r>
      <w:r>
        <w:rPr>
          <w:rFonts w:hint="eastAsia" w:ascii="宋体" w:hAnsi="宋体" w:cstheme="minorBidi"/>
          <w:spacing w:val="4"/>
          <w:highlight w:val="none"/>
        </w:rPr>
        <w:t>排放的</w:t>
      </w:r>
      <w:r>
        <w:rPr>
          <w:rFonts w:hint="eastAsia" w:ascii="宋体" w:hAnsi="宋体" w:cstheme="minorBidi"/>
          <w:bCs/>
          <w:highlight w:val="none"/>
        </w:rPr>
        <w:t>TSP最大浓度为</w:t>
      </w:r>
      <w:r>
        <w:rPr>
          <w:rFonts w:ascii="宋体" w:hAnsi="宋体" w:cstheme="minorBidi"/>
          <w:highlight w:val="none"/>
        </w:rPr>
        <w:t>80.5950</w:t>
      </w:r>
      <w:r>
        <w:rPr>
          <w:rFonts w:hint="eastAsia" w:ascii="宋体" w:hAnsi="宋体" w:cstheme="minorBidi"/>
          <w:highlight w:val="none"/>
        </w:rPr>
        <w:t>u</w:t>
      </w:r>
      <w:r>
        <w:rPr>
          <w:rFonts w:ascii="宋体" w:hAnsi="宋体" w:cstheme="minorBidi"/>
          <w:spacing w:val="4"/>
          <w:highlight w:val="none"/>
        </w:rPr>
        <w:t>g/m</w:t>
      </w:r>
      <w:r>
        <w:rPr>
          <w:rFonts w:ascii="宋体" w:hAnsi="宋体" w:cstheme="minorBidi"/>
          <w:spacing w:val="4"/>
          <w:highlight w:val="none"/>
          <w:vertAlign w:val="superscript"/>
        </w:rPr>
        <w:t>3</w:t>
      </w:r>
      <w:r>
        <w:rPr>
          <w:rFonts w:hint="eastAsia" w:ascii="宋体" w:hAnsi="宋体" w:cstheme="minorBidi"/>
          <w:spacing w:val="4"/>
          <w:highlight w:val="none"/>
        </w:rPr>
        <w:t>，占标率为</w:t>
      </w:r>
      <w:r>
        <w:rPr>
          <w:rFonts w:ascii="宋体" w:hAnsi="宋体" w:cstheme="minorBidi"/>
          <w:highlight w:val="none"/>
        </w:rPr>
        <w:t>8.955</w:t>
      </w:r>
      <w:r>
        <w:rPr>
          <w:rFonts w:hint="eastAsia" w:ascii="宋体" w:hAnsi="宋体" w:cstheme="minorBidi"/>
          <w:spacing w:val="4"/>
          <w:highlight w:val="none"/>
        </w:rPr>
        <w:t>%，出现距离为86m。</w:t>
      </w:r>
    </w:p>
    <w:p>
      <w:pPr>
        <w:snapToGrid w:val="0"/>
        <w:ind w:firstLine="480"/>
        <w:rPr>
          <w:rFonts w:ascii="宋体" w:hAnsi="宋体" w:cstheme="minorBidi"/>
          <w:highlight w:val="none"/>
        </w:rPr>
      </w:pPr>
      <w:r>
        <w:rPr>
          <w:rFonts w:hint="eastAsia" w:ascii="宋体" w:hAnsi="宋体" w:cstheme="minorBidi"/>
          <w:highlight w:val="none"/>
        </w:rPr>
        <w:t>6、大气环境防护距离</w:t>
      </w:r>
    </w:p>
    <w:p>
      <w:pPr>
        <w:snapToGrid w:val="0"/>
        <w:ind w:firstLine="480"/>
        <w:rPr>
          <w:rFonts w:ascii="宋体" w:hAnsi="宋体" w:cstheme="minorBidi"/>
          <w:highlight w:val="none"/>
        </w:rPr>
      </w:pPr>
      <w:r>
        <w:rPr>
          <w:rFonts w:hint="eastAsia" w:ascii="宋体" w:hAnsi="宋体" w:cstheme="minorBidi"/>
          <w:highlight w:val="none"/>
        </w:rPr>
        <w:t>经预测，各污染物的1小时平均贡献浓度最大是TSP，占标率为8.955%，厂界未超过标准限值要求，无超标点，无须设置大气环境防护距离。</w:t>
      </w:r>
    </w:p>
    <w:p>
      <w:pPr>
        <w:pStyle w:val="4"/>
        <w:ind w:firstLine="562"/>
        <w:rPr>
          <w:rFonts w:hAnsi="宋体"/>
          <w:highlight w:val="none"/>
        </w:rPr>
      </w:pPr>
      <w:r>
        <w:rPr>
          <w:rFonts w:hint="eastAsia" w:hAnsi="宋体"/>
          <w:highlight w:val="none"/>
        </w:rPr>
        <w:t>5.2.3大气环境影响评价结论</w:t>
      </w:r>
    </w:p>
    <w:p>
      <w:pPr>
        <w:snapToGrid w:val="0"/>
        <w:ind w:firstLine="496"/>
        <w:rPr>
          <w:rFonts w:ascii="宋体" w:hAnsi="宋体" w:cstheme="minorBidi"/>
          <w:bCs/>
          <w:spacing w:val="4"/>
          <w:kern w:val="0"/>
          <w:highlight w:val="none"/>
        </w:rPr>
      </w:pPr>
      <w:r>
        <w:rPr>
          <w:rFonts w:hint="eastAsia" w:ascii="宋体" w:hAnsi="宋体" w:cstheme="minorBidi"/>
          <w:bCs/>
          <w:spacing w:val="4"/>
          <w:kern w:val="0"/>
          <w:highlight w:val="none"/>
        </w:rPr>
        <w:t>1、大气环境影响评价结论</w:t>
      </w:r>
    </w:p>
    <w:p>
      <w:pPr>
        <w:snapToGrid w:val="0"/>
        <w:ind w:firstLine="496"/>
        <w:rPr>
          <w:rFonts w:ascii="宋体" w:hAnsi="宋体" w:cstheme="minorBidi"/>
          <w:highlight w:val="none"/>
        </w:rPr>
      </w:pPr>
      <w:r>
        <w:rPr>
          <w:rFonts w:ascii="宋体" w:hAnsi="宋体" w:cstheme="minorBidi"/>
          <w:bCs/>
          <w:spacing w:val="4"/>
          <w:highlight w:val="none"/>
        </w:rPr>
        <w:t>本项目污染源排放为点源和面源排放。</w:t>
      </w:r>
      <w:r>
        <w:rPr>
          <w:rFonts w:ascii="宋体" w:hAnsi="宋体" w:cstheme="minorBidi"/>
          <w:highlight w:val="none"/>
        </w:rPr>
        <w:t>根据</w:t>
      </w:r>
      <w:r>
        <w:rPr>
          <w:rFonts w:hint="eastAsia" w:ascii="宋体" w:hAnsi="宋体" w:cstheme="minorBidi"/>
          <w:highlight w:val="none"/>
        </w:rPr>
        <w:t>估算</w:t>
      </w:r>
      <w:r>
        <w:rPr>
          <w:rFonts w:ascii="宋体" w:hAnsi="宋体" w:cstheme="minorBidi"/>
          <w:highlight w:val="none"/>
        </w:rPr>
        <w:t>结果，</w:t>
      </w:r>
      <w:r>
        <w:rPr>
          <w:rFonts w:ascii="宋体" w:hAnsi="宋体" w:cstheme="minorBidi"/>
          <w:spacing w:val="4"/>
          <w:highlight w:val="none"/>
        </w:rPr>
        <w:t>本项目各</w:t>
      </w:r>
      <w:r>
        <w:rPr>
          <w:rFonts w:ascii="宋体" w:hAnsi="宋体" w:cstheme="minorBidi"/>
          <w:highlight w:val="none"/>
        </w:rPr>
        <w:t>污染源正常排放下污染物短期浓度贡献值的最大浓度占标率为</w:t>
      </w:r>
      <w:r>
        <w:rPr>
          <w:rFonts w:hint="eastAsia" w:ascii="宋体" w:hAnsi="宋体" w:cstheme="minorBidi"/>
          <w:highlight w:val="none"/>
        </w:rPr>
        <w:t>8.955%</w:t>
      </w:r>
      <w:r>
        <w:rPr>
          <w:rFonts w:hint="eastAsia" w:ascii="宋体" w:hAnsi="宋体" w:cstheme="minorBidi"/>
          <w:spacing w:val="4"/>
          <w:highlight w:val="none"/>
        </w:rPr>
        <w:t>，小于100%，</w:t>
      </w:r>
      <w:r>
        <w:rPr>
          <w:rFonts w:ascii="宋体" w:hAnsi="宋体" w:cstheme="minorBidi"/>
          <w:highlight w:val="none"/>
        </w:rPr>
        <w:t>排放的污染物对评价区贡献值较小</w:t>
      </w:r>
      <w:r>
        <w:rPr>
          <w:rFonts w:hint="eastAsia" w:ascii="宋体" w:hAnsi="宋体" w:cstheme="minorBidi"/>
          <w:highlight w:val="none"/>
        </w:rPr>
        <w:t>，本项目环境影响可以接受。</w:t>
      </w:r>
    </w:p>
    <w:p>
      <w:pPr>
        <w:snapToGrid w:val="0"/>
        <w:ind w:firstLine="496"/>
        <w:rPr>
          <w:rFonts w:ascii="宋体" w:hAnsi="宋体" w:cstheme="minorBidi"/>
          <w:bCs/>
          <w:spacing w:val="4"/>
          <w:kern w:val="0"/>
          <w:highlight w:val="none"/>
        </w:rPr>
      </w:pPr>
      <w:r>
        <w:rPr>
          <w:rFonts w:hint="eastAsia" w:ascii="宋体" w:hAnsi="宋体" w:cstheme="minorBidi"/>
          <w:bCs/>
          <w:spacing w:val="4"/>
          <w:kern w:val="0"/>
          <w:highlight w:val="none"/>
        </w:rPr>
        <w:t>2、污染控制措施可行性</w:t>
      </w:r>
    </w:p>
    <w:p>
      <w:pPr>
        <w:snapToGrid w:val="0"/>
        <w:ind w:firstLine="480"/>
        <w:rPr>
          <w:rFonts w:ascii="宋体" w:hAnsi="宋体" w:cstheme="minorBidi"/>
          <w:highlight w:val="none"/>
        </w:rPr>
      </w:pPr>
      <w:r>
        <w:rPr>
          <w:rFonts w:ascii="宋体" w:hAnsi="宋体" w:cstheme="minorBidi"/>
          <w:highlight w:val="none"/>
        </w:rPr>
        <w:t>本矿</w:t>
      </w:r>
      <w:r>
        <w:rPr>
          <w:rFonts w:hint="eastAsia" w:ascii="宋体" w:hAnsi="宋体" w:cstheme="minorBidi"/>
          <w:highlight w:val="none"/>
        </w:rPr>
        <w:t>破碎</w:t>
      </w:r>
      <w:r>
        <w:rPr>
          <w:rFonts w:ascii="宋体" w:hAnsi="宋体" w:cstheme="minorBidi"/>
          <w:highlight w:val="none"/>
        </w:rPr>
        <w:t>系统设2台颚式破碎机、</w:t>
      </w:r>
      <w:r>
        <w:rPr>
          <w:rFonts w:hint="eastAsia" w:ascii="宋体" w:hAnsi="宋体" w:cstheme="minorBidi"/>
          <w:highlight w:val="none"/>
        </w:rPr>
        <w:t>1</w:t>
      </w:r>
      <w:r>
        <w:rPr>
          <w:rFonts w:ascii="宋体" w:hAnsi="宋体" w:cstheme="minorBidi"/>
          <w:highlight w:val="none"/>
        </w:rPr>
        <w:t>台锥式破碎机、</w:t>
      </w:r>
      <w:r>
        <w:rPr>
          <w:rFonts w:hint="eastAsia" w:ascii="宋体" w:hAnsi="宋体" w:cstheme="minorBidi"/>
          <w:highlight w:val="none"/>
        </w:rPr>
        <w:t>1</w:t>
      </w:r>
      <w:r>
        <w:rPr>
          <w:rFonts w:ascii="宋体" w:hAnsi="宋体" w:cstheme="minorBidi"/>
          <w:highlight w:val="none"/>
        </w:rPr>
        <w:t>台磁式</w:t>
      </w:r>
      <w:r>
        <w:rPr>
          <w:rFonts w:hint="eastAsia" w:ascii="宋体" w:hAnsi="宋体" w:cstheme="minorBidi"/>
          <w:highlight w:val="none"/>
        </w:rPr>
        <w:t>干选</w:t>
      </w:r>
      <w:r>
        <w:rPr>
          <w:rFonts w:ascii="宋体" w:hAnsi="宋体" w:cstheme="minorBidi"/>
          <w:highlight w:val="none"/>
        </w:rPr>
        <w:t>辊</w:t>
      </w:r>
      <w:r>
        <w:rPr>
          <w:rFonts w:hint="eastAsia" w:ascii="宋体" w:hAnsi="宋体" w:cstheme="minorBidi"/>
          <w:highlight w:val="none"/>
        </w:rPr>
        <w:t>。</w:t>
      </w:r>
      <w:r>
        <w:rPr>
          <w:rFonts w:ascii="宋体" w:hAnsi="宋体" w:cstheme="minorBidi"/>
          <w:highlight w:val="none"/>
        </w:rPr>
        <w:t>评价要求干选系统设置在封闭车间内，同时对2台颚式破碎机、</w:t>
      </w:r>
      <w:r>
        <w:rPr>
          <w:rFonts w:hint="eastAsia" w:ascii="宋体" w:hAnsi="宋体" w:cstheme="minorBidi"/>
          <w:highlight w:val="none"/>
        </w:rPr>
        <w:t>1</w:t>
      </w:r>
      <w:r>
        <w:rPr>
          <w:rFonts w:ascii="宋体" w:hAnsi="宋体" w:cstheme="minorBidi"/>
          <w:highlight w:val="none"/>
        </w:rPr>
        <w:t>台锥式破碎机、</w:t>
      </w:r>
      <w:r>
        <w:rPr>
          <w:rFonts w:hint="eastAsia" w:ascii="宋体" w:hAnsi="宋体" w:cstheme="minorBidi"/>
          <w:highlight w:val="none"/>
        </w:rPr>
        <w:t>1</w:t>
      </w:r>
      <w:r>
        <w:rPr>
          <w:rFonts w:ascii="宋体" w:hAnsi="宋体" w:cstheme="minorBidi"/>
          <w:highlight w:val="none"/>
        </w:rPr>
        <w:t>台磁式</w:t>
      </w:r>
      <w:r>
        <w:rPr>
          <w:rFonts w:hint="eastAsia" w:ascii="宋体" w:hAnsi="宋体" w:cstheme="minorBidi"/>
          <w:highlight w:val="none"/>
        </w:rPr>
        <w:t>干选</w:t>
      </w:r>
      <w:r>
        <w:rPr>
          <w:rFonts w:ascii="宋体" w:hAnsi="宋体" w:cstheme="minorBidi"/>
          <w:highlight w:val="none"/>
        </w:rPr>
        <w:t>辊进出口设置</w:t>
      </w:r>
      <w:r>
        <w:rPr>
          <w:rFonts w:hint="eastAsia" w:ascii="宋体" w:hAnsi="宋体" w:cstheme="minorBidi"/>
          <w:highlight w:val="none"/>
        </w:rPr>
        <w:t>全封闭</w:t>
      </w:r>
      <w:r>
        <w:rPr>
          <w:rFonts w:ascii="宋体" w:hAnsi="宋体" w:cstheme="minorBidi"/>
          <w:highlight w:val="none"/>
        </w:rPr>
        <w:t>集气罩，</w:t>
      </w:r>
      <w:r>
        <w:rPr>
          <w:rFonts w:hint="eastAsia" w:ascii="宋体" w:hAnsi="宋体" w:cstheme="minorBidi"/>
          <w:highlight w:val="none"/>
        </w:rPr>
        <w:t>输送皮带机采用全封闭罩。</w:t>
      </w:r>
      <w:r>
        <w:rPr>
          <w:rFonts w:ascii="宋体" w:hAnsi="宋体" w:cstheme="minorBidi"/>
          <w:highlight w:val="none"/>
        </w:rPr>
        <w:t>含尘废气经集气管道引入1台布袋除尘器，</w:t>
      </w:r>
      <w:r>
        <w:rPr>
          <w:rFonts w:hint="eastAsia" w:ascii="宋体" w:hAnsi="宋体" w:cs="宋体"/>
          <w:bCs/>
          <w:highlight w:val="none"/>
        </w:rPr>
        <w:t>破碎和磁选</w:t>
      </w:r>
      <w:r>
        <w:rPr>
          <w:rFonts w:hint="eastAsia" w:ascii="宋体" w:hAnsi="宋体" w:cs="宋体"/>
          <w:szCs w:val="20"/>
          <w:highlight w:val="none"/>
        </w:rPr>
        <w:t>粉尘收集通过集尘管收集后送至1套布袋除尘器。除尘器参数：布袋过滤面积：1083m</w:t>
      </w:r>
      <w:r>
        <w:rPr>
          <w:rFonts w:hint="eastAsia" w:ascii="宋体" w:hAnsi="宋体" w:cs="宋体"/>
          <w:szCs w:val="20"/>
          <w:highlight w:val="none"/>
          <w:vertAlign w:val="superscript"/>
        </w:rPr>
        <w:t>2</w:t>
      </w:r>
      <w:r>
        <w:rPr>
          <w:rFonts w:hint="eastAsia" w:ascii="宋体" w:hAnsi="宋体" w:cs="宋体"/>
          <w:szCs w:val="20"/>
          <w:highlight w:val="none"/>
        </w:rPr>
        <w:t>，处理风量39000m</w:t>
      </w:r>
      <w:r>
        <w:rPr>
          <w:rFonts w:hint="eastAsia" w:ascii="宋体" w:hAnsi="宋体" w:cs="宋体"/>
          <w:szCs w:val="20"/>
          <w:highlight w:val="none"/>
          <w:vertAlign w:val="superscript"/>
        </w:rPr>
        <w:t>3</w:t>
      </w:r>
      <w:r>
        <w:rPr>
          <w:rFonts w:hint="eastAsia" w:ascii="宋体" w:hAnsi="宋体" w:cs="宋体"/>
          <w:szCs w:val="20"/>
          <w:highlight w:val="none"/>
        </w:rPr>
        <w:t>/h，过滤风速：0.6m/min。</w:t>
      </w:r>
      <w:r>
        <w:rPr>
          <w:rFonts w:ascii="宋体" w:hAnsi="宋体" w:cs="宋体"/>
          <w:szCs w:val="20"/>
          <w:highlight w:val="none"/>
        </w:rPr>
        <w:t>集尘罩集尘率9</w:t>
      </w:r>
      <w:r>
        <w:rPr>
          <w:rFonts w:hint="eastAsia" w:ascii="宋体" w:hAnsi="宋体" w:cs="宋体"/>
          <w:szCs w:val="20"/>
          <w:highlight w:val="none"/>
        </w:rPr>
        <w:t>5</w:t>
      </w:r>
      <w:r>
        <w:rPr>
          <w:rFonts w:ascii="宋体" w:hAnsi="宋体" w:cs="宋体"/>
          <w:szCs w:val="20"/>
          <w:highlight w:val="none"/>
        </w:rPr>
        <w:t>%</w:t>
      </w:r>
      <w:r>
        <w:rPr>
          <w:rFonts w:hint="eastAsia" w:ascii="宋体" w:hAnsi="宋体" w:cs="宋体"/>
          <w:szCs w:val="20"/>
          <w:highlight w:val="none"/>
        </w:rPr>
        <w:t>。粉尘经处理后排放浓度为10mg/m</w:t>
      </w:r>
      <w:r>
        <w:rPr>
          <w:rFonts w:hint="eastAsia" w:ascii="宋体" w:hAnsi="宋体" w:cs="宋体"/>
          <w:szCs w:val="20"/>
          <w:highlight w:val="none"/>
          <w:vertAlign w:val="superscript"/>
        </w:rPr>
        <w:t>3</w:t>
      </w:r>
      <w:r>
        <w:rPr>
          <w:rFonts w:hint="eastAsia" w:ascii="宋体" w:hAnsi="宋体" w:cs="宋体"/>
          <w:szCs w:val="20"/>
          <w:highlight w:val="none"/>
        </w:rPr>
        <w:t>。</w:t>
      </w:r>
      <w:r>
        <w:rPr>
          <w:rFonts w:hint="eastAsia" w:ascii="宋体" w:hAnsi="宋体" w:cstheme="minorBidi"/>
          <w:highlight w:val="none"/>
        </w:rPr>
        <w:t>处理后的废气通过1座15m排气筒排放，排气筒内径1200mm。</w:t>
      </w:r>
    </w:p>
    <w:p>
      <w:pPr>
        <w:snapToGrid w:val="0"/>
        <w:ind w:firstLine="480"/>
        <w:rPr>
          <w:rFonts w:ascii="宋体" w:hAnsi="宋体" w:cstheme="minorBidi"/>
          <w:highlight w:val="none"/>
        </w:rPr>
      </w:pPr>
      <w:r>
        <w:rPr>
          <w:rFonts w:ascii="宋体" w:hAnsi="宋体" w:cstheme="minorBidi"/>
          <w:highlight w:val="none"/>
        </w:rPr>
        <w:t>评价要求：采用封闭式</w:t>
      </w:r>
      <w:r>
        <w:rPr>
          <w:rFonts w:hint="eastAsia" w:ascii="宋体" w:hAnsi="宋体" w:cstheme="minorBidi"/>
          <w:highlight w:val="none"/>
        </w:rPr>
        <w:t>原矿堆场和成品堆场</w:t>
      </w:r>
      <w:r>
        <w:rPr>
          <w:rFonts w:ascii="宋体" w:hAnsi="宋体" w:cstheme="minorBidi"/>
          <w:highlight w:val="none"/>
        </w:rPr>
        <w:t>，在一侧留有出入口，场地内设</w:t>
      </w:r>
      <w:r>
        <w:rPr>
          <w:rFonts w:hint="eastAsia" w:ascii="宋体" w:hAnsi="宋体" w:cstheme="minorBidi"/>
          <w:highlight w:val="none"/>
        </w:rPr>
        <w:t>喷</w:t>
      </w:r>
      <w:r>
        <w:rPr>
          <w:rFonts w:ascii="宋体" w:hAnsi="宋体" w:cstheme="minorBidi"/>
          <w:highlight w:val="none"/>
        </w:rPr>
        <w:t>水</w:t>
      </w:r>
      <w:r>
        <w:rPr>
          <w:rFonts w:hint="eastAsia" w:ascii="宋体" w:hAnsi="宋体" w:cstheme="minorBidi"/>
          <w:highlight w:val="none"/>
        </w:rPr>
        <w:t>雾</w:t>
      </w:r>
      <w:r>
        <w:rPr>
          <w:rFonts w:ascii="宋体" w:hAnsi="宋体" w:cstheme="minorBidi"/>
          <w:highlight w:val="none"/>
        </w:rPr>
        <w:t>装置，按日</w:t>
      </w:r>
      <w:r>
        <w:rPr>
          <w:rFonts w:hint="eastAsia" w:ascii="宋体" w:hAnsi="宋体" w:cstheme="minorBidi"/>
          <w:highlight w:val="none"/>
        </w:rPr>
        <w:t>喷水雾1</w:t>
      </w:r>
      <w:r>
        <w:rPr>
          <w:rFonts w:ascii="宋体" w:hAnsi="宋体" w:cstheme="minorBidi"/>
          <w:highlight w:val="none"/>
        </w:rPr>
        <w:t>次，大风日平均</w:t>
      </w:r>
      <w:r>
        <w:rPr>
          <w:rFonts w:hint="eastAsia" w:ascii="宋体" w:hAnsi="宋体" w:cstheme="minorBidi"/>
          <w:highlight w:val="none"/>
        </w:rPr>
        <w:t>喷水雾</w:t>
      </w:r>
      <w:r>
        <w:rPr>
          <w:rFonts w:ascii="宋体" w:hAnsi="宋体" w:cstheme="minorBidi"/>
          <w:highlight w:val="none"/>
        </w:rPr>
        <w:t>次数不少于3次，可使堆场起尘减小90%。</w:t>
      </w:r>
    </w:p>
    <w:p>
      <w:pPr>
        <w:snapToGrid w:val="0"/>
        <w:ind w:firstLine="480"/>
        <w:rPr>
          <w:rFonts w:ascii="宋体" w:hAnsi="宋体" w:cstheme="minorBidi"/>
          <w:highlight w:val="none"/>
        </w:rPr>
      </w:pPr>
      <w:r>
        <w:rPr>
          <w:rFonts w:hint="eastAsia" w:ascii="宋体" w:hAnsi="宋体" w:cstheme="minorBidi"/>
          <w:highlight w:val="none"/>
        </w:rPr>
        <w:t>本</w:t>
      </w:r>
      <w:r>
        <w:rPr>
          <w:rFonts w:ascii="宋体" w:hAnsi="宋体" w:cstheme="minorBidi"/>
          <w:highlight w:val="none"/>
        </w:rPr>
        <w:t>项目运输过程排污主要为原</w:t>
      </w:r>
      <w:r>
        <w:rPr>
          <w:rFonts w:hint="eastAsia" w:ascii="宋体" w:hAnsi="宋体" w:cstheme="minorBidi"/>
          <w:highlight w:val="none"/>
        </w:rPr>
        <w:t>料</w:t>
      </w:r>
      <w:r>
        <w:rPr>
          <w:rFonts w:ascii="宋体" w:hAnsi="宋体" w:cstheme="minorBidi"/>
          <w:highlight w:val="none"/>
        </w:rPr>
        <w:t>和成品运输产生的污染影响，物料公路运输采用</w:t>
      </w:r>
      <w:r>
        <w:rPr>
          <w:rFonts w:hint="eastAsia" w:ascii="宋体" w:hAnsi="宋体" w:cstheme="minorBidi"/>
          <w:highlight w:val="none"/>
        </w:rPr>
        <w:t>3</w:t>
      </w:r>
      <w:r>
        <w:rPr>
          <w:rFonts w:ascii="宋体" w:hAnsi="宋体" w:cstheme="minorBidi"/>
          <w:highlight w:val="none"/>
        </w:rPr>
        <w:t>0吨柴油车，汽车物料运输过程中将产生道路扬尘。</w:t>
      </w:r>
    </w:p>
    <w:p>
      <w:pPr>
        <w:snapToGrid w:val="0"/>
        <w:ind w:firstLine="480"/>
        <w:rPr>
          <w:rFonts w:ascii="宋体" w:hAnsi="宋体" w:cstheme="minorBidi"/>
          <w:highlight w:val="none"/>
        </w:rPr>
      </w:pPr>
      <w:r>
        <w:rPr>
          <w:rFonts w:ascii="宋体" w:hAnsi="宋体" w:cstheme="minorBidi"/>
          <w:highlight w:val="none"/>
        </w:rPr>
        <w:t>评价认为：汽车运输扬尘主要是沿途超载抛洒及道路行驶引起的二次扬尘，因此，对物料运输提出具体要求：</w:t>
      </w:r>
    </w:p>
    <w:p>
      <w:pPr>
        <w:snapToGrid w:val="0"/>
        <w:ind w:firstLine="480"/>
        <w:rPr>
          <w:rFonts w:ascii="宋体" w:hAnsi="宋体" w:cstheme="minorBidi"/>
          <w:highlight w:val="none"/>
        </w:rPr>
      </w:pPr>
      <w:r>
        <w:rPr>
          <w:rFonts w:ascii="宋体" w:hAnsi="宋体" w:cstheme="minorBidi"/>
          <w:highlight w:val="none"/>
        </w:rPr>
        <w:t>a.限制汽车超载，采用封闭厢车运输，防止洒落；</w:t>
      </w:r>
    </w:p>
    <w:p>
      <w:pPr>
        <w:snapToGrid w:val="0"/>
        <w:ind w:firstLine="480"/>
        <w:rPr>
          <w:rFonts w:ascii="宋体" w:hAnsi="宋体" w:cstheme="minorBidi"/>
          <w:highlight w:val="none"/>
        </w:rPr>
      </w:pPr>
      <w:r>
        <w:rPr>
          <w:rFonts w:ascii="宋体" w:hAnsi="宋体" w:cstheme="minorBidi"/>
          <w:highlight w:val="none"/>
        </w:rPr>
        <w:t>b.运输汽车</w:t>
      </w:r>
      <w:r>
        <w:rPr>
          <w:rFonts w:hint="eastAsia" w:ascii="宋体" w:hAnsi="宋体" w:cstheme="minorBidi"/>
          <w:highlight w:val="none"/>
        </w:rPr>
        <w:t>出厂</w:t>
      </w:r>
      <w:r>
        <w:rPr>
          <w:rFonts w:ascii="宋体" w:hAnsi="宋体" w:cstheme="minorBidi"/>
          <w:highlight w:val="none"/>
        </w:rPr>
        <w:t>前对轮胎、车体进行清洗，并及时清扫路面；</w:t>
      </w:r>
    </w:p>
    <w:p>
      <w:pPr>
        <w:snapToGrid w:val="0"/>
        <w:ind w:firstLine="480"/>
        <w:rPr>
          <w:rFonts w:ascii="宋体" w:hAnsi="宋体" w:cstheme="minorBidi"/>
          <w:highlight w:val="none"/>
        </w:rPr>
      </w:pPr>
      <w:r>
        <w:rPr>
          <w:rFonts w:ascii="宋体" w:hAnsi="宋体" w:cstheme="minorBidi"/>
          <w:highlight w:val="none"/>
        </w:rPr>
        <w:t>c.厂区对道路进行硬化，并要对路面经常清扫和洒水，保持路面清洁和相对湿度。</w:t>
      </w:r>
    </w:p>
    <w:p>
      <w:pPr>
        <w:snapToGrid w:val="0"/>
        <w:ind w:firstLine="480"/>
        <w:rPr>
          <w:rFonts w:ascii="宋体" w:hAnsi="宋体" w:cstheme="minorBidi"/>
          <w:highlight w:val="none"/>
        </w:rPr>
      </w:pPr>
      <w:r>
        <w:rPr>
          <w:rFonts w:ascii="宋体" w:hAnsi="宋体" w:cstheme="minorBidi"/>
          <w:highlight w:val="none"/>
        </w:rPr>
        <w:t>采取以上措施运输扬尘可减少7</w:t>
      </w:r>
      <w:r>
        <w:rPr>
          <w:rFonts w:hint="eastAsia" w:ascii="宋体" w:hAnsi="宋体" w:cstheme="minorBidi"/>
          <w:highlight w:val="none"/>
        </w:rPr>
        <w:t>0</w:t>
      </w:r>
      <w:r>
        <w:rPr>
          <w:rFonts w:ascii="宋体" w:hAnsi="宋体" w:cstheme="minorBidi"/>
          <w:highlight w:val="none"/>
        </w:rPr>
        <w:t>%。</w:t>
      </w:r>
    </w:p>
    <w:p>
      <w:pPr>
        <w:snapToGrid w:val="0"/>
        <w:ind w:firstLine="480"/>
        <w:rPr>
          <w:rFonts w:ascii="宋体" w:hAnsi="宋体" w:cstheme="minorBidi"/>
          <w:highlight w:val="none"/>
        </w:rPr>
      </w:pPr>
      <w:r>
        <w:rPr>
          <w:rFonts w:ascii="宋体" w:hAnsi="宋体" w:cstheme="minorBidi"/>
          <w:highlight w:val="none"/>
        </w:rPr>
        <w:t>本</w:t>
      </w:r>
      <w:r>
        <w:rPr>
          <w:rFonts w:hint="eastAsia" w:ascii="宋体" w:hAnsi="宋体" w:cstheme="minorBidi"/>
          <w:highlight w:val="none"/>
        </w:rPr>
        <w:t>项目尾</w:t>
      </w:r>
      <w:r>
        <w:rPr>
          <w:rFonts w:ascii="宋体" w:hAnsi="宋体" w:cstheme="minorBidi"/>
          <w:highlight w:val="none"/>
        </w:rPr>
        <w:t>砂于</w:t>
      </w:r>
      <w:r>
        <w:rPr>
          <w:rFonts w:hint="eastAsia" w:ascii="宋体" w:hAnsi="宋体" w:cstheme="minorBidi"/>
          <w:highlight w:val="none"/>
        </w:rPr>
        <w:t>厂址</w:t>
      </w:r>
      <w:r>
        <w:rPr>
          <w:rFonts w:ascii="宋体" w:hAnsi="宋体" w:cstheme="minorBidi"/>
          <w:highlight w:val="none"/>
        </w:rPr>
        <w:t>东南处尾矿库暂存处置，堆置过程中会产生少量扬尘，估算尾矿库产尘量约</w:t>
      </w:r>
      <w:r>
        <w:rPr>
          <w:rFonts w:hint="eastAsia" w:ascii="宋体" w:hAnsi="宋体" w:cstheme="minorBidi"/>
          <w:highlight w:val="none"/>
        </w:rPr>
        <w:t>0.26</w:t>
      </w:r>
      <w:r>
        <w:rPr>
          <w:rFonts w:ascii="宋体" w:hAnsi="宋体" w:cstheme="minorBidi"/>
          <w:highlight w:val="none"/>
        </w:rPr>
        <w:t>t/a。</w:t>
      </w:r>
    </w:p>
    <w:p>
      <w:pPr>
        <w:snapToGrid w:val="0"/>
        <w:ind w:firstLine="480"/>
        <w:rPr>
          <w:rFonts w:ascii="宋体" w:hAnsi="宋体" w:cstheme="minorBidi"/>
          <w:highlight w:val="none"/>
        </w:rPr>
      </w:pPr>
      <w:r>
        <w:rPr>
          <w:rFonts w:ascii="宋体" w:hAnsi="宋体" w:cstheme="minorBidi"/>
          <w:highlight w:val="none"/>
        </w:rPr>
        <w:t>为了减少废石堆场产生的粉尘对环境空气的影响，评价要求：排放</w:t>
      </w:r>
      <w:r>
        <w:rPr>
          <w:rFonts w:hint="eastAsia" w:ascii="宋体" w:hAnsi="宋体" w:cstheme="minorBidi"/>
          <w:highlight w:val="none"/>
        </w:rPr>
        <w:t>时</w:t>
      </w:r>
      <w:r>
        <w:rPr>
          <w:rFonts w:ascii="宋体" w:hAnsi="宋体" w:cstheme="minorBidi"/>
          <w:highlight w:val="none"/>
        </w:rPr>
        <w:t>，采用洒水抑尘，逐步实施渣坡平整、压实和坡面防护，尽量进行覆土和绿化，可有效减小尾矿库产尘量。尾矿库粉尘量减小7</w:t>
      </w:r>
      <w:r>
        <w:rPr>
          <w:rFonts w:hint="eastAsia" w:ascii="宋体" w:hAnsi="宋体" w:cstheme="minorBidi"/>
          <w:highlight w:val="none"/>
        </w:rPr>
        <w:t>0</w:t>
      </w:r>
      <w:r>
        <w:rPr>
          <w:rFonts w:ascii="宋体" w:hAnsi="宋体" w:cstheme="minorBidi"/>
          <w:highlight w:val="none"/>
        </w:rPr>
        <w:t>%，则尾矿库粉尘排放量为0.</w:t>
      </w:r>
      <w:r>
        <w:rPr>
          <w:rFonts w:hint="eastAsia" w:ascii="宋体" w:hAnsi="宋体" w:cstheme="minorBidi"/>
          <w:highlight w:val="none"/>
        </w:rPr>
        <w:t>078</w:t>
      </w:r>
      <w:r>
        <w:rPr>
          <w:rFonts w:ascii="宋体" w:hAnsi="宋体" w:cstheme="minorBidi"/>
          <w:highlight w:val="none"/>
        </w:rPr>
        <w:t>t/a。</w:t>
      </w:r>
    </w:p>
    <w:p>
      <w:pPr>
        <w:snapToGrid w:val="0"/>
        <w:ind w:firstLine="496"/>
        <w:rPr>
          <w:rFonts w:ascii="宋体" w:hAnsi="宋体" w:cstheme="minorBidi"/>
          <w:highlight w:val="none"/>
        </w:rPr>
      </w:pPr>
      <w:r>
        <w:rPr>
          <w:rFonts w:ascii="宋体" w:hAnsi="宋体" w:cstheme="minorBidi"/>
          <w:spacing w:val="4"/>
          <w:highlight w:val="none"/>
        </w:rPr>
        <w:t>预测结果显示，各预测值均满足环境功能区划要求，大气污染防治措施可行。评价建议加强污染源的控制措施，并定期对污染源实施监测，保证正常运行。</w:t>
      </w:r>
    </w:p>
    <w:p>
      <w:pPr>
        <w:pStyle w:val="4"/>
        <w:ind w:firstLine="562"/>
        <w:rPr>
          <w:rFonts w:hAnsi="宋体"/>
          <w:highlight w:val="none"/>
        </w:rPr>
      </w:pPr>
      <w:r>
        <w:rPr>
          <w:rFonts w:hAnsi="宋体"/>
          <w:highlight w:val="none"/>
        </w:rPr>
        <w:t>5.2.</w:t>
      </w:r>
      <w:r>
        <w:rPr>
          <w:rFonts w:hint="eastAsia" w:hAnsi="宋体"/>
          <w:highlight w:val="none"/>
        </w:rPr>
        <w:t>4污染物排放量核算结果</w:t>
      </w:r>
    </w:p>
    <w:p>
      <w:pPr>
        <w:snapToGrid w:val="0"/>
        <w:ind w:firstLine="480"/>
        <w:rPr>
          <w:rFonts w:ascii="宋体" w:hAnsi="宋体" w:cstheme="minorBidi"/>
          <w:highlight w:val="none"/>
        </w:rPr>
      </w:pPr>
      <w:r>
        <w:rPr>
          <w:rFonts w:hint="eastAsia" w:ascii="宋体" w:hAnsi="宋体" w:cstheme="minorBidi"/>
          <w:highlight w:val="none"/>
        </w:rPr>
        <w:t>1、有组织排放量核算</w:t>
      </w:r>
    </w:p>
    <w:p>
      <w:pPr>
        <w:snapToGrid w:val="0"/>
        <w:ind w:firstLine="480"/>
        <w:rPr>
          <w:rFonts w:ascii="宋体" w:hAnsi="宋体" w:cstheme="minorBidi"/>
          <w:highlight w:val="none"/>
        </w:rPr>
      </w:pPr>
      <w:r>
        <w:rPr>
          <w:rFonts w:hint="eastAsia" w:ascii="宋体" w:hAnsi="宋体" w:cstheme="minorBidi"/>
          <w:highlight w:val="none"/>
        </w:rPr>
        <w:t>大气污染物有组织排放量核算表见表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6</w:t>
      </w:r>
      <w:r>
        <w:rPr>
          <w:rFonts w:hint="eastAsia" w:ascii="宋体" w:hAnsi="宋体" w:cstheme="minorBidi"/>
          <w:highlight w:val="none"/>
        </w:rPr>
        <w:t>。</w:t>
      </w:r>
    </w:p>
    <w:p>
      <w:pPr>
        <w:pStyle w:val="62"/>
        <w:ind w:firstLine="480"/>
        <w:jc w:val="center"/>
        <w:rPr>
          <w:rFonts w:hAnsi="宋体"/>
          <w:highlight w:val="none"/>
        </w:rPr>
      </w:pPr>
      <w:r>
        <w:rPr>
          <w:rFonts w:hint="eastAsia"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6  </w:t>
      </w:r>
      <w:r>
        <w:rPr>
          <w:rFonts w:hint="eastAsia" w:hAnsi="宋体"/>
          <w:highlight w:val="none"/>
        </w:rPr>
        <w:t>大气污染物有组织排放量核算表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368"/>
        <w:gridCol w:w="1094"/>
        <w:gridCol w:w="1967"/>
        <w:gridCol w:w="2085"/>
        <w:gridCol w:w="178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6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序号</w:t>
            </w:r>
          </w:p>
        </w:tc>
        <w:tc>
          <w:tcPr>
            <w:tcW w:w="1368"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排放口编号</w:t>
            </w:r>
          </w:p>
        </w:tc>
        <w:tc>
          <w:tcPr>
            <w:tcW w:w="1094"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污染物</w:t>
            </w:r>
          </w:p>
        </w:tc>
        <w:tc>
          <w:tcPr>
            <w:tcW w:w="1967"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核算排放浓度/（mg/m</w:t>
            </w:r>
            <w:r>
              <w:rPr>
                <w:rFonts w:hint="eastAsia" w:ascii="宋体" w:hAnsi="宋体"/>
                <w:kern w:val="0"/>
                <w:sz w:val="21"/>
                <w:szCs w:val="20"/>
                <w:highlight w:val="none"/>
                <w:vertAlign w:val="superscript"/>
                <w:lang w:val="zh-CN"/>
              </w:rPr>
              <w:t>3</w:t>
            </w:r>
            <w:r>
              <w:rPr>
                <w:rFonts w:hint="eastAsia" w:ascii="宋体" w:hAnsi="宋体"/>
                <w:kern w:val="0"/>
                <w:sz w:val="21"/>
                <w:szCs w:val="20"/>
                <w:highlight w:val="none"/>
                <w:lang w:val="zh-CN"/>
              </w:rPr>
              <w:t>）</w:t>
            </w:r>
          </w:p>
        </w:tc>
        <w:tc>
          <w:tcPr>
            <w:tcW w:w="208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核算排放速率/(kg/h)</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核算排放量/(t/a)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8950" w:type="dxa"/>
            <w:gridSpan w:val="6"/>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主要排放口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6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w:t>
            </w:r>
          </w:p>
        </w:tc>
        <w:tc>
          <w:tcPr>
            <w:tcW w:w="1368" w:type="dxa"/>
          </w:tcPr>
          <w:p>
            <w:pPr>
              <w:snapToGrid w:val="0"/>
              <w:spacing w:line="320" w:lineRule="exact"/>
              <w:ind w:firstLine="0" w:firstLineChars="0"/>
              <w:jc w:val="center"/>
              <w:rPr>
                <w:rFonts w:ascii="宋体" w:hAnsi="宋体"/>
                <w:kern w:val="0"/>
                <w:sz w:val="21"/>
                <w:szCs w:val="22"/>
                <w:highlight w:val="none"/>
                <w:lang w:val="zh-CN"/>
              </w:rPr>
            </w:pPr>
            <w:r>
              <w:rPr>
                <w:rFonts w:hint="eastAsia" w:ascii="宋体" w:hAnsi="宋体"/>
                <w:kern w:val="0"/>
                <w:sz w:val="21"/>
                <w:szCs w:val="22"/>
                <w:highlight w:val="none"/>
                <w:lang w:val="zh-CN"/>
              </w:rPr>
              <w:t>破碎排气筒</w:t>
            </w:r>
          </w:p>
        </w:tc>
        <w:tc>
          <w:tcPr>
            <w:tcW w:w="1094"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967"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≤10</w:t>
            </w:r>
          </w:p>
        </w:tc>
        <w:tc>
          <w:tcPr>
            <w:tcW w:w="208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0.39</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2.808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主要排放口合计</w:t>
            </w: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SO</w:t>
            </w:r>
            <w:r>
              <w:rPr>
                <w:rFonts w:hint="eastAsia" w:ascii="宋体" w:hAnsi="宋体"/>
                <w:kern w:val="0"/>
                <w:sz w:val="21"/>
                <w:szCs w:val="20"/>
                <w:highlight w:val="none"/>
                <w:vertAlign w:val="subscript"/>
                <w:lang w:val="zh-CN"/>
              </w:rPr>
              <w:t>2</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NO</w:t>
            </w:r>
            <w:r>
              <w:rPr>
                <w:rFonts w:hint="eastAsia" w:ascii="宋体" w:hAnsi="宋体"/>
                <w:kern w:val="0"/>
                <w:sz w:val="21"/>
                <w:szCs w:val="20"/>
                <w:highlight w:val="none"/>
                <w:vertAlign w:val="subscript"/>
                <w:lang w:val="zh-CN"/>
              </w:rPr>
              <w:t>X</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VOC</w:t>
            </w:r>
            <w:r>
              <w:rPr>
                <w:rFonts w:hint="eastAsia" w:ascii="宋体" w:hAnsi="宋体"/>
                <w:kern w:val="0"/>
                <w:sz w:val="21"/>
                <w:szCs w:val="20"/>
                <w:highlight w:val="none"/>
                <w:vertAlign w:val="subscript"/>
                <w:lang w:val="zh-CN"/>
              </w:rPr>
              <w:t>S</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8950" w:type="dxa"/>
            <w:gridSpan w:val="6"/>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一般排放口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6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c>
          <w:tcPr>
            <w:tcW w:w="1368"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c>
          <w:tcPr>
            <w:tcW w:w="1094"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c>
          <w:tcPr>
            <w:tcW w:w="1967"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c>
          <w:tcPr>
            <w:tcW w:w="208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一般排放口合计</w:t>
            </w: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SO</w:t>
            </w:r>
            <w:r>
              <w:rPr>
                <w:rFonts w:hint="eastAsia" w:ascii="宋体" w:hAnsi="宋体"/>
                <w:kern w:val="0"/>
                <w:sz w:val="21"/>
                <w:szCs w:val="20"/>
                <w:highlight w:val="none"/>
                <w:vertAlign w:val="subscript"/>
                <w:lang w:val="zh-CN"/>
              </w:rPr>
              <w:t>2</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NO</w:t>
            </w:r>
            <w:r>
              <w:rPr>
                <w:rFonts w:hint="eastAsia" w:ascii="宋体" w:hAnsi="宋体"/>
                <w:kern w:val="0"/>
                <w:sz w:val="21"/>
                <w:szCs w:val="20"/>
                <w:highlight w:val="none"/>
                <w:vertAlign w:val="subscript"/>
                <w:lang w:val="zh-CN"/>
              </w:rPr>
              <w:t>X</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2.808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VOC</w:t>
            </w:r>
            <w:r>
              <w:rPr>
                <w:rFonts w:hint="eastAsia" w:ascii="宋体" w:hAnsi="宋体"/>
                <w:kern w:val="0"/>
                <w:sz w:val="21"/>
                <w:szCs w:val="20"/>
                <w:highlight w:val="none"/>
                <w:vertAlign w:val="subscript"/>
                <w:lang w:val="zh-CN"/>
              </w:rPr>
              <w:t>S</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8950" w:type="dxa"/>
            <w:gridSpan w:val="6"/>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有组织排放总计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有组织排放总计</w:t>
            </w: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SO</w:t>
            </w:r>
            <w:r>
              <w:rPr>
                <w:rFonts w:hint="eastAsia" w:ascii="宋体" w:hAnsi="宋体"/>
                <w:kern w:val="0"/>
                <w:sz w:val="21"/>
                <w:szCs w:val="20"/>
                <w:highlight w:val="none"/>
                <w:vertAlign w:val="subscript"/>
                <w:lang w:val="zh-CN"/>
              </w:rPr>
              <w:t>2</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NO</w:t>
            </w:r>
            <w:r>
              <w:rPr>
                <w:rFonts w:hint="eastAsia" w:ascii="宋体" w:hAnsi="宋体"/>
                <w:kern w:val="0"/>
                <w:sz w:val="21"/>
                <w:szCs w:val="20"/>
                <w:highlight w:val="none"/>
                <w:vertAlign w:val="subscript"/>
                <w:lang w:val="zh-CN"/>
              </w:rPr>
              <w:t>X</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2.808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18"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5146" w:type="dxa"/>
            <w:gridSpan w:val="3"/>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VOC</w:t>
            </w:r>
            <w:r>
              <w:rPr>
                <w:rFonts w:hint="eastAsia" w:ascii="宋体" w:hAnsi="宋体"/>
                <w:kern w:val="0"/>
                <w:sz w:val="21"/>
                <w:szCs w:val="20"/>
                <w:highlight w:val="none"/>
                <w:vertAlign w:val="subscript"/>
                <w:lang w:val="zh-CN"/>
              </w:rPr>
              <w:t>S</w:t>
            </w:r>
          </w:p>
        </w:tc>
        <w:tc>
          <w:tcPr>
            <w:tcW w:w="178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bl>
    <w:p>
      <w:pPr>
        <w:snapToGrid w:val="0"/>
        <w:ind w:firstLine="480"/>
        <w:rPr>
          <w:rFonts w:ascii="宋体" w:hAnsi="宋体" w:cstheme="minorBidi"/>
          <w:highlight w:val="none"/>
        </w:rPr>
      </w:pPr>
      <w:r>
        <w:rPr>
          <w:rFonts w:hint="eastAsia" w:ascii="宋体" w:hAnsi="宋体" w:cstheme="minorBidi"/>
          <w:highlight w:val="none"/>
        </w:rPr>
        <w:t>2、无组织排放量核算</w:t>
      </w:r>
    </w:p>
    <w:p>
      <w:pPr>
        <w:snapToGrid w:val="0"/>
        <w:ind w:firstLine="480"/>
        <w:rPr>
          <w:rFonts w:ascii="宋体" w:hAnsi="宋体" w:cstheme="minorBidi"/>
          <w:highlight w:val="none"/>
        </w:rPr>
      </w:pPr>
      <w:r>
        <w:rPr>
          <w:rFonts w:hint="eastAsia" w:ascii="宋体" w:hAnsi="宋体" w:cstheme="minorBidi"/>
          <w:highlight w:val="none"/>
        </w:rPr>
        <w:t>大气污染物无组织排放量核算表见表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7</w:t>
      </w:r>
      <w:r>
        <w:rPr>
          <w:rFonts w:hint="eastAsia" w:ascii="宋体" w:hAnsi="宋体" w:cstheme="minorBidi"/>
          <w:highlight w:val="none"/>
        </w:rPr>
        <w:t>。</w:t>
      </w:r>
    </w:p>
    <w:p>
      <w:pPr>
        <w:pStyle w:val="62"/>
        <w:ind w:firstLine="480"/>
        <w:jc w:val="center"/>
        <w:rPr>
          <w:rFonts w:hAnsi="宋体"/>
          <w:highlight w:val="none"/>
        </w:rPr>
      </w:pPr>
      <w:r>
        <w:rPr>
          <w:rFonts w:hint="eastAsia"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7  </w:t>
      </w:r>
      <w:r>
        <w:rPr>
          <w:rFonts w:hint="eastAsia" w:hAnsi="宋体"/>
          <w:highlight w:val="none"/>
        </w:rPr>
        <w:t>大气污染物无组织排放量核算表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89"/>
        <w:gridCol w:w="1006"/>
        <w:gridCol w:w="833"/>
        <w:gridCol w:w="661"/>
        <w:gridCol w:w="1851"/>
        <w:gridCol w:w="1896"/>
        <w:gridCol w:w="1111"/>
        <w:gridCol w:w="110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9" w:type="dxa"/>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序号</w:t>
            </w:r>
          </w:p>
        </w:tc>
        <w:tc>
          <w:tcPr>
            <w:tcW w:w="1006" w:type="dxa"/>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排放口编号</w:t>
            </w:r>
          </w:p>
        </w:tc>
        <w:tc>
          <w:tcPr>
            <w:tcW w:w="833" w:type="dxa"/>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产污环节</w:t>
            </w:r>
          </w:p>
        </w:tc>
        <w:tc>
          <w:tcPr>
            <w:tcW w:w="661" w:type="dxa"/>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污染物</w:t>
            </w:r>
          </w:p>
        </w:tc>
        <w:tc>
          <w:tcPr>
            <w:tcW w:w="1851" w:type="dxa"/>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主要污染防治措施</w:t>
            </w:r>
          </w:p>
        </w:tc>
        <w:tc>
          <w:tcPr>
            <w:tcW w:w="3007" w:type="dxa"/>
            <w:gridSpan w:val="2"/>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国家或地方梁污染物排放标准</w:t>
            </w:r>
          </w:p>
        </w:tc>
        <w:tc>
          <w:tcPr>
            <w:tcW w:w="1103" w:type="dxa"/>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年排放量/(t/a)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9" w:type="dxa"/>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1006" w:type="dxa"/>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833" w:type="dxa"/>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661" w:type="dxa"/>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1851" w:type="dxa"/>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189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标准名称</w:t>
            </w:r>
          </w:p>
        </w:tc>
        <w:tc>
          <w:tcPr>
            <w:tcW w:w="111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浓度限值/（mg/m</w:t>
            </w:r>
            <w:r>
              <w:rPr>
                <w:rFonts w:hint="eastAsia" w:ascii="宋体" w:hAnsi="宋体"/>
                <w:kern w:val="0"/>
                <w:sz w:val="21"/>
                <w:szCs w:val="20"/>
                <w:highlight w:val="none"/>
                <w:vertAlign w:val="superscript"/>
                <w:lang w:val="zh-CN"/>
              </w:rPr>
              <w:t>3</w:t>
            </w:r>
            <w:r>
              <w:rPr>
                <w:rFonts w:hint="eastAsia" w:ascii="宋体" w:hAnsi="宋体"/>
                <w:kern w:val="0"/>
                <w:sz w:val="21"/>
                <w:szCs w:val="20"/>
                <w:highlight w:val="none"/>
                <w:lang w:val="zh-CN"/>
              </w:rPr>
              <w:t>）</w:t>
            </w:r>
          </w:p>
        </w:tc>
        <w:tc>
          <w:tcPr>
            <w:tcW w:w="1103" w:type="dxa"/>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9"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w:t>
            </w:r>
          </w:p>
        </w:tc>
        <w:tc>
          <w:tcPr>
            <w:tcW w:w="100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原料库</w:t>
            </w: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堆存</w:t>
            </w:r>
          </w:p>
        </w:tc>
        <w:tc>
          <w:tcPr>
            <w:tcW w:w="66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8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无组织废气自然降尘+厂房阻隔+喷雾降尘率90%</w:t>
            </w:r>
          </w:p>
        </w:tc>
        <w:tc>
          <w:tcPr>
            <w:tcW w:w="189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铁矿采选工业污染物排放标准（GB28661-2012）</w:t>
            </w:r>
          </w:p>
        </w:tc>
        <w:tc>
          <w:tcPr>
            <w:tcW w:w="111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1.0</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0.693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9"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2</w:t>
            </w:r>
          </w:p>
        </w:tc>
        <w:tc>
          <w:tcPr>
            <w:tcW w:w="100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废石库</w:t>
            </w: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堆存</w:t>
            </w:r>
          </w:p>
        </w:tc>
        <w:tc>
          <w:tcPr>
            <w:tcW w:w="66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8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无组织废气自然降尘+厂房阻隔+喷雾降尘率90%</w:t>
            </w:r>
          </w:p>
        </w:tc>
        <w:tc>
          <w:tcPr>
            <w:tcW w:w="189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铁矿采选工业污染物排放标准（GB28661-2012）</w:t>
            </w:r>
          </w:p>
        </w:tc>
        <w:tc>
          <w:tcPr>
            <w:tcW w:w="111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1.0</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0.492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9"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3</w:t>
            </w:r>
          </w:p>
        </w:tc>
        <w:tc>
          <w:tcPr>
            <w:tcW w:w="100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成品库</w:t>
            </w: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堆存</w:t>
            </w:r>
          </w:p>
        </w:tc>
        <w:tc>
          <w:tcPr>
            <w:tcW w:w="66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8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无组织废气自然降尘+厂房阻隔降尘率90%</w:t>
            </w:r>
          </w:p>
        </w:tc>
        <w:tc>
          <w:tcPr>
            <w:tcW w:w="189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铁矿采选工业污染物排放标准（GB28661-2012）</w:t>
            </w:r>
          </w:p>
        </w:tc>
        <w:tc>
          <w:tcPr>
            <w:tcW w:w="111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1.0</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0.029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9"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4</w:t>
            </w:r>
          </w:p>
        </w:tc>
        <w:tc>
          <w:tcPr>
            <w:tcW w:w="100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尾矿库</w:t>
            </w: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堆存</w:t>
            </w:r>
          </w:p>
        </w:tc>
        <w:tc>
          <w:tcPr>
            <w:tcW w:w="66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8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防尘布全部覆盖+喷雾降尘率70%</w:t>
            </w:r>
          </w:p>
        </w:tc>
        <w:tc>
          <w:tcPr>
            <w:tcW w:w="189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铁矿采选工业污染物排放标准（GB28661-2012）</w:t>
            </w:r>
          </w:p>
        </w:tc>
        <w:tc>
          <w:tcPr>
            <w:tcW w:w="111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1.0</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0.078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8950" w:type="dxa"/>
            <w:gridSpan w:val="8"/>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无组织排放总计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95" w:type="dxa"/>
            <w:gridSpan w:val="2"/>
            <w:vMerge w:val="restart"/>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无组织排放总计</w:t>
            </w: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p>
        </w:tc>
        <w:tc>
          <w:tcPr>
            <w:tcW w:w="5519" w:type="dxa"/>
            <w:gridSpan w:val="4"/>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SO</w:t>
            </w:r>
            <w:r>
              <w:rPr>
                <w:rFonts w:hint="eastAsia" w:ascii="宋体" w:hAnsi="宋体"/>
                <w:kern w:val="0"/>
                <w:sz w:val="21"/>
                <w:szCs w:val="20"/>
                <w:highlight w:val="none"/>
                <w:vertAlign w:val="subscript"/>
                <w:lang w:val="zh-CN"/>
              </w:rPr>
              <w:t>2</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95"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p>
        </w:tc>
        <w:tc>
          <w:tcPr>
            <w:tcW w:w="5519" w:type="dxa"/>
            <w:gridSpan w:val="4"/>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NO</w:t>
            </w:r>
            <w:r>
              <w:rPr>
                <w:rFonts w:hint="eastAsia" w:ascii="宋体" w:hAnsi="宋体"/>
                <w:kern w:val="0"/>
                <w:sz w:val="21"/>
                <w:szCs w:val="20"/>
                <w:highlight w:val="none"/>
                <w:vertAlign w:val="subscript"/>
                <w:lang w:val="zh-CN"/>
              </w:rPr>
              <w:t>X</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95"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p>
        </w:tc>
        <w:tc>
          <w:tcPr>
            <w:tcW w:w="5519" w:type="dxa"/>
            <w:gridSpan w:val="4"/>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1.292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495" w:type="dxa"/>
            <w:gridSpan w:val="2"/>
            <w:vMerge w:val="continue"/>
            <w:vAlign w:val="center"/>
          </w:tcPr>
          <w:p>
            <w:pPr>
              <w:snapToGrid w:val="0"/>
              <w:spacing w:line="320" w:lineRule="exact"/>
              <w:ind w:firstLine="0" w:firstLineChars="0"/>
              <w:jc w:val="center"/>
              <w:rPr>
                <w:rFonts w:ascii="宋体" w:hAnsi="宋体"/>
                <w:kern w:val="0"/>
                <w:sz w:val="21"/>
                <w:szCs w:val="20"/>
                <w:highlight w:val="none"/>
                <w:lang w:val="zh-CN"/>
              </w:rPr>
            </w:pPr>
          </w:p>
        </w:tc>
        <w:tc>
          <w:tcPr>
            <w:tcW w:w="833" w:type="dxa"/>
            <w:vAlign w:val="center"/>
          </w:tcPr>
          <w:p>
            <w:pPr>
              <w:snapToGrid w:val="0"/>
              <w:spacing w:line="320" w:lineRule="exact"/>
              <w:ind w:firstLine="0" w:firstLineChars="0"/>
              <w:jc w:val="center"/>
              <w:rPr>
                <w:rFonts w:ascii="宋体" w:hAnsi="宋体"/>
                <w:kern w:val="0"/>
                <w:sz w:val="21"/>
                <w:szCs w:val="20"/>
                <w:highlight w:val="none"/>
                <w:lang w:val="zh-CN"/>
              </w:rPr>
            </w:pPr>
          </w:p>
        </w:tc>
        <w:tc>
          <w:tcPr>
            <w:tcW w:w="5519" w:type="dxa"/>
            <w:gridSpan w:val="4"/>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VOC</w:t>
            </w:r>
            <w:r>
              <w:rPr>
                <w:rFonts w:hint="eastAsia" w:ascii="宋体" w:hAnsi="宋体"/>
                <w:kern w:val="0"/>
                <w:sz w:val="21"/>
                <w:szCs w:val="20"/>
                <w:highlight w:val="none"/>
                <w:vertAlign w:val="subscript"/>
                <w:lang w:val="zh-CN"/>
              </w:rPr>
              <w:t>S</w:t>
            </w:r>
          </w:p>
        </w:tc>
        <w:tc>
          <w:tcPr>
            <w:tcW w:w="110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bl>
    <w:p>
      <w:pPr>
        <w:snapToGrid w:val="0"/>
        <w:ind w:firstLine="480"/>
        <w:rPr>
          <w:rFonts w:ascii="宋体" w:hAnsi="宋体" w:cstheme="minorBidi"/>
          <w:highlight w:val="none"/>
        </w:rPr>
      </w:pPr>
      <w:r>
        <w:rPr>
          <w:rFonts w:hint="eastAsia" w:ascii="宋体" w:hAnsi="宋体" w:cstheme="minorBidi"/>
          <w:highlight w:val="none"/>
        </w:rPr>
        <w:t>3、项目大气污染物年排放量核算</w:t>
      </w:r>
    </w:p>
    <w:p>
      <w:pPr>
        <w:snapToGrid w:val="0"/>
        <w:ind w:firstLine="480"/>
        <w:rPr>
          <w:rFonts w:ascii="宋体" w:hAnsi="宋体" w:cstheme="minorBidi"/>
          <w:highlight w:val="none"/>
        </w:rPr>
      </w:pPr>
      <w:r>
        <w:rPr>
          <w:rFonts w:hint="eastAsia" w:ascii="宋体" w:hAnsi="宋体" w:cstheme="minorBidi"/>
          <w:highlight w:val="none"/>
        </w:rPr>
        <w:t>大气污染物年排放量核算表见表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8</w:t>
      </w:r>
      <w:r>
        <w:rPr>
          <w:rFonts w:hint="eastAsia" w:ascii="宋体" w:hAnsi="宋体" w:cstheme="minorBidi"/>
          <w:highlight w:val="none"/>
        </w:rPr>
        <w:t>。</w:t>
      </w:r>
    </w:p>
    <w:p>
      <w:pPr>
        <w:pStyle w:val="62"/>
        <w:ind w:firstLine="480"/>
        <w:jc w:val="center"/>
        <w:rPr>
          <w:rFonts w:hAnsi="宋体"/>
          <w:highlight w:val="none"/>
          <w:lang w:val="en-US"/>
        </w:rPr>
      </w:pPr>
      <w:r>
        <w:rPr>
          <w:rFonts w:hint="eastAsia" w:hAnsi="宋体"/>
          <w:highlight w:val="none"/>
        </w:rPr>
        <w:t>表</w:t>
      </w:r>
      <w:r>
        <w:rPr>
          <w:rFonts w:hAnsi="宋体"/>
          <w:spacing w:val="6"/>
          <w:highlight w:val="none"/>
          <w:lang w:val="en-US"/>
        </w:rPr>
        <w:t>5.</w:t>
      </w:r>
      <w:r>
        <w:rPr>
          <w:rFonts w:hint="eastAsia" w:hAnsi="宋体"/>
          <w:spacing w:val="6"/>
          <w:highlight w:val="none"/>
          <w:lang w:val="en-US"/>
        </w:rPr>
        <w:t>2</w:t>
      </w:r>
      <w:r>
        <w:rPr>
          <w:rFonts w:hAnsi="宋体"/>
          <w:spacing w:val="6"/>
          <w:highlight w:val="none"/>
          <w:lang w:val="en-US"/>
        </w:rPr>
        <w:t>-</w:t>
      </w:r>
      <w:r>
        <w:rPr>
          <w:rFonts w:hint="eastAsia" w:hAnsi="宋体"/>
          <w:spacing w:val="6"/>
          <w:highlight w:val="none"/>
          <w:lang w:val="en-US"/>
        </w:rPr>
        <w:t xml:space="preserve">8  </w:t>
      </w:r>
      <w:r>
        <w:rPr>
          <w:rFonts w:hint="eastAsia" w:hAnsi="宋体"/>
          <w:highlight w:val="none"/>
        </w:rPr>
        <w:t>大气污染物年排放量核算表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4923"/>
        <w:gridCol w:w="265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7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序号</w:t>
            </w:r>
          </w:p>
        </w:tc>
        <w:tc>
          <w:tcPr>
            <w:tcW w:w="492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污染物</w:t>
            </w:r>
          </w:p>
        </w:tc>
        <w:tc>
          <w:tcPr>
            <w:tcW w:w="26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年排放量/(t/a)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7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w:t>
            </w:r>
          </w:p>
        </w:tc>
        <w:tc>
          <w:tcPr>
            <w:tcW w:w="492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SO</w:t>
            </w:r>
            <w:r>
              <w:rPr>
                <w:rFonts w:hint="eastAsia" w:ascii="宋体" w:hAnsi="宋体"/>
                <w:kern w:val="0"/>
                <w:sz w:val="21"/>
                <w:szCs w:val="20"/>
                <w:highlight w:val="none"/>
                <w:vertAlign w:val="subscript"/>
                <w:lang w:val="zh-CN"/>
              </w:rPr>
              <w:t>2</w:t>
            </w:r>
          </w:p>
        </w:tc>
        <w:tc>
          <w:tcPr>
            <w:tcW w:w="26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7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2</w:t>
            </w:r>
          </w:p>
        </w:tc>
        <w:tc>
          <w:tcPr>
            <w:tcW w:w="492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NO</w:t>
            </w:r>
            <w:r>
              <w:rPr>
                <w:rFonts w:hint="eastAsia" w:ascii="宋体" w:hAnsi="宋体"/>
                <w:kern w:val="0"/>
                <w:sz w:val="21"/>
                <w:szCs w:val="20"/>
                <w:highlight w:val="none"/>
                <w:vertAlign w:val="subscript"/>
                <w:lang w:val="zh-CN"/>
              </w:rPr>
              <w:t>X</w:t>
            </w:r>
          </w:p>
        </w:tc>
        <w:tc>
          <w:tcPr>
            <w:tcW w:w="26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7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3</w:t>
            </w:r>
          </w:p>
        </w:tc>
        <w:tc>
          <w:tcPr>
            <w:tcW w:w="492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颗粒物</w:t>
            </w:r>
          </w:p>
        </w:tc>
        <w:tc>
          <w:tcPr>
            <w:tcW w:w="26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4.1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76"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4</w:t>
            </w:r>
          </w:p>
        </w:tc>
        <w:tc>
          <w:tcPr>
            <w:tcW w:w="492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VOC</w:t>
            </w:r>
            <w:r>
              <w:rPr>
                <w:rFonts w:hint="eastAsia" w:ascii="宋体" w:hAnsi="宋体"/>
                <w:kern w:val="0"/>
                <w:sz w:val="21"/>
                <w:szCs w:val="20"/>
                <w:highlight w:val="none"/>
                <w:vertAlign w:val="subscript"/>
                <w:lang w:val="zh-CN"/>
              </w:rPr>
              <w:t>S</w:t>
            </w:r>
          </w:p>
        </w:tc>
        <w:tc>
          <w:tcPr>
            <w:tcW w:w="265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w:t>
            </w:r>
          </w:p>
        </w:tc>
      </w:tr>
    </w:tbl>
    <w:p>
      <w:pPr>
        <w:snapToGrid w:val="0"/>
        <w:ind w:firstLine="480"/>
        <w:rPr>
          <w:rFonts w:ascii="宋体" w:hAnsi="宋体" w:cstheme="minorBidi"/>
          <w:highlight w:val="none"/>
        </w:rPr>
      </w:pPr>
      <w:r>
        <w:rPr>
          <w:rFonts w:hint="eastAsia" w:ascii="宋体" w:hAnsi="宋体" w:cstheme="minorBidi"/>
          <w:highlight w:val="none"/>
        </w:rPr>
        <w:t>4、非正常排放量核算</w:t>
      </w:r>
    </w:p>
    <w:p>
      <w:pPr>
        <w:snapToGrid w:val="0"/>
        <w:ind w:firstLine="480"/>
        <w:rPr>
          <w:rFonts w:ascii="宋体" w:hAnsi="宋体" w:cstheme="minorBidi"/>
          <w:highlight w:val="none"/>
        </w:rPr>
      </w:pPr>
      <w:r>
        <w:rPr>
          <w:rFonts w:hint="eastAsia" w:ascii="宋体" w:hAnsi="宋体" w:cstheme="minorBidi"/>
          <w:highlight w:val="none"/>
        </w:rPr>
        <w:t>污染源非正常排放量核算表见表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9</w:t>
      </w:r>
      <w:r>
        <w:rPr>
          <w:rFonts w:hint="eastAsia" w:ascii="宋体" w:hAnsi="宋体" w:cstheme="minorBidi"/>
          <w:highlight w:val="none"/>
        </w:rPr>
        <w:t>。</w:t>
      </w:r>
    </w:p>
    <w:p>
      <w:pPr>
        <w:pStyle w:val="62"/>
        <w:ind w:firstLine="480"/>
        <w:jc w:val="center"/>
        <w:rPr>
          <w:rFonts w:hAnsi="宋体"/>
          <w:highlight w:val="none"/>
          <w:lang w:val="en-US"/>
        </w:rPr>
      </w:pPr>
      <w:r>
        <w:rPr>
          <w:rFonts w:hint="eastAsia" w:hAnsi="宋体"/>
          <w:highlight w:val="none"/>
        </w:rPr>
        <w:t>表</w:t>
      </w:r>
      <w:r>
        <w:rPr>
          <w:rFonts w:hAnsi="宋体"/>
          <w:spacing w:val="6"/>
          <w:highlight w:val="none"/>
          <w:lang w:val="en-US"/>
        </w:rPr>
        <w:t>5.</w:t>
      </w:r>
      <w:r>
        <w:rPr>
          <w:rFonts w:hint="eastAsia" w:hAnsi="宋体"/>
          <w:spacing w:val="6"/>
          <w:highlight w:val="none"/>
          <w:lang w:val="en-US"/>
        </w:rPr>
        <w:t>2</w:t>
      </w:r>
      <w:r>
        <w:rPr>
          <w:rFonts w:hAnsi="宋体"/>
          <w:spacing w:val="6"/>
          <w:highlight w:val="none"/>
          <w:lang w:val="en-US"/>
        </w:rPr>
        <w:t>-</w:t>
      </w:r>
      <w:r>
        <w:rPr>
          <w:rFonts w:hint="eastAsia" w:hAnsi="宋体"/>
          <w:spacing w:val="6"/>
          <w:highlight w:val="none"/>
          <w:lang w:val="en-US"/>
        </w:rPr>
        <w:t xml:space="preserve">9  </w:t>
      </w:r>
      <w:r>
        <w:rPr>
          <w:rFonts w:hint="eastAsia" w:hAnsi="宋体"/>
          <w:highlight w:val="none"/>
        </w:rPr>
        <w:t>污染源非正常排放量核算表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61"/>
        <w:gridCol w:w="922"/>
        <w:gridCol w:w="1135"/>
        <w:gridCol w:w="850"/>
        <w:gridCol w:w="1135"/>
        <w:gridCol w:w="992"/>
        <w:gridCol w:w="992"/>
        <w:gridCol w:w="850"/>
        <w:gridCol w:w="161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61"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序号</w:t>
            </w:r>
          </w:p>
        </w:tc>
        <w:tc>
          <w:tcPr>
            <w:tcW w:w="922"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污染源</w:t>
            </w:r>
          </w:p>
        </w:tc>
        <w:tc>
          <w:tcPr>
            <w:tcW w:w="113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非正常排放原因</w:t>
            </w:r>
          </w:p>
        </w:tc>
        <w:tc>
          <w:tcPr>
            <w:tcW w:w="8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污染物</w:t>
            </w:r>
          </w:p>
        </w:tc>
        <w:tc>
          <w:tcPr>
            <w:tcW w:w="113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非正常排放浓度/（mg/m</w:t>
            </w:r>
            <w:r>
              <w:rPr>
                <w:rFonts w:hint="eastAsia" w:ascii="宋体" w:hAnsi="宋体"/>
                <w:kern w:val="0"/>
                <w:sz w:val="21"/>
                <w:szCs w:val="20"/>
                <w:highlight w:val="none"/>
                <w:vertAlign w:val="superscript"/>
                <w:lang w:val="zh-CN"/>
              </w:rPr>
              <w:t>3</w:t>
            </w:r>
            <w:r>
              <w:rPr>
                <w:rFonts w:hint="eastAsia" w:ascii="宋体" w:hAnsi="宋体"/>
                <w:kern w:val="0"/>
                <w:sz w:val="21"/>
                <w:szCs w:val="20"/>
                <w:highlight w:val="none"/>
                <w:lang w:val="zh-CN"/>
              </w:rPr>
              <w:t>）</w:t>
            </w:r>
          </w:p>
        </w:tc>
        <w:tc>
          <w:tcPr>
            <w:tcW w:w="992"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非正常排放速率/(kg/h)</w:t>
            </w:r>
          </w:p>
        </w:tc>
        <w:tc>
          <w:tcPr>
            <w:tcW w:w="992"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单次持续时间/h</w:t>
            </w:r>
          </w:p>
        </w:tc>
        <w:tc>
          <w:tcPr>
            <w:tcW w:w="8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年发生频次/次</w:t>
            </w:r>
          </w:p>
        </w:tc>
        <w:tc>
          <w:tcPr>
            <w:tcW w:w="161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应对措施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61" w:type="dxa"/>
            <w:vAlign w:val="center"/>
          </w:tcPr>
          <w:p>
            <w:pPr>
              <w:snapToGrid w:val="0"/>
              <w:spacing w:line="320" w:lineRule="exact"/>
              <w:ind w:firstLine="0" w:firstLineChars="0"/>
              <w:jc w:val="center"/>
              <w:rPr>
                <w:rFonts w:ascii="宋体" w:hAnsi="宋体"/>
                <w:bCs/>
                <w:spacing w:val="4"/>
                <w:kern w:val="0"/>
                <w:sz w:val="21"/>
                <w:szCs w:val="20"/>
                <w:highlight w:val="none"/>
                <w:lang w:val="zh-CN"/>
              </w:rPr>
            </w:pPr>
            <w:r>
              <w:rPr>
                <w:rFonts w:hint="eastAsia" w:ascii="宋体" w:hAnsi="宋体"/>
                <w:bCs/>
                <w:spacing w:val="4"/>
                <w:kern w:val="0"/>
                <w:sz w:val="21"/>
                <w:szCs w:val="20"/>
                <w:highlight w:val="none"/>
                <w:lang w:val="zh-CN"/>
              </w:rPr>
              <w:t>1</w:t>
            </w:r>
            <w:r>
              <w:rPr>
                <w:rFonts w:ascii="宋体" w:hAnsi="宋体"/>
                <w:bCs/>
                <w:spacing w:val="4"/>
                <w:kern w:val="0"/>
                <w:sz w:val="21"/>
                <w:szCs w:val="20"/>
                <w:highlight w:val="none"/>
                <w:lang w:val="zh-CN"/>
              </w:rPr>
              <w:t>#</w:t>
            </w:r>
          </w:p>
        </w:tc>
        <w:tc>
          <w:tcPr>
            <w:tcW w:w="922" w:type="dxa"/>
            <w:vAlign w:val="center"/>
          </w:tcPr>
          <w:p>
            <w:pPr>
              <w:snapToGrid w:val="0"/>
              <w:spacing w:line="320" w:lineRule="exact"/>
              <w:ind w:firstLine="0" w:firstLineChars="0"/>
              <w:jc w:val="center"/>
              <w:rPr>
                <w:rFonts w:ascii="宋体" w:hAnsi="宋体"/>
                <w:kern w:val="0"/>
                <w:sz w:val="21"/>
                <w:szCs w:val="22"/>
                <w:highlight w:val="none"/>
                <w:lang w:val="zh-CN"/>
              </w:rPr>
            </w:pPr>
            <w:r>
              <w:rPr>
                <w:rFonts w:hint="eastAsia" w:ascii="宋体" w:hAnsi="宋体"/>
                <w:kern w:val="0"/>
                <w:sz w:val="21"/>
                <w:szCs w:val="22"/>
                <w:highlight w:val="none"/>
                <w:lang w:val="zh-CN"/>
              </w:rPr>
              <w:t>破碎排气筒</w:t>
            </w:r>
          </w:p>
        </w:tc>
        <w:tc>
          <w:tcPr>
            <w:tcW w:w="113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布袋除尘器损坏</w:t>
            </w:r>
          </w:p>
        </w:tc>
        <w:tc>
          <w:tcPr>
            <w:tcW w:w="8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粉尘</w:t>
            </w:r>
          </w:p>
        </w:tc>
        <w:tc>
          <w:tcPr>
            <w:tcW w:w="1135"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300</w:t>
            </w:r>
          </w:p>
        </w:tc>
        <w:tc>
          <w:tcPr>
            <w:tcW w:w="992"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11.7</w:t>
            </w:r>
          </w:p>
        </w:tc>
        <w:tc>
          <w:tcPr>
            <w:tcW w:w="992"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0.1</w:t>
            </w:r>
          </w:p>
        </w:tc>
        <w:tc>
          <w:tcPr>
            <w:tcW w:w="850"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1</w:t>
            </w:r>
          </w:p>
        </w:tc>
        <w:tc>
          <w:tcPr>
            <w:tcW w:w="1613" w:type="dxa"/>
            <w:vAlign w:val="center"/>
          </w:tcPr>
          <w:p>
            <w:pPr>
              <w:snapToGrid w:val="0"/>
              <w:spacing w:line="320" w:lineRule="exact"/>
              <w:ind w:firstLine="0" w:firstLineChars="0"/>
              <w:jc w:val="center"/>
              <w:rPr>
                <w:rFonts w:ascii="宋体" w:hAnsi="宋体"/>
                <w:kern w:val="0"/>
                <w:sz w:val="21"/>
                <w:szCs w:val="20"/>
                <w:highlight w:val="none"/>
                <w:lang w:val="zh-CN"/>
              </w:rPr>
            </w:pPr>
            <w:r>
              <w:rPr>
                <w:rFonts w:hint="eastAsia" w:ascii="宋体" w:hAnsi="宋体"/>
                <w:kern w:val="0"/>
                <w:sz w:val="21"/>
                <w:szCs w:val="20"/>
                <w:highlight w:val="none"/>
                <w:lang w:val="zh-CN"/>
              </w:rPr>
              <w:t>加强设备管理，做好设备的维护，发现设备故障及时处理</w:t>
            </w:r>
          </w:p>
        </w:tc>
      </w:tr>
    </w:tbl>
    <w:p>
      <w:pPr>
        <w:snapToGrid w:val="0"/>
        <w:ind w:firstLine="480"/>
        <w:rPr>
          <w:rFonts w:ascii="宋体" w:hAnsi="宋体" w:cstheme="minorBidi"/>
          <w:highlight w:val="none"/>
        </w:rPr>
      </w:pPr>
      <w:r>
        <w:rPr>
          <w:rFonts w:hint="eastAsia" w:ascii="宋体" w:hAnsi="宋体" w:cstheme="minorBidi"/>
          <w:highlight w:val="none"/>
        </w:rPr>
        <w:t>5、大气环境影响评价自查表</w:t>
      </w:r>
    </w:p>
    <w:p>
      <w:pPr>
        <w:snapToGrid w:val="0"/>
        <w:ind w:firstLine="480"/>
        <w:rPr>
          <w:rFonts w:ascii="宋体" w:hAnsi="宋体" w:cstheme="minorBidi"/>
          <w:highlight w:val="none"/>
        </w:rPr>
      </w:pPr>
      <w:r>
        <w:rPr>
          <w:rFonts w:hint="eastAsia" w:ascii="宋体" w:hAnsi="宋体" w:cstheme="minorBidi"/>
          <w:highlight w:val="none"/>
        </w:rPr>
        <w:t>大气环境影响评价自查表见表</w:t>
      </w:r>
      <w:r>
        <w:rPr>
          <w:rFonts w:ascii="宋体" w:hAnsi="宋体"/>
          <w:spacing w:val="6"/>
          <w:highlight w:val="none"/>
        </w:rPr>
        <w:t>5.</w:t>
      </w:r>
      <w:r>
        <w:rPr>
          <w:rFonts w:hint="eastAsia" w:ascii="宋体" w:hAnsi="宋体"/>
          <w:spacing w:val="6"/>
          <w:highlight w:val="none"/>
        </w:rPr>
        <w:t>2</w:t>
      </w:r>
      <w:r>
        <w:rPr>
          <w:rFonts w:ascii="宋体" w:hAnsi="宋体"/>
          <w:spacing w:val="6"/>
          <w:highlight w:val="none"/>
        </w:rPr>
        <w:t>-</w:t>
      </w:r>
      <w:r>
        <w:rPr>
          <w:rFonts w:hint="eastAsia" w:ascii="宋体" w:hAnsi="宋体"/>
          <w:spacing w:val="6"/>
          <w:highlight w:val="none"/>
        </w:rPr>
        <w:t>10</w:t>
      </w:r>
      <w:r>
        <w:rPr>
          <w:rFonts w:hint="eastAsia" w:ascii="宋体" w:hAnsi="宋体" w:cstheme="minorBidi"/>
          <w:highlight w:val="none"/>
        </w:rPr>
        <w:t>。</w:t>
      </w:r>
    </w:p>
    <w:p>
      <w:pPr>
        <w:pStyle w:val="62"/>
        <w:ind w:firstLine="480"/>
        <w:jc w:val="center"/>
        <w:rPr>
          <w:rFonts w:hAnsi="宋体"/>
          <w:highlight w:val="none"/>
        </w:rPr>
      </w:pPr>
      <w:r>
        <w:rPr>
          <w:rFonts w:hAnsi="宋体"/>
          <w:highlight w:val="none"/>
        </w:rPr>
        <w:t>表</w:t>
      </w:r>
      <w:r>
        <w:rPr>
          <w:rFonts w:hAnsi="宋体"/>
          <w:spacing w:val="6"/>
          <w:highlight w:val="none"/>
        </w:rPr>
        <w:t>5.</w:t>
      </w:r>
      <w:r>
        <w:rPr>
          <w:rFonts w:hint="eastAsia" w:hAnsi="宋体"/>
          <w:spacing w:val="6"/>
          <w:highlight w:val="none"/>
        </w:rPr>
        <w:t>2</w:t>
      </w:r>
      <w:r>
        <w:rPr>
          <w:rFonts w:hAnsi="宋体"/>
          <w:spacing w:val="6"/>
          <w:highlight w:val="none"/>
        </w:rPr>
        <w:t>-</w:t>
      </w:r>
      <w:r>
        <w:rPr>
          <w:rFonts w:hint="eastAsia" w:hAnsi="宋体"/>
          <w:spacing w:val="6"/>
          <w:highlight w:val="none"/>
        </w:rPr>
        <w:t xml:space="preserve">10  </w:t>
      </w:r>
      <w:r>
        <w:rPr>
          <w:rFonts w:hint="eastAsia" w:hAnsi="宋体"/>
          <w:highlight w:val="none"/>
        </w:rPr>
        <w:t>建设项目大气环境影响评价自查表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76"/>
        <w:gridCol w:w="798"/>
        <w:gridCol w:w="86"/>
        <w:gridCol w:w="675"/>
        <w:gridCol w:w="97"/>
        <w:gridCol w:w="115"/>
        <w:gridCol w:w="13"/>
        <w:gridCol w:w="342"/>
        <w:gridCol w:w="691"/>
        <w:gridCol w:w="41"/>
        <w:gridCol w:w="402"/>
        <w:gridCol w:w="160"/>
        <w:gridCol w:w="125"/>
        <w:gridCol w:w="494"/>
        <w:gridCol w:w="594"/>
        <w:gridCol w:w="328"/>
        <w:gridCol w:w="66"/>
        <w:gridCol w:w="233"/>
        <w:gridCol w:w="91"/>
        <w:gridCol w:w="714"/>
        <w:gridCol w:w="65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35" w:type="dxa"/>
            <w:gridSpan w:val="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工作内容</w:t>
            </w:r>
          </w:p>
        </w:tc>
        <w:tc>
          <w:tcPr>
            <w:tcW w:w="6715" w:type="dxa"/>
            <w:gridSpan w:val="20"/>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自查项目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评价等级与范围</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评价等级</w:t>
            </w:r>
          </w:p>
        </w:tc>
        <w:tc>
          <w:tcPr>
            <w:tcW w:w="1784"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一级□</w:t>
            </w:r>
          </w:p>
        </w:tc>
        <w:tc>
          <w:tcPr>
            <w:tcW w:w="2255"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二级</w:t>
            </w:r>
            <w:r>
              <w:rPr>
                <w:rFonts w:hint="eastAsia" w:ascii="MS Mincho" w:hAnsi="MS Mincho" w:eastAsia="MS Mincho" w:cs="MS Mincho"/>
                <w:kern w:val="0"/>
                <w:sz w:val="15"/>
                <w:szCs w:val="15"/>
                <w:highlight w:val="none"/>
                <w:lang w:val="zh-CN"/>
              </w:rPr>
              <w:t>☑</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三级□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评价范围</w:t>
            </w:r>
          </w:p>
        </w:tc>
        <w:tc>
          <w:tcPr>
            <w:tcW w:w="1784"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边长=50km□</w:t>
            </w:r>
          </w:p>
        </w:tc>
        <w:tc>
          <w:tcPr>
            <w:tcW w:w="2255"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边长5~50km□</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边长=5km</w:t>
            </w:r>
            <w:r>
              <w:rPr>
                <w:rFonts w:hint="eastAsia" w:ascii="MS Mincho" w:hAnsi="MS Mincho" w:eastAsia="MS Mincho" w:cs="MS Mincho"/>
                <w:kern w:val="0"/>
                <w:sz w:val="15"/>
                <w:szCs w:val="15"/>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评价因子</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SO</w:t>
            </w:r>
            <w:r>
              <w:rPr>
                <w:rFonts w:ascii="宋体" w:hAnsi="宋体"/>
                <w:kern w:val="0"/>
                <w:sz w:val="15"/>
                <w:szCs w:val="15"/>
                <w:highlight w:val="none"/>
                <w:vertAlign w:val="subscript"/>
                <w:lang w:val="zh-CN"/>
              </w:rPr>
              <w:t>2</w:t>
            </w:r>
            <w:r>
              <w:rPr>
                <w:rFonts w:ascii="宋体" w:hAnsi="宋体"/>
                <w:kern w:val="0"/>
                <w:sz w:val="15"/>
                <w:szCs w:val="15"/>
                <w:highlight w:val="none"/>
                <w:lang w:val="zh-CN"/>
              </w:rPr>
              <w:t>+NO</w:t>
            </w:r>
            <w:r>
              <w:rPr>
                <w:rFonts w:ascii="宋体" w:hAnsi="宋体"/>
                <w:kern w:val="0"/>
                <w:sz w:val="15"/>
                <w:szCs w:val="15"/>
                <w:highlight w:val="none"/>
                <w:vertAlign w:val="subscript"/>
                <w:lang w:val="zh-CN"/>
              </w:rPr>
              <w:t>x</w:t>
            </w:r>
            <w:r>
              <w:rPr>
                <w:rFonts w:ascii="宋体" w:hAnsi="宋体"/>
                <w:kern w:val="0"/>
                <w:sz w:val="15"/>
                <w:szCs w:val="15"/>
                <w:highlight w:val="none"/>
                <w:lang w:val="zh-CN"/>
              </w:rPr>
              <w:t>排放量</w:t>
            </w:r>
          </w:p>
        </w:tc>
        <w:tc>
          <w:tcPr>
            <w:tcW w:w="1784"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≥2000t/a</w:t>
            </w:r>
          </w:p>
        </w:tc>
        <w:tc>
          <w:tcPr>
            <w:tcW w:w="2255"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500~2000t/a</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＜500t/a</w:t>
            </w:r>
            <w:r>
              <w:rPr>
                <w:rFonts w:hint="eastAsia" w:ascii="MS Mincho" w:hAnsi="MS Mincho" w:eastAsia="MS Mincho" w:cs="MS Mincho"/>
                <w:kern w:val="0"/>
                <w:sz w:val="15"/>
                <w:szCs w:val="15"/>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评价因子</w:t>
            </w:r>
          </w:p>
        </w:tc>
        <w:tc>
          <w:tcPr>
            <w:tcW w:w="4039" w:type="dxa"/>
            <w:gridSpan w:val="1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基本污染物（</w:t>
            </w:r>
            <w:r>
              <w:rPr>
                <w:rFonts w:hint="eastAsia" w:ascii="宋体" w:hAnsi="宋体"/>
                <w:kern w:val="0"/>
                <w:sz w:val="15"/>
                <w:szCs w:val="15"/>
                <w:highlight w:val="none"/>
                <w:lang w:val="zh-CN"/>
              </w:rPr>
              <w:t>SO</w:t>
            </w:r>
            <w:r>
              <w:rPr>
                <w:rFonts w:hint="eastAsia" w:ascii="宋体" w:hAnsi="宋体"/>
                <w:kern w:val="0"/>
                <w:sz w:val="15"/>
                <w:szCs w:val="15"/>
                <w:highlight w:val="none"/>
                <w:vertAlign w:val="subscript"/>
                <w:lang w:val="zh-CN"/>
              </w:rPr>
              <w:t>2</w:t>
            </w:r>
            <w:r>
              <w:rPr>
                <w:rFonts w:hint="eastAsia" w:ascii="宋体" w:hAnsi="宋体"/>
                <w:kern w:val="0"/>
                <w:sz w:val="15"/>
                <w:szCs w:val="15"/>
                <w:highlight w:val="none"/>
                <w:lang w:val="zh-CN"/>
              </w:rPr>
              <w:t>、NO</w:t>
            </w:r>
            <w:r>
              <w:rPr>
                <w:rFonts w:hint="eastAsia" w:ascii="宋体" w:hAnsi="宋体"/>
                <w:kern w:val="0"/>
                <w:sz w:val="15"/>
                <w:szCs w:val="15"/>
                <w:highlight w:val="none"/>
                <w:vertAlign w:val="subscript"/>
                <w:lang w:val="zh-CN"/>
              </w:rPr>
              <w:t>2</w:t>
            </w:r>
            <w:r>
              <w:rPr>
                <w:rFonts w:hint="eastAsia" w:ascii="宋体" w:hAnsi="宋体"/>
                <w:kern w:val="0"/>
                <w:sz w:val="15"/>
                <w:szCs w:val="15"/>
                <w:highlight w:val="none"/>
                <w:lang w:val="zh-CN"/>
              </w:rPr>
              <w:t>、PM</w:t>
            </w:r>
            <w:r>
              <w:rPr>
                <w:rFonts w:hint="eastAsia" w:ascii="宋体" w:hAnsi="宋体"/>
                <w:kern w:val="0"/>
                <w:sz w:val="15"/>
                <w:szCs w:val="15"/>
                <w:highlight w:val="none"/>
                <w:vertAlign w:val="subscript"/>
                <w:lang w:val="zh-CN"/>
              </w:rPr>
              <w:t>10</w:t>
            </w:r>
            <w:r>
              <w:rPr>
                <w:rFonts w:hint="eastAsia" w:ascii="宋体" w:hAnsi="宋体"/>
                <w:kern w:val="0"/>
                <w:sz w:val="15"/>
                <w:szCs w:val="15"/>
                <w:highlight w:val="none"/>
                <w:lang w:val="zh-CN"/>
              </w:rPr>
              <w:t>、PM</w:t>
            </w:r>
            <w:r>
              <w:rPr>
                <w:rFonts w:hint="eastAsia" w:ascii="宋体" w:hAnsi="宋体"/>
                <w:kern w:val="0"/>
                <w:sz w:val="15"/>
                <w:szCs w:val="15"/>
                <w:highlight w:val="none"/>
                <w:vertAlign w:val="subscript"/>
                <w:lang w:val="zh-CN"/>
              </w:rPr>
              <w:t>2.5</w:t>
            </w:r>
            <w:r>
              <w:rPr>
                <w:rFonts w:hint="eastAsia" w:ascii="宋体" w:hAnsi="宋体"/>
                <w:kern w:val="0"/>
                <w:sz w:val="15"/>
                <w:szCs w:val="15"/>
                <w:highlight w:val="none"/>
                <w:lang w:val="zh-CN"/>
              </w:rPr>
              <w:t>、CO、O</w:t>
            </w:r>
            <w:r>
              <w:rPr>
                <w:rFonts w:hint="eastAsia" w:ascii="宋体" w:hAnsi="宋体"/>
                <w:kern w:val="0"/>
                <w:sz w:val="15"/>
                <w:szCs w:val="15"/>
                <w:highlight w:val="none"/>
                <w:vertAlign w:val="subscript"/>
                <w:lang w:val="zh-CN"/>
              </w:rPr>
              <w:t>3</w:t>
            </w:r>
            <w:r>
              <w:rPr>
                <w:rFonts w:ascii="宋体" w:hAnsi="宋体"/>
                <w:kern w:val="0"/>
                <w:sz w:val="15"/>
                <w:szCs w:val="15"/>
                <w:highlight w:val="none"/>
                <w:lang w:val="zh-CN"/>
              </w:rPr>
              <w:t>）</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其他污染物（</w:t>
            </w:r>
            <w:r>
              <w:rPr>
                <w:rFonts w:hint="eastAsia" w:ascii="宋体" w:hAnsi="宋体"/>
                <w:kern w:val="0"/>
                <w:sz w:val="15"/>
                <w:szCs w:val="15"/>
                <w:highlight w:val="none"/>
                <w:lang w:val="zh-CN"/>
              </w:rPr>
              <w:t>TSP</w:t>
            </w:r>
            <w:r>
              <w:rPr>
                <w:rFonts w:ascii="宋体" w:hAnsi="宋体"/>
                <w:kern w:val="0"/>
                <w:sz w:val="15"/>
                <w:szCs w:val="15"/>
                <w:highlight w:val="none"/>
                <w:lang w:val="zh-CN"/>
              </w:rPr>
              <w:t>）</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包括二次PM2.5□</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不包括二次PM2.5</w:t>
            </w:r>
            <w:r>
              <w:rPr>
                <w:rFonts w:hint="eastAsia" w:ascii="MS Mincho" w:hAnsi="MS Mincho" w:eastAsia="MS Mincho" w:cs="MS Mincho"/>
                <w:kern w:val="0"/>
                <w:sz w:val="15"/>
                <w:szCs w:val="15"/>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评价标准</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评价标准</w:t>
            </w:r>
          </w:p>
        </w:tc>
        <w:tc>
          <w:tcPr>
            <w:tcW w:w="1559" w:type="dxa"/>
            <w:gridSpan w:val="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国家标准</w:t>
            </w:r>
            <w:r>
              <w:rPr>
                <w:rFonts w:hint="eastAsia" w:ascii="MS Mincho" w:hAnsi="MS Mincho" w:eastAsia="MS Mincho" w:cs="MS Mincho"/>
                <w:kern w:val="0"/>
                <w:sz w:val="15"/>
                <w:szCs w:val="15"/>
                <w:highlight w:val="none"/>
                <w:lang w:val="zh-CN"/>
              </w:rPr>
              <w:t>☑</w:t>
            </w:r>
          </w:p>
        </w:tc>
        <w:tc>
          <w:tcPr>
            <w:tcW w:w="1701"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地方标准□</w:t>
            </w:r>
          </w:p>
        </w:tc>
        <w:tc>
          <w:tcPr>
            <w:tcW w:w="1701"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附录D□</w:t>
            </w:r>
          </w:p>
        </w:tc>
        <w:tc>
          <w:tcPr>
            <w:tcW w:w="1754"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其他标准□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现状评价</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环境功能区</w:t>
            </w:r>
          </w:p>
        </w:tc>
        <w:tc>
          <w:tcPr>
            <w:tcW w:w="1771"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一类区□</w:t>
            </w:r>
          </w:p>
        </w:tc>
        <w:tc>
          <w:tcPr>
            <w:tcW w:w="2268" w:type="dxa"/>
            <w:gridSpan w:val="8"/>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二类区</w:t>
            </w:r>
            <w:r>
              <w:rPr>
                <w:rFonts w:hint="eastAsia" w:ascii="MS Mincho" w:hAnsi="MS Mincho" w:eastAsia="MS Mincho" w:cs="MS Mincho"/>
                <w:kern w:val="0"/>
                <w:sz w:val="15"/>
                <w:szCs w:val="15"/>
                <w:highlight w:val="none"/>
                <w:lang w:val="zh-CN"/>
              </w:rPr>
              <w:t>☑</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一类区和二类区□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评价基准年</w:t>
            </w:r>
          </w:p>
        </w:tc>
        <w:tc>
          <w:tcPr>
            <w:tcW w:w="6715" w:type="dxa"/>
            <w:gridSpan w:val="20"/>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w:t>
            </w:r>
            <w:r>
              <w:rPr>
                <w:rFonts w:hint="eastAsia" w:ascii="宋体" w:hAnsi="宋体"/>
                <w:kern w:val="0"/>
                <w:sz w:val="15"/>
                <w:szCs w:val="15"/>
                <w:highlight w:val="none"/>
                <w:lang w:val="zh-CN"/>
              </w:rPr>
              <w:t>20</w:t>
            </w:r>
            <w:r>
              <w:rPr>
                <w:rFonts w:hint="eastAsia" w:ascii="宋体" w:hAnsi="宋体"/>
                <w:kern w:val="0"/>
                <w:sz w:val="15"/>
                <w:szCs w:val="15"/>
                <w:highlight w:val="none"/>
                <w:lang w:val="en-US" w:eastAsia="zh-CN"/>
              </w:rPr>
              <w:t>21</w:t>
            </w:r>
            <w:r>
              <w:rPr>
                <w:rFonts w:ascii="宋体" w:hAnsi="宋体"/>
                <w:kern w:val="0"/>
                <w:sz w:val="15"/>
                <w:szCs w:val="15"/>
                <w:highlight w:val="none"/>
                <w:lang w:val="zh-CN"/>
              </w:rPr>
              <w:t>）年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环境空气质量现状调查数据来源</w:t>
            </w:r>
          </w:p>
        </w:tc>
        <w:tc>
          <w:tcPr>
            <w:tcW w:w="1771"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长期例行监测数据</w:t>
            </w:r>
            <w:r>
              <w:rPr>
                <w:rFonts w:hint="eastAsia" w:ascii="MS Mincho" w:hAnsi="MS Mincho" w:eastAsia="MS Mincho" w:cs="MS Mincho"/>
                <w:kern w:val="0"/>
                <w:sz w:val="15"/>
                <w:szCs w:val="15"/>
                <w:highlight w:val="none"/>
                <w:lang w:val="zh-CN"/>
              </w:rPr>
              <w:t>☑</w:t>
            </w:r>
          </w:p>
        </w:tc>
        <w:tc>
          <w:tcPr>
            <w:tcW w:w="2268" w:type="dxa"/>
            <w:gridSpan w:val="8"/>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主管部门发布的数据□</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现状补充监测</w:t>
            </w:r>
            <w:r>
              <w:rPr>
                <w:rFonts w:hint="eastAsia" w:ascii="MS Mincho" w:hAnsi="MS Mincho" w:eastAsia="MS Mincho" w:cs="MS Mincho"/>
                <w:kern w:val="0"/>
                <w:sz w:val="15"/>
                <w:szCs w:val="15"/>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现状评价</w:t>
            </w:r>
          </w:p>
        </w:tc>
        <w:tc>
          <w:tcPr>
            <w:tcW w:w="4039" w:type="dxa"/>
            <w:gridSpan w:val="1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达标区□</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不达标区</w:t>
            </w:r>
            <w:r>
              <w:rPr>
                <w:rFonts w:hint="eastAsia" w:ascii="MS Mincho" w:hAnsi="MS Mincho" w:eastAsia="MS Mincho" w:cs="MS Mincho"/>
                <w:kern w:val="0"/>
                <w:sz w:val="15"/>
                <w:szCs w:val="15"/>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污染源</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调查</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调查内容</w:t>
            </w:r>
          </w:p>
        </w:tc>
        <w:tc>
          <w:tcPr>
            <w:tcW w:w="212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本项目正常排放源</w:t>
            </w:r>
            <w:r>
              <w:rPr>
                <w:rFonts w:hint="eastAsia" w:ascii="MS Mincho" w:hAnsi="MS Mincho" w:eastAsia="MS Mincho" w:cs="MS Mincho"/>
                <w:kern w:val="0"/>
                <w:sz w:val="15"/>
                <w:szCs w:val="15"/>
                <w:highlight w:val="none"/>
                <w:lang w:val="zh-CN"/>
              </w:rPr>
              <w:t>☑</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本项目非正常排放源□</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现有污染源□</w:t>
            </w:r>
          </w:p>
        </w:tc>
        <w:tc>
          <w:tcPr>
            <w:tcW w:w="1294" w:type="dxa"/>
            <w:gridSpan w:val="4"/>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拟替代的污染源□</w:t>
            </w:r>
          </w:p>
        </w:tc>
        <w:tc>
          <w:tcPr>
            <w:tcW w:w="1931"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其他在建、拟建项目</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污染源□</w:t>
            </w:r>
          </w:p>
        </w:tc>
        <w:tc>
          <w:tcPr>
            <w:tcW w:w="1364" w:type="dxa"/>
            <w:gridSpan w:val="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区域污染源□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大气环境影响预测与评价</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预测模型</w:t>
            </w:r>
          </w:p>
        </w:tc>
        <w:tc>
          <w:tcPr>
            <w:tcW w:w="884" w:type="dxa"/>
            <w:gridSpan w:val="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AERMOD□</w:t>
            </w:r>
          </w:p>
        </w:tc>
        <w:tc>
          <w:tcPr>
            <w:tcW w:w="772" w:type="dxa"/>
            <w:gridSpan w:val="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ADMS□</w:t>
            </w:r>
          </w:p>
        </w:tc>
        <w:tc>
          <w:tcPr>
            <w:tcW w:w="1202"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AUSTAL2000□</w:t>
            </w:r>
          </w:p>
        </w:tc>
        <w:tc>
          <w:tcPr>
            <w:tcW w:w="1181" w:type="dxa"/>
            <w:gridSpan w:val="4"/>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EDMS/AEDT□</w:t>
            </w:r>
          </w:p>
        </w:tc>
        <w:tc>
          <w:tcPr>
            <w:tcW w:w="988" w:type="dxa"/>
            <w:gridSpan w:val="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CALPUFF□</w:t>
            </w:r>
          </w:p>
        </w:tc>
        <w:tc>
          <w:tcPr>
            <w:tcW w:w="1038" w:type="dxa"/>
            <w:gridSpan w:val="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网格模型□</w:t>
            </w:r>
          </w:p>
        </w:tc>
        <w:tc>
          <w:tcPr>
            <w:tcW w:w="650"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其他□</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预测范围</w:t>
            </w:r>
          </w:p>
        </w:tc>
        <w:tc>
          <w:tcPr>
            <w:tcW w:w="1771"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边长≥50km□</w:t>
            </w:r>
          </w:p>
        </w:tc>
        <w:tc>
          <w:tcPr>
            <w:tcW w:w="2268" w:type="dxa"/>
            <w:gridSpan w:val="8"/>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边长5~50km□</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边长=5km□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预测因子</w:t>
            </w:r>
          </w:p>
        </w:tc>
        <w:tc>
          <w:tcPr>
            <w:tcW w:w="4039" w:type="dxa"/>
            <w:gridSpan w:val="1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预测因子（</w:t>
            </w:r>
            <w:r>
              <w:rPr>
                <w:rFonts w:hint="eastAsia" w:ascii="宋体" w:hAnsi="宋体"/>
                <w:kern w:val="0"/>
                <w:sz w:val="15"/>
                <w:szCs w:val="15"/>
                <w:highlight w:val="none"/>
                <w:lang w:val="zh-CN"/>
              </w:rPr>
              <w:t>/</w:t>
            </w:r>
            <w:r>
              <w:rPr>
                <w:rFonts w:ascii="宋体" w:hAnsi="宋体"/>
                <w:kern w:val="0"/>
                <w:sz w:val="15"/>
                <w:szCs w:val="15"/>
                <w:highlight w:val="none"/>
                <w:lang w:val="zh-CN"/>
              </w:rPr>
              <w:t>）</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包括二次PM2.5□</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不包括二次PM2.5□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正常排放短期浓度贡献值</w:t>
            </w:r>
          </w:p>
        </w:tc>
        <w:tc>
          <w:tcPr>
            <w:tcW w:w="4039" w:type="dxa"/>
            <w:gridSpan w:val="1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本项目</w:t>
            </w:r>
            <w:r>
              <w:rPr>
                <w:rFonts w:ascii="宋体" w:hAnsi="宋体"/>
                <w:kern w:val="0"/>
                <w:sz w:val="15"/>
                <w:szCs w:val="15"/>
                <w:highlight w:val="none"/>
                <w:lang w:val="zh-CN"/>
              </w:rPr>
              <w:t>最大占标率≤100%□</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本项目</w:t>
            </w:r>
            <w:r>
              <w:rPr>
                <w:rFonts w:ascii="宋体" w:hAnsi="宋体"/>
                <w:kern w:val="0"/>
                <w:sz w:val="15"/>
                <w:szCs w:val="15"/>
                <w:highlight w:val="none"/>
                <w:lang w:val="zh-CN"/>
              </w:rPr>
              <w:t>最大占标率＞100%□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正常排放年均浓度贡献值</w:t>
            </w:r>
          </w:p>
        </w:tc>
        <w:tc>
          <w:tcPr>
            <w:tcW w:w="798"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一类区</w:t>
            </w:r>
          </w:p>
        </w:tc>
        <w:tc>
          <w:tcPr>
            <w:tcW w:w="3241" w:type="dxa"/>
            <w:gridSpan w:val="1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本项目</w:t>
            </w:r>
            <w:r>
              <w:rPr>
                <w:rFonts w:ascii="宋体" w:hAnsi="宋体"/>
                <w:kern w:val="0"/>
                <w:sz w:val="15"/>
                <w:szCs w:val="15"/>
                <w:highlight w:val="none"/>
                <w:lang w:val="zh-CN"/>
              </w:rPr>
              <w:t>最大占标率≤10%□</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本项目</w:t>
            </w:r>
            <w:r>
              <w:rPr>
                <w:rFonts w:ascii="宋体" w:hAnsi="宋体"/>
                <w:kern w:val="0"/>
                <w:sz w:val="15"/>
                <w:szCs w:val="15"/>
                <w:highlight w:val="none"/>
                <w:lang w:val="zh-CN"/>
              </w:rPr>
              <w:t>最大占标率＞10%□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798"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二类区</w:t>
            </w:r>
          </w:p>
        </w:tc>
        <w:tc>
          <w:tcPr>
            <w:tcW w:w="3241" w:type="dxa"/>
            <w:gridSpan w:val="1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本项目</w:t>
            </w:r>
            <w:r>
              <w:rPr>
                <w:rFonts w:ascii="宋体" w:hAnsi="宋体"/>
                <w:kern w:val="0"/>
                <w:sz w:val="15"/>
                <w:szCs w:val="15"/>
                <w:highlight w:val="none"/>
                <w:lang w:val="zh-CN"/>
              </w:rPr>
              <w:t>最大占标率≤30%□</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本项目</w:t>
            </w:r>
            <w:r>
              <w:rPr>
                <w:rFonts w:ascii="宋体" w:hAnsi="宋体"/>
                <w:kern w:val="0"/>
                <w:sz w:val="15"/>
                <w:szCs w:val="15"/>
                <w:highlight w:val="none"/>
                <w:lang w:val="zh-CN"/>
              </w:rPr>
              <w:t>最大占标率＞30%□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非正常排放1h浓度贡献值</w:t>
            </w:r>
          </w:p>
        </w:tc>
        <w:tc>
          <w:tcPr>
            <w:tcW w:w="1656" w:type="dxa"/>
            <w:gridSpan w:val="4"/>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非正常持续时长</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w:t>
            </w:r>
            <w:r>
              <w:rPr>
                <w:rFonts w:hint="eastAsia" w:ascii="宋体" w:hAnsi="宋体"/>
                <w:kern w:val="0"/>
                <w:sz w:val="15"/>
                <w:szCs w:val="15"/>
                <w:highlight w:val="none"/>
                <w:lang w:val="zh-CN"/>
              </w:rPr>
              <w:t>0.1</w:t>
            </w:r>
            <w:r>
              <w:rPr>
                <w:rFonts w:ascii="宋体" w:hAnsi="宋体"/>
                <w:kern w:val="0"/>
                <w:sz w:val="15"/>
                <w:szCs w:val="15"/>
                <w:highlight w:val="none"/>
                <w:lang w:val="zh-CN"/>
              </w:rPr>
              <w:t>）h</w:t>
            </w:r>
          </w:p>
        </w:tc>
        <w:tc>
          <w:tcPr>
            <w:tcW w:w="2383" w:type="dxa"/>
            <w:gridSpan w:val="9"/>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非正常</w:t>
            </w:r>
            <w:r>
              <w:rPr>
                <w:rFonts w:ascii="宋体" w:hAnsi="宋体"/>
                <w:kern w:val="0"/>
                <w:sz w:val="15"/>
                <w:szCs w:val="15"/>
                <w:highlight w:val="none"/>
                <w:lang w:val="zh-CN"/>
              </w:rPr>
              <w:t>占标率≤100%□</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非正常</w:t>
            </w:r>
            <w:r>
              <w:rPr>
                <w:rFonts w:ascii="宋体" w:hAnsi="宋体"/>
                <w:kern w:val="0"/>
                <w:sz w:val="15"/>
                <w:szCs w:val="15"/>
                <w:highlight w:val="none"/>
                <w:lang w:val="zh-CN"/>
              </w:rPr>
              <w:t>占标率＞100%□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保证率日平均浓度和年平均浓度叠加值</w:t>
            </w:r>
          </w:p>
        </w:tc>
        <w:tc>
          <w:tcPr>
            <w:tcW w:w="4039" w:type="dxa"/>
            <w:gridSpan w:val="1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叠加</w:t>
            </w:r>
            <w:r>
              <w:rPr>
                <w:rFonts w:ascii="宋体" w:hAnsi="宋体"/>
                <w:kern w:val="0"/>
                <w:sz w:val="15"/>
                <w:szCs w:val="15"/>
                <w:highlight w:val="none"/>
                <w:lang w:val="zh-CN"/>
              </w:rPr>
              <w:t>达标□</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C</w:t>
            </w:r>
            <w:r>
              <w:rPr>
                <w:rFonts w:ascii="宋体" w:hAnsi="宋体"/>
                <w:kern w:val="0"/>
                <w:sz w:val="15"/>
                <w:szCs w:val="15"/>
                <w:highlight w:val="none"/>
                <w:vertAlign w:val="subscript"/>
                <w:lang w:val="zh-CN"/>
              </w:rPr>
              <w:t>叠加</w:t>
            </w:r>
            <w:r>
              <w:rPr>
                <w:rFonts w:ascii="宋体" w:hAnsi="宋体"/>
                <w:kern w:val="0"/>
                <w:sz w:val="15"/>
                <w:szCs w:val="15"/>
                <w:highlight w:val="none"/>
                <w:lang w:val="zh-CN"/>
              </w:rPr>
              <w:t>不达标□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区域环境质量的整体变化情况</w:t>
            </w:r>
          </w:p>
        </w:tc>
        <w:tc>
          <w:tcPr>
            <w:tcW w:w="4039" w:type="dxa"/>
            <w:gridSpan w:val="1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k≤-20%□</w:t>
            </w:r>
          </w:p>
        </w:tc>
        <w:tc>
          <w:tcPr>
            <w:tcW w:w="2676" w:type="dxa"/>
            <w:gridSpan w:val="7"/>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k＞-20%□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环境监测计划</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污染源监测</w:t>
            </w:r>
          </w:p>
        </w:tc>
        <w:tc>
          <w:tcPr>
            <w:tcW w:w="2817" w:type="dxa"/>
            <w:gridSpan w:val="8"/>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监测因子：（</w:t>
            </w:r>
            <w:r>
              <w:rPr>
                <w:rFonts w:hint="eastAsia" w:ascii="宋体" w:hAnsi="宋体"/>
                <w:kern w:val="0"/>
                <w:sz w:val="15"/>
                <w:szCs w:val="15"/>
                <w:highlight w:val="none"/>
                <w:lang w:val="zh-CN"/>
              </w:rPr>
              <w:t>PM</w:t>
            </w:r>
            <w:r>
              <w:rPr>
                <w:rFonts w:hint="eastAsia" w:ascii="宋体" w:hAnsi="宋体"/>
                <w:kern w:val="0"/>
                <w:sz w:val="15"/>
                <w:szCs w:val="15"/>
                <w:highlight w:val="none"/>
                <w:vertAlign w:val="subscript"/>
                <w:lang w:val="zh-CN"/>
              </w:rPr>
              <w:t>10</w:t>
            </w:r>
            <w:r>
              <w:rPr>
                <w:rFonts w:hint="eastAsia" w:ascii="宋体" w:hAnsi="宋体"/>
                <w:kern w:val="0"/>
                <w:sz w:val="15"/>
                <w:szCs w:val="15"/>
                <w:highlight w:val="none"/>
                <w:lang w:val="zh-CN"/>
              </w:rPr>
              <w:t>、TSP</w:t>
            </w:r>
            <w:r>
              <w:rPr>
                <w:rFonts w:ascii="宋体" w:hAnsi="宋体"/>
                <w:kern w:val="0"/>
                <w:sz w:val="15"/>
                <w:szCs w:val="15"/>
                <w:highlight w:val="none"/>
                <w:lang w:val="zh-CN"/>
              </w:rPr>
              <w:t>）</w:t>
            </w:r>
          </w:p>
        </w:tc>
        <w:tc>
          <w:tcPr>
            <w:tcW w:w="1816"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有组织废气监测</w:t>
            </w:r>
            <w:r>
              <w:rPr>
                <w:rFonts w:hint="eastAsia" w:ascii="MS Mincho" w:hAnsi="MS Mincho" w:eastAsia="MS Mincho" w:cs="MS Mincho"/>
                <w:kern w:val="0"/>
                <w:sz w:val="15"/>
                <w:szCs w:val="15"/>
                <w:highlight w:val="none"/>
                <w:lang w:val="zh-CN"/>
              </w:rPr>
              <w:t>☑</w:t>
            </w:r>
          </w:p>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无组织废气监测</w:t>
            </w:r>
            <w:r>
              <w:rPr>
                <w:rFonts w:hint="eastAsia" w:ascii="MS Mincho" w:hAnsi="MS Mincho" w:eastAsia="MS Mincho" w:cs="MS Mincho"/>
                <w:kern w:val="0"/>
                <w:sz w:val="15"/>
                <w:szCs w:val="15"/>
                <w:highlight w:val="none"/>
                <w:lang w:val="zh-CN"/>
              </w:rPr>
              <w:t>☑</w:t>
            </w:r>
          </w:p>
        </w:tc>
        <w:tc>
          <w:tcPr>
            <w:tcW w:w="2082"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无监测□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环境质量监测</w:t>
            </w:r>
          </w:p>
        </w:tc>
        <w:tc>
          <w:tcPr>
            <w:tcW w:w="2817" w:type="dxa"/>
            <w:gridSpan w:val="8"/>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监测因子：（</w:t>
            </w:r>
            <w:r>
              <w:rPr>
                <w:rFonts w:hint="eastAsia" w:ascii="宋体" w:hAnsi="宋体"/>
                <w:kern w:val="0"/>
                <w:sz w:val="15"/>
                <w:szCs w:val="15"/>
                <w:highlight w:val="none"/>
                <w:lang w:val="zh-CN"/>
              </w:rPr>
              <w:t>/</w:t>
            </w:r>
            <w:r>
              <w:rPr>
                <w:rFonts w:ascii="宋体" w:hAnsi="宋体"/>
                <w:kern w:val="0"/>
                <w:sz w:val="15"/>
                <w:szCs w:val="15"/>
                <w:highlight w:val="none"/>
                <w:lang w:val="zh-CN"/>
              </w:rPr>
              <w:t>）</w:t>
            </w:r>
          </w:p>
        </w:tc>
        <w:tc>
          <w:tcPr>
            <w:tcW w:w="1816"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监测点位数（</w:t>
            </w:r>
            <w:r>
              <w:rPr>
                <w:rFonts w:hint="eastAsia" w:ascii="宋体" w:hAnsi="宋体"/>
                <w:kern w:val="0"/>
                <w:sz w:val="15"/>
                <w:szCs w:val="15"/>
                <w:highlight w:val="none"/>
                <w:lang w:val="zh-CN"/>
              </w:rPr>
              <w:t>/</w:t>
            </w:r>
            <w:r>
              <w:rPr>
                <w:rFonts w:ascii="宋体" w:hAnsi="宋体"/>
                <w:kern w:val="0"/>
                <w:sz w:val="15"/>
                <w:szCs w:val="15"/>
                <w:highlight w:val="none"/>
                <w:lang w:val="zh-CN"/>
              </w:rPr>
              <w:t>）</w:t>
            </w:r>
          </w:p>
        </w:tc>
        <w:tc>
          <w:tcPr>
            <w:tcW w:w="2082" w:type="dxa"/>
            <w:gridSpan w:val="6"/>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无监测□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评价结论</w:t>
            </w: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环境影响</w:t>
            </w:r>
          </w:p>
        </w:tc>
        <w:tc>
          <w:tcPr>
            <w:tcW w:w="6715" w:type="dxa"/>
            <w:gridSpan w:val="20"/>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可以接受</w:t>
            </w:r>
            <w:r>
              <w:rPr>
                <w:rFonts w:hint="eastAsia" w:ascii="MS Mincho" w:hAnsi="MS Mincho" w:eastAsia="MS Mincho" w:cs="MS Mincho"/>
                <w:kern w:val="0"/>
                <w:sz w:val="15"/>
                <w:szCs w:val="15"/>
                <w:highlight w:val="none"/>
                <w:lang w:val="zh-CN"/>
              </w:rPr>
              <w:t>☑</w:t>
            </w:r>
            <w:r>
              <w:rPr>
                <w:rFonts w:ascii="宋体" w:hAnsi="宋体"/>
                <w:kern w:val="0"/>
                <w:sz w:val="15"/>
                <w:szCs w:val="15"/>
                <w:highlight w:val="none"/>
                <w:lang w:val="zh-CN"/>
              </w:rPr>
              <w:t>不可以接受□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大气环境防护距离</w:t>
            </w:r>
          </w:p>
        </w:tc>
        <w:tc>
          <w:tcPr>
            <w:tcW w:w="6715" w:type="dxa"/>
            <w:gridSpan w:val="20"/>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距（）厂界最远（）m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snapToGrid w:val="0"/>
              <w:spacing w:line="280" w:lineRule="exact"/>
              <w:ind w:firstLine="0" w:firstLineChars="0"/>
              <w:jc w:val="center"/>
              <w:rPr>
                <w:rFonts w:ascii="宋体" w:hAnsi="宋体"/>
                <w:kern w:val="0"/>
                <w:sz w:val="15"/>
                <w:szCs w:val="15"/>
                <w:highlight w:val="none"/>
                <w:lang w:val="zh-CN"/>
              </w:rPr>
            </w:pPr>
          </w:p>
        </w:tc>
        <w:tc>
          <w:tcPr>
            <w:tcW w:w="1276" w:type="dxa"/>
            <w:vAlign w:val="center"/>
          </w:tcPr>
          <w:p>
            <w:pPr>
              <w:snapToGrid w:val="0"/>
              <w:spacing w:line="280" w:lineRule="exact"/>
              <w:ind w:firstLine="0" w:firstLineChars="0"/>
              <w:jc w:val="center"/>
              <w:rPr>
                <w:rFonts w:ascii="宋体" w:hAnsi="宋体"/>
                <w:kern w:val="0"/>
                <w:sz w:val="15"/>
                <w:szCs w:val="15"/>
                <w:highlight w:val="none"/>
                <w:lang w:val="zh-CN"/>
              </w:rPr>
            </w:pPr>
            <w:r>
              <w:rPr>
                <w:rFonts w:hint="eastAsia" w:ascii="宋体" w:hAnsi="宋体"/>
                <w:kern w:val="0"/>
                <w:sz w:val="15"/>
                <w:szCs w:val="15"/>
                <w:highlight w:val="none"/>
                <w:lang w:val="zh-CN"/>
              </w:rPr>
              <w:t>污染源排放量</w:t>
            </w:r>
          </w:p>
        </w:tc>
        <w:tc>
          <w:tcPr>
            <w:tcW w:w="1656" w:type="dxa"/>
            <w:gridSpan w:val="4"/>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SO</w:t>
            </w:r>
            <w:r>
              <w:rPr>
                <w:rFonts w:ascii="宋体" w:hAnsi="宋体"/>
                <w:kern w:val="0"/>
                <w:sz w:val="15"/>
                <w:szCs w:val="15"/>
                <w:highlight w:val="none"/>
                <w:vertAlign w:val="subscript"/>
                <w:lang w:val="zh-CN"/>
              </w:rPr>
              <w:t>2</w:t>
            </w:r>
            <w:r>
              <w:rPr>
                <w:rFonts w:ascii="宋体" w:hAnsi="宋体"/>
                <w:kern w:val="0"/>
                <w:sz w:val="15"/>
                <w:szCs w:val="15"/>
                <w:highlight w:val="none"/>
                <w:lang w:val="zh-CN"/>
              </w:rPr>
              <w:t>：（</w:t>
            </w:r>
            <w:r>
              <w:rPr>
                <w:rFonts w:hint="eastAsia" w:ascii="宋体" w:hAnsi="宋体"/>
                <w:kern w:val="0"/>
                <w:sz w:val="15"/>
                <w:szCs w:val="15"/>
                <w:highlight w:val="none"/>
                <w:lang w:val="zh-CN"/>
              </w:rPr>
              <w:t>/</w:t>
            </w:r>
            <w:r>
              <w:rPr>
                <w:rFonts w:ascii="宋体" w:hAnsi="宋体"/>
                <w:kern w:val="0"/>
                <w:sz w:val="15"/>
                <w:szCs w:val="15"/>
                <w:highlight w:val="none"/>
                <w:lang w:val="zh-CN"/>
              </w:rPr>
              <w:t>）t/a</w:t>
            </w:r>
          </w:p>
        </w:tc>
        <w:tc>
          <w:tcPr>
            <w:tcW w:w="1889" w:type="dxa"/>
            <w:gridSpan w:val="8"/>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NO</w:t>
            </w:r>
            <w:r>
              <w:rPr>
                <w:rFonts w:ascii="宋体" w:hAnsi="宋体"/>
                <w:kern w:val="0"/>
                <w:sz w:val="15"/>
                <w:szCs w:val="15"/>
                <w:highlight w:val="none"/>
                <w:vertAlign w:val="subscript"/>
                <w:lang w:val="zh-CN"/>
              </w:rPr>
              <w:t>x</w:t>
            </w:r>
            <w:r>
              <w:rPr>
                <w:rFonts w:ascii="宋体" w:hAnsi="宋体"/>
                <w:kern w:val="0"/>
                <w:sz w:val="15"/>
                <w:szCs w:val="15"/>
                <w:highlight w:val="none"/>
                <w:lang w:val="zh-CN"/>
              </w:rPr>
              <w:t>：（</w:t>
            </w:r>
            <w:r>
              <w:rPr>
                <w:rFonts w:hint="eastAsia" w:ascii="宋体" w:hAnsi="宋体"/>
                <w:kern w:val="0"/>
                <w:sz w:val="15"/>
                <w:szCs w:val="15"/>
                <w:highlight w:val="none"/>
                <w:lang w:val="zh-CN"/>
              </w:rPr>
              <w:t>/</w:t>
            </w:r>
            <w:r>
              <w:rPr>
                <w:rFonts w:ascii="宋体" w:hAnsi="宋体"/>
                <w:kern w:val="0"/>
                <w:sz w:val="15"/>
                <w:szCs w:val="15"/>
                <w:highlight w:val="none"/>
                <w:lang w:val="zh-CN"/>
              </w:rPr>
              <w:t>）t/a</w:t>
            </w:r>
          </w:p>
        </w:tc>
        <w:tc>
          <w:tcPr>
            <w:tcW w:w="1715" w:type="dxa"/>
            <w:gridSpan w:val="5"/>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颗粒物：（</w:t>
            </w:r>
            <w:r>
              <w:rPr>
                <w:rFonts w:hint="eastAsia" w:ascii="宋体" w:hAnsi="宋体"/>
                <w:kern w:val="0"/>
                <w:sz w:val="15"/>
                <w:szCs w:val="15"/>
                <w:highlight w:val="none"/>
                <w:lang w:val="zh-CN"/>
              </w:rPr>
              <w:t>2.808</w:t>
            </w:r>
            <w:r>
              <w:rPr>
                <w:rFonts w:ascii="宋体" w:hAnsi="宋体"/>
                <w:kern w:val="0"/>
                <w:sz w:val="15"/>
                <w:szCs w:val="15"/>
                <w:highlight w:val="none"/>
                <w:lang w:val="zh-CN"/>
              </w:rPr>
              <w:t>）t/a</w:t>
            </w:r>
          </w:p>
        </w:tc>
        <w:tc>
          <w:tcPr>
            <w:tcW w:w="1455" w:type="dxa"/>
            <w:gridSpan w:val="3"/>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VOCs：（</w:t>
            </w:r>
            <w:r>
              <w:rPr>
                <w:rFonts w:hint="eastAsia" w:ascii="宋体" w:hAnsi="宋体"/>
                <w:kern w:val="0"/>
                <w:sz w:val="15"/>
                <w:szCs w:val="15"/>
                <w:highlight w:val="none"/>
                <w:lang w:val="zh-CN"/>
              </w:rPr>
              <w:t>/</w:t>
            </w:r>
            <w:r>
              <w:rPr>
                <w:rFonts w:ascii="宋体" w:hAnsi="宋体"/>
                <w:kern w:val="0"/>
                <w:sz w:val="15"/>
                <w:szCs w:val="15"/>
                <w:highlight w:val="none"/>
                <w:lang w:val="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950" w:type="dxa"/>
            <w:gridSpan w:val="22"/>
            <w:vAlign w:val="center"/>
          </w:tcPr>
          <w:p>
            <w:pPr>
              <w:snapToGrid w:val="0"/>
              <w:spacing w:line="280" w:lineRule="exact"/>
              <w:ind w:firstLine="0" w:firstLineChars="0"/>
              <w:jc w:val="center"/>
              <w:rPr>
                <w:rFonts w:ascii="宋体" w:hAnsi="宋体"/>
                <w:kern w:val="0"/>
                <w:sz w:val="15"/>
                <w:szCs w:val="15"/>
                <w:highlight w:val="none"/>
                <w:lang w:val="zh-CN"/>
              </w:rPr>
            </w:pPr>
            <w:r>
              <w:rPr>
                <w:rFonts w:ascii="宋体" w:hAnsi="宋体"/>
                <w:kern w:val="0"/>
                <w:sz w:val="15"/>
                <w:szCs w:val="15"/>
                <w:highlight w:val="none"/>
                <w:lang w:val="zh-CN"/>
              </w:rPr>
              <w:t>注：“□”为勾选项，填“√”；“（）”为内容填写项</w:t>
            </w:r>
          </w:p>
        </w:tc>
      </w:tr>
    </w:tbl>
    <w:p>
      <w:pPr>
        <w:pStyle w:val="4"/>
        <w:ind w:firstLine="562"/>
        <w:rPr>
          <w:rFonts w:hAnsi="宋体" w:cstheme="minorBidi"/>
          <w:highlight w:val="none"/>
        </w:rPr>
      </w:pPr>
      <w:r>
        <w:rPr>
          <w:rFonts w:hAnsi="宋体" w:cstheme="minorBidi"/>
          <w:highlight w:val="none"/>
        </w:rPr>
        <w:t>5.2.</w:t>
      </w:r>
      <w:r>
        <w:rPr>
          <w:rFonts w:hint="eastAsia" w:hAnsi="宋体" w:cstheme="minorBidi"/>
          <w:bCs w:val="0"/>
          <w:highlight w:val="none"/>
        </w:rPr>
        <w:t>5</w:t>
      </w:r>
      <w:r>
        <w:rPr>
          <w:rFonts w:hAnsi="宋体" w:cstheme="minorBidi"/>
          <w:highlight w:val="none"/>
        </w:rPr>
        <w:t>污染物排放</w:t>
      </w:r>
      <w:r>
        <w:rPr>
          <w:rFonts w:hAnsi="宋体"/>
          <w:highlight w:val="none"/>
        </w:rPr>
        <w:t>总量</w:t>
      </w:r>
    </w:p>
    <w:p>
      <w:pPr>
        <w:snapToGrid w:val="0"/>
        <w:ind w:firstLine="496"/>
        <w:rPr>
          <w:rFonts w:ascii="宋体" w:hAnsi="宋体" w:cstheme="minorBidi"/>
          <w:spacing w:val="4"/>
          <w:highlight w:val="none"/>
        </w:rPr>
      </w:pPr>
      <w:r>
        <w:rPr>
          <w:rFonts w:hint="eastAsia" w:ascii="宋体" w:hAnsi="宋体" w:cstheme="minorBidi"/>
          <w:spacing w:val="4"/>
          <w:highlight w:val="none"/>
        </w:rPr>
        <w:t>根据晋环发【2015】25号《山西省环境保护厅关于印发&lt;建设项目主要污染物排放总量核定办法&gt;的通知》，实施主要污染物排放总量核定的建设项目包括：《国民经济行业分类》（GB/T4754-2011）中采矿业、制造业、电力、燃气及水的生产和供应业，3个门类39个行业的企业。其他行业建设项目暂不需要核定主要污染物排放总量核定。</w:t>
      </w:r>
    </w:p>
    <w:p>
      <w:pPr>
        <w:snapToGrid w:val="0"/>
        <w:ind w:firstLine="496"/>
        <w:rPr>
          <w:rFonts w:ascii="宋体" w:hAnsi="宋体" w:cstheme="minorBidi"/>
          <w:spacing w:val="4"/>
          <w:highlight w:val="none"/>
        </w:rPr>
      </w:pPr>
      <w:r>
        <w:rPr>
          <w:rFonts w:hint="eastAsia" w:ascii="宋体" w:hAnsi="宋体" w:cstheme="minorBidi"/>
          <w:spacing w:val="4"/>
          <w:highlight w:val="none"/>
        </w:rPr>
        <w:t>本项目属于晋环发【2015】25号文中采矿业，故需要申请总量控制指标。</w:t>
      </w:r>
    </w:p>
    <w:p>
      <w:pPr>
        <w:snapToGrid w:val="0"/>
        <w:ind w:firstLine="496"/>
        <w:rPr>
          <w:rFonts w:ascii="宋体" w:hAnsi="宋体" w:cstheme="minorBidi"/>
          <w:spacing w:val="4"/>
          <w:highlight w:val="none"/>
        </w:rPr>
      </w:pPr>
      <w:r>
        <w:rPr>
          <w:rFonts w:hint="eastAsia" w:ascii="宋体" w:hAnsi="宋体" w:cstheme="minorBidi"/>
          <w:spacing w:val="4"/>
          <w:highlight w:val="none"/>
        </w:rPr>
        <w:t>本项目</w:t>
      </w:r>
      <w:r>
        <w:rPr>
          <w:rFonts w:ascii="宋体" w:hAnsi="宋体" w:cstheme="minorBidi"/>
          <w:spacing w:val="4"/>
          <w:highlight w:val="none"/>
        </w:rPr>
        <w:t>污染物排放量为：</w:t>
      </w:r>
      <w:r>
        <w:rPr>
          <w:rFonts w:hint="eastAsia" w:ascii="宋体" w:hAnsi="宋体" w:cstheme="minorBidi"/>
          <w:spacing w:val="4"/>
          <w:highlight w:val="none"/>
        </w:rPr>
        <w:t>粉尘2.808t/a。</w:t>
      </w:r>
    </w:p>
    <w:p>
      <w:pPr>
        <w:pStyle w:val="4"/>
        <w:ind w:firstLine="562"/>
        <w:rPr>
          <w:rFonts w:hAnsi="宋体"/>
          <w:highlight w:val="none"/>
        </w:rPr>
      </w:pPr>
      <w:r>
        <w:rPr>
          <w:rFonts w:hint="eastAsia" w:hAnsi="宋体"/>
          <w:highlight w:val="none"/>
        </w:rPr>
        <w:t>5.2.6大气环境影响评价结论</w:t>
      </w:r>
    </w:p>
    <w:p>
      <w:pPr>
        <w:pStyle w:val="62"/>
        <w:ind w:firstLine="480"/>
        <w:rPr>
          <w:rFonts w:hAnsi="宋体"/>
          <w:highlight w:val="none"/>
          <w:lang w:val="en-US"/>
        </w:rPr>
      </w:pPr>
      <w:r>
        <w:rPr>
          <w:rFonts w:hint="eastAsia" w:hAnsi="宋体"/>
          <w:highlight w:val="none"/>
          <w:lang w:val="en-US"/>
        </w:rPr>
        <w:t>本项目在严格按照环评要求的环保措施实施，各污染物均能达到达标排放，对当地的区域环境空气质量影响较小。从环境空气影响评价角度出发，本项目的建设是可行的。</w:t>
      </w:r>
    </w:p>
    <w:p>
      <w:pPr>
        <w:pStyle w:val="3"/>
        <w:ind w:firstLine="643"/>
        <w:rPr>
          <w:rFonts w:hAnsi="宋体"/>
          <w:highlight w:val="none"/>
        </w:rPr>
      </w:pPr>
      <w:bookmarkStart w:id="157" w:name="_Toc4678468"/>
      <w:bookmarkStart w:id="158" w:name="_Toc70201031"/>
      <w:r>
        <w:rPr>
          <w:rFonts w:hAnsi="宋体"/>
          <w:highlight w:val="none"/>
        </w:rPr>
        <w:t>5.3</w:t>
      </w:r>
      <w:r>
        <w:rPr>
          <w:rFonts w:hint="eastAsia" w:hAnsi="宋体"/>
          <w:highlight w:val="none"/>
        </w:rPr>
        <w:t>运营期</w:t>
      </w:r>
      <w:r>
        <w:rPr>
          <w:rFonts w:hAnsi="宋体"/>
          <w:highlight w:val="none"/>
        </w:rPr>
        <w:t>地下水环境影响</w:t>
      </w:r>
      <w:bookmarkEnd w:id="157"/>
      <w:r>
        <w:rPr>
          <w:rFonts w:hAnsi="宋体"/>
          <w:highlight w:val="none"/>
        </w:rPr>
        <w:t>预测与评价</w:t>
      </w:r>
      <w:bookmarkEnd w:id="158"/>
      <w:bookmarkStart w:id="159" w:name="_Toc4678473"/>
      <w:bookmarkStart w:id="160" w:name="_Toc70201032"/>
    </w:p>
    <w:p>
      <w:pPr>
        <w:pStyle w:val="4"/>
        <w:ind w:firstLine="562"/>
        <w:rPr>
          <w:rFonts w:hAnsi="宋体"/>
          <w:highlight w:val="none"/>
        </w:rPr>
      </w:pPr>
      <w:bookmarkStart w:id="161" w:name="_Toc22755095"/>
      <w:bookmarkStart w:id="162" w:name="_Toc366482320"/>
      <w:bookmarkStart w:id="163" w:name="_Toc323985006"/>
      <w:bookmarkStart w:id="164" w:name="_Toc333505496"/>
      <w:r>
        <w:rPr>
          <w:rFonts w:hint="eastAsia" w:hAnsi="宋体"/>
          <w:highlight w:val="none"/>
        </w:rPr>
        <w:t>5.3.1项目区地质环境条件</w:t>
      </w:r>
      <w:bookmarkEnd w:id="161"/>
      <w:bookmarkEnd w:id="162"/>
      <w:bookmarkEnd w:id="163"/>
      <w:bookmarkEnd w:id="164"/>
    </w:p>
    <w:p>
      <w:pPr>
        <w:pStyle w:val="62"/>
        <w:ind w:firstLine="480"/>
        <w:rPr>
          <w:highlight w:val="none"/>
        </w:rPr>
      </w:pPr>
      <w:bookmarkStart w:id="165" w:name="_Toc22755096"/>
      <w:r>
        <w:rPr>
          <w:rFonts w:hint="eastAsia"/>
          <w:highlight w:val="none"/>
        </w:rPr>
        <w:t>5.3.1.1区域地质与水文地质</w:t>
      </w:r>
      <w:bookmarkEnd w:id="165"/>
    </w:p>
    <w:p>
      <w:pPr>
        <w:pStyle w:val="62"/>
        <w:ind w:firstLine="480"/>
        <w:rPr>
          <w:highlight w:val="none"/>
        </w:rPr>
      </w:pPr>
      <w:bookmarkStart w:id="166" w:name="_Toc509844303"/>
      <w:bookmarkStart w:id="167" w:name="_Toc22755097"/>
      <w:bookmarkStart w:id="168" w:name="_Toc500749437"/>
      <w:bookmarkStart w:id="169" w:name="_Toc509476042"/>
      <w:bookmarkStart w:id="170" w:name="_Toc518318382"/>
      <w:bookmarkStart w:id="171" w:name="_Toc524420993"/>
      <w:bookmarkStart w:id="172" w:name="_Toc467163621"/>
      <w:bookmarkStart w:id="173" w:name="_Toc467592215"/>
      <w:r>
        <w:rPr>
          <w:rFonts w:hint="eastAsia"/>
          <w:highlight w:val="none"/>
        </w:rPr>
        <w:t>1、区域地层</w:t>
      </w:r>
      <w:bookmarkEnd w:id="166"/>
      <w:bookmarkEnd w:id="167"/>
      <w:bookmarkEnd w:id="168"/>
      <w:bookmarkEnd w:id="169"/>
      <w:bookmarkEnd w:id="170"/>
      <w:bookmarkEnd w:id="171"/>
      <w:bookmarkEnd w:id="172"/>
      <w:bookmarkEnd w:id="173"/>
    </w:p>
    <w:p>
      <w:pPr>
        <w:pStyle w:val="62"/>
        <w:ind w:firstLine="480"/>
        <w:rPr>
          <w:bCs/>
          <w:szCs w:val="21"/>
          <w:highlight w:val="none"/>
        </w:rPr>
      </w:pPr>
      <w:r>
        <w:rPr>
          <w:bCs/>
          <w:szCs w:val="21"/>
          <w:highlight w:val="none"/>
        </w:rPr>
        <w:t>繁峙县境内出露地层以上太古界五台系为主，其次为中太古界，下古生界和新生界。自繁峙县南部往北逐渐变新，分述如下：</w:t>
      </w:r>
    </w:p>
    <w:p>
      <w:pPr>
        <w:pStyle w:val="62"/>
        <w:ind w:firstLine="480"/>
        <w:rPr>
          <w:bCs/>
          <w:szCs w:val="21"/>
          <w:highlight w:val="none"/>
        </w:rPr>
      </w:pPr>
      <w:r>
        <w:rPr>
          <w:bCs/>
          <w:szCs w:val="21"/>
          <w:highlight w:val="none"/>
        </w:rPr>
        <w:t>（1）太古界</w:t>
      </w:r>
    </w:p>
    <w:p>
      <w:pPr>
        <w:pStyle w:val="62"/>
        <w:ind w:firstLine="480"/>
        <w:rPr>
          <w:bCs/>
          <w:szCs w:val="21"/>
          <w:highlight w:val="none"/>
        </w:rPr>
      </w:pPr>
      <w:r>
        <w:rPr>
          <w:rFonts w:hint="eastAsia" w:hAnsi="宋体" w:cs="宋体"/>
          <w:bCs/>
          <w:szCs w:val="21"/>
          <w:highlight w:val="none"/>
        </w:rPr>
        <w:t>①</w:t>
      </w:r>
      <w:r>
        <w:rPr>
          <w:bCs/>
          <w:szCs w:val="21"/>
          <w:highlight w:val="none"/>
        </w:rPr>
        <w:t>中太古界</w:t>
      </w:r>
    </w:p>
    <w:p>
      <w:pPr>
        <w:pStyle w:val="62"/>
        <w:ind w:firstLine="480"/>
        <w:rPr>
          <w:bCs/>
          <w:szCs w:val="21"/>
          <w:highlight w:val="none"/>
        </w:rPr>
      </w:pPr>
      <w:r>
        <w:rPr>
          <w:bCs/>
          <w:szCs w:val="21"/>
          <w:highlight w:val="none"/>
        </w:rPr>
        <w:t>中太古界为山西省最古老的地层，阜平群及龙泉关群二者呈北东向分布于本县东南端，这套地层由片麻岩、少量浅粒岩、大量岩、斜长角闪岩、磁铁石英岩组成。一般以含石墨、蛇纹石、金云母等粗结晶</w:t>
      </w:r>
      <w:r>
        <w:rPr>
          <w:rFonts w:hint="eastAsia"/>
          <w:bCs/>
          <w:szCs w:val="21"/>
          <w:highlight w:val="none"/>
        </w:rPr>
        <w:t>白云岩</w:t>
      </w:r>
      <w:r>
        <w:rPr>
          <w:bCs/>
          <w:szCs w:val="21"/>
          <w:highlight w:val="none"/>
        </w:rPr>
        <w:t>大理岩的特征。</w:t>
      </w:r>
    </w:p>
    <w:p>
      <w:pPr>
        <w:pStyle w:val="62"/>
        <w:ind w:firstLine="480"/>
        <w:rPr>
          <w:bCs/>
          <w:szCs w:val="21"/>
          <w:highlight w:val="none"/>
        </w:rPr>
      </w:pPr>
      <w:r>
        <w:rPr>
          <w:rFonts w:hint="eastAsia" w:hAnsi="宋体" w:cs="宋体"/>
          <w:bCs/>
          <w:szCs w:val="21"/>
          <w:highlight w:val="none"/>
        </w:rPr>
        <w:t>②</w:t>
      </w:r>
      <w:r>
        <w:rPr>
          <w:bCs/>
          <w:szCs w:val="21"/>
          <w:highlight w:val="none"/>
        </w:rPr>
        <w:t>上太古界</w:t>
      </w:r>
    </w:p>
    <w:p>
      <w:pPr>
        <w:pStyle w:val="62"/>
        <w:ind w:firstLine="480"/>
        <w:rPr>
          <w:bCs/>
          <w:szCs w:val="21"/>
          <w:highlight w:val="none"/>
        </w:rPr>
      </w:pPr>
      <w:r>
        <w:rPr>
          <w:bCs/>
          <w:szCs w:val="21"/>
          <w:highlight w:val="none"/>
        </w:rPr>
        <w:t>上太古界五台系以恒山</w:t>
      </w:r>
      <w:r>
        <w:rPr>
          <w:rFonts w:hint="eastAsia"/>
          <w:bCs/>
          <w:szCs w:val="21"/>
          <w:highlight w:val="none"/>
        </w:rPr>
        <w:t>-</w:t>
      </w:r>
      <w:r>
        <w:rPr>
          <w:bCs/>
          <w:szCs w:val="21"/>
          <w:highlight w:val="none"/>
        </w:rPr>
        <w:t>五台山</w:t>
      </w:r>
      <w:r>
        <w:rPr>
          <w:rFonts w:hint="eastAsia"/>
          <w:bCs/>
          <w:szCs w:val="21"/>
          <w:highlight w:val="none"/>
        </w:rPr>
        <w:t>-</w:t>
      </w:r>
      <w:r>
        <w:rPr>
          <w:bCs/>
          <w:szCs w:val="21"/>
          <w:highlight w:val="none"/>
        </w:rPr>
        <w:t>云中山的五台群为代表，包括石咀亚群和台怀亚群，主要是一套由火山岩，沉积岩经变质而形成的片麻岩、变粒岩、石英岩、各类片岩、磁铁石英岩、角闪岩及大理岩组成。与下状中太古界地层呈不整合接触。</w:t>
      </w:r>
    </w:p>
    <w:p>
      <w:pPr>
        <w:pStyle w:val="62"/>
        <w:ind w:firstLine="480"/>
        <w:rPr>
          <w:bCs/>
          <w:szCs w:val="21"/>
          <w:highlight w:val="none"/>
        </w:rPr>
      </w:pPr>
      <w:r>
        <w:rPr>
          <w:bCs/>
          <w:szCs w:val="21"/>
          <w:highlight w:val="none"/>
        </w:rPr>
        <w:t>滹沱河以北义头寨</w:t>
      </w:r>
      <w:r>
        <w:rPr>
          <w:rFonts w:hint="eastAsia"/>
          <w:bCs/>
          <w:szCs w:val="21"/>
          <w:highlight w:val="none"/>
        </w:rPr>
        <w:t>-</w:t>
      </w:r>
      <w:r>
        <w:rPr>
          <w:bCs/>
          <w:szCs w:val="21"/>
          <w:highlight w:val="none"/>
        </w:rPr>
        <w:t>柏家庄</w:t>
      </w:r>
      <w:r>
        <w:rPr>
          <w:rFonts w:hint="eastAsia"/>
          <w:bCs/>
          <w:szCs w:val="21"/>
          <w:highlight w:val="none"/>
        </w:rPr>
        <w:t>-</w:t>
      </w:r>
      <w:r>
        <w:rPr>
          <w:bCs/>
          <w:szCs w:val="21"/>
          <w:highlight w:val="none"/>
        </w:rPr>
        <w:t>带也为大片上太古界五台系石咀亚群金刚库组、庄旺组和恒山杂岩分布区。</w:t>
      </w:r>
    </w:p>
    <w:p>
      <w:pPr>
        <w:pStyle w:val="62"/>
        <w:ind w:firstLine="480"/>
        <w:rPr>
          <w:bCs/>
          <w:szCs w:val="21"/>
          <w:highlight w:val="none"/>
        </w:rPr>
      </w:pPr>
      <w:r>
        <w:rPr>
          <w:bCs/>
          <w:szCs w:val="21"/>
          <w:highlight w:val="none"/>
        </w:rPr>
        <w:t>（2）元古界</w:t>
      </w:r>
    </w:p>
    <w:p>
      <w:pPr>
        <w:pStyle w:val="62"/>
        <w:ind w:firstLine="480"/>
        <w:rPr>
          <w:bCs/>
          <w:szCs w:val="21"/>
          <w:highlight w:val="none"/>
        </w:rPr>
      </w:pPr>
      <w:r>
        <w:rPr>
          <w:rFonts w:hint="eastAsia" w:hAnsi="宋体" w:cs="宋体"/>
          <w:bCs/>
          <w:szCs w:val="21"/>
          <w:highlight w:val="none"/>
        </w:rPr>
        <w:t>①</w:t>
      </w:r>
      <w:r>
        <w:rPr>
          <w:bCs/>
          <w:szCs w:val="21"/>
          <w:highlight w:val="none"/>
        </w:rPr>
        <w:t>下元古界</w:t>
      </w:r>
    </w:p>
    <w:p>
      <w:pPr>
        <w:pStyle w:val="62"/>
        <w:ind w:firstLine="480"/>
        <w:rPr>
          <w:highlight w:val="none"/>
        </w:rPr>
      </w:pPr>
      <w:r>
        <w:rPr>
          <w:highlight w:val="none"/>
        </w:rPr>
        <w:t>下元古界滹沱群为一套浅变质岩系，分布于县西南中台、西台附近。主要由变质砾岩、石英岩、千枚岩、结晶白云岩组成，夹有变质基性火山岩。岩石变质程度较低，一般为板岩至绿片岩相。下元古界可分为三个部分；下部以碎屑岩一碳酸盐岩组成；中部以碳酸盐岩为主，上部主要由变质砾岩、长石石英岩、板岩或千枚岩组成。</w:t>
      </w:r>
    </w:p>
    <w:p>
      <w:pPr>
        <w:pStyle w:val="62"/>
        <w:ind w:firstLine="480"/>
        <w:rPr>
          <w:highlight w:val="none"/>
        </w:rPr>
      </w:pPr>
      <w:r>
        <w:rPr>
          <w:rFonts w:hint="eastAsia"/>
          <w:highlight w:val="none"/>
        </w:rPr>
        <w:t>②</w:t>
      </w:r>
      <w:r>
        <w:rPr>
          <w:highlight w:val="none"/>
        </w:rPr>
        <w:t>中元古界</w:t>
      </w:r>
    </w:p>
    <w:p>
      <w:pPr>
        <w:pStyle w:val="62"/>
        <w:ind w:firstLine="480"/>
        <w:rPr>
          <w:highlight w:val="none"/>
        </w:rPr>
      </w:pPr>
      <w:r>
        <w:rPr>
          <w:highlight w:val="none"/>
        </w:rPr>
        <w:t>中元古界不整合于不同时代的变质岩系之上，自下而上可分为长城系和蓟县系。五台山发育有长城系高于庄组，岩性以含遂石结构及条带白云岩为主，底部为石英砂岩。</w:t>
      </w:r>
    </w:p>
    <w:p>
      <w:pPr>
        <w:pStyle w:val="62"/>
        <w:ind w:firstLine="480"/>
        <w:rPr>
          <w:highlight w:val="none"/>
        </w:rPr>
      </w:pPr>
      <w:r>
        <w:rPr>
          <w:highlight w:val="none"/>
        </w:rPr>
        <w:t>（3）古生界</w:t>
      </w:r>
    </w:p>
    <w:p>
      <w:pPr>
        <w:pStyle w:val="62"/>
        <w:ind w:firstLine="480"/>
        <w:rPr>
          <w:highlight w:val="none"/>
        </w:rPr>
      </w:pPr>
      <w:r>
        <w:rPr>
          <w:highlight w:val="none"/>
        </w:rPr>
        <w:t>下古生界寒武系、奥陶系地层分布于滹沱河以南南峪口、小柏峪、宽滩和岩头一带。</w:t>
      </w:r>
    </w:p>
    <w:p>
      <w:pPr>
        <w:pStyle w:val="62"/>
        <w:ind w:firstLine="480"/>
        <w:rPr>
          <w:highlight w:val="none"/>
        </w:rPr>
      </w:pPr>
      <w:r>
        <w:rPr>
          <w:rFonts w:hint="eastAsia" w:hAnsi="宋体" w:cs="宋体"/>
          <w:highlight w:val="none"/>
        </w:rPr>
        <w:t>①</w:t>
      </w:r>
      <w:r>
        <w:rPr>
          <w:highlight w:val="none"/>
        </w:rPr>
        <w:t>寒武系</w:t>
      </w:r>
    </w:p>
    <w:p>
      <w:pPr>
        <w:pStyle w:val="62"/>
        <w:ind w:firstLine="480"/>
        <w:rPr>
          <w:highlight w:val="none"/>
        </w:rPr>
      </w:pPr>
      <w:r>
        <w:rPr>
          <w:highlight w:val="none"/>
        </w:rPr>
        <w:t>以碳酸盐岩、泥质岩相沉积为主。下统以砂岩、页岩、泥灰岩为主，中统的下部由碎屑岩及碳酸岩组成；中部为紫红色页岩夹灰岩；上部为石灰岩、鲕状灰岩。</w:t>
      </w:r>
    </w:p>
    <w:p>
      <w:pPr>
        <w:pStyle w:val="62"/>
        <w:ind w:firstLine="480"/>
        <w:rPr>
          <w:highlight w:val="none"/>
        </w:rPr>
      </w:pPr>
      <w:r>
        <w:rPr>
          <w:highlight w:val="none"/>
        </w:rPr>
        <w:t>上统的下部为薄层泥质条带灰岩、竹叶状灰岩：中部为竹叶状灰岩或页岩，上部为白云岩、白云质灰岩。</w:t>
      </w:r>
    </w:p>
    <w:p>
      <w:pPr>
        <w:pStyle w:val="62"/>
        <w:ind w:firstLine="480"/>
        <w:rPr>
          <w:highlight w:val="none"/>
        </w:rPr>
      </w:pPr>
      <w:r>
        <w:rPr>
          <w:rFonts w:hint="eastAsia" w:hAnsi="宋体" w:cs="宋体"/>
          <w:highlight w:val="none"/>
        </w:rPr>
        <w:t>②</w:t>
      </w:r>
      <w:r>
        <w:rPr>
          <w:highlight w:val="none"/>
        </w:rPr>
        <w:t>奥陶系</w:t>
      </w:r>
    </w:p>
    <w:p>
      <w:pPr>
        <w:pStyle w:val="62"/>
        <w:ind w:firstLine="480"/>
        <w:rPr>
          <w:highlight w:val="none"/>
        </w:rPr>
      </w:pPr>
      <w:r>
        <w:rPr>
          <w:highlight w:val="none"/>
        </w:rPr>
        <w:t>以碳酸盐类沉积为主，富含动物化石，一般厚400</w:t>
      </w:r>
      <w:r>
        <w:rPr>
          <w:kern w:val="0"/>
          <w:szCs w:val="21"/>
          <w:highlight w:val="none"/>
        </w:rPr>
        <w:t>～</w:t>
      </w:r>
      <w:r>
        <w:rPr>
          <w:highlight w:val="none"/>
        </w:rPr>
        <w:t>500m。</w:t>
      </w:r>
    </w:p>
    <w:p>
      <w:pPr>
        <w:pStyle w:val="62"/>
        <w:ind w:firstLine="480"/>
        <w:rPr>
          <w:highlight w:val="none"/>
        </w:rPr>
      </w:pPr>
      <w:r>
        <w:rPr>
          <w:highlight w:val="none"/>
        </w:rPr>
        <w:t>下统以白云岩，含燧石条带或结核白云岩为主，底部为黄绿色页岩为薄层白云岩。</w:t>
      </w:r>
    </w:p>
    <w:p>
      <w:pPr>
        <w:pStyle w:val="62"/>
        <w:ind w:firstLine="480"/>
        <w:rPr>
          <w:highlight w:val="none"/>
        </w:rPr>
      </w:pPr>
      <w:r>
        <w:rPr>
          <w:highlight w:val="none"/>
        </w:rPr>
        <w:t>中统下部（下马家沟组）为砂砾岩、页岩、角砾状灰岩；中部（上马家沟组）以灰岩、豹皮灰岩为主，含石膏；下部（峰峰组）为白云质泥灰岩含石膏，夹厚层灰岩及质地较纯的灰岩。</w:t>
      </w:r>
    </w:p>
    <w:p>
      <w:pPr>
        <w:pStyle w:val="62"/>
        <w:ind w:firstLine="480"/>
        <w:rPr>
          <w:highlight w:val="none"/>
        </w:rPr>
      </w:pPr>
      <w:r>
        <w:rPr>
          <w:highlight w:val="none"/>
        </w:rPr>
        <w:t>（4）新生界</w:t>
      </w:r>
    </w:p>
    <w:p>
      <w:pPr>
        <w:pStyle w:val="62"/>
        <w:ind w:firstLine="480"/>
        <w:rPr>
          <w:highlight w:val="none"/>
        </w:rPr>
      </w:pPr>
      <w:r>
        <w:rPr>
          <w:rFonts w:hint="eastAsia" w:hAnsi="宋体" w:cs="宋体"/>
          <w:highlight w:val="none"/>
        </w:rPr>
        <w:t>①</w:t>
      </w:r>
      <w:r>
        <w:rPr>
          <w:highlight w:val="none"/>
        </w:rPr>
        <w:t>第三系</w:t>
      </w:r>
    </w:p>
    <w:p>
      <w:pPr>
        <w:pStyle w:val="62"/>
        <w:ind w:firstLine="480"/>
        <w:rPr>
          <w:highlight w:val="none"/>
        </w:rPr>
      </w:pPr>
      <w:r>
        <w:rPr>
          <w:highlight w:val="none"/>
        </w:rPr>
        <w:t>下第三系玄武岩，分布于县城以北，出露面积550km</w:t>
      </w:r>
      <w:r>
        <w:rPr>
          <w:highlight w:val="none"/>
          <w:vertAlign w:val="superscript"/>
        </w:rPr>
        <w:t>2</w:t>
      </w:r>
      <w:r>
        <w:rPr>
          <w:highlight w:val="none"/>
        </w:rPr>
        <w:t>，厚800m。玄武岩微向滹沱河谷倾斜，最大倾角小于15°，</w:t>
      </w:r>
      <w:r>
        <w:rPr>
          <w:rFonts w:hint="eastAsia"/>
          <w:highlight w:val="none"/>
        </w:rPr>
        <w:t>熔岩</w:t>
      </w:r>
      <w:r>
        <w:rPr>
          <w:highlight w:val="none"/>
        </w:rPr>
        <w:t>为灰、黑色租玄武岩、橄榄粗玄武岩夹中细粒橄榄玄武岩。具多韵律、多旋回的层状构造，其间有数个玄武岩喷发间断风化面，其气孔上部小而多，下部大而少，并常见烘烤现象。</w:t>
      </w:r>
    </w:p>
    <w:p>
      <w:pPr>
        <w:pStyle w:val="62"/>
        <w:ind w:firstLine="480"/>
        <w:rPr>
          <w:highlight w:val="none"/>
        </w:rPr>
      </w:pPr>
      <w:r>
        <w:rPr>
          <w:highlight w:val="none"/>
        </w:rPr>
        <w:t>上第三系广泛分布于盆地深部，以褐红色粘性为主，夹薄层砂砾石层，这山为残积相红土。</w:t>
      </w:r>
    </w:p>
    <w:p>
      <w:pPr>
        <w:pStyle w:val="62"/>
        <w:ind w:firstLine="480"/>
        <w:rPr>
          <w:highlight w:val="none"/>
        </w:rPr>
      </w:pPr>
      <w:r>
        <w:rPr>
          <w:rFonts w:hint="eastAsia"/>
          <w:highlight w:val="none"/>
        </w:rPr>
        <w:t>②</w:t>
      </w:r>
      <w:r>
        <w:rPr>
          <w:highlight w:val="none"/>
        </w:rPr>
        <w:t>第四系</w:t>
      </w:r>
    </w:p>
    <w:p>
      <w:pPr>
        <w:pStyle w:val="62"/>
        <w:ind w:firstLine="480"/>
        <w:rPr>
          <w:highlight w:val="none"/>
        </w:rPr>
      </w:pPr>
      <w:r>
        <w:rPr>
          <w:highlight w:val="none"/>
        </w:rPr>
        <w:t>分布在山间河谷及滹沱河断陷盆地内，成因类型多，成分复杂。</w:t>
      </w:r>
    </w:p>
    <w:p>
      <w:pPr>
        <w:pStyle w:val="62"/>
        <w:ind w:firstLine="480"/>
        <w:rPr>
          <w:highlight w:val="none"/>
        </w:rPr>
      </w:pPr>
      <w:r>
        <w:rPr>
          <w:highlight w:val="none"/>
        </w:rPr>
        <w:t>a、下更新统：</w:t>
      </w:r>
    </w:p>
    <w:p>
      <w:pPr>
        <w:pStyle w:val="62"/>
        <w:ind w:firstLine="480"/>
        <w:rPr>
          <w:highlight w:val="none"/>
        </w:rPr>
      </w:pPr>
      <w:r>
        <w:rPr>
          <w:highlight w:val="none"/>
        </w:rPr>
        <w:t>在山区沟谷中零星出露，主要岩相为河湖相和冲洪积相。下部为砂卵石层，上部为砂质黄土夹薄层砂砾石透镜体。盆地中埋深50～120m，岩性为洪积的砂、卵砾石。</w:t>
      </w:r>
    </w:p>
    <w:p>
      <w:pPr>
        <w:pStyle w:val="62"/>
        <w:ind w:firstLine="480"/>
        <w:rPr>
          <w:highlight w:val="none"/>
        </w:rPr>
      </w:pPr>
      <w:r>
        <w:rPr>
          <w:highlight w:val="none"/>
        </w:rPr>
        <w:t>b、中更新统</w:t>
      </w:r>
    </w:p>
    <w:p>
      <w:pPr>
        <w:pStyle w:val="62"/>
        <w:ind w:firstLine="480"/>
        <w:rPr>
          <w:highlight w:val="none"/>
        </w:rPr>
      </w:pPr>
      <w:r>
        <w:rPr>
          <w:highlight w:val="none"/>
        </w:rPr>
        <w:t>在黄土丘陵区沟谷中出露，盆地区广泛分布。属冲积及洪积相成因，厚度20</w:t>
      </w:r>
      <w:r>
        <w:rPr>
          <w:kern w:val="0"/>
          <w:szCs w:val="21"/>
          <w:highlight w:val="none"/>
        </w:rPr>
        <w:t>～</w:t>
      </w:r>
      <w:r>
        <w:rPr>
          <w:highlight w:val="none"/>
        </w:rPr>
        <w:t>90m。洪积相成因地层在洪积扇轴部以卵砾石为主，扇间洼地为亚砂土夹古土壤层；洪积层沿滹沱河</w:t>
      </w:r>
      <w:r>
        <w:rPr>
          <w:rFonts w:hint="eastAsia"/>
          <w:highlight w:val="none"/>
        </w:rPr>
        <w:t>两岸</w:t>
      </w:r>
      <w:r>
        <w:rPr>
          <w:highlight w:val="none"/>
        </w:rPr>
        <w:t>分布，岩性为砂、卵砾。盆地中埋深20</w:t>
      </w:r>
      <w:r>
        <w:rPr>
          <w:kern w:val="0"/>
          <w:szCs w:val="21"/>
          <w:highlight w:val="none"/>
        </w:rPr>
        <w:t>～</w:t>
      </w:r>
      <w:r>
        <w:rPr>
          <w:highlight w:val="none"/>
        </w:rPr>
        <w:t>50m。</w:t>
      </w:r>
    </w:p>
    <w:p>
      <w:pPr>
        <w:pStyle w:val="62"/>
        <w:ind w:firstLine="480"/>
        <w:rPr>
          <w:highlight w:val="none"/>
        </w:rPr>
      </w:pPr>
      <w:r>
        <w:rPr>
          <w:highlight w:val="none"/>
        </w:rPr>
        <w:t>盆地广泛分布。成因类型为坡洪积、洪积相。总厚30</w:t>
      </w:r>
      <w:r>
        <w:rPr>
          <w:kern w:val="0"/>
          <w:szCs w:val="21"/>
          <w:highlight w:val="none"/>
        </w:rPr>
        <w:t>～</w:t>
      </w:r>
      <w:r>
        <w:rPr>
          <w:highlight w:val="none"/>
        </w:rPr>
        <w:t>40m。坡洪积层分布在黄土丘陵区顶部与山间沟谷两侧，岩性为粉土质亚砂土，垂直节理发育；洪积层主要发育在洪积扇区，岩性为亚砂土、亚</w:t>
      </w:r>
      <w:r>
        <w:rPr>
          <w:rFonts w:hint="eastAsia"/>
          <w:highlight w:val="none"/>
        </w:rPr>
        <w:t>粘土</w:t>
      </w:r>
      <w:r>
        <w:rPr>
          <w:highlight w:val="none"/>
        </w:rPr>
        <w:t>．夹卵砾石层；冲积层分布在滹宽经河</w:t>
      </w:r>
      <w:r>
        <w:rPr>
          <w:rFonts w:hint="eastAsia"/>
          <w:highlight w:val="none"/>
        </w:rPr>
        <w:t>两岸</w:t>
      </w:r>
      <w:r>
        <w:rPr>
          <w:highlight w:val="none"/>
        </w:rPr>
        <w:t>地带与洪积层交替沉积，岩性为亚砂土夹中细砂。</w:t>
      </w:r>
    </w:p>
    <w:p>
      <w:pPr>
        <w:pStyle w:val="62"/>
        <w:ind w:firstLine="480"/>
        <w:rPr>
          <w:highlight w:val="none"/>
        </w:rPr>
      </w:pPr>
      <w:r>
        <w:rPr>
          <w:highlight w:val="none"/>
        </w:rPr>
        <w:t>c、全新统</w:t>
      </w:r>
    </w:p>
    <w:p>
      <w:pPr>
        <w:pStyle w:val="62"/>
        <w:ind w:firstLine="480"/>
        <w:rPr>
          <w:rFonts w:hAnsi="宋体"/>
          <w:highlight w:val="none"/>
        </w:rPr>
      </w:pPr>
      <w:r>
        <w:rPr>
          <w:kern w:val="0"/>
          <w:highlight w:val="none"/>
        </w:rPr>
        <w:t>呈条带状分布于滹沱河及倾斜平原的沟谷中，厚度较小，为l</w:t>
      </w:r>
      <w:r>
        <w:rPr>
          <w:kern w:val="0"/>
          <w:szCs w:val="21"/>
          <w:highlight w:val="none"/>
        </w:rPr>
        <w:t>～</w:t>
      </w:r>
      <w:r>
        <w:rPr>
          <w:kern w:val="0"/>
          <w:highlight w:val="none"/>
        </w:rPr>
        <w:t>l0m，成因类型为冲积物及洪积物。</w:t>
      </w:r>
    </w:p>
    <w:p>
      <w:pPr>
        <w:pStyle w:val="62"/>
        <w:ind w:firstLine="480"/>
        <w:rPr>
          <w:rFonts w:ascii="仿宋_GB2312" w:eastAsia="仿宋_GB2312"/>
          <w:highlight w:val="none"/>
        </w:rPr>
      </w:pPr>
      <w:bookmarkStart w:id="174" w:name="_Toc467163622"/>
      <w:bookmarkStart w:id="175" w:name="_Toc524420994"/>
      <w:bookmarkStart w:id="176" w:name="_Toc509844304"/>
      <w:bookmarkStart w:id="177" w:name="_Toc22755098"/>
      <w:bookmarkStart w:id="178" w:name="_Toc509476043"/>
      <w:bookmarkStart w:id="179" w:name="_Toc500749438"/>
      <w:bookmarkStart w:id="180" w:name="_Toc518318383"/>
      <w:bookmarkStart w:id="181" w:name="_Toc467592216"/>
      <w:r>
        <w:rPr>
          <w:rFonts w:hint="eastAsia"/>
          <w:highlight w:val="none"/>
        </w:rPr>
        <w:t>2、区域构造</w:t>
      </w:r>
      <w:bookmarkEnd w:id="174"/>
      <w:bookmarkEnd w:id="175"/>
      <w:bookmarkEnd w:id="176"/>
      <w:bookmarkEnd w:id="177"/>
      <w:bookmarkEnd w:id="178"/>
      <w:bookmarkEnd w:id="179"/>
      <w:bookmarkEnd w:id="180"/>
      <w:bookmarkEnd w:id="181"/>
    </w:p>
    <w:p>
      <w:pPr>
        <w:pStyle w:val="62"/>
        <w:ind w:firstLine="480"/>
        <w:rPr>
          <w:highlight w:val="none"/>
        </w:rPr>
      </w:pPr>
      <w:bookmarkStart w:id="182" w:name="_Toc374709291"/>
      <w:bookmarkStart w:id="183" w:name="_Toc374709553"/>
      <w:bookmarkStart w:id="184" w:name="_Toc453594021"/>
      <w:bookmarkStart w:id="185" w:name="_Toc454288990"/>
      <w:bookmarkStart w:id="186" w:name="_Toc426559833"/>
      <w:bookmarkStart w:id="187" w:name="_Toc372208432"/>
      <w:bookmarkStart w:id="188" w:name="_Toc372208234"/>
      <w:r>
        <w:rPr>
          <w:rFonts w:hint="eastAsia"/>
          <w:highlight w:val="none"/>
        </w:rPr>
        <w:t>滹沱河阶地，为新生界第四系黄土覆盖。两边丘陵区系新生界第四系地层。</w:t>
      </w:r>
    </w:p>
    <w:p>
      <w:pPr>
        <w:pStyle w:val="62"/>
        <w:ind w:firstLine="480"/>
        <w:rPr>
          <w:highlight w:val="none"/>
        </w:rPr>
      </w:pPr>
      <w:r>
        <w:rPr>
          <w:rFonts w:hint="eastAsia"/>
          <w:highlight w:val="none"/>
        </w:rPr>
        <w:t>北部山区角峪河流域出露的基岩全部为五台群变质岩（A</w:t>
      </w:r>
      <w:r>
        <w:rPr>
          <w:rFonts w:hint="eastAsia"/>
          <w:highlight w:val="none"/>
          <w:vertAlign w:val="subscript"/>
        </w:rPr>
        <w:t>W</w:t>
      </w:r>
      <w:r>
        <w:rPr>
          <w:rFonts w:hint="eastAsia"/>
          <w:highlight w:val="none"/>
        </w:rPr>
        <w:t>），新生界地区角度不整合与其上。新生界地层，计有下更新统（Q</w:t>
      </w:r>
      <w:r>
        <w:rPr>
          <w:rFonts w:hint="eastAsia"/>
          <w:highlight w:val="none"/>
          <w:vertAlign w:val="subscript"/>
        </w:rPr>
        <w:t>1</w:t>
      </w:r>
      <w:r>
        <w:rPr>
          <w:rFonts w:hint="eastAsia"/>
          <w:highlight w:val="none"/>
        </w:rPr>
        <w:t>）、中更新统（Q</w:t>
      </w:r>
      <w:r>
        <w:rPr>
          <w:rFonts w:hint="eastAsia"/>
          <w:highlight w:val="none"/>
          <w:vertAlign w:val="subscript"/>
        </w:rPr>
        <w:t>2</w:t>
      </w:r>
      <w:r>
        <w:rPr>
          <w:rFonts w:hint="eastAsia"/>
          <w:highlight w:val="none"/>
        </w:rPr>
        <w:t>）、上更新统（Q</w:t>
      </w:r>
      <w:r>
        <w:rPr>
          <w:rFonts w:hint="eastAsia"/>
          <w:highlight w:val="none"/>
          <w:vertAlign w:val="subscript"/>
        </w:rPr>
        <w:t>3</w:t>
      </w:r>
      <w:r>
        <w:rPr>
          <w:rFonts w:hint="eastAsia"/>
          <w:highlight w:val="none"/>
        </w:rPr>
        <w:t>）、全新统（Q</w:t>
      </w:r>
      <w:r>
        <w:rPr>
          <w:rFonts w:hint="eastAsia"/>
          <w:highlight w:val="none"/>
          <w:vertAlign w:val="subscript"/>
        </w:rPr>
        <w:t>4</w:t>
      </w:r>
      <w:r>
        <w:rPr>
          <w:rFonts w:hint="eastAsia"/>
          <w:highlight w:val="none"/>
        </w:rPr>
        <w:t>）均呈不整合接触关系。其中下更新统分布较局限。仅残存于义兴寨至上角峪一带的半山上，并为中、上更新统所覆盖，为现代沟谷所分割。而上更新统的黄土则在侧区内分布。</w:t>
      </w:r>
    </w:p>
    <w:p>
      <w:pPr>
        <w:pStyle w:val="62"/>
        <w:ind w:firstLine="480"/>
        <w:rPr>
          <w:highlight w:val="none"/>
        </w:rPr>
      </w:pPr>
      <w:bookmarkStart w:id="189" w:name="_Toc22755099"/>
      <w:bookmarkStart w:id="190" w:name="_Toc524420995"/>
      <w:bookmarkStart w:id="191" w:name="_Toc509476044"/>
      <w:bookmarkStart w:id="192" w:name="_Toc509844305"/>
      <w:bookmarkStart w:id="193" w:name="_Toc518318384"/>
      <w:bookmarkStart w:id="194" w:name="_Toc500749439"/>
      <w:bookmarkStart w:id="195" w:name="_Toc467592218"/>
      <w:r>
        <w:rPr>
          <w:rFonts w:hint="eastAsia"/>
          <w:highlight w:val="none"/>
        </w:rPr>
        <w:t>3、区域水文地质条件</w:t>
      </w:r>
      <w:bookmarkEnd w:id="189"/>
      <w:bookmarkEnd w:id="190"/>
      <w:bookmarkEnd w:id="191"/>
      <w:bookmarkEnd w:id="192"/>
      <w:bookmarkEnd w:id="193"/>
      <w:bookmarkEnd w:id="194"/>
      <w:bookmarkEnd w:id="195"/>
    </w:p>
    <w:p>
      <w:pPr>
        <w:pStyle w:val="62"/>
        <w:ind w:firstLine="480"/>
        <w:rPr>
          <w:highlight w:val="none"/>
        </w:rPr>
      </w:pPr>
      <w:r>
        <w:rPr>
          <w:rFonts w:hint="eastAsia"/>
          <w:highlight w:val="none"/>
        </w:rPr>
        <w:t>根据地下水赋存条件、水理性质及水力特征，项目区域地下水类型主要为松散岩类孔隙水和变质岩类裂隙水。</w:t>
      </w:r>
    </w:p>
    <w:p>
      <w:pPr>
        <w:pStyle w:val="62"/>
        <w:ind w:firstLine="480"/>
        <w:rPr>
          <w:highlight w:val="none"/>
        </w:rPr>
      </w:pPr>
      <w:r>
        <w:rPr>
          <w:rFonts w:hint="eastAsia"/>
          <w:highlight w:val="none"/>
        </w:rPr>
        <w:t>（1）松散岩类孔隙水</w:t>
      </w:r>
    </w:p>
    <w:p>
      <w:pPr>
        <w:pStyle w:val="62"/>
        <w:ind w:firstLine="480"/>
        <w:rPr>
          <w:highlight w:val="none"/>
        </w:rPr>
      </w:pPr>
      <w:r>
        <w:rPr>
          <w:rFonts w:hint="eastAsia"/>
          <w:highlight w:val="none"/>
        </w:rPr>
        <w:t>①含水层及埋深情况</w:t>
      </w:r>
    </w:p>
    <w:p>
      <w:pPr>
        <w:pStyle w:val="62"/>
        <w:ind w:firstLine="480"/>
        <w:rPr>
          <w:highlight w:val="none"/>
        </w:rPr>
      </w:pPr>
      <w:r>
        <w:rPr>
          <w:rFonts w:hint="eastAsia"/>
          <w:highlight w:val="none"/>
        </w:rPr>
        <w:t>松散岩类孔隙水主要分布在黑界沟、四道沟、羊眼河和兔儿河河谷区，宽几十米至千米。含水岩组为第四系全新统。含水层岩性为冲、洪积砂砾石疏松河床沉积物，厚几十厘米至20m以上。孔隙水水位标高与当地河床水位一致。含水层富水性中等，标准井（井径300mm，降深5m）单井涌水量50～500m</w:t>
      </w:r>
      <w:r>
        <w:rPr>
          <w:rFonts w:hint="eastAsia"/>
          <w:highlight w:val="none"/>
          <w:vertAlign w:val="superscript"/>
        </w:rPr>
        <w:t>3</w:t>
      </w:r>
      <w:r>
        <w:rPr>
          <w:rFonts w:hint="eastAsia"/>
          <w:highlight w:val="none"/>
        </w:rPr>
        <w:t>/d。</w:t>
      </w:r>
    </w:p>
    <w:p>
      <w:pPr>
        <w:pStyle w:val="62"/>
        <w:ind w:firstLine="480"/>
        <w:rPr>
          <w:highlight w:val="none"/>
        </w:rPr>
      </w:pPr>
      <w:r>
        <w:rPr>
          <w:rFonts w:hint="eastAsia"/>
          <w:highlight w:val="none"/>
        </w:rPr>
        <w:t>第四系上更新统一般分布在丘陵山梁峁低缓地带，厚十几厘米至30m余，大多透水但不含水，局部存在上层滞水，富水性一般极弱，标准井单井涌水量&lt;10m</w:t>
      </w:r>
      <w:r>
        <w:rPr>
          <w:rFonts w:hint="eastAsia"/>
          <w:highlight w:val="none"/>
          <w:vertAlign w:val="superscript"/>
        </w:rPr>
        <w:t>3</w:t>
      </w:r>
      <w:r>
        <w:rPr>
          <w:rFonts w:hint="eastAsia"/>
          <w:highlight w:val="none"/>
        </w:rPr>
        <w:t>/d。</w:t>
      </w:r>
    </w:p>
    <w:p>
      <w:pPr>
        <w:pStyle w:val="62"/>
        <w:ind w:firstLine="480"/>
        <w:rPr>
          <w:highlight w:val="none"/>
        </w:rPr>
      </w:pPr>
      <w:r>
        <w:rPr>
          <w:rFonts w:hint="eastAsia"/>
          <w:highlight w:val="none"/>
        </w:rPr>
        <w:t>②补、径、排情况</w:t>
      </w:r>
    </w:p>
    <w:p>
      <w:pPr>
        <w:pStyle w:val="62"/>
        <w:ind w:firstLine="480"/>
        <w:rPr>
          <w:highlight w:val="none"/>
        </w:rPr>
      </w:pPr>
      <w:r>
        <w:rPr>
          <w:rFonts w:hint="eastAsia"/>
          <w:highlight w:val="none"/>
        </w:rPr>
        <w:t>孔隙水补给来源主要有大气降水、河水及两侧基岩裂隙水等。地下水径流主体从上游向下游流动，横向上从河谷两侧向河床中心径流。以向河谷下游径流排泄为主，人工开发与蒸发排泄为辅。</w:t>
      </w:r>
    </w:p>
    <w:p>
      <w:pPr>
        <w:pStyle w:val="62"/>
        <w:ind w:firstLine="480"/>
        <w:rPr>
          <w:highlight w:val="none"/>
        </w:rPr>
      </w:pPr>
      <w:r>
        <w:rPr>
          <w:rFonts w:hint="eastAsia"/>
          <w:highlight w:val="none"/>
        </w:rPr>
        <w:t>（2）变质岩类裂隙水</w:t>
      </w:r>
    </w:p>
    <w:p>
      <w:pPr>
        <w:pStyle w:val="62"/>
        <w:ind w:firstLine="480"/>
        <w:rPr>
          <w:highlight w:val="none"/>
        </w:rPr>
      </w:pPr>
      <w:r>
        <w:rPr>
          <w:rFonts w:hint="eastAsia"/>
          <w:highlight w:val="none"/>
        </w:rPr>
        <w:t>①含水层及埋深情况</w:t>
      </w:r>
    </w:p>
    <w:p>
      <w:pPr>
        <w:pStyle w:val="62"/>
        <w:ind w:firstLine="480"/>
        <w:rPr>
          <w:highlight w:val="none"/>
        </w:rPr>
      </w:pPr>
      <w:r>
        <w:rPr>
          <w:rFonts w:hint="eastAsia"/>
          <w:highlight w:val="none"/>
        </w:rPr>
        <w:t>变质岩类裂隙水大面积分布于基岩山区。含水岩组主要为五台群石咀亚群金刚库组，属弱含水层，按储水构造分风化裂隙潜水和构造裂隙水两类。</w:t>
      </w:r>
    </w:p>
    <w:p>
      <w:pPr>
        <w:pStyle w:val="62"/>
        <w:ind w:firstLine="480"/>
        <w:rPr>
          <w:highlight w:val="none"/>
        </w:rPr>
      </w:pPr>
      <w:r>
        <w:rPr>
          <w:rFonts w:hint="eastAsia"/>
          <w:highlight w:val="none"/>
        </w:rPr>
        <w:t>a、风化裂隙潜水</w:t>
      </w:r>
    </w:p>
    <w:p>
      <w:pPr>
        <w:pStyle w:val="62"/>
        <w:ind w:firstLine="480"/>
        <w:rPr>
          <w:highlight w:val="none"/>
        </w:rPr>
      </w:pPr>
      <w:r>
        <w:rPr>
          <w:rFonts w:hint="eastAsia"/>
          <w:highlight w:val="none"/>
        </w:rPr>
        <w:t>主要赋存在基岩近表部风化裂隙带中，多呈面状分布。风化裂隙带厚度一般30～50m，最厚可达70～80m。在山区山坡地带，一般不会形成统一地下水位，沿地势从高向低处汇流，极少在低洼处遇阻涌出成泉，泉流量一般小于0.1L/s，富水性极弱；河谷区呈埋藏型，汇聚后可形成统一地下水位，泉流量一般可达0.1～l0L/s，富水性弱-中等。</w:t>
      </w:r>
    </w:p>
    <w:p>
      <w:pPr>
        <w:pStyle w:val="62"/>
        <w:ind w:firstLine="480"/>
        <w:rPr>
          <w:highlight w:val="none"/>
        </w:rPr>
      </w:pPr>
      <w:r>
        <w:rPr>
          <w:rFonts w:hint="eastAsia"/>
          <w:highlight w:val="none"/>
        </w:rPr>
        <w:t>b、构造裂隙水</w:t>
      </w:r>
    </w:p>
    <w:p>
      <w:pPr>
        <w:pStyle w:val="62"/>
        <w:ind w:firstLine="480"/>
        <w:rPr>
          <w:highlight w:val="none"/>
        </w:rPr>
      </w:pPr>
      <w:r>
        <w:rPr>
          <w:rFonts w:hint="eastAsia"/>
          <w:highlight w:val="none"/>
        </w:rPr>
        <w:t>主要赋存在基岩构造裂隙带中，多呈线状或条带状分布。构造裂隙水富水性与断层规模及其性质有密切关系，压扭性断裂或断裂规模较小时，富水性较弱，泉流量多小于1L/s，较大断裂带并呈张性时，富水程度一般较强，泉流量可达10L/s以上。</w:t>
      </w:r>
    </w:p>
    <w:p>
      <w:pPr>
        <w:pStyle w:val="62"/>
        <w:ind w:firstLine="480"/>
        <w:rPr>
          <w:highlight w:val="none"/>
        </w:rPr>
      </w:pPr>
      <w:r>
        <w:rPr>
          <w:rFonts w:hint="eastAsia"/>
          <w:highlight w:val="none"/>
        </w:rPr>
        <w:t>②补、径、排情况</w:t>
      </w:r>
    </w:p>
    <w:p>
      <w:pPr>
        <w:pStyle w:val="62"/>
        <w:ind w:firstLine="480"/>
        <w:rPr>
          <w:highlight w:val="none"/>
        </w:rPr>
      </w:pPr>
      <w:r>
        <w:rPr>
          <w:rFonts w:hint="eastAsia"/>
          <w:highlight w:val="none"/>
        </w:rPr>
        <w:t>该类地下水主要靠大气降水补给，高处向低处汇流，地下水的排泄主要排向河谷，少量向深部径流，补给或储存于深部构造裂隙中。</w:t>
      </w:r>
    </w:p>
    <w:p>
      <w:pPr>
        <w:pStyle w:val="62"/>
        <w:ind w:firstLine="480"/>
        <w:rPr>
          <w:highlight w:val="none"/>
        </w:rPr>
      </w:pPr>
      <w:r>
        <w:rPr>
          <w:rFonts w:hint="eastAsia"/>
          <w:highlight w:val="none"/>
        </w:rPr>
        <w:t>（3）碳酸盐岩岩溶裂隙水</w:t>
      </w:r>
    </w:p>
    <w:p>
      <w:pPr>
        <w:pStyle w:val="62"/>
        <w:ind w:firstLine="480"/>
        <w:rPr>
          <w:highlight w:val="none"/>
        </w:rPr>
      </w:pPr>
      <w:r>
        <w:rPr>
          <w:rFonts w:hint="eastAsia"/>
          <w:highlight w:val="none"/>
        </w:rPr>
        <w:t>分布于砂河北和西南的山区，受构造影响，岩溶裂隙发育，透水性较好，大气降水入渗迅速，该含水岩类出露面积小，被相对隔水的古老片麻岩所包围，形成良好的储水条件。</w:t>
      </w:r>
    </w:p>
    <w:p>
      <w:pPr>
        <w:pStyle w:val="62"/>
        <w:ind w:firstLine="480"/>
        <w:rPr>
          <w:highlight w:val="none"/>
        </w:rPr>
      </w:pPr>
      <w:r>
        <w:rPr>
          <w:rFonts w:hint="eastAsia"/>
          <w:highlight w:val="none"/>
        </w:rPr>
        <w:t>区域水文地质图见附图5-1。</w:t>
      </w:r>
      <w:bookmarkEnd w:id="182"/>
      <w:bookmarkEnd w:id="183"/>
      <w:bookmarkEnd w:id="184"/>
      <w:bookmarkEnd w:id="185"/>
      <w:bookmarkEnd w:id="186"/>
      <w:bookmarkEnd w:id="187"/>
      <w:bookmarkEnd w:id="188"/>
      <w:bookmarkStart w:id="196" w:name="_Toc524420996"/>
      <w:bookmarkStart w:id="197" w:name="_Toc500749440"/>
      <w:bookmarkStart w:id="198" w:name="_Toc509476045"/>
      <w:bookmarkStart w:id="199" w:name="_Toc518318385"/>
      <w:bookmarkStart w:id="200" w:name="_Toc22755100"/>
      <w:bookmarkStart w:id="201" w:name="_Toc509844306"/>
    </w:p>
    <w:p>
      <w:pPr>
        <w:pStyle w:val="62"/>
        <w:ind w:firstLine="480"/>
        <w:rPr>
          <w:rFonts w:ascii="仿宋_GB2312" w:eastAsia="仿宋_GB2312"/>
          <w:highlight w:val="none"/>
        </w:rPr>
      </w:pPr>
      <w:r>
        <w:rPr>
          <w:rFonts w:hint="eastAsia"/>
          <w:highlight w:val="none"/>
        </w:rPr>
        <w:t>4、泉域</w:t>
      </w:r>
      <w:bookmarkEnd w:id="196"/>
      <w:bookmarkEnd w:id="197"/>
      <w:bookmarkEnd w:id="198"/>
      <w:bookmarkEnd w:id="199"/>
      <w:bookmarkEnd w:id="200"/>
      <w:bookmarkEnd w:id="201"/>
    </w:p>
    <w:p>
      <w:pPr>
        <w:pStyle w:val="62"/>
        <w:ind w:firstLine="480"/>
        <w:rPr>
          <w:highlight w:val="none"/>
        </w:rPr>
      </w:pPr>
      <w:r>
        <w:rPr>
          <w:rFonts w:hint="eastAsia"/>
          <w:highlight w:val="none"/>
        </w:rPr>
        <w:t>本项目</w:t>
      </w:r>
      <w:r>
        <w:rPr>
          <w:highlight w:val="none"/>
        </w:rPr>
        <w:t>不在山西省泉域范围内</w:t>
      </w:r>
      <w:r>
        <w:rPr>
          <w:rFonts w:hint="eastAsia"/>
          <w:highlight w:val="none"/>
        </w:rPr>
        <w:t>，</w:t>
      </w:r>
      <w:r>
        <w:rPr>
          <w:highlight w:val="none"/>
        </w:rPr>
        <w:t>距离最近的</w:t>
      </w:r>
      <w:r>
        <w:rPr>
          <w:rFonts w:hint="eastAsia"/>
          <w:highlight w:val="none"/>
        </w:rPr>
        <w:t>评上</w:t>
      </w:r>
      <w:r>
        <w:rPr>
          <w:highlight w:val="none"/>
        </w:rPr>
        <w:t>泉域约</w:t>
      </w:r>
      <w:r>
        <w:rPr>
          <w:rFonts w:hint="eastAsia"/>
          <w:highlight w:val="none"/>
        </w:rPr>
        <w:t>20km，本项目与泉域相对位置关系图见附图5-2。</w:t>
      </w:r>
    </w:p>
    <w:p>
      <w:pPr>
        <w:pStyle w:val="62"/>
        <w:ind w:firstLine="480"/>
        <w:rPr>
          <w:highlight w:val="none"/>
        </w:rPr>
      </w:pPr>
      <w:bookmarkStart w:id="202" w:name="_Toc509476046"/>
      <w:bookmarkStart w:id="203" w:name="_Toc518318386"/>
      <w:bookmarkStart w:id="204" w:name="_Toc500749441"/>
      <w:bookmarkStart w:id="205" w:name="_Toc509844307"/>
      <w:bookmarkStart w:id="206" w:name="_Toc22755101"/>
      <w:bookmarkStart w:id="207" w:name="_Toc524420997"/>
      <w:r>
        <w:rPr>
          <w:rFonts w:hint="eastAsia"/>
          <w:highlight w:val="none"/>
        </w:rPr>
        <w:t>5、水源地</w:t>
      </w:r>
      <w:bookmarkEnd w:id="202"/>
      <w:bookmarkEnd w:id="203"/>
      <w:bookmarkEnd w:id="204"/>
      <w:bookmarkEnd w:id="205"/>
      <w:bookmarkEnd w:id="206"/>
      <w:bookmarkEnd w:id="207"/>
    </w:p>
    <w:p>
      <w:pPr>
        <w:pStyle w:val="62"/>
        <w:ind w:firstLine="480"/>
        <w:rPr>
          <w:highlight w:val="none"/>
        </w:rPr>
      </w:pPr>
      <w:bookmarkStart w:id="208" w:name="_Toc374709559"/>
      <w:bookmarkStart w:id="209" w:name="_Toc467163628"/>
      <w:bookmarkStart w:id="210" w:name="_Toc500749443"/>
      <w:bookmarkStart w:id="211" w:name="_Toc509476049"/>
      <w:bookmarkStart w:id="212" w:name="_Toc372208240"/>
      <w:bookmarkStart w:id="213" w:name="_Toc372208438"/>
      <w:bookmarkStart w:id="214" w:name="_Toc454288996"/>
      <w:bookmarkStart w:id="215" w:name="_Toc374709297"/>
      <w:bookmarkStart w:id="216" w:name="_Toc509844310"/>
      <w:bookmarkStart w:id="217" w:name="_Toc453594027"/>
      <w:bookmarkStart w:id="218" w:name="_Toc426559839"/>
      <w:r>
        <w:rPr>
          <w:rFonts w:hint="eastAsia"/>
          <w:highlight w:val="none"/>
        </w:rPr>
        <w:t>1）县级以上城镇集中式饮用水源地</w:t>
      </w:r>
    </w:p>
    <w:p>
      <w:pPr>
        <w:pStyle w:val="65"/>
        <w:rPr>
          <w:highlight w:val="none"/>
        </w:rPr>
      </w:pPr>
    </w:p>
    <w:p>
      <w:pPr>
        <w:spacing w:line="360" w:lineRule="auto"/>
        <w:ind w:firstLine="0" w:firstLineChars="0"/>
        <w:jc w:val="both"/>
        <w:rPr>
          <w:rFonts w:hint="eastAsia" w:eastAsia="宋体"/>
          <w:sz w:val="21"/>
          <w:highlight w:val="none"/>
          <w:lang w:eastAsia="zh-CN"/>
        </w:rPr>
      </w:pPr>
      <w:r>
        <w:rPr>
          <w:rFonts w:hint="eastAsia"/>
          <w:sz w:val="21"/>
          <w:highlight w:val="none"/>
          <w:lang w:eastAsia="zh-CN"/>
        </w:rPr>
        <w:t>略</w:t>
      </w:r>
    </w:p>
    <w:p>
      <w:pPr>
        <w:spacing w:line="360" w:lineRule="auto"/>
        <w:ind w:firstLine="0" w:firstLineChars="0"/>
        <w:jc w:val="center"/>
        <w:rPr>
          <w:highlight w:val="none"/>
        </w:rPr>
      </w:pPr>
      <w:r>
        <w:rPr>
          <w:sz w:val="21"/>
          <w:highlight w:val="none"/>
        </w:rPr>
        <w:t xml:space="preserve">  </w:t>
      </w:r>
    </w:p>
    <w:p>
      <w:pPr>
        <w:pStyle w:val="62"/>
        <w:ind w:firstLine="480"/>
        <w:rPr>
          <w:highlight w:val="none"/>
        </w:rPr>
      </w:pPr>
      <w:bookmarkStart w:id="219" w:name="_Toc524420998"/>
      <w:bookmarkStart w:id="220" w:name="_Toc22755102"/>
      <w:bookmarkStart w:id="221" w:name="_Toc518318387"/>
      <w:r>
        <w:rPr>
          <w:rFonts w:hint="eastAsia"/>
          <w:highlight w:val="none"/>
        </w:rPr>
        <w:t>6、村庄分散式饮用水井</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62"/>
        <w:ind w:firstLine="480"/>
        <w:rPr>
          <w:highlight w:val="none"/>
        </w:rPr>
      </w:pPr>
      <w:r>
        <w:rPr>
          <w:rFonts w:hint="eastAsia"/>
          <w:highlight w:val="none"/>
        </w:rPr>
        <w:t>评价范围内分散式第四系松散岩类孔隙水</w:t>
      </w:r>
      <w:r>
        <w:rPr>
          <w:highlight w:val="none"/>
        </w:rPr>
        <w:t>井</w:t>
      </w:r>
      <w:r>
        <w:rPr>
          <w:rFonts w:hint="eastAsia"/>
          <w:highlight w:val="none"/>
        </w:rPr>
        <w:t>共</w:t>
      </w:r>
      <w:r>
        <w:rPr>
          <w:highlight w:val="none"/>
        </w:rPr>
        <w:t>4</w:t>
      </w:r>
      <w:r>
        <w:rPr>
          <w:rFonts w:hint="eastAsia"/>
          <w:highlight w:val="none"/>
        </w:rPr>
        <w:t>眼。</w:t>
      </w:r>
      <w:r>
        <w:rPr>
          <w:highlight w:val="none"/>
        </w:rPr>
        <w:t>水井概况见表</w:t>
      </w:r>
      <w:r>
        <w:rPr>
          <w:rFonts w:hint="eastAsia"/>
          <w:highlight w:val="none"/>
        </w:rPr>
        <w:t>5.3</w:t>
      </w:r>
      <w:r>
        <w:rPr>
          <w:highlight w:val="none"/>
        </w:rPr>
        <w:t>-</w:t>
      </w:r>
      <w:r>
        <w:rPr>
          <w:rFonts w:hint="eastAsia"/>
          <w:highlight w:val="none"/>
        </w:rPr>
        <w:t>2</w:t>
      </w:r>
      <w:r>
        <w:rPr>
          <w:highlight w:val="none"/>
        </w:rPr>
        <w:t>。</w:t>
      </w:r>
      <w:r>
        <w:rPr>
          <w:rFonts w:hint="eastAsia"/>
          <w:highlight w:val="none"/>
        </w:rPr>
        <w:t>水井分布见地下水环境保护目标图2-6。</w:t>
      </w:r>
    </w:p>
    <w:p>
      <w:pPr>
        <w:pStyle w:val="65"/>
        <w:rPr>
          <w:highlight w:val="none"/>
        </w:rPr>
      </w:pPr>
      <w:r>
        <w:rPr>
          <w:highlight w:val="none"/>
        </w:rPr>
        <w:t>表</w:t>
      </w:r>
      <w:r>
        <w:rPr>
          <w:rFonts w:hint="eastAsia"/>
          <w:highlight w:val="none"/>
        </w:rPr>
        <w:t>5.3-2  评价区村庄居民用水现状一览表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27"/>
        <w:gridCol w:w="893"/>
        <w:gridCol w:w="777"/>
        <w:gridCol w:w="1436"/>
        <w:gridCol w:w="1434"/>
        <w:gridCol w:w="1434"/>
        <w:gridCol w:w="1656"/>
        <w:gridCol w:w="7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序号</w:t>
            </w:r>
          </w:p>
        </w:tc>
        <w:tc>
          <w:tcPr>
            <w:tcW w:w="893"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点位</w:t>
            </w:r>
          </w:p>
        </w:tc>
        <w:tc>
          <w:tcPr>
            <w:tcW w:w="777"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井深</w:t>
            </w:r>
          </w:p>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（m）</w:t>
            </w:r>
          </w:p>
        </w:tc>
        <w:tc>
          <w:tcPr>
            <w:tcW w:w="1436"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水位（m）</w:t>
            </w:r>
          </w:p>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20</w:t>
            </w:r>
            <w:r>
              <w:rPr>
                <w:rFonts w:ascii="宋体" w:hAnsi="宋体"/>
                <w:sz w:val="21"/>
                <w:szCs w:val="22"/>
                <w:highlight w:val="none"/>
              </w:rPr>
              <w:t>21.3.21</w:t>
            </w:r>
          </w:p>
        </w:tc>
        <w:tc>
          <w:tcPr>
            <w:tcW w:w="1434" w:type="dxa"/>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水位（m）</w:t>
            </w:r>
          </w:p>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20</w:t>
            </w:r>
            <w:r>
              <w:rPr>
                <w:rFonts w:ascii="宋体" w:hAnsi="宋体"/>
                <w:sz w:val="21"/>
                <w:szCs w:val="22"/>
                <w:highlight w:val="none"/>
              </w:rPr>
              <w:t>21</w:t>
            </w:r>
            <w:r>
              <w:rPr>
                <w:rFonts w:hint="eastAsia" w:ascii="宋体" w:hAnsi="宋体"/>
                <w:sz w:val="21"/>
                <w:szCs w:val="22"/>
                <w:highlight w:val="none"/>
              </w:rPr>
              <w:t>.</w:t>
            </w:r>
            <w:r>
              <w:rPr>
                <w:rFonts w:ascii="宋体" w:hAnsi="宋体"/>
                <w:sz w:val="21"/>
                <w:szCs w:val="22"/>
                <w:highlight w:val="none"/>
              </w:rPr>
              <w:t>5.23</w:t>
            </w:r>
          </w:p>
        </w:tc>
        <w:tc>
          <w:tcPr>
            <w:tcW w:w="1434"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水位（m）</w:t>
            </w:r>
          </w:p>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20</w:t>
            </w:r>
            <w:r>
              <w:rPr>
                <w:rFonts w:ascii="宋体" w:hAnsi="宋体"/>
                <w:sz w:val="21"/>
                <w:szCs w:val="22"/>
                <w:highlight w:val="none"/>
              </w:rPr>
              <w:t>21.7.16</w:t>
            </w:r>
          </w:p>
        </w:tc>
        <w:tc>
          <w:tcPr>
            <w:tcW w:w="1656"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含水层</w:t>
            </w:r>
          </w:p>
        </w:tc>
        <w:tc>
          <w:tcPr>
            <w:tcW w:w="793"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用途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 w:type="dxa"/>
            <w:shd w:val="clear" w:color="auto" w:fill="auto"/>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1</w:t>
            </w:r>
          </w:p>
        </w:tc>
        <w:tc>
          <w:tcPr>
            <w:tcW w:w="893"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西坡头</w:t>
            </w:r>
          </w:p>
        </w:tc>
        <w:tc>
          <w:tcPr>
            <w:tcW w:w="777"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6"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4" w:type="dxa"/>
            <w:vAlign w:val="center"/>
          </w:tcPr>
          <w:p>
            <w:pPr>
              <w:spacing w:line="320" w:lineRule="exact"/>
              <w:ind w:firstLine="0" w:firstLineChars="0"/>
              <w:jc w:val="center"/>
              <w:rPr>
                <w:rFonts w:ascii="宋体" w:hAnsi="宋体"/>
                <w:sz w:val="21"/>
                <w:szCs w:val="22"/>
                <w:highlight w:val="none"/>
              </w:rPr>
            </w:pPr>
          </w:p>
        </w:tc>
        <w:tc>
          <w:tcPr>
            <w:tcW w:w="1434" w:type="dxa"/>
            <w:shd w:val="clear" w:color="auto" w:fill="auto"/>
            <w:vAlign w:val="center"/>
          </w:tcPr>
          <w:p>
            <w:pPr>
              <w:spacing w:line="320" w:lineRule="exact"/>
              <w:ind w:firstLine="0" w:firstLineChars="0"/>
              <w:jc w:val="center"/>
              <w:rPr>
                <w:rFonts w:ascii="宋体" w:hAnsi="宋体"/>
                <w:sz w:val="21"/>
                <w:szCs w:val="22"/>
                <w:highlight w:val="none"/>
              </w:rPr>
            </w:pPr>
          </w:p>
        </w:tc>
        <w:tc>
          <w:tcPr>
            <w:tcW w:w="1656" w:type="dxa"/>
            <w:shd w:val="clear" w:color="auto" w:fill="auto"/>
            <w:vAlign w:val="center"/>
          </w:tcPr>
          <w:p>
            <w:pPr>
              <w:spacing w:line="320" w:lineRule="exact"/>
              <w:ind w:firstLine="0" w:firstLineChars="0"/>
              <w:jc w:val="center"/>
              <w:rPr>
                <w:rFonts w:ascii="宋体" w:hAnsi="宋体"/>
                <w:sz w:val="21"/>
                <w:szCs w:val="22"/>
                <w:highlight w:val="none"/>
              </w:rPr>
            </w:pPr>
          </w:p>
        </w:tc>
        <w:tc>
          <w:tcPr>
            <w:tcW w:w="793" w:type="dxa"/>
            <w:shd w:val="clear" w:color="auto" w:fill="auto"/>
            <w:vAlign w:val="center"/>
          </w:tcPr>
          <w:p>
            <w:pPr>
              <w:spacing w:line="320" w:lineRule="exact"/>
              <w:ind w:firstLine="0" w:firstLineChars="0"/>
              <w:jc w:val="center"/>
              <w:rPr>
                <w:rFonts w:ascii="宋体" w:hAnsi="宋体"/>
                <w:sz w:val="21"/>
                <w:szCs w:val="22"/>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 w:type="dxa"/>
            <w:shd w:val="clear" w:color="auto" w:fill="auto"/>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2</w:t>
            </w:r>
          </w:p>
        </w:tc>
        <w:tc>
          <w:tcPr>
            <w:tcW w:w="893"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东堡</w:t>
            </w:r>
          </w:p>
        </w:tc>
        <w:tc>
          <w:tcPr>
            <w:tcW w:w="777"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6"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4" w:type="dxa"/>
            <w:vAlign w:val="center"/>
          </w:tcPr>
          <w:p>
            <w:pPr>
              <w:spacing w:line="320" w:lineRule="exact"/>
              <w:ind w:firstLine="0" w:firstLineChars="0"/>
              <w:jc w:val="center"/>
              <w:rPr>
                <w:rFonts w:ascii="宋体" w:hAnsi="宋体"/>
                <w:sz w:val="21"/>
                <w:szCs w:val="22"/>
                <w:highlight w:val="none"/>
              </w:rPr>
            </w:pPr>
          </w:p>
        </w:tc>
        <w:tc>
          <w:tcPr>
            <w:tcW w:w="1434" w:type="dxa"/>
            <w:shd w:val="clear" w:color="auto" w:fill="auto"/>
            <w:vAlign w:val="center"/>
          </w:tcPr>
          <w:p>
            <w:pPr>
              <w:spacing w:line="320" w:lineRule="exact"/>
              <w:ind w:firstLine="0" w:firstLineChars="0"/>
              <w:jc w:val="center"/>
              <w:rPr>
                <w:rFonts w:ascii="宋体" w:hAnsi="宋体"/>
                <w:sz w:val="21"/>
                <w:szCs w:val="22"/>
                <w:highlight w:val="none"/>
              </w:rPr>
            </w:pPr>
          </w:p>
        </w:tc>
        <w:tc>
          <w:tcPr>
            <w:tcW w:w="1656" w:type="dxa"/>
            <w:shd w:val="clear" w:color="auto" w:fill="auto"/>
            <w:vAlign w:val="center"/>
          </w:tcPr>
          <w:p>
            <w:pPr>
              <w:spacing w:line="320" w:lineRule="exact"/>
              <w:ind w:firstLine="0" w:firstLineChars="0"/>
              <w:jc w:val="center"/>
              <w:rPr>
                <w:rFonts w:ascii="宋体" w:hAnsi="宋体"/>
                <w:sz w:val="21"/>
                <w:szCs w:val="22"/>
                <w:highlight w:val="none"/>
              </w:rPr>
            </w:pPr>
          </w:p>
        </w:tc>
        <w:tc>
          <w:tcPr>
            <w:tcW w:w="793" w:type="dxa"/>
            <w:shd w:val="clear" w:color="auto" w:fill="auto"/>
            <w:vAlign w:val="center"/>
          </w:tcPr>
          <w:p>
            <w:pPr>
              <w:spacing w:line="320" w:lineRule="exact"/>
              <w:ind w:firstLine="0" w:firstLineChars="0"/>
              <w:jc w:val="center"/>
              <w:rPr>
                <w:rFonts w:ascii="宋体" w:hAnsi="宋体"/>
                <w:sz w:val="21"/>
                <w:szCs w:val="22"/>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 w:type="dxa"/>
            <w:shd w:val="clear" w:color="auto" w:fill="auto"/>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3</w:t>
            </w:r>
          </w:p>
        </w:tc>
        <w:tc>
          <w:tcPr>
            <w:tcW w:w="893"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富家庄</w:t>
            </w:r>
          </w:p>
        </w:tc>
        <w:tc>
          <w:tcPr>
            <w:tcW w:w="777"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6"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4" w:type="dxa"/>
            <w:vAlign w:val="center"/>
          </w:tcPr>
          <w:p>
            <w:pPr>
              <w:spacing w:line="320" w:lineRule="exact"/>
              <w:ind w:firstLine="0" w:firstLineChars="0"/>
              <w:jc w:val="center"/>
              <w:rPr>
                <w:rFonts w:ascii="宋体" w:hAnsi="宋体"/>
                <w:sz w:val="21"/>
                <w:szCs w:val="22"/>
                <w:highlight w:val="none"/>
              </w:rPr>
            </w:pPr>
          </w:p>
        </w:tc>
        <w:tc>
          <w:tcPr>
            <w:tcW w:w="1434" w:type="dxa"/>
            <w:shd w:val="clear" w:color="auto" w:fill="auto"/>
            <w:vAlign w:val="center"/>
          </w:tcPr>
          <w:p>
            <w:pPr>
              <w:spacing w:line="320" w:lineRule="exact"/>
              <w:ind w:firstLine="0" w:firstLineChars="0"/>
              <w:jc w:val="center"/>
              <w:rPr>
                <w:rFonts w:ascii="宋体" w:hAnsi="宋体"/>
                <w:sz w:val="21"/>
                <w:szCs w:val="22"/>
                <w:highlight w:val="none"/>
              </w:rPr>
            </w:pPr>
          </w:p>
        </w:tc>
        <w:tc>
          <w:tcPr>
            <w:tcW w:w="1656" w:type="dxa"/>
            <w:shd w:val="clear" w:color="auto" w:fill="auto"/>
            <w:vAlign w:val="center"/>
          </w:tcPr>
          <w:p>
            <w:pPr>
              <w:spacing w:line="320" w:lineRule="exact"/>
              <w:ind w:firstLine="0" w:firstLineChars="0"/>
              <w:jc w:val="center"/>
              <w:rPr>
                <w:rFonts w:ascii="宋体" w:hAnsi="宋体"/>
                <w:sz w:val="21"/>
                <w:szCs w:val="22"/>
                <w:highlight w:val="none"/>
              </w:rPr>
            </w:pPr>
          </w:p>
        </w:tc>
        <w:tc>
          <w:tcPr>
            <w:tcW w:w="793" w:type="dxa"/>
            <w:shd w:val="clear" w:color="auto" w:fill="auto"/>
            <w:vAlign w:val="center"/>
          </w:tcPr>
          <w:p>
            <w:pPr>
              <w:spacing w:line="320" w:lineRule="exact"/>
              <w:ind w:firstLine="0" w:firstLineChars="0"/>
              <w:jc w:val="center"/>
              <w:rPr>
                <w:rFonts w:ascii="宋体" w:hAnsi="宋体"/>
                <w:sz w:val="21"/>
                <w:szCs w:val="22"/>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 w:type="dxa"/>
            <w:shd w:val="clear" w:color="auto" w:fill="auto"/>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4</w:t>
            </w:r>
          </w:p>
        </w:tc>
        <w:tc>
          <w:tcPr>
            <w:tcW w:w="893" w:type="dxa"/>
            <w:shd w:val="clear" w:color="auto" w:fill="auto"/>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东坡头</w:t>
            </w:r>
          </w:p>
        </w:tc>
        <w:tc>
          <w:tcPr>
            <w:tcW w:w="777"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6" w:type="dxa"/>
            <w:shd w:val="clear" w:color="auto" w:fill="auto"/>
            <w:vAlign w:val="center"/>
          </w:tcPr>
          <w:p>
            <w:pPr>
              <w:spacing w:line="320" w:lineRule="exact"/>
              <w:ind w:firstLine="0" w:firstLineChars="0"/>
              <w:jc w:val="center"/>
              <w:rPr>
                <w:rFonts w:ascii="宋体" w:hAnsi="宋体"/>
                <w:sz w:val="21"/>
                <w:szCs w:val="22"/>
                <w:highlight w:val="none"/>
              </w:rPr>
            </w:pPr>
          </w:p>
        </w:tc>
        <w:tc>
          <w:tcPr>
            <w:tcW w:w="1434" w:type="dxa"/>
            <w:vAlign w:val="center"/>
          </w:tcPr>
          <w:p>
            <w:pPr>
              <w:spacing w:line="320" w:lineRule="exact"/>
              <w:ind w:firstLine="0" w:firstLineChars="0"/>
              <w:jc w:val="center"/>
              <w:rPr>
                <w:rFonts w:ascii="宋体" w:hAnsi="宋体"/>
                <w:sz w:val="21"/>
                <w:szCs w:val="22"/>
                <w:highlight w:val="none"/>
              </w:rPr>
            </w:pPr>
          </w:p>
        </w:tc>
        <w:tc>
          <w:tcPr>
            <w:tcW w:w="1434" w:type="dxa"/>
            <w:shd w:val="clear" w:color="auto" w:fill="auto"/>
            <w:vAlign w:val="center"/>
          </w:tcPr>
          <w:p>
            <w:pPr>
              <w:spacing w:line="320" w:lineRule="exact"/>
              <w:ind w:firstLine="0" w:firstLineChars="0"/>
              <w:jc w:val="center"/>
              <w:rPr>
                <w:rFonts w:ascii="宋体" w:hAnsi="宋体"/>
                <w:sz w:val="21"/>
                <w:szCs w:val="22"/>
                <w:highlight w:val="none"/>
              </w:rPr>
            </w:pPr>
          </w:p>
        </w:tc>
        <w:tc>
          <w:tcPr>
            <w:tcW w:w="1656" w:type="dxa"/>
            <w:shd w:val="clear" w:color="auto" w:fill="auto"/>
            <w:vAlign w:val="center"/>
          </w:tcPr>
          <w:p>
            <w:pPr>
              <w:spacing w:line="320" w:lineRule="exact"/>
              <w:ind w:firstLine="0" w:firstLineChars="0"/>
              <w:jc w:val="center"/>
              <w:rPr>
                <w:rFonts w:ascii="宋体" w:hAnsi="宋体"/>
                <w:sz w:val="21"/>
                <w:szCs w:val="22"/>
                <w:highlight w:val="none"/>
              </w:rPr>
            </w:pPr>
          </w:p>
        </w:tc>
        <w:tc>
          <w:tcPr>
            <w:tcW w:w="793" w:type="dxa"/>
            <w:shd w:val="clear" w:color="auto" w:fill="auto"/>
            <w:vAlign w:val="center"/>
          </w:tcPr>
          <w:p>
            <w:pPr>
              <w:spacing w:line="320" w:lineRule="exact"/>
              <w:ind w:firstLine="0" w:firstLineChars="0"/>
              <w:jc w:val="center"/>
              <w:rPr>
                <w:rFonts w:ascii="宋体" w:hAnsi="宋体"/>
                <w:sz w:val="21"/>
                <w:szCs w:val="22"/>
                <w:highlight w:val="none"/>
              </w:rPr>
            </w:pPr>
          </w:p>
        </w:tc>
      </w:tr>
    </w:tbl>
    <w:p>
      <w:pPr>
        <w:pStyle w:val="4"/>
        <w:ind w:firstLine="562"/>
        <w:rPr>
          <w:rFonts w:hAnsi="宋体"/>
          <w:highlight w:val="none"/>
        </w:rPr>
      </w:pPr>
      <w:bookmarkStart w:id="222" w:name="_Toc22755103"/>
      <w:r>
        <w:rPr>
          <w:rFonts w:hint="eastAsia" w:hAnsi="宋体"/>
          <w:highlight w:val="none"/>
        </w:rPr>
        <w:t>5.3.2评价区地质与水文地质</w:t>
      </w:r>
      <w:bookmarkEnd w:id="222"/>
    </w:p>
    <w:p>
      <w:pPr>
        <w:pStyle w:val="62"/>
        <w:ind w:firstLine="480"/>
        <w:rPr>
          <w:rFonts w:ascii="仿宋_GB2312" w:eastAsia="仿宋_GB2312"/>
          <w:highlight w:val="none"/>
        </w:rPr>
      </w:pPr>
      <w:bookmarkStart w:id="223" w:name="_Toc500749445"/>
      <w:bookmarkStart w:id="224" w:name="_Toc467163623"/>
      <w:bookmarkStart w:id="225" w:name="_Toc467592220"/>
      <w:bookmarkStart w:id="226" w:name="_Toc509476051"/>
      <w:bookmarkStart w:id="227" w:name="_Toc509844312"/>
      <w:bookmarkStart w:id="228" w:name="_Toc524421000"/>
      <w:bookmarkStart w:id="229" w:name="_Toc22755104"/>
      <w:bookmarkStart w:id="230" w:name="_Toc518318389"/>
      <w:bookmarkStart w:id="231" w:name="_Toc374709555"/>
      <w:bookmarkStart w:id="232" w:name="_Toc467163625"/>
      <w:bookmarkStart w:id="233" w:name="_Toc374709293"/>
      <w:bookmarkStart w:id="234" w:name="_Toc372208236"/>
      <w:bookmarkStart w:id="235" w:name="_Toc453594023"/>
      <w:bookmarkStart w:id="236" w:name="_Toc454288992"/>
      <w:bookmarkStart w:id="237" w:name="_Toc372208434"/>
      <w:bookmarkStart w:id="238" w:name="_Toc426559835"/>
      <w:r>
        <w:rPr>
          <w:highlight w:val="none"/>
        </w:rPr>
        <w:t>5.3.2</w:t>
      </w:r>
      <w:r>
        <w:rPr>
          <w:rFonts w:hint="eastAsia"/>
          <w:highlight w:val="none"/>
        </w:rPr>
        <w:t>.1 评价区</w:t>
      </w:r>
      <w:bookmarkEnd w:id="223"/>
      <w:bookmarkEnd w:id="224"/>
      <w:bookmarkEnd w:id="225"/>
      <w:bookmarkEnd w:id="226"/>
      <w:bookmarkEnd w:id="227"/>
      <w:r>
        <w:rPr>
          <w:rFonts w:hint="eastAsia"/>
          <w:highlight w:val="none"/>
        </w:rPr>
        <w:t>地质环境</w:t>
      </w:r>
      <w:bookmarkEnd w:id="228"/>
      <w:bookmarkEnd w:id="229"/>
      <w:bookmarkEnd w:id="230"/>
    </w:p>
    <w:p>
      <w:pPr>
        <w:pStyle w:val="62"/>
        <w:ind w:firstLine="480"/>
        <w:rPr>
          <w:highlight w:val="none"/>
        </w:rPr>
      </w:pPr>
      <w:r>
        <w:rPr>
          <w:rFonts w:hint="eastAsia"/>
          <w:highlight w:val="none"/>
        </w:rPr>
        <w:t>厂址附近无活动断裂通过，区域断裂不会对拟选厂址区域稳定性产生影响。厂址位于地裂缝发育的影响范围之外，不会对厂址稳定性产生影响。厂址在区域上处于相对稳定地段。</w:t>
      </w:r>
    </w:p>
    <w:p>
      <w:pPr>
        <w:pStyle w:val="62"/>
        <w:ind w:firstLine="480"/>
        <w:rPr>
          <w:rFonts w:ascii="仿宋_GB2312" w:eastAsia="仿宋_GB2312"/>
          <w:highlight w:val="none"/>
        </w:rPr>
      </w:pPr>
      <w:bookmarkStart w:id="239" w:name="_Toc518318390"/>
      <w:bookmarkStart w:id="240" w:name="_Toc524421001"/>
      <w:bookmarkStart w:id="241" w:name="_Toc22755105"/>
      <w:r>
        <w:rPr>
          <w:highlight w:val="none"/>
        </w:rPr>
        <w:t>5.3.2</w:t>
      </w:r>
      <w:r>
        <w:rPr>
          <w:rFonts w:hint="eastAsia"/>
          <w:highlight w:val="none"/>
        </w:rPr>
        <w:t>.</w:t>
      </w:r>
      <w:r>
        <w:rPr>
          <w:highlight w:val="none"/>
        </w:rPr>
        <w:t>2</w:t>
      </w:r>
      <w:r>
        <w:rPr>
          <w:rFonts w:hint="eastAsia"/>
          <w:highlight w:val="none"/>
        </w:rPr>
        <w:t xml:space="preserve"> 地形地貌</w:t>
      </w:r>
    </w:p>
    <w:p>
      <w:pPr>
        <w:pStyle w:val="62"/>
        <w:ind w:firstLine="480"/>
        <w:rPr>
          <w:highlight w:val="none"/>
        </w:rPr>
      </w:pPr>
      <w:r>
        <w:rPr>
          <w:rFonts w:hint="eastAsia"/>
          <w:highlight w:val="none"/>
        </w:rPr>
        <w:t>根据地貌形态、岩性以及成因，区域地貌可划分为三类地貌单元：</w:t>
      </w:r>
    </w:p>
    <w:p>
      <w:pPr>
        <w:pStyle w:val="62"/>
        <w:ind w:left="480" w:firstLine="0" w:firstLineChars="0"/>
        <w:rPr>
          <w:highlight w:val="none"/>
        </w:rPr>
      </w:pPr>
      <w:r>
        <w:rPr>
          <w:rFonts w:hint="eastAsia"/>
          <w:highlight w:val="none"/>
        </w:rPr>
        <w:t>1、以变质岩为主的侵蚀-剥蚀中高山</w:t>
      </w:r>
    </w:p>
    <w:p>
      <w:pPr>
        <w:pStyle w:val="62"/>
        <w:ind w:firstLine="480"/>
        <w:rPr>
          <w:highlight w:val="none"/>
        </w:rPr>
      </w:pPr>
      <w:r>
        <w:rPr>
          <w:rFonts w:hint="eastAsia"/>
          <w:highlight w:val="none"/>
        </w:rPr>
        <w:t>为周边山区，海拔1</w:t>
      </w:r>
      <w:r>
        <w:rPr>
          <w:highlight w:val="none"/>
        </w:rPr>
        <w:t>500-2500</w:t>
      </w:r>
      <w:r>
        <w:rPr>
          <w:rFonts w:hint="eastAsia"/>
          <w:highlight w:val="none"/>
        </w:rPr>
        <w:t>m，沟谷切割深度5</w:t>
      </w:r>
      <w:r>
        <w:rPr>
          <w:highlight w:val="none"/>
        </w:rPr>
        <w:t>00-1000</w:t>
      </w:r>
      <w:r>
        <w:rPr>
          <w:rFonts w:hint="eastAsia"/>
          <w:highlight w:val="none"/>
        </w:rPr>
        <w:t>m，地形高差大，坡度3</w:t>
      </w:r>
      <w:r>
        <w:rPr>
          <w:highlight w:val="none"/>
        </w:rPr>
        <w:t>0</w:t>
      </w:r>
      <w:r>
        <w:rPr>
          <w:rFonts w:hint="eastAsia"/>
          <w:highlight w:val="none"/>
        </w:rPr>
        <w:t>°以上，切割强烈，沟壑发育。</w:t>
      </w:r>
    </w:p>
    <w:p>
      <w:pPr>
        <w:pStyle w:val="62"/>
        <w:ind w:firstLine="480" w:firstLineChars="0"/>
        <w:rPr>
          <w:highlight w:val="none"/>
        </w:rPr>
      </w:pPr>
      <w:r>
        <w:rPr>
          <w:highlight w:val="none"/>
        </w:rPr>
        <w:t>2</w:t>
      </w:r>
      <w:r>
        <w:rPr>
          <w:rFonts w:hint="eastAsia"/>
          <w:highlight w:val="none"/>
        </w:rPr>
        <w:t>、黄土丘陵台地区</w:t>
      </w:r>
    </w:p>
    <w:p>
      <w:pPr>
        <w:pStyle w:val="62"/>
        <w:ind w:firstLine="480" w:firstLineChars="0"/>
        <w:rPr>
          <w:highlight w:val="none"/>
        </w:rPr>
      </w:pPr>
      <w:r>
        <w:rPr>
          <w:rFonts w:hint="eastAsia"/>
          <w:highlight w:val="none"/>
        </w:rPr>
        <w:t>分布在南北以及东堡山前洪积扇之间，主要为黄土梁卯状丘陵，沟壑纵横，地形破碎，起伏较大，属水土流失区。</w:t>
      </w:r>
    </w:p>
    <w:p>
      <w:pPr>
        <w:pStyle w:val="62"/>
        <w:ind w:firstLine="480" w:firstLineChars="0"/>
        <w:rPr>
          <w:highlight w:val="none"/>
        </w:rPr>
      </w:pPr>
      <w:r>
        <w:rPr>
          <w:rFonts w:hint="eastAsia"/>
          <w:highlight w:val="none"/>
        </w:rPr>
        <w:t>3、滹沱河断陷盆地区</w:t>
      </w:r>
    </w:p>
    <w:p>
      <w:pPr>
        <w:pStyle w:val="62"/>
        <w:ind w:firstLine="480" w:firstLineChars="0"/>
        <w:rPr>
          <w:highlight w:val="none"/>
        </w:rPr>
      </w:pPr>
      <w:r>
        <w:rPr>
          <w:rFonts w:hint="eastAsia"/>
          <w:highlight w:val="none"/>
        </w:rPr>
        <w:t>（1）冲洪积倾斜平原区：分布在赵庄河倾斜平原的前缘和河谷冲积平原交接地带。</w:t>
      </w:r>
    </w:p>
    <w:p>
      <w:pPr>
        <w:pStyle w:val="62"/>
        <w:ind w:firstLine="480" w:firstLineChars="0"/>
        <w:rPr>
          <w:highlight w:val="none"/>
        </w:rPr>
      </w:pPr>
      <w:r>
        <w:rPr>
          <w:rFonts w:hint="eastAsia"/>
          <w:highlight w:val="none"/>
        </w:rPr>
        <w:t>（2）冲积平原区：成条带状分布在滹沱河两岸漫滩和阶地，地下水埋藏浅，分布盐碱地和下湿地。</w:t>
      </w:r>
    </w:p>
    <w:p>
      <w:pPr>
        <w:pStyle w:val="62"/>
        <w:ind w:firstLine="480" w:firstLineChars="0"/>
        <w:rPr>
          <w:highlight w:val="none"/>
        </w:rPr>
      </w:pPr>
      <w:r>
        <w:rPr>
          <w:rFonts w:hint="eastAsia"/>
          <w:highlight w:val="none"/>
        </w:rPr>
        <w:t>本项目位于洪积高台地，地形地貌见附图5</w:t>
      </w:r>
      <w:r>
        <w:rPr>
          <w:highlight w:val="none"/>
        </w:rPr>
        <w:t>-5</w:t>
      </w:r>
      <w:r>
        <w:rPr>
          <w:rFonts w:hint="eastAsia"/>
          <w:highlight w:val="none"/>
        </w:rPr>
        <w:t>。</w:t>
      </w:r>
    </w:p>
    <w:p>
      <w:pPr>
        <w:pStyle w:val="62"/>
        <w:ind w:firstLine="480"/>
        <w:rPr>
          <w:highlight w:val="none"/>
        </w:rPr>
      </w:pPr>
      <w:r>
        <w:rPr>
          <w:highlight w:val="none"/>
        </w:rPr>
        <w:t>5.3.2</w:t>
      </w:r>
      <w:r>
        <w:rPr>
          <w:rFonts w:hint="eastAsia"/>
          <w:highlight w:val="none"/>
        </w:rPr>
        <w:t>.3 评价区水文地质条件</w:t>
      </w:r>
      <w:bookmarkEnd w:id="239"/>
      <w:bookmarkEnd w:id="240"/>
      <w:bookmarkEnd w:id="241"/>
    </w:p>
    <w:p>
      <w:pPr>
        <w:pStyle w:val="62"/>
        <w:ind w:firstLine="480"/>
        <w:rPr>
          <w:highlight w:val="none"/>
        </w:rPr>
      </w:pPr>
      <w:r>
        <w:rPr>
          <w:rFonts w:hint="eastAsia"/>
          <w:highlight w:val="none"/>
        </w:rPr>
        <w:t>1、含水层特征</w:t>
      </w:r>
    </w:p>
    <w:p>
      <w:pPr>
        <w:pStyle w:val="62"/>
        <w:ind w:firstLine="480"/>
        <w:rPr>
          <w:highlight w:val="none"/>
        </w:rPr>
      </w:pPr>
      <w:r>
        <w:rPr>
          <w:rFonts w:hint="eastAsia"/>
          <w:highlight w:val="none"/>
        </w:rPr>
        <w:t>该区的含水层在垂向上分为中上更新统（Q</w:t>
      </w:r>
      <w:r>
        <w:rPr>
          <w:rFonts w:hint="eastAsia"/>
          <w:highlight w:val="none"/>
          <w:vertAlign w:val="subscript"/>
        </w:rPr>
        <w:t>2-4</w:t>
      </w:r>
      <w:r>
        <w:rPr>
          <w:rFonts w:hint="eastAsia"/>
          <w:highlight w:val="none"/>
        </w:rPr>
        <w:t>）浅层含水岩组与下更新统（Q</w:t>
      </w:r>
      <w:r>
        <w:rPr>
          <w:rFonts w:hint="eastAsia"/>
          <w:highlight w:val="none"/>
          <w:vertAlign w:val="subscript"/>
        </w:rPr>
        <w:t>1</w:t>
      </w:r>
      <w:r>
        <w:rPr>
          <w:rFonts w:hint="eastAsia"/>
          <w:highlight w:val="none"/>
        </w:rPr>
        <w:t>）深层含水岩组，其含水层赋水特征分述如下：</w:t>
      </w:r>
    </w:p>
    <w:p>
      <w:pPr>
        <w:pStyle w:val="62"/>
        <w:ind w:firstLine="480"/>
        <w:rPr>
          <w:highlight w:val="none"/>
        </w:rPr>
      </w:pPr>
      <w:r>
        <w:rPr>
          <w:rFonts w:hint="eastAsia"/>
          <w:highlight w:val="none"/>
        </w:rPr>
        <w:t>①中上更新统（Q</w:t>
      </w:r>
      <w:r>
        <w:rPr>
          <w:rFonts w:hint="eastAsia"/>
          <w:highlight w:val="none"/>
          <w:vertAlign w:val="subscript"/>
        </w:rPr>
        <w:t>2-4</w:t>
      </w:r>
      <w:r>
        <w:rPr>
          <w:rFonts w:hint="eastAsia"/>
          <w:highlight w:val="none"/>
        </w:rPr>
        <w:t>）浅层含水岩组</w:t>
      </w:r>
    </w:p>
    <w:p>
      <w:pPr>
        <w:pStyle w:val="62"/>
        <w:ind w:firstLine="480"/>
        <w:rPr>
          <w:highlight w:val="none"/>
        </w:rPr>
      </w:pPr>
      <w:r>
        <w:rPr>
          <w:rFonts w:hint="eastAsia"/>
          <w:highlight w:val="none"/>
        </w:rPr>
        <w:t>主要含水层埋藏在40m以下，岩性为中粗砂、砾石，分布稳定，厚度较大。含水层厚度50-92m，单层最大厚度40m。主要开发利用下部含水层，静水位11-13m，普遍高出第一含水层30m以上，明显具有孔隙承压水的特征。抽水试验降深2.5-6.7m，单井流量1920m</w:t>
      </w:r>
      <w:r>
        <w:rPr>
          <w:rFonts w:hint="eastAsia"/>
          <w:highlight w:val="none"/>
          <w:vertAlign w:val="superscript"/>
        </w:rPr>
        <w:t>3</w:t>
      </w:r>
      <w:r>
        <w:rPr>
          <w:rFonts w:hint="eastAsia"/>
          <w:highlight w:val="none"/>
        </w:rPr>
        <w:t>/d，渗透系数7.89-19.5m</w:t>
      </w:r>
      <w:r>
        <w:rPr>
          <w:rFonts w:hint="eastAsia"/>
          <w:highlight w:val="none"/>
          <w:vertAlign w:val="superscript"/>
        </w:rPr>
        <w:t>3</w:t>
      </w:r>
      <w:r>
        <w:rPr>
          <w:rFonts w:hint="eastAsia"/>
          <w:highlight w:val="none"/>
        </w:rPr>
        <w:t>/d，影响半径109-189.5m。</w:t>
      </w:r>
    </w:p>
    <w:p>
      <w:pPr>
        <w:pStyle w:val="62"/>
        <w:ind w:firstLine="480"/>
        <w:rPr>
          <w:highlight w:val="none"/>
        </w:rPr>
      </w:pPr>
      <w:r>
        <w:rPr>
          <w:rFonts w:hint="eastAsia"/>
          <w:highlight w:val="none"/>
        </w:rPr>
        <w:t>②下更新统（Q</w:t>
      </w:r>
      <w:r>
        <w:rPr>
          <w:rFonts w:hint="eastAsia"/>
          <w:highlight w:val="none"/>
          <w:vertAlign w:val="subscript"/>
        </w:rPr>
        <w:t>1</w:t>
      </w:r>
      <w:r>
        <w:rPr>
          <w:rFonts w:hint="eastAsia"/>
          <w:highlight w:val="none"/>
        </w:rPr>
        <w:t>）层含水岩组</w:t>
      </w:r>
    </w:p>
    <w:p>
      <w:pPr>
        <w:pStyle w:val="62"/>
        <w:ind w:firstLine="480"/>
        <w:rPr>
          <w:highlight w:val="none"/>
        </w:rPr>
      </w:pPr>
      <w:r>
        <w:rPr>
          <w:rFonts w:hint="eastAsia"/>
          <w:highlight w:val="none"/>
        </w:rPr>
        <w:t>区内下更新统深层含水层颗粒多以砂砾、粗砂、中砂、细砂为主。在平面分布上越接近山前各项同性越好，含水层颗粒粗，越近河边含水层颗粒越细。垂向上粗颗粒带Q</w:t>
      </w:r>
      <w:r>
        <w:rPr>
          <w:rFonts w:hint="eastAsia"/>
          <w:highlight w:val="none"/>
          <w:vertAlign w:val="subscript"/>
        </w:rPr>
        <w:t>1</w:t>
      </w:r>
      <w:r>
        <w:rPr>
          <w:rFonts w:hint="eastAsia"/>
          <w:highlight w:val="none"/>
        </w:rPr>
        <w:t>埋深在50</w:t>
      </w:r>
      <w:r>
        <w:rPr>
          <w:highlight w:val="none"/>
        </w:rPr>
        <w:t>-</w:t>
      </w:r>
      <w:r>
        <w:rPr>
          <w:rFonts w:hint="eastAsia"/>
          <w:highlight w:val="none"/>
        </w:rPr>
        <w:t>120</w:t>
      </w:r>
      <w:r>
        <w:rPr>
          <w:highlight w:val="none"/>
        </w:rPr>
        <w:t>m</w:t>
      </w:r>
      <w:r>
        <w:rPr>
          <w:rFonts w:hint="eastAsia"/>
          <w:highlight w:val="none"/>
        </w:rPr>
        <w:t>，为湖相沉积，岩性也渐变为砂质粘土、含砂粘土及粘土。据资料显示，该含水层渗透系数为0.35-2.17</w:t>
      </w:r>
      <w:r>
        <w:rPr>
          <w:highlight w:val="none"/>
        </w:rPr>
        <w:t>m/d</w:t>
      </w:r>
      <w:r>
        <w:rPr>
          <w:rFonts w:hint="eastAsia"/>
          <w:highlight w:val="none"/>
        </w:rPr>
        <w:t>。含水层厚度为370.44</w:t>
      </w:r>
      <w:r>
        <w:rPr>
          <w:highlight w:val="none"/>
        </w:rPr>
        <w:t>m</w:t>
      </w:r>
      <w:r>
        <w:rPr>
          <w:rFonts w:hint="eastAsia"/>
          <w:highlight w:val="none"/>
        </w:rPr>
        <w:t>，</w:t>
      </w:r>
      <w:r>
        <w:rPr>
          <w:highlight w:val="none"/>
        </w:rPr>
        <w:t>q=0.224L/s·m</w:t>
      </w:r>
      <w:r>
        <w:rPr>
          <w:rFonts w:hint="eastAsia"/>
          <w:highlight w:val="none"/>
        </w:rPr>
        <w:t>，赋水性较好。</w:t>
      </w:r>
    </w:p>
    <w:p>
      <w:pPr>
        <w:pStyle w:val="62"/>
        <w:ind w:firstLine="480"/>
        <w:rPr>
          <w:highlight w:val="none"/>
        </w:rPr>
      </w:pPr>
      <w:r>
        <w:rPr>
          <w:rFonts w:hint="eastAsia"/>
          <w:highlight w:val="none"/>
        </w:rPr>
        <w:t>2、隔水层组</w:t>
      </w:r>
    </w:p>
    <w:p>
      <w:pPr>
        <w:pStyle w:val="62"/>
        <w:ind w:firstLine="480"/>
        <w:rPr>
          <w:highlight w:val="none"/>
        </w:rPr>
      </w:pPr>
      <w:r>
        <w:rPr>
          <w:rFonts w:hint="eastAsia"/>
          <w:highlight w:val="none"/>
        </w:rPr>
        <w:t>含水层以粗颗粒的砂砾石为主，其补给关系为由上部补给下部，垂向上深层含水层岩性颗粒相对浅层较粗，是地下水富集的有力地层；水平向从南至北岩性颗粒逐渐由粗变细，富水性也逐渐减弱。根据前人研究资料显示，Q</w:t>
      </w:r>
      <w:r>
        <w:rPr>
          <w:rFonts w:hint="eastAsia"/>
          <w:highlight w:val="none"/>
          <w:vertAlign w:val="subscript"/>
        </w:rPr>
        <w:t>2-4</w:t>
      </w:r>
      <w:r>
        <w:rPr>
          <w:rFonts w:hint="eastAsia"/>
          <w:highlight w:val="none"/>
        </w:rPr>
        <w:t>的浅层含水层与Q</w:t>
      </w:r>
      <w:r>
        <w:rPr>
          <w:rFonts w:hint="eastAsia"/>
          <w:highlight w:val="none"/>
          <w:vertAlign w:val="subscript"/>
        </w:rPr>
        <w:t>1</w:t>
      </w:r>
      <w:r>
        <w:rPr>
          <w:rFonts w:hint="eastAsia"/>
          <w:highlight w:val="none"/>
        </w:rPr>
        <w:t>的深层含水层之间存在着厚层粘土，对深层含水层进行抽水试验时，同步观测的浅层孔无反应，这说明该粘土层为两含水层系统的隔水层，两含水层系统水力联系弱。</w:t>
      </w:r>
    </w:p>
    <w:p>
      <w:pPr>
        <w:pStyle w:val="62"/>
        <w:ind w:firstLine="480"/>
        <w:rPr>
          <w:highlight w:val="none"/>
        </w:rPr>
      </w:pPr>
      <w:r>
        <w:rPr>
          <w:rFonts w:hint="eastAsia"/>
          <w:highlight w:val="none"/>
        </w:rPr>
        <w:t>因此此次研究的目的含水层为中上更新统Q</w:t>
      </w:r>
      <w:r>
        <w:rPr>
          <w:rFonts w:hint="eastAsia"/>
          <w:highlight w:val="none"/>
          <w:vertAlign w:val="subscript"/>
        </w:rPr>
        <w:t>2-4</w:t>
      </w:r>
      <w:r>
        <w:rPr>
          <w:rFonts w:hint="eastAsia"/>
          <w:highlight w:val="none"/>
        </w:rPr>
        <w:t>的浅层含水层。</w:t>
      </w:r>
    </w:p>
    <w:p>
      <w:pPr>
        <w:pStyle w:val="62"/>
        <w:ind w:firstLine="480"/>
        <w:rPr>
          <w:highlight w:val="none"/>
        </w:rPr>
      </w:pPr>
      <w:r>
        <w:rPr>
          <w:rFonts w:hint="eastAsia"/>
          <w:highlight w:val="none"/>
        </w:rPr>
        <w:t>项目区地层柱状图见附图5-6。</w:t>
      </w:r>
    </w:p>
    <w:p>
      <w:pPr>
        <w:pStyle w:val="62"/>
        <w:ind w:firstLine="480"/>
        <w:rPr>
          <w:highlight w:val="none"/>
        </w:rPr>
      </w:pPr>
      <w:r>
        <w:rPr>
          <w:rFonts w:hint="eastAsia"/>
          <w:highlight w:val="none"/>
        </w:rPr>
        <w:t>3、地下水补、径、排特征</w:t>
      </w:r>
    </w:p>
    <w:p>
      <w:pPr>
        <w:pStyle w:val="62"/>
        <w:ind w:firstLine="480"/>
        <w:rPr>
          <w:highlight w:val="none"/>
        </w:rPr>
      </w:pPr>
      <w:r>
        <w:rPr>
          <w:rFonts w:hint="eastAsia"/>
          <w:highlight w:val="none"/>
        </w:rPr>
        <w:t>地下水埋深大，主要接受山区侧向补给，其次是大气降水入渗补给。山区侧向补给通过洪积扇垂直或垂向补给地下水；大气降水直接通过地表粗颗粒带入渗补给。</w:t>
      </w:r>
    </w:p>
    <w:p>
      <w:pPr>
        <w:pStyle w:val="62"/>
        <w:ind w:firstLine="480"/>
        <w:rPr>
          <w:highlight w:val="none"/>
        </w:rPr>
      </w:pPr>
      <w:r>
        <w:rPr>
          <w:rFonts w:hint="eastAsia"/>
          <w:highlight w:val="none"/>
        </w:rPr>
        <w:t>地下水的径流受地形地貌、岩性特征和水文气象等因素制约，从全区等水位线图来看，基本上是由山前向河谷径流，大致由东北向西南径流，最终流入西南侧的滹沱河。</w:t>
      </w:r>
    </w:p>
    <w:p>
      <w:pPr>
        <w:pStyle w:val="62"/>
        <w:ind w:firstLine="480"/>
        <w:rPr>
          <w:highlight w:val="none"/>
        </w:rPr>
      </w:pPr>
      <w:r>
        <w:rPr>
          <w:rFonts w:hint="eastAsia"/>
          <w:highlight w:val="none"/>
        </w:rPr>
        <w:t>区内浅层和深层地下水已被部分开发和利用，但开采水量不大，地下水仍处于天然平衡状态下，在河谷形成排泄及蒸发排泄带。</w:t>
      </w:r>
    </w:p>
    <w:p>
      <w:pPr>
        <w:pStyle w:val="62"/>
        <w:ind w:firstLine="480"/>
        <w:rPr>
          <w:highlight w:val="none"/>
        </w:rPr>
      </w:pPr>
      <w:r>
        <w:rPr>
          <w:rFonts w:hint="eastAsia"/>
          <w:highlight w:val="none"/>
        </w:rPr>
        <w:t>4、评价区包气带特征</w:t>
      </w:r>
    </w:p>
    <w:p>
      <w:pPr>
        <w:pStyle w:val="62"/>
        <w:ind w:firstLine="480"/>
        <w:rPr>
          <w:highlight w:val="none"/>
        </w:rPr>
      </w:pPr>
      <w:r>
        <w:rPr>
          <w:rFonts w:hint="eastAsia"/>
          <w:highlight w:val="none"/>
        </w:rPr>
        <w:t>包气带岩性以耕表土、黄土状粉土和粉土与砂卵石互层为主。根据野外渗水试验得出渗透系数平均値5.2</w:t>
      </w:r>
      <w:r>
        <w:rPr>
          <w:highlight w:val="none"/>
        </w:rPr>
        <w:t>3×</w:t>
      </w:r>
      <w:r>
        <w:rPr>
          <w:rFonts w:hint="eastAsia"/>
          <w:highlight w:val="none"/>
        </w:rPr>
        <w:t>10</w:t>
      </w:r>
      <w:r>
        <w:rPr>
          <w:rFonts w:hint="eastAsia"/>
          <w:highlight w:val="none"/>
          <w:vertAlign w:val="superscript"/>
        </w:rPr>
        <w:t>-4</w:t>
      </w:r>
      <w:r>
        <w:rPr>
          <w:rFonts w:hint="eastAsia"/>
          <w:highlight w:val="none"/>
        </w:rPr>
        <w:t>cm/s。</w:t>
      </w:r>
    </w:p>
    <w:p>
      <w:pPr>
        <w:pStyle w:val="62"/>
        <w:ind w:firstLine="480"/>
        <w:rPr>
          <w:highlight w:val="none"/>
        </w:rPr>
      </w:pPr>
      <w:r>
        <w:rPr>
          <w:rFonts w:hint="eastAsia"/>
          <w:highlight w:val="none"/>
        </w:rPr>
        <w:t>由于评价区地下水丰水期埋深在</w:t>
      </w:r>
      <w:r>
        <w:rPr>
          <w:highlight w:val="none"/>
        </w:rPr>
        <w:t>14-130</w:t>
      </w:r>
      <w:r>
        <w:rPr>
          <w:rFonts w:hint="eastAsia"/>
          <w:highlight w:val="none"/>
        </w:rPr>
        <w:t>m左右，包气带厚度由北向南逐渐减小，包气带厚度在40-60m左右，平均厚度约50m，包气带天然防污性能为“弱”。</w:t>
      </w:r>
    </w:p>
    <w:p>
      <w:pPr>
        <w:pStyle w:val="62"/>
        <w:ind w:firstLine="480"/>
        <w:rPr>
          <w:rFonts w:hAnsi="宋体"/>
          <w:highlight w:val="none"/>
        </w:rPr>
      </w:pPr>
      <w:r>
        <w:rPr>
          <w:rFonts w:hint="eastAsia"/>
          <w:highlight w:val="none"/>
        </w:rPr>
        <w:t>评价区第四系松散层孔隙水流场图见附图5-7。</w:t>
      </w:r>
      <w:bookmarkEnd w:id="231"/>
      <w:bookmarkEnd w:id="232"/>
      <w:bookmarkEnd w:id="233"/>
      <w:bookmarkEnd w:id="234"/>
      <w:bookmarkEnd w:id="235"/>
      <w:bookmarkEnd w:id="236"/>
      <w:bookmarkEnd w:id="237"/>
      <w:bookmarkEnd w:id="238"/>
      <w:bookmarkStart w:id="242" w:name="_Toc22755106"/>
      <w:bookmarkStart w:id="243" w:name="_Toc518318391"/>
      <w:bookmarkStart w:id="244" w:name="_Toc524421002"/>
    </w:p>
    <w:p>
      <w:pPr>
        <w:pStyle w:val="4"/>
        <w:ind w:firstLine="562"/>
        <w:rPr>
          <w:rFonts w:hAnsi="宋体"/>
          <w:highlight w:val="none"/>
        </w:rPr>
      </w:pPr>
      <w:r>
        <w:rPr>
          <w:rFonts w:hint="eastAsia" w:hAnsi="宋体"/>
          <w:highlight w:val="none"/>
        </w:rPr>
        <w:t>5.3</w:t>
      </w:r>
      <w:r>
        <w:rPr>
          <w:rFonts w:hAnsi="宋体"/>
          <w:highlight w:val="none"/>
        </w:rPr>
        <w:t>.</w:t>
      </w:r>
      <w:r>
        <w:rPr>
          <w:rFonts w:hint="eastAsia" w:hAnsi="宋体"/>
          <w:highlight w:val="none"/>
        </w:rPr>
        <w:t>3 水</w:t>
      </w:r>
      <w:r>
        <w:rPr>
          <w:rFonts w:hAnsi="宋体"/>
          <w:highlight w:val="none"/>
        </w:rPr>
        <w:t>文地质</w:t>
      </w:r>
      <w:r>
        <w:rPr>
          <w:rFonts w:hint="eastAsia" w:hAnsi="宋体"/>
          <w:highlight w:val="none"/>
        </w:rPr>
        <w:t>试验</w:t>
      </w:r>
      <w:bookmarkEnd w:id="242"/>
      <w:bookmarkEnd w:id="243"/>
      <w:bookmarkEnd w:id="244"/>
    </w:p>
    <w:p>
      <w:pPr>
        <w:pStyle w:val="62"/>
        <w:ind w:firstLine="480"/>
        <w:rPr>
          <w:highlight w:val="none"/>
        </w:rPr>
      </w:pPr>
      <w:r>
        <w:rPr>
          <w:rFonts w:hint="eastAsia"/>
          <w:highlight w:val="none"/>
        </w:rPr>
        <w:t>为查明厂区包气带的渗透性能，在厂区内布置1组渗水试验。</w:t>
      </w:r>
    </w:p>
    <w:p>
      <w:pPr>
        <w:pStyle w:val="234"/>
        <w:spacing w:line="240" w:lineRule="auto"/>
        <w:rPr>
          <w:highlight w:val="none"/>
        </w:rPr>
      </w:pPr>
      <w:r>
        <w:rPr>
          <w:highlight w:val="none"/>
        </w:rPr>
        <w:drawing>
          <wp:inline distT="0" distB="0" distL="0" distR="0">
            <wp:extent cx="2456815" cy="1896110"/>
            <wp:effectExtent l="0" t="0" r="63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456815" cy="1896110"/>
                    </a:xfrm>
                    <a:prstGeom prst="rect">
                      <a:avLst/>
                    </a:prstGeom>
                    <a:noFill/>
                  </pic:spPr>
                </pic:pic>
              </a:graphicData>
            </a:graphic>
          </wp:inline>
        </w:drawing>
      </w:r>
    </w:p>
    <w:p>
      <w:pPr>
        <w:pStyle w:val="62"/>
        <w:ind w:firstLine="480"/>
        <w:rPr>
          <w:highlight w:val="none"/>
        </w:rPr>
      </w:pPr>
      <w:r>
        <w:rPr>
          <w:rFonts w:hint="eastAsia"/>
          <w:highlight w:val="none"/>
        </w:rPr>
        <w:t>（1）设备的安装</w:t>
      </w:r>
    </w:p>
    <w:p>
      <w:pPr>
        <w:pStyle w:val="62"/>
        <w:ind w:firstLine="480"/>
        <w:rPr>
          <w:highlight w:val="none"/>
        </w:rPr>
      </w:pPr>
      <w:r>
        <w:rPr>
          <w:rFonts w:hint="eastAsia"/>
          <w:highlight w:val="none"/>
        </w:rPr>
        <w:t>①选定试验位置后，清除地表覆土，下挖一个20cm的注水试坑，清平坑底；</w:t>
      </w:r>
    </w:p>
    <w:p>
      <w:pPr>
        <w:pStyle w:val="62"/>
        <w:ind w:firstLine="480"/>
        <w:rPr>
          <w:highlight w:val="none"/>
        </w:rPr>
      </w:pPr>
      <w:r>
        <w:rPr>
          <w:rFonts w:hint="eastAsia"/>
          <w:highlight w:val="none"/>
        </w:rPr>
        <w:t>②在注水试坑内放入高20cm，直径35.75cm的铁环，环外用粘土充填压实，确保四周密闭不漏水；</w:t>
      </w:r>
    </w:p>
    <w:p>
      <w:pPr>
        <w:pStyle w:val="62"/>
        <w:ind w:firstLine="480"/>
        <w:rPr>
          <w:highlight w:val="none"/>
        </w:rPr>
      </w:pPr>
      <w:r>
        <w:rPr>
          <w:rFonts w:hint="eastAsia"/>
          <w:highlight w:val="none"/>
        </w:rPr>
        <w:t>③在环底铺2cm厚的粒径5-8mm的粒料做缓冲层。</w:t>
      </w:r>
    </w:p>
    <w:p>
      <w:pPr>
        <w:pStyle w:val="62"/>
        <w:ind w:firstLine="480"/>
        <w:rPr>
          <w:highlight w:val="none"/>
        </w:rPr>
      </w:pPr>
      <w:r>
        <w:rPr>
          <w:rFonts w:hint="eastAsia"/>
          <w:highlight w:val="none"/>
        </w:rPr>
        <w:t>（2）注水</w:t>
      </w:r>
    </w:p>
    <w:p>
      <w:pPr>
        <w:pStyle w:val="62"/>
        <w:ind w:firstLine="480"/>
        <w:rPr>
          <w:highlight w:val="none"/>
        </w:rPr>
      </w:pPr>
      <w:r>
        <w:rPr>
          <w:rFonts w:hint="eastAsia"/>
          <w:highlight w:val="none"/>
        </w:rPr>
        <w:t>①向环内注水，保持环内水柱高度在10cm左右，并控制波动幅度不超过0.5cm；</w:t>
      </w:r>
    </w:p>
    <w:p>
      <w:pPr>
        <w:pStyle w:val="62"/>
        <w:ind w:firstLine="480"/>
        <w:rPr>
          <w:highlight w:val="none"/>
        </w:rPr>
      </w:pPr>
      <w:r>
        <w:rPr>
          <w:rFonts w:hint="eastAsia"/>
          <w:highlight w:val="none"/>
        </w:rPr>
        <w:t>②开始每隔5min量测一次注水量，连续量测5次，以后每隔20min量测一次，连续量测7次；</w:t>
      </w:r>
    </w:p>
    <w:p>
      <w:pPr>
        <w:pStyle w:val="62"/>
        <w:ind w:firstLine="480"/>
        <w:rPr>
          <w:highlight w:val="none"/>
        </w:rPr>
      </w:pPr>
      <w:r>
        <w:rPr>
          <w:rFonts w:hint="eastAsia"/>
          <w:highlight w:val="none"/>
        </w:rPr>
        <w:t>③经计算，第6次和第5次注水量之差小于第七次注水量的10%，试验结束。</w:t>
      </w:r>
    </w:p>
    <w:p>
      <w:pPr>
        <w:pStyle w:val="62"/>
        <w:ind w:firstLine="480"/>
        <w:rPr>
          <w:highlight w:val="none"/>
        </w:rPr>
      </w:pPr>
      <w:r>
        <w:rPr>
          <w:rFonts w:hint="eastAsia"/>
          <w:highlight w:val="none"/>
        </w:rPr>
        <w:t>（3）渗透性能计算</w:t>
      </w:r>
    </w:p>
    <w:p>
      <w:pPr>
        <w:pStyle w:val="62"/>
        <w:ind w:firstLine="480"/>
        <w:rPr>
          <w:highlight w:val="none"/>
        </w:rPr>
      </w:pPr>
      <w:r>
        <w:rPr>
          <w:rFonts w:hint="eastAsia"/>
          <w:highlight w:val="none"/>
        </w:rPr>
        <w:t>试坑内单环注水试验按下列公式计算实验层的渗透系数：</w:t>
      </w:r>
    </w:p>
    <w:p>
      <w:pPr>
        <w:pStyle w:val="62"/>
        <w:ind w:firstLine="480"/>
        <w:rPr>
          <w:highlight w:val="none"/>
        </w:rPr>
      </w:pPr>
      <w:r>
        <w:rPr>
          <w:rFonts w:hint="eastAsia"/>
          <w:highlight w:val="none"/>
        </w:rPr>
        <w:t>K=16.67Q/F</w:t>
      </w:r>
    </w:p>
    <w:p>
      <w:pPr>
        <w:pStyle w:val="62"/>
        <w:ind w:firstLine="480"/>
        <w:rPr>
          <w:highlight w:val="none"/>
        </w:rPr>
      </w:pPr>
      <w:r>
        <w:rPr>
          <w:rFonts w:hint="eastAsia"/>
          <w:highlight w:val="none"/>
        </w:rPr>
        <w:t>式中：K——试验土层渗透系数，cm/s；</w:t>
      </w:r>
    </w:p>
    <w:p>
      <w:pPr>
        <w:pStyle w:val="62"/>
        <w:ind w:firstLine="480"/>
        <w:rPr>
          <w:highlight w:val="none"/>
        </w:rPr>
      </w:pPr>
      <w:r>
        <w:rPr>
          <w:rFonts w:hint="eastAsia"/>
          <w:highlight w:val="none"/>
        </w:rPr>
        <w:t>Q——最后一次注水量，L/min；</w:t>
      </w:r>
    </w:p>
    <w:p>
      <w:pPr>
        <w:pStyle w:val="62"/>
        <w:ind w:firstLine="480"/>
        <w:rPr>
          <w:highlight w:val="none"/>
        </w:rPr>
      </w:pPr>
      <w:r>
        <w:rPr>
          <w:rFonts w:hint="eastAsia"/>
          <w:highlight w:val="none"/>
        </w:rPr>
        <w:t>F——试环面积，cm</w:t>
      </w:r>
      <w:r>
        <w:rPr>
          <w:rFonts w:hint="eastAsia"/>
          <w:highlight w:val="none"/>
          <w:vertAlign w:val="superscript"/>
        </w:rPr>
        <w:t>2</w:t>
      </w:r>
      <w:r>
        <w:rPr>
          <w:rFonts w:hint="eastAsia"/>
          <w:highlight w:val="none"/>
        </w:rPr>
        <w:t>。</w:t>
      </w:r>
    </w:p>
    <w:p>
      <w:pPr>
        <w:pStyle w:val="65"/>
        <w:rPr>
          <w:highlight w:val="none"/>
        </w:rPr>
      </w:pPr>
      <w:r>
        <w:rPr>
          <w:rFonts w:hint="eastAsia"/>
          <w:highlight w:val="none"/>
        </w:rPr>
        <w:t>表5.3-3    渗水试验成果表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37"/>
        <w:gridCol w:w="2237"/>
        <w:gridCol w:w="2238"/>
        <w:gridCol w:w="223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7" w:type="dxa"/>
            <w:shd w:val="clear" w:color="auto" w:fill="auto"/>
            <w:vAlign w:val="center"/>
          </w:tcPr>
          <w:p>
            <w:pPr>
              <w:pStyle w:val="234"/>
              <w:rPr>
                <w:rFonts w:hAnsi="宋体"/>
                <w:highlight w:val="none"/>
              </w:rPr>
            </w:pPr>
            <w:r>
              <w:rPr>
                <w:rFonts w:hint="eastAsia" w:hAnsi="宋体"/>
                <w:highlight w:val="none"/>
              </w:rPr>
              <w:t>点位</w:t>
            </w:r>
          </w:p>
        </w:tc>
        <w:tc>
          <w:tcPr>
            <w:tcW w:w="2237" w:type="dxa"/>
            <w:shd w:val="clear" w:color="auto" w:fill="auto"/>
            <w:vAlign w:val="center"/>
          </w:tcPr>
          <w:p>
            <w:pPr>
              <w:pStyle w:val="234"/>
              <w:rPr>
                <w:rFonts w:hAnsi="宋体"/>
                <w:highlight w:val="none"/>
              </w:rPr>
            </w:pPr>
            <w:r>
              <w:rPr>
                <w:rFonts w:hint="eastAsia" w:hAnsi="宋体"/>
                <w:highlight w:val="none"/>
              </w:rPr>
              <w:t>第7次注水量（L/min）</w:t>
            </w:r>
          </w:p>
        </w:tc>
        <w:tc>
          <w:tcPr>
            <w:tcW w:w="2238" w:type="dxa"/>
            <w:shd w:val="clear" w:color="auto" w:fill="auto"/>
            <w:vAlign w:val="center"/>
          </w:tcPr>
          <w:p>
            <w:pPr>
              <w:pStyle w:val="234"/>
              <w:rPr>
                <w:rFonts w:hAnsi="宋体"/>
                <w:highlight w:val="none"/>
              </w:rPr>
            </w:pPr>
            <w:r>
              <w:rPr>
                <w:rFonts w:hint="eastAsia" w:hAnsi="宋体"/>
                <w:highlight w:val="none"/>
              </w:rPr>
              <w:t>垂向渗透系数（cm/s）</w:t>
            </w:r>
          </w:p>
        </w:tc>
        <w:tc>
          <w:tcPr>
            <w:tcW w:w="2238" w:type="dxa"/>
            <w:shd w:val="clear" w:color="auto" w:fill="auto"/>
            <w:vAlign w:val="center"/>
          </w:tcPr>
          <w:p>
            <w:pPr>
              <w:pStyle w:val="234"/>
              <w:rPr>
                <w:rFonts w:hAnsi="宋体"/>
                <w:highlight w:val="none"/>
              </w:rPr>
            </w:pPr>
            <w:r>
              <w:rPr>
                <w:rFonts w:hint="eastAsia" w:hAnsi="宋体"/>
                <w:highlight w:val="none"/>
              </w:rPr>
              <w:t>试验目的层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7" w:type="dxa"/>
            <w:shd w:val="clear" w:color="auto" w:fill="auto"/>
            <w:vAlign w:val="center"/>
          </w:tcPr>
          <w:p>
            <w:pPr>
              <w:pStyle w:val="234"/>
              <w:rPr>
                <w:rFonts w:hAnsi="宋体"/>
                <w:highlight w:val="none"/>
              </w:rPr>
            </w:pPr>
            <w:r>
              <w:rPr>
                <w:rFonts w:hint="eastAsia" w:hAnsi="宋体"/>
                <w:highlight w:val="none"/>
              </w:rPr>
              <w:t>厂区</w:t>
            </w:r>
          </w:p>
        </w:tc>
        <w:tc>
          <w:tcPr>
            <w:tcW w:w="2237" w:type="dxa"/>
            <w:shd w:val="clear" w:color="auto" w:fill="auto"/>
            <w:vAlign w:val="center"/>
          </w:tcPr>
          <w:p>
            <w:pPr>
              <w:pStyle w:val="234"/>
              <w:rPr>
                <w:rFonts w:hAnsi="宋体"/>
                <w:highlight w:val="none"/>
              </w:rPr>
            </w:pPr>
            <w:r>
              <w:rPr>
                <w:rFonts w:hint="eastAsia" w:hAnsi="宋体"/>
                <w:highlight w:val="none"/>
              </w:rPr>
              <w:t>0.04</w:t>
            </w:r>
            <w:r>
              <w:rPr>
                <w:rFonts w:hAnsi="宋体"/>
                <w:highlight w:val="none"/>
              </w:rPr>
              <w:t>3</w:t>
            </w:r>
          </w:p>
        </w:tc>
        <w:tc>
          <w:tcPr>
            <w:tcW w:w="2238" w:type="dxa"/>
            <w:shd w:val="clear" w:color="auto" w:fill="auto"/>
            <w:vAlign w:val="center"/>
          </w:tcPr>
          <w:p>
            <w:pPr>
              <w:pStyle w:val="234"/>
              <w:rPr>
                <w:rFonts w:hAnsi="宋体"/>
                <w:highlight w:val="none"/>
              </w:rPr>
            </w:pPr>
            <w:r>
              <w:rPr>
                <w:rFonts w:hint="eastAsia" w:hAnsi="宋体"/>
                <w:highlight w:val="none"/>
              </w:rPr>
              <w:t>5.</w:t>
            </w:r>
            <w:r>
              <w:rPr>
                <w:rFonts w:hAnsi="宋体"/>
                <w:highlight w:val="none"/>
              </w:rPr>
              <w:t>20×</w:t>
            </w:r>
            <w:r>
              <w:rPr>
                <w:rFonts w:hint="eastAsia" w:hAnsi="宋体"/>
                <w:highlight w:val="none"/>
              </w:rPr>
              <w:t>10</w:t>
            </w:r>
            <w:r>
              <w:rPr>
                <w:rFonts w:hint="eastAsia" w:hAnsi="宋体"/>
                <w:highlight w:val="none"/>
                <w:vertAlign w:val="superscript"/>
              </w:rPr>
              <w:t>-4</w:t>
            </w:r>
          </w:p>
        </w:tc>
        <w:tc>
          <w:tcPr>
            <w:tcW w:w="2238" w:type="dxa"/>
            <w:shd w:val="clear" w:color="auto" w:fill="auto"/>
            <w:vAlign w:val="center"/>
          </w:tcPr>
          <w:p>
            <w:pPr>
              <w:pStyle w:val="234"/>
              <w:rPr>
                <w:rFonts w:hAnsi="宋体"/>
                <w:highlight w:val="none"/>
              </w:rPr>
            </w:pPr>
            <w:r>
              <w:rPr>
                <w:rFonts w:hint="eastAsia" w:hAnsi="宋体"/>
                <w:highlight w:val="none"/>
              </w:rPr>
              <w:t>素填土，松散</w:t>
            </w:r>
          </w:p>
        </w:tc>
      </w:tr>
    </w:tbl>
    <w:p>
      <w:pPr>
        <w:pStyle w:val="4"/>
        <w:ind w:firstLine="562"/>
        <w:rPr>
          <w:rFonts w:hAnsi="宋体"/>
          <w:highlight w:val="none"/>
        </w:rPr>
      </w:pPr>
      <w:bookmarkStart w:id="245" w:name="_Toc22755111"/>
      <w:r>
        <w:rPr>
          <w:rFonts w:hint="eastAsia" w:hAnsi="宋体"/>
          <w:highlight w:val="none"/>
        </w:rPr>
        <w:t>5.3.4</w:t>
      </w:r>
      <w:r>
        <w:rPr>
          <w:rFonts w:hAnsi="宋体"/>
          <w:highlight w:val="none"/>
        </w:rPr>
        <w:t>地下水水质</w:t>
      </w:r>
      <w:r>
        <w:rPr>
          <w:rFonts w:hint="eastAsia" w:hAnsi="宋体"/>
          <w:highlight w:val="none"/>
        </w:rPr>
        <w:t>污染影响</w:t>
      </w:r>
      <w:r>
        <w:rPr>
          <w:rFonts w:hAnsi="宋体"/>
          <w:highlight w:val="none"/>
        </w:rPr>
        <w:t>预测</w:t>
      </w:r>
      <w:bookmarkEnd w:id="245"/>
    </w:p>
    <w:p>
      <w:pPr>
        <w:pStyle w:val="62"/>
        <w:ind w:firstLine="480"/>
        <w:rPr>
          <w:highlight w:val="none"/>
        </w:rPr>
      </w:pPr>
      <w:bookmarkStart w:id="246" w:name="_Toc20261229"/>
      <w:bookmarkStart w:id="247" w:name="_Toc22755112"/>
      <w:bookmarkStart w:id="248" w:name="_Toc446571873"/>
      <w:bookmarkStart w:id="249" w:name="_Toc335677340"/>
      <w:bookmarkStart w:id="250" w:name="_Toc356853373"/>
      <w:r>
        <w:rPr>
          <w:rFonts w:hint="eastAsia"/>
          <w:highlight w:val="none"/>
        </w:rPr>
        <w:t xml:space="preserve">5.3.4.1 </w:t>
      </w:r>
      <w:r>
        <w:rPr>
          <w:highlight w:val="none"/>
        </w:rPr>
        <w:t>地下水水流</w:t>
      </w:r>
      <w:r>
        <w:rPr>
          <w:rStyle w:val="63"/>
          <w:highlight w:val="none"/>
        </w:rPr>
        <w:t>数值</w:t>
      </w:r>
      <w:r>
        <w:rPr>
          <w:highlight w:val="none"/>
        </w:rPr>
        <w:t>模型</w:t>
      </w:r>
      <w:bookmarkEnd w:id="246"/>
      <w:bookmarkEnd w:id="247"/>
    </w:p>
    <w:bookmarkEnd w:id="248"/>
    <w:p>
      <w:pPr>
        <w:pStyle w:val="62"/>
        <w:ind w:firstLine="480"/>
        <w:rPr>
          <w:highlight w:val="none"/>
        </w:rPr>
      </w:pPr>
      <w:bookmarkStart w:id="251" w:name="_Toc397159671"/>
      <w:bookmarkEnd w:id="251"/>
      <w:bookmarkStart w:id="252" w:name="_Toc380657702"/>
      <w:bookmarkEnd w:id="252"/>
      <w:bookmarkStart w:id="253" w:name="_Toc418081180"/>
      <w:bookmarkEnd w:id="253"/>
      <w:bookmarkStart w:id="254" w:name="_Toc377476251"/>
      <w:r>
        <w:rPr>
          <w:highlight w:val="none"/>
        </w:rPr>
        <w:t>1</w:t>
      </w:r>
      <w:bookmarkEnd w:id="254"/>
      <w:r>
        <w:rPr>
          <w:rFonts w:hint="eastAsia"/>
          <w:highlight w:val="none"/>
        </w:rPr>
        <w:t>、概念模型</w:t>
      </w:r>
    </w:p>
    <w:p>
      <w:pPr>
        <w:pStyle w:val="62"/>
        <w:ind w:firstLine="480"/>
        <w:rPr>
          <w:highlight w:val="none"/>
        </w:rPr>
      </w:pPr>
      <w:r>
        <w:rPr>
          <w:rFonts w:hint="eastAsia"/>
          <w:highlight w:val="none"/>
        </w:rPr>
        <w:t>水文地质概念模型就是表示有关含水层结构和作用以及含水系统特征方面数据的图。它是依据现场所收集到的数据建立起来的，是水文地质理论研究和应用之间的一个环节。通过分析研究区的水文地质条件，收集和整理了大量水文地质资料的基础上，建立了研究区水文地质概念模型和地下水流数值模型。</w:t>
      </w:r>
    </w:p>
    <w:p>
      <w:pPr>
        <w:pStyle w:val="62"/>
        <w:ind w:firstLine="480"/>
        <w:rPr>
          <w:highlight w:val="none"/>
        </w:rPr>
      </w:pPr>
      <w:bookmarkStart w:id="255" w:name="_Toc397159672"/>
      <w:bookmarkEnd w:id="255"/>
      <w:bookmarkStart w:id="256" w:name="_Toc418081181"/>
      <w:bookmarkEnd w:id="256"/>
      <w:bookmarkStart w:id="257" w:name="_Toc17232433"/>
      <w:r>
        <w:rPr>
          <w:rFonts w:hint="eastAsia"/>
          <w:highlight w:val="none"/>
        </w:rPr>
        <w:t>2、含水层概化</w:t>
      </w:r>
      <w:bookmarkEnd w:id="257"/>
    </w:p>
    <w:p>
      <w:pPr>
        <w:pStyle w:val="62"/>
        <w:ind w:firstLine="480"/>
        <w:rPr>
          <w:highlight w:val="none"/>
        </w:rPr>
      </w:pPr>
      <w:r>
        <w:rPr>
          <w:rFonts w:hint="eastAsia"/>
          <w:highlight w:val="none"/>
        </w:rPr>
        <w:t>根据评价区水文地质条件、含水层性质及地下水水力联系，第四系松散岩类孔隙水为溶质运移模拟的目标含水层。本次假定目标含水层为连续含水层，含水层厚度约为50</w:t>
      </w:r>
      <w:r>
        <w:rPr>
          <w:highlight w:val="none"/>
        </w:rPr>
        <w:t>~</w:t>
      </w:r>
      <w:r>
        <w:rPr>
          <w:rFonts w:hint="eastAsia"/>
          <w:highlight w:val="none"/>
        </w:rPr>
        <w:t>92</w:t>
      </w:r>
      <w:r>
        <w:rPr>
          <w:highlight w:val="none"/>
        </w:rPr>
        <w:t>m</w:t>
      </w:r>
      <w:r>
        <w:rPr>
          <w:rFonts w:hint="eastAsia"/>
          <w:highlight w:val="none"/>
        </w:rPr>
        <w:t>左右，该含水层可概化为非均质各向同性、连续分布、底板近似水平的含水层。含水层下部为粘土层，透水性弱弱透水层可视为隔水层。包气带岩性为松散岩类，视为透水上部边界。</w:t>
      </w:r>
    </w:p>
    <w:p>
      <w:pPr>
        <w:pStyle w:val="62"/>
        <w:ind w:firstLine="480"/>
        <w:rPr>
          <w:highlight w:val="none"/>
        </w:rPr>
      </w:pPr>
      <w:bookmarkStart w:id="258" w:name="_Toc397159673"/>
      <w:bookmarkEnd w:id="258"/>
      <w:bookmarkStart w:id="259" w:name="_Toc17232434"/>
      <w:r>
        <w:rPr>
          <w:rFonts w:hint="eastAsia"/>
          <w:highlight w:val="none"/>
        </w:rPr>
        <w:t>3、模拟范围及边界条件</w:t>
      </w:r>
      <w:bookmarkEnd w:id="259"/>
    </w:p>
    <w:p>
      <w:pPr>
        <w:pStyle w:val="62"/>
        <w:ind w:firstLine="480"/>
        <w:rPr>
          <w:highlight w:val="none"/>
        </w:rPr>
      </w:pPr>
      <w:r>
        <w:rPr>
          <w:rFonts w:hint="eastAsia"/>
          <w:highlight w:val="none"/>
        </w:rPr>
        <w:t>据区域地质图及现场调查与钻探资料，模拟区上边界为潜水面，垂向上水量仅为大气降水入渗补给；潜水含水层下部为粘土层，隔水性较好，定义为零流量隔水边界；西边界和东边界划定为垂直于等水位线的零流量边界；北边界滹沱河为区域排泄区，概化为排泄边界；南边界设置为定流量补给边界。</w:t>
      </w:r>
    </w:p>
    <w:p>
      <w:pPr>
        <w:pStyle w:val="62"/>
        <w:ind w:firstLine="480"/>
        <w:rPr>
          <w:highlight w:val="none"/>
        </w:rPr>
      </w:pPr>
      <w:bookmarkStart w:id="260" w:name="_Toc17232435"/>
      <w:r>
        <w:rPr>
          <w:rFonts w:hint="eastAsia"/>
          <w:highlight w:val="none"/>
        </w:rPr>
        <w:t>4、参数分区</w:t>
      </w:r>
      <w:bookmarkEnd w:id="260"/>
    </w:p>
    <w:p>
      <w:pPr>
        <w:pStyle w:val="62"/>
        <w:ind w:firstLine="480"/>
        <w:rPr>
          <w:highlight w:val="none"/>
        </w:rPr>
      </w:pPr>
      <w:r>
        <w:rPr>
          <w:rFonts w:hint="eastAsia"/>
          <w:highlight w:val="none"/>
        </w:rPr>
        <w:t>根据评价区地质、水文地质条件的分析，结合《山西六大盆地地下水资源及其环境问题调查评价》，对模拟区进行参数分区。</w:t>
      </w:r>
    </w:p>
    <w:p>
      <w:pPr>
        <w:pStyle w:val="62"/>
        <w:ind w:firstLine="480"/>
        <w:rPr>
          <w:highlight w:val="none"/>
        </w:rPr>
      </w:pPr>
      <w:r>
        <w:rPr>
          <w:rFonts w:hint="eastAsia"/>
          <w:highlight w:val="none"/>
        </w:rPr>
        <w:t>根据《山西六大盆地地下水资源及其环境问题调查评价》及《水文地质手册》，对模拟区含水层渗透系数及给水度分别赋值。参数赋值见表5.3-4，参数分区见图5-3。</w:t>
      </w:r>
    </w:p>
    <w:p>
      <w:pPr>
        <w:ind w:firstLine="480"/>
        <w:rPr>
          <w:rFonts w:ascii="宋体"/>
          <w:szCs w:val="20"/>
          <w:highlight w:val="none"/>
          <w:lang w:val="zh-CN"/>
        </w:rPr>
      </w:pPr>
      <w:r>
        <w:rPr>
          <w:rFonts w:hint="eastAsia" w:ascii="宋体"/>
          <w:szCs w:val="20"/>
          <w:highlight w:val="none"/>
          <w:lang w:val="zh-CN"/>
        </w:rPr>
        <w:t>弥散系数的确定：本次污染物运移模拟仅考虑污染物的水动力弥散运移过程。纵向弥散系数取经验值10m</w:t>
      </w:r>
      <w:r>
        <w:rPr>
          <w:rFonts w:hint="eastAsia" w:ascii="宋体"/>
          <w:szCs w:val="20"/>
          <w:highlight w:val="none"/>
          <w:vertAlign w:val="superscript"/>
          <w:lang w:val="zh-CN"/>
        </w:rPr>
        <w:t>2</w:t>
      </w:r>
      <w:r>
        <w:rPr>
          <w:rFonts w:hint="eastAsia" w:ascii="宋体"/>
          <w:szCs w:val="20"/>
          <w:highlight w:val="none"/>
          <w:lang w:val="zh-CN"/>
        </w:rPr>
        <w:t>/d，横向弥散系数取1.0m</w:t>
      </w:r>
      <w:r>
        <w:rPr>
          <w:rFonts w:hint="eastAsia" w:ascii="宋体"/>
          <w:szCs w:val="20"/>
          <w:highlight w:val="none"/>
          <w:vertAlign w:val="superscript"/>
          <w:lang w:val="zh-CN"/>
        </w:rPr>
        <w:t>2</w:t>
      </w:r>
      <w:r>
        <w:rPr>
          <w:rFonts w:hint="eastAsia" w:ascii="宋体"/>
          <w:szCs w:val="20"/>
          <w:highlight w:val="none"/>
          <w:lang w:val="zh-CN"/>
        </w:rPr>
        <w:t>/d。</w:t>
      </w:r>
    </w:p>
    <w:p>
      <w:pPr>
        <w:widowControl/>
        <w:ind w:firstLine="0" w:firstLineChars="0"/>
        <w:jc w:val="center"/>
        <w:rPr>
          <w:rFonts w:ascii="宋体"/>
          <w:szCs w:val="22"/>
          <w:highlight w:val="none"/>
        </w:rPr>
      </w:pPr>
      <w:r>
        <w:rPr>
          <w:rFonts w:hint="eastAsia" w:ascii="宋体"/>
          <w:szCs w:val="22"/>
          <w:highlight w:val="none"/>
        </w:rPr>
        <w:t>表5.3-4</w:t>
      </w:r>
      <w:r>
        <w:rPr>
          <w:rFonts w:ascii="宋体"/>
          <w:szCs w:val="22"/>
          <w:highlight w:val="none"/>
        </w:rPr>
        <w:t xml:space="preserve">  </w:t>
      </w:r>
      <w:r>
        <w:rPr>
          <w:rFonts w:hint="eastAsia" w:ascii="宋体"/>
          <w:szCs w:val="22"/>
          <w:highlight w:val="none"/>
        </w:rPr>
        <w:t>参数分区表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475"/>
        <w:gridCol w:w="2530"/>
        <w:gridCol w:w="2565"/>
        <w:gridCol w:w="138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5" w:type="dxa"/>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分区</w:t>
            </w:r>
          </w:p>
        </w:tc>
        <w:tc>
          <w:tcPr>
            <w:tcW w:w="2530"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Kx</w:t>
            </w:r>
            <w:r>
              <w:rPr>
                <w:rFonts w:hint="eastAsia" w:ascii="宋体" w:hAnsi="宋体"/>
                <w:sz w:val="21"/>
                <w:szCs w:val="22"/>
                <w:highlight w:val="none"/>
              </w:rPr>
              <w:t>（</w:t>
            </w:r>
            <w:r>
              <w:rPr>
                <w:rFonts w:ascii="宋体" w:hAnsi="宋体"/>
                <w:sz w:val="21"/>
                <w:szCs w:val="22"/>
                <w:highlight w:val="none"/>
              </w:rPr>
              <w:t>m/d</w:t>
            </w:r>
            <w:r>
              <w:rPr>
                <w:rFonts w:hint="eastAsia" w:ascii="宋体" w:hAnsi="宋体"/>
                <w:sz w:val="21"/>
                <w:szCs w:val="22"/>
                <w:highlight w:val="none"/>
              </w:rPr>
              <w:t>）</w:t>
            </w:r>
          </w:p>
        </w:tc>
        <w:tc>
          <w:tcPr>
            <w:tcW w:w="2565"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Ky</w:t>
            </w:r>
            <w:r>
              <w:rPr>
                <w:rFonts w:hint="eastAsia" w:ascii="宋体" w:hAnsi="宋体"/>
                <w:sz w:val="21"/>
                <w:szCs w:val="22"/>
                <w:highlight w:val="none"/>
              </w:rPr>
              <w:t>（</w:t>
            </w:r>
            <w:r>
              <w:rPr>
                <w:rFonts w:ascii="宋体" w:hAnsi="宋体"/>
                <w:sz w:val="21"/>
                <w:szCs w:val="22"/>
                <w:highlight w:val="none"/>
              </w:rPr>
              <w:t>m/d</w:t>
            </w:r>
            <w:r>
              <w:rPr>
                <w:rFonts w:hint="eastAsia" w:ascii="宋体" w:hAnsi="宋体"/>
                <w:sz w:val="21"/>
                <w:szCs w:val="22"/>
                <w:highlight w:val="none"/>
              </w:rPr>
              <w:t>）</w:t>
            </w:r>
          </w:p>
        </w:tc>
        <w:tc>
          <w:tcPr>
            <w:tcW w:w="1380"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5" w:type="dxa"/>
            <w:vAlign w:val="center"/>
          </w:tcPr>
          <w:p>
            <w:pPr>
              <w:spacing w:line="320" w:lineRule="exact"/>
              <w:ind w:firstLine="0" w:firstLineChars="0"/>
              <w:jc w:val="center"/>
              <w:rPr>
                <w:rFonts w:ascii="宋体" w:hAnsi="宋体"/>
                <w:sz w:val="21"/>
                <w:szCs w:val="22"/>
                <w:highlight w:val="none"/>
              </w:rPr>
            </w:pPr>
            <w:r>
              <w:rPr>
                <w:rFonts w:hint="eastAsia" w:ascii="宋体" w:hAnsi="宋体" w:cs="宋体"/>
                <w:sz w:val="21"/>
                <w:szCs w:val="22"/>
                <w:highlight w:val="none"/>
              </w:rPr>
              <w:t>Ⅰ洪积高台地</w:t>
            </w:r>
          </w:p>
        </w:tc>
        <w:tc>
          <w:tcPr>
            <w:tcW w:w="2530" w:type="dxa"/>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3</w:t>
            </w:r>
            <w:r>
              <w:rPr>
                <w:rFonts w:ascii="宋体" w:hAnsi="宋体"/>
                <w:sz w:val="21"/>
                <w:szCs w:val="22"/>
                <w:highlight w:val="none"/>
              </w:rPr>
              <w:t>.6</w:t>
            </w:r>
          </w:p>
        </w:tc>
        <w:tc>
          <w:tcPr>
            <w:tcW w:w="2565"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3.6</w:t>
            </w:r>
          </w:p>
        </w:tc>
        <w:tc>
          <w:tcPr>
            <w:tcW w:w="1380"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0.15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5" w:type="dxa"/>
            <w:vAlign w:val="center"/>
          </w:tcPr>
          <w:p>
            <w:pPr>
              <w:spacing w:line="320" w:lineRule="exact"/>
              <w:ind w:firstLine="0" w:firstLineChars="0"/>
              <w:jc w:val="center"/>
              <w:rPr>
                <w:rFonts w:ascii="宋体" w:hAnsi="宋体"/>
                <w:sz w:val="21"/>
                <w:szCs w:val="22"/>
                <w:highlight w:val="none"/>
              </w:rPr>
            </w:pPr>
            <w:r>
              <w:rPr>
                <w:rFonts w:hint="eastAsia" w:ascii="宋体" w:hAnsi="宋体" w:cs="宋体"/>
                <w:sz w:val="21"/>
                <w:szCs w:val="22"/>
                <w:highlight w:val="none"/>
              </w:rPr>
              <w:t>Ⅱ洪积倾斜平原</w:t>
            </w:r>
          </w:p>
        </w:tc>
        <w:tc>
          <w:tcPr>
            <w:tcW w:w="2530"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2.2</w:t>
            </w:r>
          </w:p>
        </w:tc>
        <w:tc>
          <w:tcPr>
            <w:tcW w:w="2565"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2.2</w:t>
            </w:r>
          </w:p>
        </w:tc>
        <w:tc>
          <w:tcPr>
            <w:tcW w:w="1380"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0.12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5" w:type="dxa"/>
            <w:vAlign w:val="center"/>
          </w:tcPr>
          <w:p>
            <w:pPr>
              <w:spacing w:line="320" w:lineRule="exact"/>
              <w:ind w:firstLine="0" w:firstLineChars="0"/>
              <w:jc w:val="center"/>
              <w:rPr>
                <w:rFonts w:ascii="宋体" w:hAnsi="宋体" w:cs="宋体"/>
                <w:sz w:val="21"/>
                <w:szCs w:val="22"/>
                <w:highlight w:val="none"/>
              </w:rPr>
            </w:pPr>
            <w:r>
              <w:rPr>
                <w:rFonts w:hint="eastAsia" w:ascii="宋体" w:hAnsi="宋体" w:cs="宋体"/>
                <w:sz w:val="21"/>
                <w:szCs w:val="22"/>
                <w:highlight w:val="none"/>
              </w:rPr>
              <w:t>Ⅲ中起伏侵蚀中山</w:t>
            </w:r>
          </w:p>
        </w:tc>
        <w:tc>
          <w:tcPr>
            <w:tcW w:w="2530" w:type="dxa"/>
            <w:vAlign w:val="center"/>
          </w:tcPr>
          <w:p>
            <w:pPr>
              <w:spacing w:line="320" w:lineRule="exact"/>
              <w:ind w:firstLine="0" w:firstLineChars="0"/>
              <w:jc w:val="center"/>
              <w:rPr>
                <w:rFonts w:ascii="宋体" w:hAnsi="宋体"/>
                <w:sz w:val="21"/>
                <w:szCs w:val="22"/>
                <w:highlight w:val="none"/>
              </w:rPr>
            </w:pPr>
            <w:r>
              <w:rPr>
                <w:rFonts w:ascii="宋体" w:hAnsi="宋体"/>
                <w:sz w:val="21"/>
                <w:szCs w:val="22"/>
                <w:highlight w:val="none"/>
              </w:rPr>
              <w:t>4.8</w:t>
            </w:r>
          </w:p>
        </w:tc>
        <w:tc>
          <w:tcPr>
            <w:tcW w:w="2565" w:type="dxa"/>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4</w:t>
            </w:r>
            <w:r>
              <w:rPr>
                <w:rFonts w:ascii="宋体" w:hAnsi="宋体"/>
                <w:sz w:val="21"/>
                <w:szCs w:val="22"/>
                <w:highlight w:val="none"/>
              </w:rPr>
              <w:t>.8</w:t>
            </w:r>
          </w:p>
        </w:tc>
        <w:tc>
          <w:tcPr>
            <w:tcW w:w="1380" w:type="dxa"/>
            <w:vAlign w:val="center"/>
          </w:tcPr>
          <w:p>
            <w:pPr>
              <w:spacing w:line="320" w:lineRule="exact"/>
              <w:ind w:firstLine="0" w:firstLineChars="0"/>
              <w:jc w:val="center"/>
              <w:rPr>
                <w:rFonts w:ascii="宋体" w:hAnsi="宋体"/>
                <w:sz w:val="21"/>
                <w:szCs w:val="22"/>
                <w:highlight w:val="none"/>
              </w:rPr>
            </w:pPr>
            <w:r>
              <w:rPr>
                <w:rFonts w:hint="eastAsia" w:ascii="宋体" w:hAnsi="宋体"/>
                <w:sz w:val="21"/>
                <w:szCs w:val="22"/>
                <w:highlight w:val="none"/>
              </w:rPr>
              <w:t>0</w:t>
            </w:r>
            <w:r>
              <w:rPr>
                <w:rFonts w:ascii="宋体" w:hAnsi="宋体"/>
                <w:sz w:val="21"/>
                <w:szCs w:val="22"/>
                <w:highlight w:val="none"/>
              </w:rPr>
              <w:t>.18</w:t>
            </w:r>
          </w:p>
        </w:tc>
      </w:tr>
    </w:tbl>
    <w:p>
      <w:pPr>
        <w:spacing w:line="360" w:lineRule="auto"/>
        <w:ind w:firstLine="0" w:firstLineChars="0"/>
        <w:jc w:val="center"/>
        <w:rPr>
          <w:sz w:val="21"/>
          <w:highlight w:val="none"/>
        </w:rPr>
      </w:pPr>
      <w:r>
        <w:rPr>
          <w:sz w:val="21"/>
          <w:highlight w:val="none"/>
        </w:rPr>
        <w:drawing>
          <wp:inline distT="0" distB="0" distL="0" distR="0">
            <wp:extent cx="4622800" cy="3525520"/>
            <wp:effectExtent l="0" t="0" r="6350" b="17780"/>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图片 1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623435" cy="3526102"/>
                    </a:xfrm>
                    <a:prstGeom prst="rect">
                      <a:avLst/>
                    </a:prstGeom>
                    <a:noFill/>
                    <a:ln>
                      <a:noFill/>
                    </a:ln>
                  </pic:spPr>
                </pic:pic>
              </a:graphicData>
            </a:graphic>
          </wp:inline>
        </w:drawing>
      </w:r>
    </w:p>
    <w:p>
      <w:pPr>
        <w:spacing w:line="360" w:lineRule="auto"/>
        <w:ind w:firstLine="0" w:firstLineChars="0"/>
        <w:jc w:val="center"/>
        <w:rPr>
          <w:sz w:val="21"/>
          <w:highlight w:val="none"/>
        </w:rPr>
      </w:pPr>
    </w:p>
    <w:p>
      <w:pPr>
        <w:pStyle w:val="65"/>
        <w:rPr>
          <w:highlight w:val="none"/>
        </w:rPr>
      </w:pPr>
      <w:r>
        <w:rPr>
          <w:rFonts w:hint="eastAsia"/>
          <w:highlight w:val="none"/>
        </w:rPr>
        <w:t>图5-3    模拟区网格剖分及边界条件处理示意图</w:t>
      </w:r>
    </w:p>
    <w:p>
      <w:pPr>
        <w:spacing w:line="360" w:lineRule="auto"/>
        <w:ind w:firstLine="0" w:firstLineChars="0"/>
        <w:jc w:val="center"/>
        <w:rPr>
          <w:rFonts w:hAnsi="宋体"/>
          <w:b/>
          <w:highlight w:val="none"/>
        </w:rPr>
      </w:pPr>
      <w:bookmarkStart w:id="261" w:name="_Toc418081183"/>
      <w:bookmarkEnd w:id="261"/>
      <w:r>
        <w:rPr>
          <w:rFonts w:hAnsi="宋体"/>
          <w:b/>
          <w:highlight w:val="none"/>
        </w:rPr>
        <w:drawing>
          <wp:inline distT="0" distB="0" distL="0" distR="0">
            <wp:extent cx="4620895" cy="3963035"/>
            <wp:effectExtent l="0" t="0" r="8255" b="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620895" cy="3963035"/>
                    </a:xfrm>
                    <a:prstGeom prst="rect">
                      <a:avLst/>
                    </a:prstGeom>
                    <a:noFill/>
                  </pic:spPr>
                </pic:pic>
              </a:graphicData>
            </a:graphic>
          </wp:inline>
        </w:drawing>
      </w:r>
    </w:p>
    <w:p>
      <w:pPr>
        <w:pStyle w:val="65"/>
        <w:rPr>
          <w:highlight w:val="none"/>
        </w:rPr>
      </w:pPr>
      <w:r>
        <w:rPr>
          <w:rFonts w:hint="eastAsia"/>
          <w:highlight w:val="none"/>
        </w:rPr>
        <w:t>图5-4    模拟区参数分区图</w:t>
      </w:r>
    </w:p>
    <w:p>
      <w:pPr>
        <w:pStyle w:val="62"/>
        <w:ind w:firstLine="480"/>
        <w:rPr>
          <w:highlight w:val="none"/>
        </w:rPr>
      </w:pPr>
      <w:bookmarkStart w:id="262" w:name="_Toc418081184"/>
      <w:bookmarkEnd w:id="262"/>
      <w:bookmarkStart w:id="263" w:name="_Toc17232436"/>
      <w:r>
        <w:rPr>
          <w:rFonts w:hint="eastAsia"/>
          <w:highlight w:val="none"/>
        </w:rPr>
        <w:t>5、均衡项</w:t>
      </w:r>
      <w:bookmarkEnd w:id="263"/>
    </w:p>
    <w:p>
      <w:pPr>
        <w:pStyle w:val="62"/>
        <w:ind w:firstLine="480"/>
        <w:rPr>
          <w:highlight w:val="none"/>
        </w:rPr>
      </w:pPr>
      <w:bookmarkStart w:id="264" w:name="_Toc397159676"/>
      <w:bookmarkEnd w:id="264"/>
      <w:bookmarkStart w:id="265" w:name="_Toc418081185"/>
      <w:r>
        <w:rPr>
          <w:rFonts w:hint="eastAsia"/>
          <w:highlight w:val="none"/>
        </w:rPr>
        <w:t>（</w:t>
      </w:r>
      <w:r>
        <w:rPr>
          <w:highlight w:val="none"/>
        </w:rPr>
        <w:t>1</w:t>
      </w:r>
      <w:r>
        <w:rPr>
          <w:rFonts w:hint="eastAsia"/>
          <w:highlight w:val="none"/>
        </w:rPr>
        <w:t>）大气降水入渗补给</w:t>
      </w:r>
    </w:p>
    <w:p>
      <w:pPr>
        <w:pStyle w:val="62"/>
        <w:ind w:firstLine="480"/>
        <w:rPr>
          <w:highlight w:val="none"/>
        </w:rPr>
      </w:pPr>
      <w:r>
        <w:rPr>
          <w:rFonts w:hint="eastAsia"/>
          <w:highlight w:val="none"/>
        </w:rPr>
        <w:t>在模型中大气降水入渗补给量的计算公式为：</w:t>
      </w:r>
    </w:p>
    <w:p>
      <w:pPr>
        <w:pStyle w:val="62"/>
        <w:ind w:firstLine="480"/>
        <w:jc w:val="center"/>
        <w:rPr>
          <w:highlight w:val="none"/>
        </w:rPr>
      </w:pPr>
      <w:r>
        <w:rPr>
          <w:position w:val="-14"/>
          <w:highlight w:val="none"/>
          <w:lang w:val="en-US"/>
        </w:rPr>
        <w:drawing>
          <wp:inline distT="0" distB="0" distL="0" distR="0">
            <wp:extent cx="1075055" cy="255905"/>
            <wp:effectExtent l="0" t="0" r="0" b="0"/>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75055" cy="255905"/>
                    </a:xfrm>
                    <a:prstGeom prst="rect">
                      <a:avLst/>
                    </a:prstGeom>
                    <a:noFill/>
                    <a:ln>
                      <a:noFill/>
                    </a:ln>
                  </pic:spPr>
                </pic:pic>
              </a:graphicData>
            </a:graphic>
          </wp:inline>
        </w:drawing>
      </w:r>
    </w:p>
    <w:p>
      <w:pPr>
        <w:pStyle w:val="62"/>
        <w:ind w:firstLine="480"/>
        <w:rPr>
          <w:highlight w:val="none"/>
        </w:rPr>
      </w:pPr>
      <w:r>
        <w:rPr>
          <w:rFonts w:hint="eastAsia"/>
          <w:highlight w:val="none"/>
        </w:rPr>
        <w:t>式中：</w:t>
      </w:r>
      <w:r>
        <w:rPr>
          <w:highlight w:val="none"/>
        </w:rPr>
        <w:t>Q</w:t>
      </w:r>
      <w:r>
        <w:rPr>
          <w:rFonts w:hint="eastAsia"/>
          <w:highlight w:val="none"/>
          <w:vertAlign w:val="subscript"/>
        </w:rPr>
        <w:t>降</w:t>
      </w:r>
      <w:r>
        <w:rPr>
          <w:highlight w:val="none"/>
        </w:rPr>
        <w:t>—</w:t>
      </w:r>
      <w:r>
        <w:rPr>
          <w:rFonts w:hint="eastAsia"/>
          <w:highlight w:val="none"/>
        </w:rPr>
        <w:t>多年平均降水入渗补给</w:t>
      </w:r>
      <w:r>
        <w:rPr>
          <w:highlight w:val="none"/>
        </w:rPr>
        <w:t>(</w:t>
      </w:r>
      <w:r>
        <w:rPr>
          <w:rFonts w:hint="eastAsia"/>
          <w:highlight w:val="none"/>
        </w:rPr>
        <w:t>万</w:t>
      </w:r>
      <w:r>
        <w:rPr>
          <w:highlight w:val="none"/>
        </w:rPr>
        <w:t>m</w:t>
      </w:r>
      <w:r>
        <w:rPr>
          <w:highlight w:val="none"/>
          <w:vertAlign w:val="superscript"/>
        </w:rPr>
        <w:t>3</w:t>
      </w:r>
      <w:r>
        <w:rPr>
          <w:highlight w:val="none"/>
        </w:rPr>
        <w:t>/yr)</w:t>
      </w:r>
      <w:r>
        <w:rPr>
          <w:rFonts w:hint="eastAsia"/>
          <w:highlight w:val="none"/>
        </w:rPr>
        <w:t>；</w:t>
      </w:r>
    </w:p>
    <w:p>
      <w:pPr>
        <w:pStyle w:val="62"/>
        <w:ind w:firstLine="480"/>
        <w:rPr>
          <w:highlight w:val="none"/>
        </w:rPr>
      </w:pPr>
      <w:r>
        <w:rPr>
          <w:highlight w:val="none"/>
        </w:rPr>
        <w:t>P—</w:t>
      </w:r>
      <w:r>
        <w:rPr>
          <w:rFonts w:hint="eastAsia"/>
          <w:highlight w:val="none"/>
        </w:rPr>
        <w:t>多年平均降雨量</w:t>
      </w:r>
      <w:r>
        <w:rPr>
          <w:highlight w:val="none"/>
        </w:rPr>
        <w:t>(mm/yr)</w:t>
      </w:r>
      <w:r>
        <w:rPr>
          <w:rFonts w:hint="eastAsia"/>
          <w:highlight w:val="none"/>
        </w:rPr>
        <w:t>；</w:t>
      </w:r>
    </w:p>
    <w:p>
      <w:pPr>
        <w:pStyle w:val="62"/>
        <w:ind w:firstLine="480"/>
        <w:rPr>
          <w:highlight w:val="none"/>
        </w:rPr>
      </w:pPr>
      <w:r>
        <w:rPr>
          <w:highlight w:val="none"/>
        </w:rPr>
        <w:t>a—</w:t>
      </w:r>
      <w:r>
        <w:rPr>
          <w:rFonts w:hint="eastAsia"/>
          <w:highlight w:val="none"/>
        </w:rPr>
        <w:t>降水入渗系数；</w:t>
      </w:r>
    </w:p>
    <w:p>
      <w:pPr>
        <w:pStyle w:val="62"/>
        <w:ind w:firstLine="480"/>
        <w:rPr>
          <w:highlight w:val="none"/>
        </w:rPr>
      </w:pPr>
      <w:r>
        <w:rPr>
          <w:highlight w:val="none"/>
        </w:rPr>
        <w:t>A—</w:t>
      </w:r>
      <w:r>
        <w:rPr>
          <w:rFonts w:hint="eastAsia"/>
          <w:highlight w:val="none"/>
        </w:rPr>
        <w:t>计算区面积</w:t>
      </w:r>
      <w:r>
        <w:rPr>
          <w:highlight w:val="none"/>
        </w:rPr>
        <w:t>(km</w:t>
      </w:r>
      <w:r>
        <w:rPr>
          <w:highlight w:val="none"/>
          <w:vertAlign w:val="superscript"/>
        </w:rPr>
        <w:t>2</w:t>
      </w:r>
      <w:r>
        <w:rPr>
          <w:highlight w:val="none"/>
        </w:rPr>
        <w:t>)</w:t>
      </w:r>
      <w:r>
        <w:rPr>
          <w:rFonts w:hint="eastAsia"/>
          <w:highlight w:val="none"/>
        </w:rPr>
        <w:t>；</w:t>
      </w:r>
    </w:p>
    <w:p>
      <w:pPr>
        <w:pStyle w:val="62"/>
        <w:ind w:firstLine="480"/>
        <w:rPr>
          <w:highlight w:val="none"/>
        </w:rPr>
      </w:pPr>
      <w:r>
        <w:rPr>
          <w:highlight w:val="none"/>
        </w:rPr>
        <w:t>MODFLOW</w:t>
      </w:r>
      <w:r>
        <w:rPr>
          <w:rFonts w:hint="eastAsia"/>
          <w:highlight w:val="none"/>
        </w:rPr>
        <w:t>水流模型中补给项的赋值单位为</w:t>
      </w:r>
      <w:r>
        <w:rPr>
          <w:highlight w:val="none"/>
        </w:rPr>
        <w:t>mm/yr</w:t>
      </w:r>
      <w:r>
        <w:rPr>
          <w:rFonts w:hint="eastAsia"/>
          <w:highlight w:val="none"/>
        </w:rPr>
        <w:t>，因此公式可简化为：</w:t>
      </w:r>
      <w:r>
        <w:rPr>
          <w:position w:val="-14"/>
          <w:highlight w:val="none"/>
          <w:lang w:val="en-US"/>
        </w:rPr>
        <w:drawing>
          <wp:inline distT="0" distB="0" distL="0" distR="0">
            <wp:extent cx="723900" cy="255905"/>
            <wp:effectExtent l="0" t="0" r="0" b="0"/>
            <wp:docPr id="112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23900" cy="255905"/>
                    </a:xfrm>
                    <a:prstGeom prst="rect">
                      <a:avLst/>
                    </a:prstGeom>
                    <a:noFill/>
                    <a:ln>
                      <a:noFill/>
                    </a:ln>
                  </pic:spPr>
                </pic:pic>
              </a:graphicData>
            </a:graphic>
          </wp:inline>
        </w:drawing>
      </w:r>
      <w:r>
        <w:rPr>
          <w:rFonts w:hint="eastAsia"/>
          <w:highlight w:val="none"/>
        </w:rPr>
        <w:t>。其中</w:t>
      </w:r>
      <w:r>
        <w:rPr>
          <w:highlight w:val="none"/>
        </w:rPr>
        <w:t>q</w:t>
      </w:r>
      <w:r>
        <w:rPr>
          <w:rFonts w:hint="eastAsia"/>
          <w:highlight w:val="none"/>
          <w:vertAlign w:val="subscript"/>
        </w:rPr>
        <w:t>降</w:t>
      </w:r>
      <w:r>
        <w:rPr>
          <w:rFonts w:hint="eastAsia"/>
          <w:highlight w:val="none"/>
        </w:rPr>
        <w:t>为单位面积内多年平均降水入渗补给</w:t>
      </w:r>
      <w:r>
        <w:rPr>
          <w:highlight w:val="none"/>
        </w:rPr>
        <w:t>(mm/yr)</w:t>
      </w:r>
      <w:r>
        <w:rPr>
          <w:rFonts w:hint="eastAsia"/>
          <w:highlight w:val="none"/>
        </w:rPr>
        <w:t>。</w:t>
      </w:r>
      <w:r>
        <w:rPr>
          <w:highlight w:val="none"/>
        </w:rPr>
        <w:t>a</w:t>
      </w:r>
      <w:r>
        <w:rPr>
          <w:rFonts w:hint="eastAsia"/>
          <w:highlight w:val="none"/>
        </w:rPr>
        <w:t>采用经验数据。</w:t>
      </w:r>
      <w:r>
        <w:rPr>
          <w:highlight w:val="none"/>
        </w:rPr>
        <w:t>p</w:t>
      </w:r>
      <w:r>
        <w:rPr>
          <w:rFonts w:hint="eastAsia"/>
          <w:highlight w:val="none"/>
        </w:rPr>
        <w:t>采用繁峙县多年平均降雨量</w:t>
      </w:r>
      <w:r>
        <w:rPr>
          <w:highlight w:val="none"/>
        </w:rPr>
        <w:t>400mm/yr</w:t>
      </w:r>
      <w:r>
        <w:rPr>
          <w:rFonts w:hint="eastAsia"/>
          <w:highlight w:val="none"/>
        </w:rPr>
        <w:t>。在模型计算大气降水入渗补给量时，采用</w:t>
      </w:r>
      <w:r>
        <w:rPr>
          <w:highlight w:val="none"/>
        </w:rPr>
        <w:t xml:space="preserve">RECHARGE </w:t>
      </w:r>
      <w:r>
        <w:rPr>
          <w:rFonts w:hint="eastAsia"/>
          <w:highlight w:val="none"/>
        </w:rPr>
        <w:t>（补给）模块来处理，将该补给量作用于活动单元，参数分区见图5-4，分区见表5.3-5。</w:t>
      </w:r>
    </w:p>
    <w:p>
      <w:pPr>
        <w:pStyle w:val="65"/>
        <w:rPr>
          <w:highlight w:val="none"/>
        </w:rPr>
      </w:pPr>
      <w:r>
        <w:rPr>
          <w:rFonts w:hint="eastAsia"/>
          <w:highlight w:val="none"/>
        </w:rPr>
        <w:t>表5.3-5    大气降水入渗补给系数取值一览表</w:t>
      </w:r>
    </w:p>
    <w:tbl>
      <w:tblPr>
        <w:tblStyle w:val="44"/>
        <w:tblW w:w="876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5029"/>
        <w:gridCol w:w="373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502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rFonts w:hint="eastAsia"/>
                <w:color w:val="000000"/>
                <w:sz w:val="21"/>
                <w:szCs w:val="21"/>
                <w:highlight w:val="none"/>
              </w:rPr>
              <w:t>计算区</w:t>
            </w:r>
          </w:p>
        </w:tc>
        <w:tc>
          <w:tcPr>
            <w:tcW w:w="373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rFonts w:hint="eastAsia"/>
                <w:color w:val="000000"/>
                <w:sz w:val="21"/>
                <w:szCs w:val="21"/>
                <w:highlight w:val="none"/>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502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color w:val="000000"/>
                <w:sz w:val="21"/>
                <w:szCs w:val="21"/>
                <w:highlight w:val="none"/>
              </w:rPr>
              <w:t>I</w:t>
            </w:r>
          </w:p>
        </w:tc>
        <w:tc>
          <w:tcPr>
            <w:tcW w:w="373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color w:val="000000"/>
                <w:sz w:val="21"/>
                <w:szCs w:val="21"/>
                <w:highlight w:val="none"/>
              </w:rPr>
              <w:t>0.16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502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color w:val="000000"/>
                <w:sz w:val="21"/>
                <w:szCs w:val="21"/>
                <w:highlight w:val="none"/>
              </w:rPr>
              <w:t>II</w:t>
            </w:r>
          </w:p>
        </w:tc>
        <w:tc>
          <w:tcPr>
            <w:tcW w:w="373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rFonts w:hint="eastAsia"/>
                <w:color w:val="000000"/>
                <w:sz w:val="21"/>
                <w:szCs w:val="21"/>
                <w:highlight w:val="none"/>
              </w:rPr>
              <w:t>0</w:t>
            </w:r>
            <w:r>
              <w:rPr>
                <w:color w:val="000000"/>
                <w:sz w:val="21"/>
                <w:szCs w:val="21"/>
                <w:highlight w:val="none"/>
              </w:rPr>
              <w:t>.16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c>
          <w:tcPr>
            <w:tcW w:w="502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rFonts w:hint="eastAsia"/>
                <w:color w:val="000000"/>
                <w:sz w:val="21"/>
                <w:szCs w:val="21"/>
                <w:highlight w:val="none"/>
              </w:rPr>
              <w:t>Ⅲ</w:t>
            </w:r>
          </w:p>
        </w:tc>
        <w:tc>
          <w:tcPr>
            <w:tcW w:w="3739" w:type="dxa"/>
            <w:tcMar>
              <w:top w:w="17" w:type="dxa"/>
              <w:left w:w="17" w:type="dxa"/>
              <w:bottom w:w="0" w:type="dxa"/>
              <w:right w:w="17" w:type="dxa"/>
            </w:tcMar>
            <w:vAlign w:val="center"/>
          </w:tcPr>
          <w:p>
            <w:pPr>
              <w:snapToGrid w:val="0"/>
              <w:spacing w:line="240" w:lineRule="auto"/>
              <w:ind w:firstLine="0" w:firstLineChars="0"/>
              <w:jc w:val="center"/>
              <w:rPr>
                <w:color w:val="000000"/>
                <w:sz w:val="21"/>
                <w:szCs w:val="21"/>
                <w:highlight w:val="none"/>
              </w:rPr>
            </w:pPr>
            <w:r>
              <w:rPr>
                <w:color w:val="000000"/>
                <w:sz w:val="21"/>
                <w:szCs w:val="21"/>
                <w:highlight w:val="none"/>
              </w:rPr>
              <w:t>0.16</w:t>
            </w:r>
          </w:p>
        </w:tc>
      </w:tr>
      <w:bookmarkEnd w:id="265"/>
    </w:tbl>
    <w:p>
      <w:pPr>
        <w:spacing w:line="360" w:lineRule="auto"/>
        <w:ind w:firstLine="480"/>
        <w:rPr>
          <w:color w:val="000000"/>
          <w:highlight w:val="none"/>
        </w:rPr>
      </w:pPr>
      <w:bookmarkStart w:id="266" w:name="_Toc17232437"/>
      <w:r>
        <w:rPr>
          <w:rFonts w:hint="eastAsia"/>
          <w:color w:val="000000"/>
          <w:highlight w:val="none"/>
        </w:rPr>
        <w:t>6、数学模型</w:t>
      </w:r>
      <w:bookmarkEnd w:id="266"/>
    </w:p>
    <w:p>
      <w:pPr>
        <w:spacing w:line="360" w:lineRule="auto"/>
        <w:ind w:firstLine="480"/>
        <w:rPr>
          <w:color w:val="000000"/>
          <w:highlight w:val="none"/>
        </w:rPr>
      </w:pPr>
      <w:r>
        <w:rPr>
          <w:rFonts w:hint="eastAsia"/>
          <w:color w:val="000000"/>
          <w:highlight w:val="none"/>
        </w:rPr>
        <w:t>地下水流模型设为二维非稳定流的数学模型，即：</w:t>
      </w:r>
    </w:p>
    <w:p>
      <w:pPr>
        <w:spacing w:line="240" w:lineRule="atLeast"/>
        <w:ind w:firstLine="0" w:firstLineChars="0"/>
        <w:jc w:val="center"/>
        <w:rPr>
          <w:color w:val="000000"/>
          <w:highlight w:val="none"/>
        </w:rPr>
      </w:pPr>
      <w:r>
        <w:rPr>
          <w:color w:val="000000"/>
          <w:highlight w:val="none"/>
        </w:rPr>
        <w:drawing>
          <wp:inline distT="0" distB="0" distL="0" distR="0">
            <wp:extent cx="4074795" cy="1616710"/>
            <wp:effectExtent l="0" t="0" r="1905" b="2540"/>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074795" cy="1616710"/>
                    </a:xfrm>
                    <a:prstGeom prst="rect">
                      <a:avLst/>
                    </a:prstGeom>
                    <a:noFill/>
                    <a:ln>
                      <a:noFill/>
                    </a:ln>
                  </pic:spPr>
                </pic:pic>
              </a:graphicData>
            </a:graphic>
          </wp:inline>
        </w:drawing>
      </w:r>
    </w:p>
    <w:p>
      <w:pPr>
        <w:pStyle w:val="62"/>
        <w:ind w:firstLine="480"/>
        <w:rPr>
          <w:highlight w:val="none"/>
        </w:rPr>
      </w:pPr>
      <w:r>
        <w:rPr>
          <w:rFonts w:hint="eastAsia"/>
          <w:highlight w:val="none"/>
        </w:rPr>
        <w:t>式中：</w:t>
      </w:r>
      <w:r>
        <w:rPr>
          <w:highlight w:val="none"/>
        </w:rPr>
        <w:t>h—</w:t>
      </w:r>
      <w:r>
        <w:rPr>
          <w:rFonts w:hint="eastAsia"/>
          <w:highlight w:val="none"/>
        </w:rPr>
        <w:t>地下水水头（</w:t>
      </w:r>
      <w:r>
        <w:rPr>
          <w:highlight w:val="none"/>
        </w:rPr>
        <w:t>m</w:t>
      </w:r>
      <w:r>
        <w:rPr>
          <w:rFonts w:hint="eastAsia"/>
          <w:highlight w:val="none"/>
        </w:rPr>
        <w:t>）；</w:t>
      </w:r>
    </w:p>
    <w:p>
      <w:pPr>
        <w:pStyle w:val="62"/>
        <w:ind w:firstLine="480"/>
        <w:rPr>
          <w:highlight w:val="none"/>
        </w:rPr>
      </w:pPr>
      <w:r>
        <w:rPr>
          <w:highlight w:val="none"/>
        </w:rPr>
        <w:t>Ω—</w:t>
      </w:r>
      <w:r>
        <w:rPr>
          <w:rFonts w:hint="eastAsia"/>
          <w:highlight w:val="none"/>
        </w:rPr>
        <w:t>地下水渗流区域；</w:t>
      </w:r>
    </w:p>
    <w:p>
      <w:pPr>
        <w:pStyle w:val="62"/>
        <w:ind w:firstLine="480"/>
        <w:rPr>
          <w:highlight w:val="none"/>
        </w:rPr>
      </w:pPr>
      <w:r>
        <w:rPr>
          <w:highlight w:val="none"/>
        </w:rPr>
        <w:t>S</w:t>
      </w:r>
      <w:r>
        <w:rPr>
          <w:highlight w:val="none"/>
          <w:vertAlign w:val="subscript"/>
        </w:rPr>
        <w:t>1</w:t>
      </w:r>
      <w:r>
        <w:rPr>
          <w:highlight w:val="none"/>
        </w:rPr>
        <w:t>—</w:t>
      </w:r>
      <w:r>
        <w:rPr>
          <w:rFonts w:hint="eastAsia"/>
          <w:highlight w:val="none"/>
        </w:rPr>
        <w:t>模型上游的第一类边界；</w:t>
      </w:r>
    </w:p>
    <w:p>
      <w:pPr>
        <w:pStyle w:val="62"/>
        <w:ind w:firstLine="480"/>
        <w:rPr>
          <w:highlight w:val="none"/>
        </w:rPr>
      </w:pPr>
      <w:r>
        <w:rPr>
          <w:highlight w:val="none"/>
        </w:rPr>
        <w:t>S</w:t>
      </w:r>
      <w:r>
        <w:rPr>
          <w:highlight w:val="none"/>
          <w:vertAlign w:val="subscript"/>
        </w:rPr>
        <w:t>2</w:t>
      </w:r>
      <w:r>
        <w:rPr>
          <w:highlight w:val="none"/>
        </w:rPr>
        <w:t>—</w:t>
      </w:r>
      <w:r>
        <w:rPr>
          <w:rFonts w:hint="eastAsia"/>
          <w:highlight w:val="none"/>
        </w:rPr>
        <w:t>模型下游的第一类边界；</w:t>
      </w:r>
    </w:p>
    <w:p>
      <w:pPr>
        <w:pStyle w:val="62"/>
        <w:ind w:firstLine="480"/>
        <w:rPr>
          <w:highlight w:val="none"/>
        </w:rPr>
      </w:pPr>
      <w:r>
        <w:rPr>
          <w:highlight w:val="none"/>
        </w:rPr>
        <w:t>W—</w:t>
      </w:r>
      <w:r>
        <w:rPr>
          <w:rFonts w:hint="eastAsia"/>
          <w:highlight w:val="none"/>
        </w:rPr>
        <w:t>源汇项，包括降雨入渗补给、蒸发、人工开采（</w:t>
      </w:r>
      <w:r>
        <w:rPr>
          <w:highlight w:val="none"/>
        </w:rPr>
        <w:t>m</w:t>
      </w:r>
      <w:r>
        <w:rPr>
          <w:highlight w:val="none"/>
          <w:vertAlign w:val="superscript"/>
        </w:rPr>
        <w:t>3</w:t>
      </w:r>
      <w:r>
        <w:rPr>
          <w:highlight w:val="none"/>
        </w:rPr>
        <w:t>/d</w:t>
      </w:r>
      <w:r>
        <w:rPr>
          <w:rFonts w:hint="eastAsia"/>
          <w:highlight w:val="none"/>
        </w:rPr>
        <w:t>）；</w:t>
      </w:r>
    </w:p>
    <w:p>
      <w:pPr>
        <w:pStyle w:val="62"/>
        <w:ind w:firstLine="480"/>
        <w:rPr>
          <w:highlight w:val="none"/>
        </w:rPr>
      </w:pPr>
      <w:r>
        <w:rPr>
          <w:highlight w:val="none"/>
        </w:rPr>
        <w:t>Kxx</w:t>
      </w:r>
      <w:r>
        <w:rPr>
          <w:rFonts w:hint="eastAsia"/>
          <w:highlight w:val="none"/>
        </w:rPr>
        <w:t>、</w:t>
      </w:r>
      <w:r>
        <w:rPr>
          <w:highlight w:val="none"/>
        </w:rPr>
        <w:t>Kyy—</w:t>
      </w:r>
      <w:r>
        <w:rPr>
          <w:rFonts w:hint="eastAsia"/>
          <w:highlight w:val="none"/>
        </w:rPr>
        <w:t>分别表示</w:t>
      </w:r>
      <w:r>
        <w:rPr>
          <w:highlight w:val="none"/>
        </w:rPr>
        <w:t>x</w:t>
      </w:r>
      <w:r>
        <w:rPr>
          <w:rFonts w:hint="eastAsia"/>
          <w:highlight w:val="none"/>
        </w:rPr>
        <w:t>，</w:t>
      </w:r>
      <w:r>
        <w:rPr>
          <w:highlight w:val="none"/>
        </w:rPr>
        <w:t>y</w:t>
      </w:r>
      <w:r>
        <w:rPr>
          <w:rFonts w:hint="eastAsia"/>
          <w:highlight w:val="none"/>
        </w:rPr>
        <w:t>方向的渗透系数（</w:t>
      </w:r>
      <w:r>
        <w:rPr>
          <w:highlight w:val="none"/>
        </w:rPr>
        <w:t>m/d</w:t>
      </w:r>
      <w:r>
        <w:rPr>
          <w:rFonts w:hint="eastAsia"/>
          <w:highlight w:val="none"/>
        </w:rPr>
        <w:t>）；</w:t>
      </w:r>
    </w:p>
    <w:p>
      <w:pPr>
        <w:pStyle w:val="62"/>
        <w:ind w:firstLine="480"/>
        <w:rPr>
          <w:highlight w:val="none"/>
        </w:rPr>
      </w:pPr>
      <w:r>
        <w:rPr>
          <w:highlight w:val="none"/>
        </w:rPr>
        <w:t>µ—</w:t>
      </w:r>
      <w:r>
        <w:rPr>
          <w:rFonts w:hint="eastAsia"/>
          <w:highlight w:val="none"/>
        </w:rPr>
        <w:t>给水度；</w:t>
      </w:r>
    </w:p>
    <w:p>
      <w:pPr>
        <w:pStyle w:val="62"/>
        <w:ind w:firstLine="480"/>
        <w:rPr>
          <w:highlight w:val="none"/>
        </w:rPr>
      </w:pPr>
      <w:r>
        <w:rPr>
          <w:highlight w:val="none"/>
        </w:rPr>
        <w:t>n—</w:t>
      </w:r>
      <w:r>
        <w:rPr>
          <w:rFonts w:hint="eastAsia"/>
          <w:highlight w:val="none"/>
        </w:rPr>
        <w:t>边界外法线方向；</w:t>
      </w:r>
    </w:p>
    <w:p>
      <w:pPr>
        <w:pStyle w:val="62"/>
        <w:ind w:firstLine="480"/>
        <w:rPr>
          <w:highlight w:val="none"/>
        </w:rPr>
      </w:pPr>
      <w:r>
        <w:rPr>
          <w:highlight w:val="none"/>
        </w:rPr>
        <w:t>h</w:t>
      </w:r>
      <w:r>
        <w:rPr>
          <w:highlight w:val="none"/>
          <w:vertAlign w:val="subscript"/>
        </w:rPr>
        <w:t>0</w:t>
      </w:r>
      <w:r>
        <w:rPr>
          <w:rFonts w:hint="eastAsia"/>
          <w:highlight w:val="none"/>
        </w:rPr>
        <w:t>（</w:t>
      </w:r>
      <w:r>
        <w:rPr>
          <w:highlight w:val="none"/>
        </w:rPr>
        <w:t>x</w:t>
      </w:r>
      <w:r>
        <w:rPr>
          <w:rFonts w:hint="eastAsia"/>
          <w:highlight w:val="none"/>
        </w:rPr>
        <w:t>，</w:t>
      </w:r>
      <w:r>
        <w:rPr>
          <w:highlight w:val="none"/>
        </w:rPr>
        <w:t>y</w:t>
      </w:r>
      <w:r>
        <w:rPr>
          <w:rFonts w:hint="eastAsia"/>
          <w:highlight w:val="none"/>
        </w:rPr>
        <w:t>）</w:t>
      </w:r>
      <w:r>
        <w:rPr>
          <w:highlight w:val="none"/>
        </w:rPr>
        <w:t>—</w:t>
      </w:r>
      <w:r>
        <w:rPr>
          <w:rFonts w:hint="eastAsia"/>
          <w:highlight w:val="none"/>
        </w:rPr>
        <w:t>初始地下水水头函数（</w:t>
      </w:r>
      <w:r>
        <w:rPr>
          <w:highlight w:val="none"/>
        </w:rPr>
        <w:t>m</w:t>
      </w:r>
      <w:r>
        <w:rPr>
          <w:rFonts w:hint="eastAsia"/>
          <w:highlight w:val="none"/>
        </w:rPr>
        <w:t>）；</w:t>
      </w:r>
    </w:p>
    <w:p>
      <w:pPr>
        <w:pStyle w:val="62"/>
        <w:ind w:firstLine="480"/>
        <w:rPr>
          <w:highlight w:val="none"/>
        </w:rPr>
      </w:pPr>
      <w:r>
        <w:rPr>
          <w:highlight w:val="none"/>
        </w:rPr>
        <w:t>h</w:t>
      </w:r>
      <w:r>
        <w:rPr>
          <w:highlight w:val="none"/>
          <w:vertAlign w:val="subscript"/>
        </w:rPr>
        <w:t>1</w:t>
      </w:r>
      <w:r>
        <w:rPr>
          <w:rFonts w:hint="eastAsia"/>
          <w:highlight w:val="none"/>
        </w:rPr>
        <w:t>（</w:t>
      </w:r>
      <w:r>
        <w:rPr>
          <w:highlight w:val="none"/>
        </w:rPr>
        <w:t>x</w:t>
      </w:r>
      <w:r>
        <w:rPr>
          <w:rFonts w:hint="eastAsia"/>
          <w:highlight w:val="none"/>
        </w:rPr>
        <w:t>，</w:t>
      </w:r>
      <w:r>
        <w:rPr>
          <w:highlight w:val="none"/>
        </w:rPr>
        <w:t>y</w:t>
      </w:r>
      <w:r>
        <w:rPr>
          <w:rFonts w:hint="eastAsia"/>
          <w:highlight w:val="none"/>
        </w:rPr>
        <w:t>）</w:t>
      </w:r>
      <w:r>
        <w:rPr>
          <w:highlight w:val="none"/>
        </w:rPr>
        <w:t>—</w:t>
      </w:r>
      <w:r>
        <w:rPr>
          <w:rFonts w:hint="eastAsia"/>
          <w:highlight w:val="none"/>
        </w:rPr>
        <w:t>上游边界已知地下水水头函数（</w:t>
      </w:r>
      <w:r>
        <w:rPr>
          <w:highlight w:val="none"/>
        </w:rPr>
        <w:t>m</w:t>
      </w:r>
      <w:r>
        <w:rPr>
          <w:rFonts w:hint="eastAsia"/>
          <w:highlight w:val="none"/>
        </w:rPr>
        <w:t>）；</w:t>
      </w:r>
    </w:p>
    <w:p>
      <w:pPr>
        <w:pStyle w:val="62"/>
        <w:ind w:firstLine="480"/>
        <w:rPr>
          <w:highlight w:val="none"/>
        </w:rPr>
      </w:pPr>
      <w:r>
        <w:rPr>
          <w:highlight w:val="none"/>
        </w:rPr>
        <w:t>H</w:t>
      </w:r>
      <w:r>
        <w:rPr>
          <w:highlight w:val="none"/>
          <w:vertAlign w:val="subscript"/>
        </w:rPr>
        <w:t>2</w:t>
      </w:r>
      <w:r>
        <w:rPr>
          <w:rFonts w:hint="eastAsia"/>
          <w:highlight w:val="none"/>
        </w:rPr>
        <w:t>（</w:t>
      </w:r>
      <w:r>
        <w:rPr>
          <w:highlight w:val="none"/>
        </w:rPr>
        <w:t>x</w:t>
      </w:r>
      <w:r>
        <w:rPr>
          <w:rFonts w:hint="eastAsia"/>
          <w:highlight w:val="none"/>
        </w:rPr>
        <w:t>，</w:t>
      </w:r>
      <w:r>
        <w:rPr>
          <w:highlight w:val="none"/>
        </w:rPr>
        <w:t>y</w:t>
      </w:r>
      <w:r>
        <w:rPr>
          <w:rFonts w:hint="eastAsia"/>
          <w:highlight w:val="none"/>
        </w:rPr>
        <w:t>）</w:t>
      </w:r>
      <w:r>
        <w:rPr>
          <w:highlight w:val="none"/>
        </w:rPr>
        <w:t>—</w:t>
      </w:r>
      <w:r>
        <w:rPr>
          <w:rFonts w:hint="eastAsia"/>
          <w:highlight w:val="none"/>
        </w:rPr>
        <w:t>下游边界已知地下水水头函数（</w:t>
      </w:r>
      <w:r>
        <w:rPr>
          <w:highlight w:val="none"/>
        </w:rPr>
        <w:t>m</w:t>
      </w:r>
      <w:r>
        <w:rPr>
          <w:rFonts w:hint="eastAsia"/>
          <w:highlight w:val="none"/>
        </w:rPr>
        <w:t>）。</w:t>
      </w:r>
    </w:p>
    <w:p>
      <w:pPr>
        <w:pStyle w:val="62"/>
        <w:ind w:firstLine="480"/>
        <w:rPr>
          <w:highlight w:val="none"/>
        </w:rPr>
      </w:pPr>
      <w:bookmarkStart w:id="267" w:name="_Toc388348860"/>
      <w:bookmarkEnd w:id="267"/>
      <w:bookmarkStart w:id="268" w:name="_Toc377476253"/>
      <w:bookmarkEnd w:id="268"/>
      <w:bookmarkStart w:id="269" w:name="_Toc418081186"/>
      <w:bookmarkEnd w:id="269"/>
      <w:bookmarkStart w:id="270" w:name="_Toc397159677"/>
      <w:bookmarkEnd w:id="270"/>
      <w:bookmarkStart w:id="271" w:name="_Toc380657704"/>
      <w:r>
        <w:rPr>
          <w:rFonts w:hint="eastAsia"/>
          <w:highlight w:val="none"/>
        </w:rPr>
        <w:t>模型求解采用加拿大</w:t>
      </w:r>
      <w:r>
        <w:rPr>
          <w:highlight w:val="none"/>
        </w:rPr>
        <w:t>Waterloo</w:t>
      </w:r>
      <w:r>
        <w:rPr>
          <w:rFonts w:hint="eastAsia"/>
          <w:highlight w:val="none"/>
        </w:rPr>
        <w:t>水文地质公司的</w:t>
      </w:r>
      <w:r>
        <w:rPr>
          <w:highlight w:val="none"/>
        </w:rPr>
        <w:t>Visual MODFlow</w:t>
      </w:r>
      <w:r>
        <w:rPr>
          <w:rFonts w:hint="eastAsia"/>
          <w:highlight w:val="none"/>
        </w:rPr>
        <w:t>软件。</w:t>
      </w:r>
      <w:r>
        <w:rPr>
          <w:highlight w:val="none"/>
        </w:rPr>
        <w:t>MODFLOW</w:t>
      </w:r>
      <w:r>
        <w:rPr>
          <w:rFonts w:hint="eastAsia"/>
          <w:highlight w:val="none"/>
        </w:rPr>
        <w:t>（</w:t>
      </w:r>
      <w:r>
        <w:rPr>
          <w:highlight w:val="none"/>
        </w:rPr>
        <w:t>Modular Three-dimensional Finite-difference Ground- water Flow Modle</w:t>
      </w:r>
      <w:r>
        <w:rPr>
          <w:rFonts w:hint="eastAsia"/>
          <w:highlight w:val="none"/>
        </w:rPr>
        <w:t>，模块化三维有限差分地下水流动模型），是美国地质调查局（</w:t>
      </w:r>
      <w:r>
        <w:rPr>
          <w:highlight w:val="none"/>
        </w:rPr>
        <w:t>U.S. Geological Survey</w:t>
      </w:r>
      <w:r>
        <w:rPr>
          <w:rFonts w:hint="eastAsia"/>
          <w:highlight w:val="none"/>
        </w:rPr>
        <w:t>）的</w:t>
      </w:r>
      <w:r>
        <w:rPr>
          <w:highlight w:val="none"/>
        </w:rPr>
        <w:t xml:space="preserve">Michael G. McDonald </w:t>
      </w:r>
      <w:r>
        <w:rPr>
          <w:rFonts w:hint="eastAsia"/>
          <w:highlight w:val="none"/>
        </w:rPr>
        <w:t>和</w:t>
      </w:r>
      <w:r>
        <w:rPr>
          <w:highlight w:val="none"/>
        </w:rPr>
        <w:t>Arlen W.Harbaugh</w:t>
      </w:r>
      <w:r>
        <w:rPr>
          <w:rFonts w:hint="eastAsia"/>
          <w:highlight w:val="none"/>
        </w:rPr>
        <w:t>于</w:t>
      </w:r>
      <w:r>
        <w:rPr>
          <w:highlight w:val="none"/>
        </w:rPr>
        <w:t>80</w:t>
      </w:r>
      <w:r>
        <w:rPr>
          <w:rFonts w:hint="eastAsia"/>
          <w:highlight w:val="none"/>
        </w:rPr>
        <w:t>年代开发出来的一套用于孔隙介质中地下水流动三维有限差分数值模拟的软件，自从它问世以来，人们已经对</w:t>
      </w:r>
      <w:r>
        <w:rPr>
          <w:highlight w:val="none"/>
        </w:rPr>
        <w:t>MODFLOW</w:t>
      </w:r>
      <w:r>
        <w:rPr>
          <w:rFonts w:hint="eastAsia"/>
          <w:highlight w:val="none"/>
        </w:rPr>
        <w:t>进行了多种测试，至今尚未发现错误。所以，它已成为一个相对标准化的软件，并被世界上许多官方和司法机构所认可。在原</w:t>
      </w:r>
      <w:r>
        <w:rPr>
          <w:highlight w:val="none"/>
        </w:rPr>
        <w:t>MODFLOW</w:t>
      </w:r>
      <w:r>
        <w:rPr>
          <w:rFonts w:hint="eastAsia"/>
          <w:highlight w:val="none"/>
        </w:rPr>
        <w:t>核心程序的基础上，加拿大</w:t>
      </w:r>
      <w:r>
        <w:rPr>
          <w:highlight w:val="none"/>
        </w:rPr>
        <w:t>Waterloo</w:t>
      </w:r>
      <w:r>
        <w:rPr>
          <w:rFonts w:hint="eastAsia"/>
          <w:highlight w:val="none"/>
        </w:rPr>
        <w:t>水文地质公司应用现代可视化技术开发研制了</w:t>
      </w:r>
      <w:r>
        <w:rPr>
          <w:highlight w:val="none"/>
        </w:rPr>
        <w:t>Visual MODFLOW</w:t>
      </w:r>
      <w:r>
        <w:rPr>
          <w:rFonts w:hint="eastAsia"/>
          <w:highlight w:val="none"/>
        </w:rPr>
        <w:t>软件系统，并于</w:t>
      </w:r>
      <w:r>
        <w:rPr>
          <w:highlight w:val="none"/>
        </w:rPr>
        <w:t>1994</w:t>
      </w:r>
      <w:r>
        <w:rPr>
          <w:rFonts w:hint="eastAsia"/>
          <w:highlight w:val="none"/>
        </w:rPr>
        <w:t>年</w:t>
      </w:r>
      <w:r>
        <w:rPr>
          <w:highlight w:val="none"/>
        </w:rPr>
        <w:t>8</w:t>
      </w:r>
      <w:r>
        <w:rPr>
          <w:rFonts w:hint="eastAsia"/>
          <w:highlight w:val="none"/>
        </w:rPr>
        <w:t>月首次在国际上公开发行。</w:t>
      </w:r>
      <w:r>
        <w:rPr>
          <w:highlight w:val="none"/>
        </w:rPr>
        <w:t>Visual MODFLOW</w:t>
      </w:r>
      <w:r>
        <w:rPr>
          <w:rFonts w:hint="eastAsia"/>
          <w:highlight w:val="none"/>
        </w:rPr>
        <w:t>以其系统化、可视化以及强大的数值模拟功能，现已成为国际上最流行的三维地下水流和溶质运移模拟评价的标准化可视化专业软件系统，被国际同行普遍认可。</w:t>
      </w:r>
    </w:p>
    <w:bookmarkEnd w:id="271"/>
    <w:p>
      <w:pPr>
        <w:pStyle w:val="62"/>
        <w:ind w:firstLine="480"/>
        <w:rPr>
          <w:highlight w:val="none"/>
        </w:rPr>
      </w:pPr>
      <w:bookmarkStart w:id="272" w:name="_Toc17232438"/>
      <w:r>
        <w:rPr>
          <w:rFonts w:hint="eastAsia"/>
          <w:highlight w:val="none"/>
        </w:rPr>
        <w:t>7、模型离散</w:t>
      </w:r>
      <w:bookmarkEnd w:id="272"/>
    </w:p>
    <w:p>
      <w:pPr>
        <w:pStyle w:val="62"/>
        <w:ind w:firstLine="480"/>
        <w:rPr>
          <w:highlight w:val="none"/>
        </w:rPr>
      </w:pPr>
      <w:r>
        <w:rPr>
          <w:rFonts w:hint="eastAsia"/>
          <w:highlight w:val="none"/>
        </w:rPr>
        <w:t>综合考虑到网格密度对求解精度和计算时间的影响及垂向上避免疏干单元的出现，需对研究区的网格进行合理的剖分。剖分单元格顶板、底板以及初始水头等数据以散列点的形式输入到模型中，然后插值进行赋值。</w:t>
      </w:r>
    </w:p>
    <w:p>
      <w:pPr>
        <w:pStyle w:val="62"/>
        <w:ind w:firstLine="480"/>
        <w:rPr>
          <w:highlight w:val="none"/>
        </w:rPr>
      </w:pPr>
      <w:r>
        <w:rPr>
          <w:rFonts w:hint="eastAsia"/>
          <w:highlight w:val="none"/>
        </w:rPr>
        <w:t>模拟区横向和纵向分别划分为</w:t>
      </w:r>
      <w:r>
        <w:rPr>
          <w:highlight w:val="none"/>
        </w:rPr>
        <w:t>120</w:t>
      </w:r>
      <w:r>
        <w:rPr>
          <w:rFonts w:hint="eastAsia"/>
          <w:highlight w:val="none"/>
        </w:rPr>
        <w:t>行，1</w:t>
      </w:r>
      <w:r>
        <w:rPr>
          <w:highlight w:val="none"/>
        </w:rPr>
        <w:t>4</w:t>
      </w:r>
      <w:r>
        <w:rPr>
          <w:rFonts w:hint="eastAsia"/>
          <w:highlight w:val="none"/>
        </w:rPr>
        <w:t>0列，垂向只考虑单一潜水含水层，共计</w:t>
      </w:r>
      <w:r>
        <w:rPr>
          <w:highlight w:val="none"/>
        </w:rPr>
        <w:t>168</w:t>
      </w:r>
      <w:r>
        <w:rPr>
          <w:rFonts w:hint="eastAsia"/>
          <w:highlight w:val="none"/>
        </w:rPr>
        <w:t>00个活动矩形单元格。</w:t>
      </w:r>
    </w:p>
    <w:p>
      <w:pPr>
        <w:pStyle w:val="62"/>
        <w:ind w:firstLine="480"/>
        <w:rPr>
          <w:highlight w:val="none"/>
        </w:rPr>
      </w:pPr>
      <w:bookmarkStart w:id="273" w:name="_Toc388348861"/>
      <w:bookmarkEnd w:id="273"/>
      <w:bookmarkStart w:id="274" w:name="_Toc418081187"/>
      <w:bookmarkEnd w:id="274"/>
      <w:r>
        <w:rPr>
          <w:rFonts w:hint="eastAsia"/>
          <w:highlight w:val="none"/>
        </w:rPr>
        <w:t>8、模型的识别与验证</w:t>
      </w:r>
    </w:p>
    <w:p>
      <w:pPr>
        <w:pStyle w:val="62"/>
        <w:ind w:firstLine="480"/>
        <w:rPr>
          <w:highlight w:val="none"/>
        </w:rPr>
      </w:pPr>
      <w:r>
        <w:rPr>
          <w:rFonts w:hint="eastAsia"/>
          <w:highlight w:val="none"/>
        </w:rPr>
        <w:t>模型的识别和验证主要遵循以下原则：①模拟的地下水流场要与实际地下水流场基本一致，即要求地下水模拟等值线与实测地下水位等值线形状相似；</w:t>
      </w:r>
      <w:r>
        <w:rPr>
          <w:rFonts w:hint="eastAsia" w:hAnsi="宋体" w:cs="宋体"/>
          <w:highlight w:val="none"/>
        </w:rPr>
        <w:t>②</w:t>
      </w:r>
      <w:r>
        <w:rPr>
          <w:rFonts w:hint="eastAsia"/>
          <w:highlight w:val="none"/>
        </w:rPr>
        <w:t>模拟地下水的动态过程要与实测的动态过程基本相似，即要求模拟与实际地下水位过程线形状相似；</w:t>
      </w:r>
      <w:r>
        <w:rPr>
          <w:rFonts w:hint="eastAsia" w:hAnsi="宋体" w:cs="宋体"/>
          <w:highlight w:val="none"/>
        </w:rPr>
        <w:t>③</w:t>
      </w:r>
      <w:r>
        <w:rPr>
          <w:rFonts w:hint="eastAsia"/>
          <w:highlight w:val="none"/>
        </w:rPr>
        <w:t>从均衡的角度出发，模拟的地下水均衡变化与实际要基本相符；</w:t>
      </w:r>
      <w:r>
        <w:rPr>
          <w:rFonts w:hint="eastAsia" w:hAnsi="宋体" w:cs="宋体"/>
          <w:highlight w:val="none"/>
        </w:rPr>
        <w:t>④</w:t>
      </w:r>
      <w:r>
        <w:rPr>
          <w:rFonts w:hint="eastAsia"/>
          <w:highlight w:val="none"/>
        </w:rPr>
        <w:t>识别的水文地质参数要符合实际水文地质条件。根据以上四个原则，对模拟区地下水系统进行了识别和验证。通过反复调整参数和均衡量，识别水文地质条件，确定了模型结构、参数和均衡要素。</w:t>
      </w:r>
    </w:p>
    <w:p>
      <w:pPr>
        <w:pStyle w:val="62"/>
        <w:ind w:firstLine="480"/>
        <w:rPr>
          <w:highlight w:val="none"/>
        </w:rPr>
      </w:pPr>
      <w:r>
        <w:rPr>
          <w:rFonts w:hint="eastAsia"/>
          <w:highlight w:val="none"/>
        </w:rPr>
        <w:t>本次模拟根据收集评价区初始流场作为模型识别阶段。模型采用</w:t>
      </w:r>
      <w:r>
        <w:rPr>
          <w:highlight w:val="none"/>
        </w:rPr>
        <w:t>Galerkin</w:t>
      </w:r>
      <w:r>
        <w:rPr>
          <w:rFonts w:hint="eastAsia"/>
          <w:highlight w:val="none"/>
        </w:rPr>
        <w:t>有限元法，以</w:t>
      </w:r>
      <w:r>
        <w:rPr>
          <w:highlight w:val="none"/>
        </w:rPr>
        <w:t>AB/TR</w:t>
      </w:r>
      <w:r>
        <w:rPr>
          <w:rFonts w:hint="eastAsia"/>
          <w:highlight w:val="none"/>
        </w:rPr>
        <w:t>模式控制的自动时间步长，输出的等水位线结果与观测井的实测等水位线对比。通过对比可以看出，计算流场整体拟合效果较好，说明数值模型是可靠的，数值方法是可行的，其成果可以用于预测。</w:t>
      </w:r>
    </w:p>
    <w:p>
      <w:pPr>
        <w:pStyle w:val="62"/>
        <w:ind w:firstLine="480"/>
        <w:rPr>
          <w:highlight w:val="none"/>
        </w:rPr>
      </w:pPr>
      <w:r>
        <w:rPr>
          <w:rFonts w:hint="eastAsia"/>
          <w:highlight w:val="none"/>
        </w:rPr>
        <w:t>地下水流场拟合情况见图5-5。</w:t>
      </w:r>
      <w:r>
        <w:rPr>
          <w:highlight w:val="none"/>
        </w:rPr>
        <w:t xml:space="preserve"> </w:t>
      </w:r>
    </w:p>
    <w:p>
      <w:pPr>
        <w:spacing w:line="360" w:lineRule="auto"/>
        <w:ind w:firstLine="0" w:firstLineChars="0"/>
        <w:jc w:val="center"/>
        <w:rPr>
          <w:color w:val="000000"/>
          <w:sz w:val="21"/>
          <w:highlight w:val="none"/>
        </w:rPr>
      </w:pPr>
      <w:r>
        <w:rPr>
          <w:sz w:val="21"/>
          <w:highlight w:val="none"/>
        </w:rPr>
        <w:drawing>
          <wp:inline distT="0" distB="0" distL="0" distR="0">
            <wp:extent cx="4623435" cy="3964940"/>
            <wp:effectExtent l="0" t="0" r="5715" b="0"/>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623435" cy="3964940"/>
                    </a:xfrm>
                    <a:prstGeom prst="rect">
                      <a:avLst/>
                    </a:prstGeom>
                    <a:noFill/>
                    <a:ln>
                      <a:noFill/>
                    </a:ln>
                  </pic:spPr>
                </pic:pic>
              </a:graphicData>
            </a:graphic>
          </wp:inline>
        </w:drawing>
      </w:r>
    </w:p>
    <w:p>
      <w:pPr>
        <w:pStyle w:val="65"/>
        <w:rPr>
          <w:highlight w:val="none"/>
        </w:rPr>
      </w:pPr>
      <w:r>
        <w:rPr>
          <w:rFonts w:hint="eastAsia"/>
          <w:highlight w:val="none"/>
        </w:rPr>
        <w:t>图5-5</w:t>
      </w:r>
      <w:r>
        <w:rPr>
          <w:highlight w:val="none"/>
        </w:rPr>
        <w:t xml:space="preserve">   </w:t>
      </w:r>
      <w:r>
        <w:rPr>
          <w:rFonts w:hint="eastAsia"/>
          <w:highlight w:val="none"/>
        </w:rPr>
        <w:t>模拟区流场拟合图</w:t>
      </w:r>
    </w:p>
    <w:p>
      <w:pPr>
        <w:pStyle w:val="62"/>
        <w:ind w:firstLine="480"/>
        <w:rPr>
          <w:highlight w:val="none"/>
        </w:rPr>
      </w:pPr>
      <w:bookmarkStart w:id="275" w:name="_Toc418081188"/>
      <w:bookmarkEnd w:id="275"/>
      <w:bookmarkStart w:id="276" w:name="_Toc388348862"/>
      <w:bookmarkEnd w:id="276"/>
      <w:bookmarkStart w:id="277" w:name="_Toc397159679"/>
      <w:bookmarkEnd w:id="277"/>
      <w:bookmarkStart w:id="278" w:name="_Toc22755113"/>
      <w:bookmarkStart w:id="279" w:name="_Toc20261230"/>
      <w:r>
        <w:rPr>
          <w:rFonts w:hint="eastAsia"/>
          <w:highlight w:val="none"/>
        </w:rPr>
        <w:t>4.2 地下水污染模拟预测</w:t>
      </w:r>
      <w:bookmarkEnd w:id="278"/>
      <w:bookmarkEnd w:id="279"/>
    </w:p>
    <w:p>
      <w:pPr>
        <w:pStyle w:val="62"/>
        <w:ind w:firstLine="480"/>
        <w:rPr>
          <w:highlight w:val="none"/>
        </w:rPr>
      </w:pPr>
      <w:r>
        <w:rPr>
          <w:rFonts w:hint="eastAsia"/>
          <w:highlight w:val="none"/>
        </w:rPr>
        <w:t>根据拟建项目的工程特点及可能出现的污染事故，设计正常工况和事故工况两种情景进行预测评价。污染物在地下水系统中的迁移转化过程十分复杂，本次地下水污染模拟过程未考虑污染物在含水层中的吸附、挥发、生物化学反应，模型中各项参数予以保守性考虑。由于污染物预测主要针对事故工况下污染物运移情况，因此模型预测时将不考虑包气带对污染物的截留作用，假设污染物可以直接通过包气带进入地下水体，最大限度地考虑污染物对研究区水体的影响。</w:t>
      </w:r>
    </w:p>
    <w:p>
      <w:pPr>
        <w:pStyle w:val="62"/>
        <w:ind w:firstLine="480"/>
        <w:rPr>
          <w:highlight w:val="none"/>
        </w:rPr>
      </w:pPr>
      <w:r>
        <w:rPr>
          <w:rFonts w:hint="eastAsia"/>
          <w:highlight w:val="none"/>
        </w:rPr>
        <w:t>本项目预测评价这样考虑和假设的原因如下：</w:t>
      </w:r>
    </w:p>
    <w:p>
      <w:pPr>
        <w:pStyle w:val="62"/>
        <w:ind w:firstLine="480"/>
        <w:rPr>
          <w:highlight w:val="none"/>
        </w:rPr>
      </w:pPr>
      <w:r>
        <w:rPr>
          <w:rFonts w:hint="eastAsia" w:hAnsi="宋体" w:cs="宋体"/>
          <w:highlight w:val="none"/>
        </w:rPr>
        <w:t>①</w:t>
      </w:r>
      <w:r>
        <w:rPr>
          <w:rFonts w:hint="eastAsia"/>
          <w:highlight w:val="none"/>
        </w:rPr>
        <w:t>假设污染质在运移中不与含水层介质发生反应，即只考虑运移过程中的对流、弥散作用。</w:t>
      </w:r>
    </w:p>
    <w:p>
      <w:pPr>
        <w:pStyle w:val="62"/>
        <w:ind w:firstLine="480"/>
        <w:rPr>
          <w:highlight w:val="none"/>
        </w:rPr>
      </w:pPr>
      <w:r>
        <w:rPr>
          <w:rFonts w:hint="eastAsia" w:hAnsi="宋体" w:cs="宋体"/>
          <w:highlight w:val="none"/>
        </w:rPr>
        <w:t>②</w:t>
      </w:r>
      <w:r>
        <w:rPr>
          <w:rFonts w:hint="eastAsia"/>
          <w:highlight w:val="none"/>
        </w:rPr>
        <w:t>有机污染物在地下水中的运移非常复杂，影响因素除对流、弥散作用以外，还存在物理、化学、微生物等作用，这些作用常常会使污染浓度衰减。目前国际上对这些作用参数的准确获取还存在着困难。</w:t>
      </w:r>
    </w:p>
    <w:p>
      <w:pPr>
        <w:pStyle w:val="62"/>
        <w:ind w:firstLine="480"/>
        <w:rPr>
          <w:highlight w:val="none"/>
        </w:rPr>
      </w:pPr>
      <w:bookmarkStart w:id="280" w:name="_Toc418081189"/>
      <w:bookmarkEnd w:id="280"/>
      <w:bookmarkStart w:id="281" w:name="_Toc397159680"/>
      <w:bookmarkEnd w:id="281"/>
      <w:bookmarkStart w:id="282" w:name="_Toc377476255"/>
      <w:bookmarkEnd w:id="282"/>
      <w:bookmarkStart w:id="283" w:name="_Toc380657706"/>
      <w:bookmarkEnd w:id="283"/>
      <w:bookmarkStart w:id="284" w:name="_Toc22755114"/>
      <w:r>
        <w:rPr>
          <w:rFonts w:hint="eastAsia"/>
          <w:highlight w:val="none"/>
        </w:rPr>
        <w:t>4.2</w:t>
      </w:r>
      <w:r>
        <w:rPr>
          <w:highlight w:val="none"/>
        </w:rPr>
        <w:t>.1</w:t>
      </w:r>
      <w:r>
        <w:rPr>
          <w:rFonts w:hint="eastAsia"/>
          <w:highlight w:val="none"/>
        </w:rPr>
        <w:t xml:space="preserve"> 溶质运移模型的建立</w:t>
      </w:r>
      <w:bookmarkEnd w:id="284"/>
    </w:p>
    <w:p>
      <w:pPr>
        <w:pStyle w:val="62"/>
        <w:ind w:firstLine="480"/>
        <w:rPr>
          <w:snapToGrid w:val="0"/>
          <w:highlight w:val="none"/>
        </w:rPr>
      </w:pPr>
      <w:bookmarkStart w:id="285" w:name="_Toc17232440"/>
      <w:r>
        <w:rPr>
          <w:rFonts w:hint="eastAsia"/>
          <w:snapToGrid w:val="0"/>
          <w:highlight w:val="none"/>
        </w:rPr>
        <w:t>1、数学模型</w:t>
      </w:r>
      <w:bookmarkEnd w:id="285"/>
    </w:p>
    <w:p>
      <w:pPr>
        <w:pStyle w:val="62"/>
        <w:ind w:firstLine="480"/>
        <w:rPr>
          <w:snapToGrid w:val="0"/>
          <w:highlight w:val="none"/>
        </w:rPr>
      </w:pPr>
      <w:bookmarkStart w:id="286" w:name="_Toc330458119"/>
      <w:bookmarkEnd w:id="286"/>
      <w:bookmarkStart w:id="287" w:name="_Toc331987764"/>
      <w:bookmarkEnd w:id="287"/>
      <w:bookmarkStart w:id="288" w:name="_Toc349140416"/>
      <w:r>
        <w:rPr>
          <w:snapToGrid w:val="0"/>
          <w:highlight w:val="none"/>
        </w:rPr>
        <w:t>MT3D</w:t>
      </w:r>
      <w:r>
        <w:rPr>
          <w:rFonts w:hint="eastAsia"/>
          <w:snapToGrid w:val="0"/>
          <w:highlight w:val="none"/>
        </w:rPr>
        <w:t>是一个可模拟溶质运移的数值计算软件，具有模拟稳态、瞬间流动场、异向性传输、早期衰减和反应、线性和非线性吸附作用的地下水水平对流功能。本次模拟不考虑污染物的化学衰减反应，而仅考虑地下水平流及扩散对污染物运移所造成的影响，则可利用平流弥散方程来描述溶质或污染物运移，方程式如下：</w:t>
      </w:r>
    </w:p>
    <w:p>
      <w:pPr>
        <w:adjustRightInd w:val="0"/>
        <w:snapToGrid w:val="0"/>
        <w:spacing w:line="360" w:lineRule="auto"/>
        <w:ind w:firstLine="0" w:firstLineChars="0"/>
        <w:jc w:val="center"/>
        <w:rPr>
          <w:color w:val="000000"/>
          <w:kern w:val="0"/>
          <w:highlight w:val="none"/>
          <w:lang w:val="zh-CN"/>
        </w:rPr>
      </w:pPr>
      <w:r>
        <w:rPr>
          <w:color w:val="000000"/>
          <w:kern w:val="0"/>
          <w:position w:val="-102"/>
          <w:highlight w:val="none"/>
        </w:rPr>
        <w:drawing>
          <wp:inline distT="0" distB="0" distL="0" distR="0">
            <wp:extent cx="4140200" cy="1375410"/>
            <wp:effectExtent l="0" t="0" r="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140200" cy="1375410"/>
                    </a:xfrm>
                    <a:prstGeom prst="rect">
                      <a:avLst/>
                    </a:prstGeom>
                    <a:noFill/>
                    <a:ln>
                      <a:noFill/>
                    </a:ln>
                  </pic:spPr>
                </pic:pic>
              </a:graphicData>
            </a:graphic>
          </wp:inline>
        </w:drawing>
      </w:r>
    </w:p>
    <w:p>
      <w:pPr>
        <w:adjustRightInd w:val="0"/>
        <w:snapToGrid w:val="0"/>
        <w:spacing w:line="360" w:lineRule="auto"/>
        <w:ind w:firstLine="480" w:firstLineChars="0"/>
        <w:rPr>
          <w:color w:val="000000"/>
          <w:kern w:val="0"/>
          <w:highlight w:val="none"/>
          <w:lang w:val="zh-CN"/>
        </w:rPr>
      </w:pPr>
      <w:r>
        <w:rPr>
          <w:rFonts w:hint="eastAsia"/>
          <w:color w:val="000000"/>
          <w:kern w:val="0"/>
          <w:highlight w:val="none"/>
          <w:lang w:val="zh-CN"/>
        </w:rPr>
        <w:t>式中：</w:t>
      </w:r>
      <w:r>
        <w:rPr>
          <w:color w:val="000000"/>
          <w:kern w:val="0"/>
          <w:highlight w:val="none"/>
          <w:lang w:val="zh-CN"/>
        </w:rPr>
        <w:t>c—</w:t>
      </w:r>
      <w:r>
        <w:rPr>
          <w:rFonts w:hint="eastAsia"/>
          <w:color w:val="000000"/>
          <w:kern w:val="0"/>
          <w:highlight w:val="none"/>
          <w:lang w:val="zh-CN"/>
        </w:rPr>
        <w:t>地下水流系统中的污染物浓度函数（</w:t>
      </w:r>
      <w:r>
        <w:rPr>
          <w:color w:val="000000"/>
          <w:kern w:val="0"/>
          <w:highlight w:val="none"/>
          <w:lang w:val="zh-CN"/>
        </w:rPr>
        <w:t>g/L</w:t>
      </w:r>
      <w:r>
        <w:rPr>
          <w:color w:val="000000"/>
          <w:kern w:val="0"/>
          <w:highlight w:val="none"/>
          <w:vertAlign w:val="superscript"/>
          <w:lang w:val="zh-CN"/>
        </w:rPr>
        <w:t>3</w:t>
      </w:r>
      <w:r>
        <w:rPr>
          <w:color w:val="000000"/>
          <w:kern w:val="0"/>
          <w:highlight w:val="none"/>
          <w:lang w:val="zh-CN"/>
        </w:rPr>
        <w:t>)</w:t>
      </w:r>
      <w:r>
        <w:rPr>
          <w:rFonts w:hint="eastAsia"/>
          <w:color w:val="000000"/>
          <w:kern w:val="0"/>
          <w:highlight w:val="none"/>
          <w:lang w:val="zh-CN"/>
        </w:rPr>
        <w:t>；</w:t>
      </w:r>
    </w:p>
    <w:p>
      <w:pPr>
        <w:adjustRightInd w:val="0"/>
        <w:snapToGrid w:val="0"/>
        <w:spacing w:line="360" w:lineRule="auto"/>
        <w:ind w:left="780" w:firstLine="480" w:firstLineChars="0"/>
        <w:rPr>
          <w:color w:val="000000"/>
          <w:kern w:val="0"/>
          <w:highlight w:val="none"/>
          <w:lang w:val="zh-CN"/>
        </w:rPr>
      </w:pPr>
      <w:r>
        <w:rPr>
          <w:color w:val="000000"/>
          <w:kern w:val="0"/>
          <w:highlight w:val="none"/>
          <w:lang w:val="zh-CN"/>
        </w:rPr>
        <w:t>t</w:t>
      </w:r>
      <w:r>
        <w:rPr>
          <w:rFonts w:hint="eastAsia"/>
          <w:color w:val="000000"/>
          <w:kern w:val="0"/>
          <w:highlight w:val="none"/>
          <w:lang w:val="zh-CN"/>
        </w:rPr>
        <w:t>一时间（</w:t>
      </w:r>
      <w:r>
        <w:rPr>
          <w:color w:val="000000"/>
          <w:kern w:val="0"/>
          <w:highlight w:val="none"/>
          <w:lang w:val="zh-CN"/>
        </w:rPr>
        <w:t>T)</w:t>
      </w:r>
      <w:r>
        <w:rPr>
          <w:rFonts w:hint="eastAsia"/>
          <w:color w:val="000000"/>
          <w:kern w:val="0"/>
          <w:highlight w:val="none"/>
          <w:lang w:val="zh-CN"/>
        </w:rPr>
        <w:t>；</w:t>
      </w:r>
    </w:p>
    <w:p>
      <w:pPr>
        <w:adjustRightInd w:val="0"/>
        <w:snapToGrid w:val="0"/>
        <w:spacing w:line="360" w:lineRule="auto"/>
        <w:ind w:left="780" w:firstLine="480" w:firstLineChars="0"/>
        <w:rPr>
          <w:color w:val="000000"/>
          <w:kern w:val="0"/>
          <w:highlight w:val="none"/>
          <w:lang w:val="zh-CN"/>
        </w:rPr>
      </w:pPr>
      <w:r>
        <w:rPr>
          <w:color w:val="000000"/>
          <w:kern w:val="0"/>
          <w:highlight w:val="none"/>
          <w:lang w:val="zh-CN"/>
        </w:rPr>
        <w:t>D</w:t>
      </w:r>
      <w:r>
        <w:rPr>
          <w:rFonts w:hint="eastAsia"/>
          <w:color w:val="000000"/>
          <w:kern w:val="0"/>
          <w:highlight w:val="none"/>
          <w:lang w:val="zh-CN"/>
        </w:rPr>
        <w:t>一水动力弥散系数（</w:t>
      </w:r>
      <w:r>
        <w:rPr>
          <w:color w:val="000000"/>
          <w:kern w:val="0"/>
          <w:highlight w:val="none"/>
          <w:lang w:val="zh-CN"/>
        </w:rPr>
        <w:t>L/T)</w:t>
      </w:r>
      <w:r>
        <w:rPr>
          <w:rFonts w:hint="eastAsia"/>
          <w:color w:val="000000"/>
          <w:kern w:val="0"/>
          <w:highlight w:val="none"/>
          <w:lang w:val="zh-CN"/>
        </w:rPr>
        <w:t>；</w:t>
      </w:r>
    </w:p>
    <w:p>
      <w:pPr>
        <w:adjustRightInd w:val="0"/>
        <w:snapToGrid w:val="0"/>
        <w:spacing w:line="360" w:lineRule="auto"/>
        <w:ind w:left="780" w:firstLine="480" w:firstLineChars="0"/>
        <w:rPr>
          <w:color w:val="000000"/>
          <w:kern w:val="0"/>
          <w:highlight w:val="none"/>
          <w:lang w:val="zh-CN"/>
        </w:rPr>
      </w:pPr>
      <w:r>
        <w:rPr>
          <w:color w:val="000000"/>
          <w:kern w:val="0"/>
          <w:highlight w:val="none"/>
          <w:lang w:val="zh-CN"/>
        </w:rPr>
        <w:t>v—</w:t>
      </w:r>
      <w:r>
        <w:rPr>
          <w:rFonts w:hint="eastAsia"/>
          <w:color w:val="000000"/>
          <w:kern w:val="0"/>
          <w:highlight w:val="none"/>
          <w:lang w:val="zh-CN"/>
        </w:rPr>
        <w:t>渗流速度（</w:t>
      </w:r>
      <w:r>
        <w:rPr>
          <w:color w:val="000000"/>
          <w:kern w:val="0"/>
          <w:highlight w:val="none"/>
          <w:lang w:val="zh-CN"/>
        </w:rPr>
        <w:t>L/T)</w:t>
      </w:r>
      <w:r>
        <w:rPr>
          <w:rFonts w:hint="eastAsia"/>
          <w:color w:val="000000"/>
          <w:kern w:val="0"/>
          <w:highlight w:val="none"/>
          <w:lang w:val="zh-CN"/>
        </w:rPr>
        <w:t>；</w:t>
      </w:r>
    </w:p>
    <w:p>
      <w:pPr>
        <w:adjustRightInd w:val="0"/>
        <w:snapToGrid w:val="0"/>
        <w:spacing w:line="360" w:lineRule="auto"/>
        <w:ind w:left="780" w:firstLine="480" w:firstLineChars="0"/>
        <w:rPr>
          <w:color w:val="000000"/>
          <w:kern w:val="0"/>
          <w:highlight w:val="none"/>
          <w:lang w:val="zh-CN"/>
        </w:rPr>
      </w:pPr>
      <w:r>
        <w:rPr>
          <w:color w:val="000000"/>
          <w:kern w:val="0"/>
          <w:highlight w:val="none"/>
          <w:lang w:val="zh-CN"/>
        </w:rPr>
        <w:t>n</w:t>
      </w:r>
      <w:r>
        <w:rPr>
          <w:rFonts w:hint="eastAsia"/>
          <w:color w:val="000000"/>
          <w:kern w:val="0"/>
          <w:highlight w:val="none"/>
          <w:lang w:val="zh-CN"/>
        </w:rPr>
        <w:t>一有效孔隙度（</w:t>
      </w:r>
      <w:r>
        <w:rPr>
          <w:color w:val="000000"/>
          <w:kern w:val="0"/>
          <w:highlight w:val="none"/>
          <w:lang w:val="zh-CN"/>
        </w:rPr>
        <w:t>%)</w:t>
      </w:r>
      <w:r>
        <w:rPr>
          <w:rFonts w:hint="eastAsia"/>
          <w:color w:val="000000"/>
          <w:kern w:val="0"/>
          <w:highlight w:val="none"/>
          <w:lang w:val="zh-CN"/>
        </w:rPr>
        <w:t>；</w:t>
      </w:r>
    </w:p>
    <w:p>
      <w:pPr>
        <w:adjustRightInd w:val="0"/>
        <w:snapToGrid w:val="0"/>
        <w:spacing w:line="360" w:lineRule="auto"/>
        <w:ind w:left="780" w:firstLine="480" w:firstLineChars="0"/>
        <w:rPr>
          <w:color w:val="000000"/>
          <w:kern w:val="0"/>
          <w:highlight w:val="none"/>
          <w:lang w:val="zh-CN"/>
        </w:rPr>
      </w:pPr>
      <w:r>
        <w:rPr>
          <w:color w:val="000000"/>
          <w:kern w:val="0"/>
          <w:highlight w:val="none"/>
          <w:lang w:val="zh-CN"/>
        </w:rPr>
        <w:t>D'—</w:t>
      </w:r>
      <w:r>
        <w:rPr>
          <w:rFonts w:hint="eastAsia"/>
          <w:color w:val="000000"/>
          <w:kern w:val="0"/>
          <w:highlight w:val="none"/>
          <w:lang w:val="zh-CN"/>
        </w:rPr>
        <w:t>模拟区域；</w:t>
      </w:r>
    </w:p>
    <w:p>
      <w:pPr>
        <w:adjustRightInd w:val="0"/>
        <w:snapToGrid w:val="0"/>
        <w:spacing w:line="360" w:lineRule="auto"/>
        <w:ind w:left="780" w:firstLine="480" w:firstLineChars="0"/>
        <w:rPr>
          <w:color w:val="000000"/>
          <w:kern w:val="0"/>
          <w:highlight w:val="none"/>
          <w:lang w:val="zh-CN"/>
        </w:rPr>
      </w:pPr>
      <w:r>
        <w:rPr>
          <w:color w:val="000000"/>
          <w:kern w:val="0"/>
          <w:position w:val="-12"/>
          <w:highlight w:val="none"/>
        </w:rPr>
        <w:drawing>
          <wp:inline distT="0" distB="0" distL="0" distR="0">
            <wp:extent cx="190500" cy="226695"/>
            <wp:effectExtent l="0" t="0" r="0" b="1905"/>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color w:val="000000"/>
          <w:kern w:val="0"/>
          <w:highlight w:val="none"/>
          <w:lang w:val="zh-CN"/>
        </w:rPr>
        <w:t>—</w:t>
      </w:r>
      <w:r>
        <w:rPr>
          <w:rFonts w:hint="eastAsia"/>
          <w:color w:val="000000"/>
          <w:kern w:val="0"/>
          <w:highlight w:val="none"/>
          <w:lang w:val="zh-CN"/>
        </w:rPr>
        <w:t>第二类水头边界</w:t>
      </w:r>
    </w:p>
    <w:bookmarkEnd w:id="288"/>
    <w:p>
      <w:pPr>
        <w:pStyle w:val="62"/>
        <w:ind w:firstLine="480"/>
        <w:rPr>
          <w:snapToGrid w:val="0"/>
          <w:highlight w:val="none"/>
        </w:rPr>
      </w:pPr>
      <w:r>
        <w:rPr>
          <w:rFonts w:hint="eastAsia"/>
          <w:snapToGrid w:val="0"/>
          <w:highlight w:val="none"/>
        </w:rPr>
        <w:t>2、参数的确定</w:t>
      </w:r>
    </w:p>
    <w:p>
      <w:pPr>
        <w:pStyle w:val="62"/>
        <w:ind w:firstLine="480"/>
        <w:rPr>
          <w:snapToGrid w:val="0"/>
          <w:highlight w:val="none"/>
        </w:rPr>
      </w:pPr>
      <w:r>
        <w:rPr>
          <w:rFonts w:hint="eastAsia"/>
          <w:snapToGrid w:val="0"/>
          <w:highlight w:val="none"/>
        </w:rPr>
        <w:t>污染运移模型的参数设定主要是以野外试验为参考，弥散度是研究污染物在土壤及地下水中迁移转化规律的最重要参数之一，弥散系数</w:t>
      </w:r>
      <w:r>
        <w:rPr>
          <w:snapToGrid w:val="0"/>
          <w:highlight w:val="none"/>
        </w:rPr>
        <w:t>D</w:t>
      </w:r>
      <w:r>
        <w:rPr>
          <w:rFonts w:hint="eastAsia"/>
          <w:snapToGrid w:val="0"/>
          <w:highlight w:val="none"/>
        </w:rPr>
        <w:t>是反映渗流系统弥散特征的一个综合参数，忽略分子扩散时，它是介质弥散度仅和孔隙流速</w:t>
      </w:r>
      <w:r>
        <w:rPr>
          <w:snapToGrid w:val="0"/>
          <w:highlight w:val="none"/>
        </w:rPr>
        <w:t>V</w:t>
      </w:r>
      <w:r>
        <w:rPr>
          <w:rFonts w:hint="eastAsia"/>
          <w:snapToGrid w:val="0"/>
          <w:highlight w:val="none"/>
        </w:rPr>
        <w:t>的函数。大量的室内弥散试验结果表明，纵向弥散度一般为毫米量级，成为孔隙尺度的水动力弥散作用，而实际上野外试验所得出的弥散度远远大于在实验室所测出的值，相差可达</w:t>
      </w:r>
      <w:r>
        <w:rPr>
          <w:snapToGrid w:val="0"/>
          <w:highlight w:val="none"/>
        </w:rPr>
        <w:t>4-5</w:t>
      </w:r>
      <w:r>
        <w:rPr>
          <w:rFonts w:hint="eastAsia"/>
          <w:snapToGrid w:val="0"/>
          <w:highlight w:val="none"/>
        </w:rPr>
        <w:t>个数量级，野外得到的弥散度随研究问题尺度的增大而增大，并随着溶质运移时间而增大，这种孔隙介质中弥散度随着溶质运移距离和研究问题尺度增大而增大的现象成为多孔介质水动力弥散的尺度效应。对于造成水动力弥散尺度效应的原因，目前人们趋于一致的看法是：野外条件下介质的不均匀性造成了室内试验结果与野外试验结果之间的巨大差距。</w:t>
      </w:r>
    </w:p>
    <w:p>
      <w:pPr>
        <w:pStyle w:val="62"/>
        <w:ind w:firstLine="480"/>
        <w:rPr>
          <w:snapToGrid w:val="0"/>
          <w:highlight w:val="none"/>
        </w:rPr>
      </w:pPr>
      <w:r>
        <w:rPr>
          <w:rFonts w:hint="eastAsia"/>
          <w:snapToGrid w:val="0"/>
          <w:highlight w:val="none"/>
        </w:rPr>
        <w:t>水动力弥散尺度效应的存在为模拟和预测地下水中溶质在介质中的运移规律带来了困难。本次溶质运移模型中介质弥散度的确定结合了</w:t>
      </w:r>
      <w:r>
        <w:rPr>
          <w:snapToGrid w:val="0"/>
          <w:highlight w:val="none"/>
        </w:rPr>
        <w:t>Gelhar, L. W</w:t>
      </w:r>
      <w:r>
        <w:rPr>
          <w:rFonts w:hint="eastAsia"/>
          <w:snapToGrid w:val="0"/>
          <w:highlight w:val="none"/>
        </w:rPr>
        <w:t>在</w:t>
      </w:r>
      <w:r>
        <w:rPr>
          <w:snapToGrid w:val="0"/>
          <w:highlight w:val="none"/>
        </w:rPr>
        <w:t>“A critical review of data on field-scale dispersion in aquifers”</w:t>
      </w:r>
      <w:r>
        <w:rPr>
          <w:rFonts w:hint="eastAsia"/>
          <w:snapToGrid w:val="0"/>
          <w:highlight w:val="none"/>
        </w:rPr>
        <w:t>一文中对</w:t>
      </w:r>
      <w:r>
        <w:rPr>
          <w:snapToGrid w:val="0"/>
          <w:highlight w:val="none"/>
        </w:rPr>
        <w:t>59</w:t>
      </w:r>
      <w:r>
        <w:rPr>
          <w:rFonts w:hint="eastAsia"/>
          <w:snapToGrid w:val="0"/>
          <w:highlight w:val="none"/>
        </w:rPr>
        <w:t>个不同尺度的地区弥散度的研究成果，选取其中与本项目区厂区地下潜水含水层相似的区域进行类比，横向弥散度的取值依据美国环保署（</w:t>
      </w:r>
      <w:r>
        <w:rPr>
          <w:snapToGrid w:val="0"/>
          <w:highlight w:val="none"/>
        </w:rPr>
        <w:t>EPA</w:t>
      </w:r>
      <w:r>
        <w:rPr>
          <w:rFonts w:hint="eastAsia"/>
          <w:snapToGrid w:val="0"/>
          <w:highlight w:val="none"/>
        </w:rPr>
        <w:t>）提出的经验数据：横</w:t>
      </w:r>
      <w:r>
        <w:rPr>
          <w:snapToGrid w:val="0"/>
          <w:highlight w:val="none"/>
        </w:rPr>
        <w:t>/</w:t>
      </w:r>
      <w:r>
        <w:rPr>
          <w:rFonts w:hint="eastAsia"/>
          <w:snapToGrid w:val="0"/>
          <w:highlight w:val="none"/>
        </w:rPr>
        <w:t>纵向弥散度比（</w:t>
      </w:r>
      <w:r>
        <w:rPr>
          <w:snapToGrid w:val="0"/>
          <w:highlight w:val="none"/>
        </w:rPr>
        <w:t>a</w:t>
      </w:r>
      <w:r>
        <w:rPr>
          <w:snapToGrid w:val="0"/>
          <w:highlight w:val="none"/>
          <w:vertAlign w:val="subscript"/>
        </w:rPr>
        <w:t>T</w:t>
      </w:r>
      <w:r>
        <w:rPr>
          <w:snapToGrid w:val="0"/>
          <w:highlight w:val="none"/>
        </w:rPr>
        <w:t>/a</w:t>
      </w:r>
      <w:r>
        <w:rPr>
          <w:snapToGrid w:val="0"/>
          <w:highlight w:val="none"/>
          <w:vertAlign w:val="subscript"/>
        </w:rPr>
        <w:t>L</w:t>
      </w:r>
      <w:r>
        <w:rPr>
          <w:rFonts w:hint="eastAsia"/>
          <w:snapToGrid w:val="0"/>
          <w:highlight w:val="none"/>
        </w:rPr>
        <w:t>）一般为</w:t>
      </w:r>
      <w:r>
        <w:rPr>
          <w:snapToGrid w:val="0"/>
          <w:highlight w:val="none"/>
        </w:rPr>
        <w:t>0.1</w:t>
      </w:r>
      <w:r>
        <w:rPr>
          <w:rFonts w:hint="eastAsia"/>
          <w:snapToGrid w:val="0"/>
          <w:highlight w:val="none"/>
        </w:rPr>
        <w:t>。最终确定的溶质运移模型参数为：</w:t>
      </w:r>
    </w:p>
    <w:p>
      <w:pPr>
        <w:pStyle w:val="62"/>
        <w:ind w:firstLine="480"/>
        <w:rPr>
          <w:snapToGrid w:val="0"/>
          <w:highlight w:val="none"/>
        </w:rPr>
      </w:pPr>
      <w:r>
        <w:rPr>
          <w:rFonts w:hint="eastAsia"/>
          <w:snapToGrid w:val="0"/>
          <w:highlight w:val="none"/>
        </w:rPr>
        <w:t>纵向弥散度：</w:t>
      </w:r>
      <w:r>
        <w:rPr>
          <w:snapToGrid w:val="0"/>
          <w:highlight w:val="none"/>
        </w:rPr>
        <w:t>10m</w:t>
      </w:r>
      <w:r>
        <w:rPr>
          <w:rFonts w:hint="eastAsia"/>
          <w:snapToGrid w:val="0"/>
          <w:highlight w:val="none"/>
        </w:rPr>
        <w:t>；横向弥散度</w:t>
      </w:r>
      <w:r>
        <w:rPr>
          <w:snapToGrid w:val="0"/>
          <w:highlight w:val="none"/>
        </w:rPr>
        <w:t>1m</w:t>
      </w:r>
      <w:r>
        <w:rPr>
          <w:rFonts w:hint="eastAsia"/>
          <w:snapToGrid w:val="0"/>
          <w:highlight w:val="none"/>
        </w:rPr>
        <w:t>。</w:t>
      </w:r>
    </w:p>
    <w:p>
      <w:pPr>
        <w:pStyle w:val="62"/>
        <w:ind w:firstLine="480"/>
        <w:rPr>
          <w:highlight w:val="none"/>
        </w:rPr>
      </w:pPr>
      <w:bookmarkStart w:id="289" w:name="_Toc388348864"/>
      <w:bookmarkEnd w:id="289"/>
      <w:bookmarkStart w:id="290" w:name="_Toc418081190"/>
      <w:bookmarkEnd w:id="290"/>
      <w:bookmarkStart w:id="291" w:name="_Toc17232441"/>
      <w:bookmarkStart w:id="292" w:name="_Toc22755115"/>
      <w:r>
        <w:rPr>
          <w:rFonts w:hint="eastAsia"/>
          <w:highlight w:val="none"/>
        </w:rPr>
        <w:t>4.2</w:t>
      </w:r>
      <w:r>
        <w:rPr>
          <w:highlight w:val="none"/>
        </w:rPr>
        <w:t>.2</w:t>
      </w:r>
      <w:r>
        <w:rPr>
          <w:rFonts w:hint="eastAsia"/>
          <w:highlight w:val="none"/>
        </w:rPr>
        <w:t xml:space="preserve"> 厂址区地下水环境影响预测与评价</w:t>
      </w:r>
      <w:bookmarkEnd w:id="291"/>
      <w:bookmarkEnd w:id="292"/>
    </w:p>
    <w:p>
      <w:pPr>
        <w:pStyle w:val="62"/>
        <w:ind w:firstLine="480"/>
        <w:rPr>
          <w:bCs/>
          <w:snapToGrid w:val="0"/>
          <w:highlight w:val="none"/>
        </w:rPr>
      </w:pPr>
      <w:r>
        <w:rPr>
          <w:rFonts w:hint="eastAsia"/>
          <w:bCs/>
          <w:snapToGrid w:val="0"/>
          <w:highlight w:val="none"/>
        </w:rPr>
        <w:t>1、正常状况下地下水环境影响预测评价</w:t>
      </w:r>
    </w:p>
    <w:p>
      <w:pPr>
        <w:pStyle w:val="62"/>
        <w:ind w:firstLine="480"/>
        <w:rPr>
          <w:kern w:val="0"/>
          <w:highlight w:val="none"/>
        </w:rPr>
      </w:pPr>
      <w:r>
        <w:rPr>
          <w:rFonts w:hint="eastAsia"/>
          <w:kern w:val="0"/>
          <w:highlight w:val="none"/>
        </w:rPr>
        <w:t>本项目产生的废水主要是尾矿淋溶水和生活污水。</w:t>
      </w:r>
    </w:p>
    <w:p>
      <w:pPr>
        <w:pStyle w:val="62"/>
        <w:ind w:firstLine="480"/>
        <w:rPr>
          <w:kern w:val="0"/>
          <w:highlight w:val="none"/>
        </w:rPr>
      </w:pPr>
      <w:bookmarkStart w:id="293" w:name="_Toc17232442"/>
      <w:r>
        <w:rPr>
          <w:rFonts w:hint="eastAsia"/>
          <w:kern w:val="0"/>
          <w:highlight w:val="none"/>
        </w:rPr>
        <w:t>（</w:t>
      </w:r>
      <w:r>
        <w:rPr>
          <w:kern w:val="0"/>
          <w:highlight w:val="none"/>
        </w:rPr>
        <w:t>1</w:t>
      </w:r>
      <w:r>
        <w:rPr>
          <w:rFonts w:hint="eastAsia"/>
          <w:kern w:val="0"/>
          <w:highlight w:val="none"/>
        </w:rPr>
        <w:t>）</w:t>
      </w:r>
      <w:bookmarkEnd w:id="293"/>
      <w:r>
        <w:rPr>
          <w:rFonts w:hint="eastAsia"/>
          <w:kern w:val="0"/>
          <w:highlight w:val="none"/>
        </w:rPr>
        <w:t>尾矿淋溶水</w:t>
      </w:r>
    </w:p>
    <w:p>
      <w:pPr>
        <w:pStyle w:val="62"/>
        <w:ind w:firstLine="480"/>
        <w:rPr>
          <w:kern w:val="0"/>
          <w:highlight w:val="none"/>
        </w:rPr>
      </w:pPr>
      <w:r>
        <w:rPr>
          <w:rFonts w:hint="eastAsia"/>
          <w:kern w:val="0"/>
          <w:highlight w:val="none"/>
        </w:rPr>
        <w:t>尾矿淋溶水收集后回洒，用于场地降尘，不外排。</w:t>
      </w:r>
    </w:p>
    <w:p>
      <w:pPr>
        <w:pStyle w:val="62"/>
        <w:ind w:firstLine="480"/>
        <w:rPr>
          <w:kern w:val="0"/>
          <w:highlight w:val="none"/>
        </w:rPr>
      </w:pPr>
      <w:bookmarkStart w:id="294" w:name="_Toc17232443"/>
      <w:r>
        <w:rPr>
          <w:rFonts w:hint="eastAsia"/>
          <w:kern w:val="0"/>
          <w:highlight w:val="none"/>
        </w:rPr>
        <w:t>（</w:t>
      </w:r>
      <w:r>
        <w:rPr>
          <w:kern w:val="0"/>
          <w:highlight w:val="none"/>
        </w:rPr>
        <w:t>2</w:t>
      </w:r>
      <w:r>
        <w:rPr>
          <w:rFonts w:hint="eastAsia"/>
          <w:kern w:val="0"/>
          <w:highlight w:val="none"/>
        </w:rPr>
        <w:t>）生活污水</w:t>
      </w:r>
      <w:bookmarkEnd w:id="294"/>
    </w:p>
    <w:p>
      <w:pPr>
        <w:pStyle w:val="62"/>
        <w:ind w:firstLine="480"/>
        <w:rPr>
          <w:kern w:val="0"/>
          <w:highlight w:val="none"/>
        </w:rPr>
      </w:pPr>
      <w:r>
        <w:rPr>
          <w:rFonts w:hint="eastAsia"/>
          <w:kern w:val="0"/>
          <w:highlight w:val="none"/>
        </w:rPr>
        <w:t>本项目生活污水、食堂废水经隔油池后排入1座2m</w:t>
      </w:r>
      <w:r>
        <w:rPr>
          <w:rFonts w:hint="eastAsia"/>
          <w:kern w:val="0"/>
          <w:highlight w:val="none"/>
          <w:vertAlign w:val="superscript"/>
        </w:rPr>
        <w:t>3</w:t>
      </w:r>
      <w:r>
        <w:rPr>
          <w:rFonts w:hint="eastAsia"/>
          <w:kern w:val="0"/>
          <w:highlight w:val="none"/>
        </w:rPr>
        <w:t>的沉淀池，用于场地洒水或绿化，不外排。</w:t>
      </w:r>
    </w:p>
    <w:p>
      <w:pPr>
        <w:pStyle w:val="62"/>
        <w:ind w:firstLine="480"/>
        <w:rPr>
          <w:bCs/>
          <w:snapToGrid w:val="0"/>
          <w:highlight w:val="none"/>
        </w:rPr>
      </w:pPr>
      <w:r>
        <w:rPr>
          <w:rFonts w:hint="eastAsia"/>
          <w:bCs/>
          <w:snapToGrid w:val="0"/>
          <w:highlight w:val="none"/>
        </w:rPr>
        <w:t>2、非正常状况下地下水环境影响预测评价</w:t>
      </w:r>
    </w:p>
    <w:p>
      <w:pPr>
        <w:pStyle w:val="62"/>
        <w:ind w:firstLine="480"/>
        <w:rPr>
          <w:bCs/>
          <w:highlight w:val="none"/>
        </w:rPr>
      </w:pPr>
      <w:r>
        <w:rPr>
          <w:rFonts w:hint="eastAsia"/>
          <w:bCs/>
          <w:snapToGrid w:val="0"/>
          <w:highlight w:val="none"/>
        </w:rPr>
        <w:t>（</w:t>
      </w:r>
      <w:r>
        <w:rPr>
          <w:bCs/>
          <w:snapToGrid w:val="0"/>
          <w:highlight w:val="none"/>
        </w:rPr>
        <w:t>1</w:t>
      </w:r>
      <w:r>
        <w:rPr>
          <w:rFonts w:hint="eastAsia"/>
          <w:bCs/>
          <w:snapToGrid w:val="0"/>
          <w:highlight w:val="none"/>
        </w:rPr>
        <w:t>）情景设定</w:t>
      </w:r>
    </w:p>
    <w:p>
      <w:pPr>
        <w:pStyle w:val="62"/>
        <w:ind w:firstLine="480"/>
        <w:rPr>
          <w:bCs/>
          <w:snapToGrid w:val="0"/>
          <w:highlight w:val="none"/>
        </w:rPr>
      </w:pPr>
      <w:r>
        <w:rPr>
          <w:rFonts w:hint="eastAsia"/>
          <w:bCs/>
          <w:snapToGrid w:val="0"/>
          <w:highlight w:val="none"/>
        </w:rPr>
        <w:t>本项目非正常状况主要为生活污水沉淀池渗漏与尾矿库</w:t>
      </w:r>
      <w:r>
        <w:rPr>
          <w:rFonts w:hint="eastAsia"/>
          <w:kern w:val="0"/>
          <w:highlight w:val="none"/>
        </w:rPr>
        <w:t>尾矿淋溶水</w:t>
      </w:r>
      <w:r>
        <w:rPr>
          <w:rFonts w:hint="eastAsia"/>
          <w:bCs/>
          <w:snapToGrid w:val="0"/>
          <w:highlight w:val="none"/>
        </w:rPr>
        <w:t>渗漏。在非正常状况下，厂区的运营可能对区域地下水造成影响。通过对项目建设内容的分析，非正常状况下项目对地下水的可能影响途径主要包括：</w:t>
      </w:r>
    </w:p>
    <w:p>
      <w:pPr>
        <w:pStyle w:val="62"/>
        <w:ind w:firstLine="480"/>
        <w:rPr>
          <w:bCs/>
          <w:snapToGrid w:val="0"/>
          <w:highlight w:val="none"/>
        </w:rPr>
      </w:pPr>
      <w:r>
        <w:rPr>
          <w:rFonts w:hint="eastAsia"/>
          <w:bCs/>
          <w:snapToGrid w:val="0"/>
          <w:highlight w:val="none"/>
        </w:rPr>
        <w:t>生活污水沉淀池底部防渗层破损，造成生活污水渗入地下影响地下水水质；尾矿库防渗层破损，造成</w:t>
      </w:r>
      <w:r>
        <w:rPr>
          <w:rFonts w:hint="eastAsia"/>
          <w:kern w:val="0"/>
          <w:highlight w:val="none"/>
        </w:rPr>
        <w:t>尾矿淋溶水</w:t>
      </w:r>
      <w:r>
        <w:rPr>
          <w:rFonts w:hint="eastAsia"/>
          <w:bCs/>
          <w:snapToGrid w:val="0"/>
          <w:highlight w:val="none"/>
        </w:rPr>
        <w:t>渗入地下影响地下水水质。</w:t>
      </w:r>
    </w:p>
    <w:p>
      <w:pPr>
        <w:pStyle w:val="62"/>
        <w:ind w:firstLine="480"/>
        <w:rPr>
          <w:rFonts w:hAnsi="宋体"/>
          <w:bCs/>
          <w:snapToGrid w:val="0"/>
          <w:highlight w:val="none"/>
        </w:rPr>
      </w:pPr>
      <w:r>
        <w:rPr>
          <w:rFonts w:hAnsi="宋体"/>
          <w:bCs/>
          <w:snapToGrid w:val="0"/>
          <w:highlight w:val="none"/>
        </w:rPr>
        <w:t>本次预测针对冲洗废水收集池防渗破损或因腐蚀防渗完全失效进行。收集池按照相关技术规范进行了</w:t>
      </w:r>
      <w:r>
        <w:rPr>
          <w:rFonts w:hint="eastAsia" w:hAnsi="宋体"/>
          <w:bCs/>
          <w:snapToGrid w:val="0"/>
          <w:highlight w:val="none"/>
        </w:rPr>
        <w:t>防</w:t>
      </w:r>
      <w:r>
        <w:rPr>
          <w:rFonts w:hAnsi="宋体"/>
          <w:bCs/>
          <w:snapToGrid w:val="0"/>
          <w:highlight w:val="none"/>
        </w:rPr>
        <w:t>渗设计。因此，不进行正常工况情景下的预测。水池渗漏面积为2×2m</w:t>
      </w:r>
      <w:r>
        <w:rPr>
          <w:rFonts w:hAnsi="宋体"/>
          <w:bCs/>
          <w:snapToGrid w:val="0"/>
          <w:highlight w:val="none"/>
          <w:vertAlign w:val="superscript"/>
        </w:rPr>
        <w:t>2</w:t>
      </w:r>
      <w:r>
        <w:rPr>
          <w:rFonts w:hAnsi="宋体"/>
          <w:bCs/>
          <w:snapToGrid w:val="0"/>
          <w:highlight w:val="none"/>
        </w:rPr>
        <w:t>，项目区包气带渗透系数为5.20×10</w:t>
      </w:r>
      <w:r>
        <w:rPr>
          <w:rFonts w:hAnsi="宋体"/>
          <w:bCs/>
          <w:snapToGrid w:val="0"/>
          <w:highlight w:val="none"/>
          <w:vertAlign w:val="superscript"/>
        </w:rPr>
        <w:t>-4</w:t>
      </w:r>
      <w:r>
        <w:rPr>
          <w:rFonts w:hAnsi="宋体"/>
          <w:bCs/>
          <w:snapToGrid w:val="0"/>
          <w:highlight w:val="none"/>
        </w:rPr>
        <w:t>cm/s（0.449m/d），则非正常状况下渗漏强度为0.269kg/d（0.449×4×1000×150×10</w:t>
      </w:r>
      <w:r>
        <w:rPr>
          <w:rFonts w:hAnsi="宋体"/>
          <w:bCs/>
          <w:snapToGrid w:val="0"/>
          <w:highlight w:val="none"/>
          <w:vertAlign w:val="superscript"/>
        </w:rPr>
        <w:t>-6</w:t>
      </w:r>
      <w:r>
        <w:rPr>
          <w:rFonts w:hAnsi="宋体"/>
          <w:bCs/>
          <w:snapToGrid w:val="0"/>
          <w:highlight w:val="none"/>
        </w:rPr>
        <w:t>）。参照经验系数有效孔隙度取0.25，横向弥散系数取1m</w:t>
      </w:r>
      <w:r>
        <w:rPr>
          <w:rFonts w:hAnsi="宋体"/>
          <w:bCs/>
          <w:snapToGrid w:val="0"/>
          <w:highlight w:val="none"/>
          <w:vertAlign w:val="superscript"/>
        </w:rPr>
        <w:t>2</w:t>
      </w:r>
      <w:r>
        <w:rPr>
          <w:rFonts w:hAnsi="宋体"/>
          <w:bCs/>
          <w:snapToGrid w:val="0"/>
          <w:highlight w:val="none"/>
        </w:rPr>
        <w:t>/d，纵向弥散系数取10m</w:t>
      </w:r>
      <w:r>
        <w:rPr>
          <w:rFonts w:hAnsi="宋体"/>
          <w:bCs/>
          <w:snapToGrid w:val="0"/>
          <w:highlight w:val="none"/>
          <w:vertAlign w:val="superscript"/>
        </w:rPr>
        <w:t>2</w:t>
      </w:r>
      <w:r>
        <w:rPr>
          <w:rFonts w:hAnsi="宋体"/>
          <w:bCs/>
          <w:snapToGrid w:val="0"/>
          <w:highlight w:val="none"/>
        </w:rPr>
        <w:t>/d。</w:t>
      </w:r>
    </w:p>
    <w:p>
      <w:pPr>
        <w:pStyle w:val="62"/>
        <w:ind w:firstLine="480"/>
        <w:rPr>
          <w:highlight w:val="none"/>
        </w:rPr>
      </w:pPr>
      <w:r>
        <w:rPr>
          <w:rFonts w:hint="eastAsia"/>
          <w:highlight w:val="none"/>
        </w:rPr>
        <w:t>（</w:t>
      </w:r>
      <w:r>
        <w:rPr>
          <w:highlight w:val="none"/>
        </w:rPr>
        <w:t>2</w:t>
      </w:r>
      <w:r>
        <w:rPr>
          <w:rFonts w:hint="eastAsia"/>
          <w:highlight w:val="none"/>
        </w:rPr>
        <w:t>）源强设定</w:t>
      </w:r>
    </w:p>
    <w:p>
      <w:pPr>
        <w:pStyle w:val="62"/>
        <w:ind w:firstLine="480"/>
        <w:rPr>
          <w:bCs/>
          <w:snapToGrid w:val="0"/>
          <w:highlight w:val="none"/>
        </w:rPr>
      </w:pPr>
      <w:r>
        <w:rPr>
          <w:rFonts w:hint="eastAsia"/>
          <w:bCs/>
          <w:snapToGrid w:val="0"/>
          <w:highlight w:val="none"/>
        </w:rPr>
        <w:t>本次模拟根据项目对地下水的影响途径来设定主要污染源的分布位置，选定优先控制污染物，预测在非正常状况下污染物在地下水中迁移过程，进一步分析污染物影响范围、超标范围和迁出厂区后浓度变化。其中生活污水特征污染物选取氨氮，浓度2</w:t>
      </w:r>
      <w:r>
        <w:rPr>
          <w:bCs/>
          <w:snapToGrid w:val="0"/>
          <w:highlight w:val="none"/>
        </w:rPr>
        <w:t>0</w:t>
      </w:r>
      <w:r>
        <w:rPr>
          <w:rFonts w:hint="eastAsia"/>
          <w:bCs/>
          <w:snapToGrid w:val="0"/>
          <w:highlight w:val="none"/>
        </w:rPr>
        <w:t>mg/L，</w:t>
      </w:r>
      <w:r>
        <w:rPr>
          <w:rFonts w:hint="eastAsia"/>
          <w:kern w:val="0"/>
          <w:highlight w:val="none"/>
        </w:rPr>
        <w:t>尾矿淋溶水特征污染物根据淋溶实验数据选取硒，浓度0</w:t>
      </w:r>
      <w:r>
        <w:rPr>
          <w:kern w:val="0"/>
          <w:highlight w:val="none"/>
        </w:rPr>
        <w:t>.0103</w:t>
      </w:r>
      <w:r>
        <w:rPr>
          <w:rFonts w:hint="eastAsia"/>
          <w:bCs/>
          <w:snapToGrid w:val="0"/>
          <w:highlight w:val="none"/>
        </w:rPr>
        <w:t xml:space="preserve"> mg/L。</w:t>
      </w:r>
    </w:p>
    <w:p>
      <w:pPr>
        <w:pStyle w:val="65"/>
        <w:rPr>
          <w:highlight w:val="none"/>
        </w:rPr>
      </w:pPr>
      <w:r>
        <w:rPr>
          <w:rFonts w:hint="eastAsia"/>
          <w:highlight w:val="none"/>
        </w:rPr>
        <w:t>表5.3-6  尾矿淋溶水实验结果</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78"/>
        <w:gridCol w:w="1069"/>
        <w:gridCol w:w="1674"/>
        <w:gridCol w:w="1677"/>
        <w:gridCol w:w="1677"/>
        <w:gridCol w:w="167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25" w:hRule="atLeast"/>
          <w:tblHeader/>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项目</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单位</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尾矿</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废石</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地下水III类水质标准值</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最大Pi</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pH</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无量纲</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8.63</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8.43</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6.5-8.5</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1.10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铜</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硒</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.0097</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.0103</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1</w:t>
            </w:r>
            <w:r>
              <w:rPr>
                <w:rFonts w:ascii="宋体" w:hAnsi="宋体"/>
                <w:kern w:val="0"/>
                <w:sz w:val="21"/>
                <w:highlight w:val="none"/>
              </w:rPr>
              <w:t>.03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六价铬</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.05</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总银</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.05</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锌</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镉</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0.005</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铅</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总铬</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0.00043</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0.00044</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0.05</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铍</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0.002</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钡</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0.0693</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0.0424</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0.7</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镍</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0.00030</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0.00029</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0.02</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汞</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0.001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砷</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氟化物</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0.065</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0.186</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1</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.19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78"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氰化物</w:t>
            </w:r>
          </w:p>
        </w:tc>
        <w:tc>
          <w:tcPr>
            <w:tcW w:w="1069"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mg/L</w:t>
            </w:r>
          </w:p>
        </w:tc>
        <w:tc>
          <w:tcPr>
            <w:tcW w:w="1674"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ND</w:t>
            </w:r>
          </w:p>
        </w:tc>
        <w:tc>
          <w:tcPr>
            <w:tcW w:w="1677"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ascii="宋体" w:hAnsi="宋体"/>
                <w:kern w:val="0"/>
                <w:sz w:val="21"/>
                <w:highlight w:val="none"/>
              </w:rPr>
              <w:t>0.05</w:t>
            </w:r>
          </w:p>
        </w:tc>
        <w:tc>
          <w:tcPr>
            <w:tcW w:w="1675" w:type="dxa"/>
            <w:shd w:val="clear" w:color="auto" w:fill="auto"/>
            <w:vAlign w:val="center"/>
          </w:tcPr>
          <w:p>
            <w:pPr>
              <w:snapToGrid w:val="0"/>
              <w:spacing w:line="240" w:lineRule="auto"/>
              <w:ind w:firstLine="0" w:firstLineChars="0"/>
              <w:jc w:val="center"/>
              <w:rPr>
                <w:rFonts w:ascii="宋体" w:hAnsi="宋体"/>
                <w:kern w:val="0"/>
                <w:sz w:val="21"/>
                <w:highlight w:val="none"/>
              </w:rPr>
            </w:pPr>
            <w:r>
              <w:rPr>
                <w:rFonts w:hint="eastAsia" w:ascii="宋体" w:hAnsi="宋体"/>
                <w:kern w:val="0"/>
                <w:sz w:val="21"/>
                <w:highlight w:val="none"/>
              </w:rPr>
              <w:t>0</w:t>
            </w:r>
            <w:r>
              <w:rPr>
                <w:rFonts w:ascii="宋体" w:hAnsi="宋体"/>
                <w:kern w:val="0"/>
                <w:sz w:val="21"/>
                <w:highlight w:val="none"/>
              </w:rPr>
              <w:t>.00</w:t>
            </w:r>
          </w:p>
        </w:tc>
      </w:tr>
    </w:tbl>
    <w:p>
      <w:pPr>
        <w:pStyle w:val="62"/>
        <w:ind w:firstLine="480"/>
        <w:rPr>
          <w:highlight w:val="none"/>
        </w:rPr>
      </w:pPr>
      <w:r>
        <w:rPr>
          <w:rFonts w:hint="eastAsia"/>
          <w:highlight w:val="none"/>
        </w:rPr>
        <w:t>（</w:t>
      </w:r>
      <w:r>
        <w:rPr>
          <w:highlight w:val="none"/>
        </w:rPr>
        <w:t>3</w:t>
      </w:r>
      <w:r>
        <w:rPr>
          <w:rFonts w:hint="eastAsia"/>
          <w:highlight w:val="none"/>
        </w:rPr>
        <w:t>）地下水污染预测结果</w:t>
      </w:r>
    </w:p>
    <w:p>
      <w:pPr>
        <w:pStyle w:val="62"/>
        <w:ind w:firstLine="480"/>
        <w:rPr>
          <w:highlight w:val="none"/>
        </w:rPr>
      </w:pPr>
      <w:bookmarkStart w:id="295" w:name="_Hlk16890012"/>
      <w:r>
        <w:rPr>
          <w:rFonts w:hint="eastAsia"/>
          <w:highlight w:val="none"/>
        </w:rPr>
        <w:t>底部渗漏地下水污染模拟</w:t>
      </w:r>
      <w:r>
        <w:rPr>
          <w:highlight w:val="none"/>
        </w:rPr>
        <w:t>100</w:t>
      </w:r>
      <w:r>
        <w:rPr>
          <w:rFonts w:hint="eastAsia"/>
          <w:highlight w:val="none"/>
        </w:rPr>
        <w:t>天、</w:t>
      </w:r>
      <w:r>
        <w:rPr>
          <w:highlight w:val="none"/>
        </w:rPr>
        <w:t>1000</w:t>
      </w:r>
      <w:r>
        <w:rPr>
          <w:rFonts w:hint="eastAsia"/>
          <w:highlight w:val="none"/>
        </w:rPr>
        <w:t>天、365</w:t>
      </w:r>
      <w:r>
        <w:rPr>
          <w:highlight w:val="none"/>
        </w:rPr>
        <w:t>0</w:t>
      </w:r>
      <w:r>
        <w:rPr>
          <w:rFonts w:hint="eastAsia"/>
          <w:highlight w:val="none"/>
        </w:rPr>
        <w:t>天预测结果见图4-4~4-</w:t>
      </w:r>
      <w:r>
        <w:rPr>
          <w:highlight w:val="none"/>
        </w:rPr>
        <w:t>9</w:t>
      </w:r>
      <w:r>
        <w:rPr>
          <w:rFonts w:hint="eastAsia"/>
          <w:highlight w:val="none"/>
        </w:rPr>
        <w:t>、表4-4、表4</w:t>
      </w:r>
      <w:r>
        <w:rPr>
          <w:highlight w:val="none"/>
        </w:rPr>
        <w:t>-5</w:t>
      </w:r>
      <w:r>
        <w:rPr>
          <w:rFonts w:hint="eastAsia"/>
          <w:highlight w:val="none"/>
        </w:rPr>
        <w:t>所示。结果显示：</w:t>
      </w:r>
    </w:p>
    <w:p>
      <w:pPr>
        <w:pStyle w:val="62"/>
        <w:ind w:firstLine="480"/>
        <w:rPr>
          <w:highlight w:val="none"/>
        </w:rPr>
      </w:pPr>
      <w:r>
        <w:rPr>
          <w:rFonts w:hint="eastAsia"/>
          <w:highlight w:val="none"/>
        </w:rPr>
        <w:t>污染物氨氮在含水层中</w:t>
      </w:r>
      <w:r>
        <w:rPr>
          <w:highlight w:val="none"/>
        </w:rPr>
        <w:t>100</w:t>
      </w:r>
      <w:r>
        <w:rPr>
          <w:rFonts w:hint="eastAsia"/>
          <w:highlight w:val="none"/>
        </w:rPr>
        <w:t>天的最大运移距离</w:t>
      </w:r>
      <w:r>
        <w:rPr>
          <w:highlight w:val="none"/>
        </w:rPr>
        <w:t>70m</w:t>
      </w:r>
      <w:r>
        <w:rPr>
          <w:rFonts w:hint="eastAsia"/>
          <w:highlight w:val="none"/>
        </w:rPr>
        <w:t>，运移范围5</w:t>
      </w:r>
      <w:r>
        <w:rPr>
          <w:highlight w:val="none"/>
        </w:rPr>
        <w:t>003m</w:t>
      </w:r>
      <w:r>
        <w:rPr>
          <w:highlight w:val="none"/>
          <w:vertAlign w:val="superscript"/>
        </w:rPr>
        <w:t>2</w:t>
      </w:r>
      <w:r>
        <w:rPr>
          <w:rFonts w:hint="eastAsia"/>
          <w:highlight w:val="none"/>
        </w:rPr>
        <w:t>，最大超标距离</w:t>
      </w:r>
      <w:r>
        <w:rPr>
          <w:highlight w:val="none"/>
        </w:rPr>
        <w:t>33m</w:t>
      </w:r>
      <w:r>
        <w:rPr>
          <w:rFonts w:hint="eastAsia"/>
          <w:highlight w:val="none"/>
        </w:rPr>
        <w:t>，最大超标范围</w:t>
      </w:r>
      <w:r>
        <w:rPr>
          <w:highlight w:val="none"/>
        </w:rPr>
        <w:t>1687m</w:t>
      </w:r>
      <w:r>
        <w:rPr>
          <w:highlight w:val="none"/>
          <w:vertAlign w:val="superscript"/>
        </w:rPr>
        <w:t>2</w:t>
      </w:r>
      <w:r>
        <w:rPr>
          <w:rFonts w:hint="eastAsia"/>
          <w:highlight w:val="none"/>
        </w:rPr>
        <w:t>；</w:t>
      </w:r>
      <w:r>
        <w:rPr>
          <w:highlight w:val="none"/>
        </w:rPr>
        <w:t>1000</w:t>
      </w:r>
      <w:r>
        <w:rPr>
          <w:rFonts w:hint="eastAsia"/>
          <w:highlight w:val="none"/>
        </w:rPr>
        <w:t>天的最大运移距离</w:t>
      </w:r>
      <w:r>
        <w:rPr>
          <w:highlight w:val="none"/>
        </w:rPr>
        <w:t>178m</w:t>
      </w:r>
      <w:r>
        <w:rPr>
          <w:rFonts w:hint="eastAsia"/>
          <w:highlight w:val="none"/>
        </w:rPr>
        <w:t>，运移范围2</w:t>
      </w:r>
      <w:r>
        <w:rPr>
          <w:highlight w:val="none"/>
        </w:rPr>
        <w:t>3002m</w:t>
      </w:r>
      <w:r>
        <w:rPr>
          <w:highlight w:val="none"/>
          <w:vertAlign w:val="superscript"/>
        </w:rPr>
        <w:t>2</w:t>
      </w:r>
      <w:r>
        <w:rPr>
          <w:rFonts w:hint="eastAsia"/>
          <w:highlight w:val="none"/>
        </w:rPr>
        <w:t>，最大超标距离</w:t>
      </w:r>
      <w:r>
        <w:rPr>
          <w:highlight w:val="none"/>
        </w:rPr>
        <w:t>80m</w:t>
      </w:r>
      <w:r>
        <w:rPr>
          <w:rFonts w:hint="eastAsia"/>
          <w:highlight w:val="none"/>
        </w:rPr>
        <w:t>，最大超标范围</w:t>
      </w:r>
      <w:r>
        <w:rPr>
          <w:highlight w:val="none"/>
        </w:rPr>
        <w:t>6231m</w:t>
      </w:r>
      <w:r>
        <w:rPr>
          <w:highlight w:val="none"/>
          <w:vertAlign w:val="superscript"/>
        </w:rPr>
        <w:t>2</w:t>
      </w:r>
      <w:r>
        <w:rPr>
          <w:rFonts w:hint="eastAsia"/>
          <w:highlight w:val="none"/>
        </w:rPr>
        <w:t>；365</w:t>
      </w:r>
      <w:r>
        <w:rPr>
          <w:highlight w:val="none"/>
        </w:rPr>
        <w:t>0</w:t>
      </w:r>
      <w:r>
        <w:rPr>
          <w:rFonts w:hint="eastAsia"/>
          <w:highlight w:val="none"/>
        </w:rPr>
        <w:t>天的最大运移距离</w:t>
      </w:r>
      <w:r>
        <w:rPr>
          <w:highlight w:val="none"/>
        </w:rPr>
        <w:t>370m</w:t>
      </w:r>
      <w:r>
        <w:rPr>
          <w:rFonts w:hint="eastAsia"/>
          <w:highlight w:val="none"/>
        </w:rPr>
        <w:t>，运移范围</w:t>
      </w:r>
      <w:r>
        <w:rPr>
          <w:highlight w:val="none"/>
        </w:rPr>
        <w:t>46543m</w:t>
      </w:r>
      <w:r>
        <w:rPr>
          <w:highlight w:val="none"/>
          <w:vertAlign w:val="superscript"/>
        </w:rPr>
        <w:t>2</w:t>
      </w:r>
      <w:r>
        <w:rPr>
          <w:rFonts w:hint="eastAsia"/>
          <w:highlight w:val="none"/>
        </w:rPr>
        <w:t>，最大超标距离1</w:t>
      </w:r>
      <w:r>
        <w:rPr>
          <w:highlight w:val="none"/>
        </w:rPr>
        <w:t>61m</w:t>
      </w:r>
      <w:r>
        <w:rPr>
          <w:rFonts w:hint="eastAsia"/>
          <w:highlight w:val="none"/>
        </w:rPr>
        <w:t>，最大超标范围</w:t>
      </w:r>
      <w:r>
        <w:rPr>
          <w:highlight w:val="none"/>
        </w:rPr>
        <w:t>13578m</w:t>
      </w:r>
      <w:r>
        <w:rPr>
          <w:highlight w:val="none"/>
          <w:vertAlign w:val="superscript"/>
        </w:rPr>
        <w:t>2</w:t>
      </w:r>
      <w:r>
        <w:rPr>
          <w:rFonts w:hint="eastAsia"/>
          <w:highlight w:val="none"/>
        </w:rPr>
        <w:t>。</w:t>
      </w:r>
    </w:p>
    <w:p>
      <w:pPr>
        <w:pStyle w:val="65"/>
        <w:rPr>
          <w:highlight w:val="none"/>
        </w:rPr>
      </w:pPr>
      <w:r>
        <w:rPr>
          <w:rFonts w:hint="eastAsia"/>
          <w:highlight w:val="none"/>
        </w:rPr>
        <w:t>表5.3-7    生活污水氨氮运移范围统计表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04"/>
        <w:gridCol w:w="1817"/>
        <w:gridCol w:w="1817"/>
        <w:gridCol w:w="1906"/>
        <w:gridCol w:w="190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04" w:type="dxa"/>
            <w:vAlign w:val="center"/>
          </w:tcPr>
          <w:p>
            <w:pPr>
              <w:snapToGrid w:val="0"/>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时间</w:t>
            </w:r>
          </w:p>
        </w:tc>
        <w:tc>
          <w:tcPr>
            <w:tcW w:w="1817" w:type="dxa"/>
            <w:vAlign w:val="center"/>
          </w:tcPr>
          <w:p>
            <w:pPr>
              <w:snapToGrid w:val="0"/>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影响距离</w:t>
            </w:r>
            <w:r>
              <w:rPr>
                <w:rFonts w:ascii="宋体" w:hAnsi="宋体"/>
                <w:color w:val="000000"/>
                <w:sz w:val="21"/>
                <w:szCs w:val="21"/>
                <w:highlight w:val="none"/>
              </w:rPr>
              <w:t>(m)</w:t>
            </w:r>
          </w:p>
        </w:tc>
        <w:tc>
          <w:tcPr>
            <w:tcW w:w="1817" w:type="dxa"/>
            <w:vAlign w:val="center"/>
          </w:tcPr>
          <w:p>
            <w:pPr>
              <w:snapToGrid w:val="0"/>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超标距离</w:t>
            </w:r>
            <w:r>
              <w:rPr>
                <w:rFonts w:ascii="宋体" w:hAnsi="宋体"/>
                <w:color w:val="000000"/>
                <w:sz w:val="21"/>
                <w:szCs w:val="21"/>
                <w:highlight w:val="none"/>
              </w:rPr>
              <w:t>(m)</w:t>
            </w:r>
          </w:p>
        </w:tc>
        <w:tc>
          <w:tcPr>
            <w:tcW w:w="1906" w:type="dxa"/>
            <w:vAlign w:val="center"/>
          </w:tcPr>
          <w:p>
            <w:pPr>
              <w:snapToGrid w:val="0"/>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影响面积</w:t>
            </w:r>
            <w:r>
              <w:rPr>
                <w:rFonts w:ascii="宋体" w:hAnsi="宋体"/>
                <w:color w:val="000000"/>
                <w:sz w:val="21"/>
                <w:szCs w:val="21"/>
                <w:highlight w:val="none"/>
              </w:rPr>
              <w:t>(m</w:t>
            </w:r>
            <w:r>
              <w:rPr>
                <w:rFonts w:ascii="宋体" w:hAnsi="宋体"/>
                <w:color w:val="000000"/>
                <w:sz w:val="21"/>
                <w:szCs w:val="21"/>
                <w:highlight w:val="none"/>
                <w:vertAlign w:val="superscript"/>
              </w:rPr>
              <w:t>2</w:t>
            </w:r>
            <w:r>
              <w:rPr>
                <w:rFonts w:ascii="宋体" w:hAnsi="宋体"/>
                <w:color w:val="000000"/>
                <w:sz w:val="21"/>
                <w:szCs w:val="21"/>
                <w:highlight w:val="none"/>
              </w:rPr>
              <w:t>)</w:t>
            </w:r>
          </w:p>
        </w:tc>
        <w:tc>
          <w:tcPr>
            <w:tcW w:w="1906" w:type="dxa"/>
            <w:vAlign w:val="center"/>
          </w:tcPr>
          <w:p>
            <w:pPr>
              <w:snapToGrid w:val="0"/>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超标面积</w:t>
            </w:r>
            <w:r>
              <w:rPr>
                <w:rFonts w:ascii="宋体" w:hAnsi="宋体"/>
                <w:color w:val="000000"/>
                <w:sz w:val="21"/>
                <w:szCs w:val="21"/>
                <w:highlight w:val="none"/>
              </w:rPr>
              <w:t>(m</w:t>
            </w:r>
            <w:r>
              <w:rPr>
                <w:rFonts w:ascii="宋体" w:hAnsi="宋体"/>
                <w:color w:val="000000"/>
                <w:sz w:val="21"/>
                <w:szCs w:val="21"/>
                <w:highlight w:val="none"/>
                <w:vertAlign w:val="superscript"/>
              </w:rPr>
              <w:t>2</w:t>
            </w:r>
            <w:r>
              <w:rPr>
                <w:rFonts w:ascii="宋体" w:hAnsi="宋体"/>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04" w:type="dxa"/>
            <w:vAlign w:val="center"/>
          </w:tcPr>
          <w:p>
            <w:pPr>
              <w:snapToGrid w:val="0"/>
              <w:spacing w:line="240" w:lineRule="auto"/>
              <w:ind w:firstLine="0" w:firstLineChars="0"/>
              <w:jc w:val="center"/>
              <w:rPr>
                <w:rFonts w:ascii="宋体" w:hAnsi="宋体"/>
                <w:color w:val="000000"/>
                <w:sz w:val="21"/>
                <w:szCs w:val="21"/>
                <w:highlight w:val="none"/>
              </w:rPr>
            </w:pPr>
            <w:r>
              <w:rPr>
                <w:rFonts w:ascii="宋体" w:hAnsi="宋体"/>
                <w:color w:val="000000"/>
                <w:sz w:val="21"/>
                <w:szCs w:val="21"/>
                <w:highlight w:val="none"/>
              </w:rPr>
              <w:t>100</w:t>
            </w:r>
            <w:r>
              <w:rPr>
                <w:rFonts w:hint="eastAsia" w:ascii="宋体" w:hAnsi="宋体"/>
                <w:color w:val="000000"/>
                <w:sz w:val="21"/>
                <w:szCs w:val="21"/>
                <w:highlight w:val="none"/>
              </w:rPr>
              <w:t>天</w:t>
            </w:r>
          </w:p>
        </w:tc>
        <w:tc>
          <w:tcPr>
            <w:tcW w:w="1817" w:type="dxa"/>
            <w:vAlign w:val="center"/>
          </w:tcPr>
          <w:p>
            <w:pPr>
              <w:widowControl/>
              <w:spacing w:line="240" w:lineRule="auto"/>
              <w:ind w:firstLine="0" w:firstLineChars="0"/>
              <w:jc w:val="center"/>
              <w:rPr>
                <w:rFonts w:ascii="宋体" w:hAnsi="宋体"/>
                <w:color w:val="000000"/>
                <w:kern w:val="0"/>
                <w:sz w:val="21"/>
                <w:szCs w:val="21"/>
                <w:highlight w:val="none"/>
              </w:rPr>
            </w:pPr>
            <w:r>
              <w:rPr>
                <w:rFonts w:ascii="宋体" w:hAnsi="宋体"/>
                <w:color w:val="000000"/>
                <w:sz w:val="21"/>
                <w:szCs w:val="21"/>
                <w:highlight w:val="none"/>
              </w:rPr>
              <w:t>70</w:t>
            </w:r>
          </w:p>
        </w:tc>
        <w:tc>
          <w:tcPr>
            <w:tcW w:w="1817" w:type="dxa"/>
            <w:vAlign w:val="center"/>
          </w:tcPr>
          <w:p>
            <w:pPr>
              <w:spacing w:line="240" w:lineRule="auto"/>
              <w:ind w:firstLine="0" w:firstLineChars="0"/>
              <w:jc w:val="center"/>
              <w:rPr>
                <w:rFonts w:ascii="宋体" w:hAnsi="宋体"/>
                <w:color w:val="000000"/>
                <w:sz w:val="21"/>
                <w:szCs w:val="21"/>
                <w:highlight w:val="none"/>
              </w:rPr>
            </w:pPr>
            <w:r>
              <w:rPr>
                <w:rFonts w:ascii="宋体" w:hAnsi="宋体"/>
                <w:color w:val="000000"/>
                <w:sz w:val="21"/>
                <w:szCs w:val="21"/>
                <w:highlight w:val="none"/>
              </w:rPr>
              <w:t>33</w:t>
            </w:r>
          </w:p>
        </w:tc>
        <w:tc>
          <w:tcPr>
            <w:tcW w:w="1906"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5</w:t>
            </w:r>
            <w:r>
              <w:rPr>
                <w:rFonts w:ascii="宋体" w:hAnsi="宋体"/>
                <w:color w:val="000000"/>
                <w:sz w:val="21"/>
                <w:szCs w:val="21"/>
                <w:highlight w:val="none"/>
              </w:rPr>
              <w:t>003</w:t>
            </w:r>
          </w:p>
        </w:tc>
        <w:tc>
          <w:tcPr>
            <w:tcW w:w="1906"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687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04" w:type="dxa"/>
            <w:vAlign w:val="center"/>
          </w:tcPr>
          <w:p>
            <w:pPr>
              <w:snapToGrid w:val="0"/>
              <w:spacing w:line="240" w:lineRule="auto"/>
              <w:ind w:firstLine="0" w:firstLineChars="0"/>
              <w:jc w:val="center"/>
              <w:rPr>
                <w:rFonts w:ascii="宋体" w:hAnsi="宋体"/>
                <w:color w:val="000000"/>
                <w:sz w:val="21"/>
                <w:szCs w:val="21"/>
                <w:highlight w:val="none"/>
              </w:rPr>
            </w:pPr>
            <w:r>
              <w:rPr>
                <w:rFonts w:ascii="宋体" w:hAnsi="宋体"/>
                <w:color w:val="000000"/>
                <w:sz w:val="21"/>
                <w:szCs w:val="21"/>
                <w:highlight w:val="none"/>
              </w:rPr>
              <w:t>1000</w:t>
            </w:r>
            <w:r>
              <w:rPr>
                <w:rFonts w:hint="eastAsia" w:ascii="宋体" w:hAnsi="宋体"/>
                <w:color w:val="000000"/>
                <w:sz w:val="21"/>
                <w:szCs w:val="21"/>
                <w:highlight w:val="none"/>
              </w:rPr>
              <w:t>天</w:t>
            </w:r>
          </w:p>
        </w:tc>
        <w:tc>
          <w:tcPr>
            <w:tcW w:w="1817"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78</w:t>
            </w:r>
          </w:p>
        </w:tc>
        <w:tc>
          <w:tcPr>
            <w:tcW w:w="1817" w:type="dxa"/>
            <w:vAlign w:val="center"/>
          </w:tcPr>
          <w:p>
            <w:pPr>
              <w:spacing w:line="240" w:lineRule="auto"/>
              <w:ind w:firstLine="0" w:firstLineChars="0"/>
              <w:jc w:val="center"/>
              <w:rPr>
                <w:rFonts w:ascii="宋体" w:hAnsi="宋体"/>
                <w:color w:val="000000"/>
                <w:sz w:val="21"/>
                <w:szCs w:val="21"/>
                <w:highlight w:val="none"/>
              </w:rPr>
            </w:pPr>
            <w:r>
              <w:rPr>
                <w:rFonts w:ascii="宋体" w:hAnsi="宋体"/>
                <w:color w:val="000000"/>
                <w:sz w:val="21"/>
                <w:szCs w:val="21"/>
                <w:highlight w:val="none"/>
              </w:rPr>
              <w:t>80</w:t>
            </w:r>
          </w:p>
        </w:tc>
        <w:tc>
          <w:tcPr>
            <w:tcW w:w="1906"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23</w:t>
            </w:r>
            <w:r>
              <w:rPr>
                <w:rFonts w:ascii="宋体" w:hAnsi="宋体"/>
                <w:color w:val="000000"/>
                <w:sz w:val="21"/>
                <w:szCs w:val="21"/>
                <w:highlight w:val="none"/>
              </w:rPr>
              <w:t>002</w:t>
            </w:r>
          </w:p>
        </w:tc>
        <w:tc>
          <w:tcPr>
            <w:tcW w:w="1906"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6</w:t>
            </w:r>
            <w:r>
              <w:rPr>
                <w:rFonts w:ascii="宋体" w:hAnsi="宋体"/>
                <w:color w:val="000000"/>
                <w:sz w:val="21"/>
                <w:szCs w:val="21"/>
                <w:highlight w:val="none"/>
              </w:rPr>
              <w:t>231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504" w:type="dxa"/>
            <w:vAlign w:val="center"/>
          </w:tcPr>
          <w:p>
            <w:pPr>
              <w:snapToGrid w:val="0"/>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3650天</w:t>
            </w:r>
          </w:p>
        </w:tc>
        <w:tc>
          <w:tcPr>
            <w:tcW w:w="1817"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3</w:t>
            </w:r>
            <w:r>
              <w:rPr>
                <w:rFonts w:ascii="宋体" w:hAnsi="宋体"/>
                <w:color w:val="000000"/>
                <w:sz w:val="21"/>
                <w:szCs w:val="21"/>
                <w:highlight w:val="none"/>
              </w:rPr>
              <w:t>70</w:t>
            </w:r>
          </w:p>
        </w:tc>
        <w:tc>
          <w:tcPr>
            <w:tcW w:w="1817"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61</w:t>
            </w:r>
          </w:p>
        </w:tc>
        <w:tc>
          <w:tcPr>
            <w:tcW w:w="1906"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4</w:t>
            </w:r>
            <w:r>
              <w:rPr>
                <w:rFonts w:ascii="宋体" w:hAnsi="宋体"/>
                <w:color w:val="000000"/>
                <w:sz w:val="21"/>
                <w:szCs w:val="21"/>
                <w:highlight w:val="none"/>
              </w:rPr>
              <w:t>6543</w:t>
            </w:r>
          </w:p>
        </w:tc>
        <w:tc>
          <w:tcPr>
            <w:tcW w:w="1906" w:type="dxa"/>
            <w:vAlign w:val="center"/>
          </w:tcPr>
          <w:p>
            <w:pPr>
              <w:spacing w:line="240" w:lineRule="auto"/>
              <w:ind w:firstLine="0" w:firstLineChars="0"/>
              <w:jc w:val="center"/>
              <w:rPr>
                <w:rFonts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3578</w:t>
            </w:r>
          </w:p>
        </w:tc>
      </w:tr>
    </w:tbl>
    <w:p>
      <w:pPr>
        <w:pStyle w:val="62"/>
        <w:ind w:firstLine="480"/>
        <w:rPr>
          <w:highlight w:val="none"/>
        </w:rPr>
      </w:pPr>
      <w:r>
        <w:rPr>
          <w:rFonts w:hint="eastAsia"/>
          <w:highlight w:val="none"/>
        </w:rPr>
        <w:t>污染物硒在含水层中</w:t>
      </w:r>
      <w:r>
        <w:rPr>
          <w:highlight w:val="none"/>
        </w:rPr>
        <w:t>100</w:t>
      </w:r>
      <w:r>
        <w:rPr>
          <w:rFonts w:hint="eastAsia"/>
          <w:highlight w:val="none"/>
        </w:rPr>
        <w:t>天的最大运移距离</w:t>
      </w:r>
      <w:r>
        <w:rPr>
          <w:highlight w:val="none"/>
        </w:rPr>
        <w:t>45m</w:t>
      </w:r>
      <w:r>
        <w:rPr>
          <w:rFonts w:hint="eastAsia"/>
          <w:highlight w:val="none"/>
        </w:rPr>
        <w:t>，运移范围</w:t>
      </w:r>
      <w:r>
        <w:rPr>
          <w:highlight w:val="none"/>
        </w:rPr>
        <w:t>49211m</w:t>
      </w:r>
      <w:r>
        <w:rPr>
          <w:highlight w:val="none"/>
          <w:vertAlign w:val="superscript"/>
        </w:rPr>
        <w:t>2</w:t>
      </w:r>
      <w:r>
        <w:rPr>
          <w:rFonts w:hint="eastAsia"/>
          <w:highlight w:val="none"/>
        </w:rPr>
        <w:t>，最大超标距离</w:t>
      </w:r>
      <w:r>
        <w:rPr>
          <w:highlight w:val="none"/>
        </w:rPr>
        <w:t>28m</w:t>
      </w:r>
      <w:r>
        <w:rPr>
          <w:rFonts w:hint="eastAsia"/>
          <w:highlight w:val="none"/>
        </w:rPr>
        <w:t>，最大超标范围1</w:t>
      </w:r>
      <w:r>
        <w:rPr>
          <w:highlight w:val="none"/>
        </w:rPr>
        <w:t>424m</w:t>
      </w:r>
      <w:r>
        <w:rPr>
          <w:highlight w:val="none"/>
          <w:vertAlign w:val="superscript"/>
        </w:rPr>
        <w:t>2</w:t>
      </w:r>
      <w:r>
        <w:rPr>
          <w:rFonts w:hint="eastAsia"/>
          <w:highlight w:val="none"/>
        </w:rPr>
        <w:t>；</w:t>
      </w:r>
      <w:r>
        <w:rPr>
          <w:highlight w:val="none"/>
        </w:rPr>
        <w:t>1000</w:t>
      </w:r>
      <w:r>
        <w:rPr>
          <w:rFonts w:hint="eastAsia"/>
          <w:highlight w:val="none"/>
        </w:rPr>
        <w:t>天的最大运移距离1</w:t>
      </w:r>
      <w:r>
        <w:rPr>
          <w:highlight w:val="none"/>
        </w:rPr>
        <w:t>64m</w:t>
      </w:r>
      <w:r>
        <w:rPr>
          <w:rFonts w:hint="eastAsia"/>
          <w:highlight w:val="none"/>
        </w:rPr>
        <w:t>，运移范围2</w:t>
      </w:r>
      <w:r>
        <w:rPr>
          <w:highlight w:val="none"/>
        </w:rPr>
        <w:t>1524m</w:t>
      </w:r>
      <w:r>
        <w:rPr>
          <w:highlight w:val="none"/>
          <w:vertAlign w:val="superscript"/>
        </w:rPr>
        <w:t>2</w:t>
      </w:r>
      <w:r>
        <w:rPr>
          <w:rFonts w:hint="eastAsia"/>
          <w:highlight w:val="none"/>
        </w:rPr>
        <w:t>，最大超标距离</w:t>
      </w:r>
      <w:r>
        <w:rPr>
          <w:highlight w:val="none"/>
        </w:rPr>
        <w:t>76m</w:t>
      </w:r>
      <w:r>
        <w:rPr>
          <w:rFonts w:hint="eastAsia"/>
          <w:highlight w:val="none"/>
        </w:rPr>
        <w:t>，最大超标范围</w:t>
      </w:r>
      <w:r>
        <w:rPr>
          <w:highlight w:val="none"/>
        </w:rPr>
        <w:t>2789m</w:t>
      </w:r>
      <w:r>
        <w:rPr>
          <w:highlight w:val="none"/>
          <w:vertAlign w:val="superscript"/>
        </w:rPr>
        <w:t>2</w:t>
      </w:r>
      <w:r>
        <w:rPr>
          <w:rFonts w:hint="eastAsia"/>
          <w:highlight w:val="none"/>
        </w:rPr>
        <w:t>；365</w:t>
      </w:r>
      <w:r>
        <w:rPr>
          <w:highlight w:val="none"/>
        </w:rPr>
        <w:t>0</w:t>
      </w:r>
      <w:r>
        <w:rPr>
          <w:rFonts w:hint="eastAsia"/>
          <w:highlight w:val="none"/>
        </w:rPr>
        <w:t>天的最大运移距离</w:t>
      </w:r>
      <w:r>
        <w:rPr>
          <w:highlight w:val="none"/>
        </w:rPr>
        <w:t>341m</w:t>
      </w:r>
      <w:r>
        <w:rPr>
          <w:rFonts w:hint="eastAsia"/>
          <w:highlight w:val="none"/>
        </w:rPr>
        <w:t>，运移范围4</w:t>
      </w:r>
      <w:r>
        <w:rPr>
          <w:highlight w:val="none"/>
        </w:rPr>
        <w:t>4235m</w:t>
      </w:r>
      <w:r>
        <w:rPr>
          <w:highlight w:val="none"/>
          <w:vertAlign w:val="superscript"/>
        </w:rPr>
        <w:t>2</w:t>
      </w:r>
      <w:r>
        <w:rPr>
          <w:rFonts w:hint="eastAsia"/>
          <w:highlight w:val="none"/>
        </w:rPr>
        <w:t>，最大超标距离</w:t>
      </w:r>
      <w:r>
        <w:rPr>
          <w:highlight w:val="none"/>
        </w:rPr>
        <w:t>152m</w:t>
      </w:r>
      <w:r>
        <w:rPr>
          <w:rFonts w:hint="eastAsia"/>
          <w:highlight w:val="none"/>
        </w:rPr>
        <w:t>，最大超标范围1</w:t>
      </w:r>
      <w:r>
        <w:rPr>
          <w:highlight w:val="none"/>
        </w:rPr>
        <w:t>2345m</w:t>
      </w:r>
      <w:r>
        <w:rPr>
          <w:highlight w:val="none"/>
          <w:vertAlign w:val="superscript"/>
        </w:rPr>
        <w:t>2</w:t>
      </w:r>
      <w:r>
        <w:rPr>
          <w:rFonts w:hint="eastAsia"/>
          <w:highlight w:val="none"/>
        </w:rPr>
        <w:t>。</w:t>
      </w:r>
      <w:bookmarkStart w:id="296" w:name="_Hlk16888463"/>
    </w:p>
    <w:bookmarkEnd w:id="296"/>
    <w:p>
      <w:pPr>
        <w:pStyle w:val="65"/>
        <w:rPr>
          <w:highlight w:val="none"/>
        </w:rPr>
      </w:pPr>
      <w:r>
        <w:rPr>
          <w:rFonts w:hint="eastAsia"/>
          <w:highlight w:val="none"/>
        </w:rPr>
        <w:t>表5.3-8   尾矿淋溶液硒运移范围统计表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04"/>
        <w:gridCol w:w="1817"/>
        <w:gridCol w:w="1817"/>
        <w:gridCol w:w="1906"/>
        <w:gridCol w:w="190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04" w:type="dxa"/>
            <w:vAlign w:val="center"/>
          </w:tcPr>
          <w:p>
            <w:pPr>
              <w:pStyle w:val="234"/>
              <w:rPr>
                <w:rFonts w:hAnsi="宋体"/>
                <w:highlight w:val="none"/>
              </w:rPr>
            </w:pPr>
            <w:r>
              <w:rPr>
                <w:rFonts w:hint="eastAsia" w:hAnsi="宋体"/>
                <w:highlight w:val="none"/>
              </w:rPr>
              <w:t>时间</w:t>
            </w:r>
          </w:p>
        </w:tc>
        <w:tc>
          <w:tcPr>
            <w:tcW w:w="1817" w:type="dxa"/>
            <w:vAlign w:val="center"/>
          </w:tcPr>
          <w:p>
            <w:pPr>
              <w:pStyle w:val="234"/>
              <w:rPr>
                <w:rFonts w:hAnsi="宋体"/>
                <w:highlight w:val="none"/>
              </w:rPr>
            </w:pPr>
            <w:r>
              <w:rPr>
                <w:rFonts w:hint="eastAsia" w:hAnsi="宋体"/>
                <w:highlight w:val="none"/>
              </w:rPr>
              <w:t>影响距离</w:t>
            </w:r>
            <w:r>
              <w:rPr>
                <w:rFonts w:hAnsi="宋体"/>
                <w:highlight w:val="none"/>
              </w:rPr>
              <w:t>(m)</w:t>
            </w:r>
          </w:p>
        </w:tc>
        <w:tc>
          <w:tcPr>
            <w:tcW w:w="1817" w:type="dxa"/>
            <w:vAlign w:val="center"/>
          </w:tcPr>
          <w:p>
            <w:pPr>
              <w:pStyle w:val="234"/>
              <w:rPr>
                <w:rFonts w:hAnsi="宋体"/>
                <w:highlight w:val="none"/>
              </w:rPr>
            </w:pPr>
            <w:r>
              <w:rPr>
                <w:rFonts w:hint="eastAsia" w:hAnsi="宋体"/>
                <w:highlight w:val="none"/>
              </w:rPr>
              <w:t>超标距离</w:t>
            </w:r>
            <w:r>
              <w:rPr>
                <w:rFonts w:hAnsi="宋体"/>
                <w:highlight w:val="none"/>
              </w:rPr>
              <w:t>(m)</w:t>
            </w:r>
          </w:p>
        </w:tc>
        <w:tc>
          <w:tcPr>
            <w:tcW w:w="1906" w:type="dxa"/>
            <w:vAlign w:val="center"/>
          </w:tcPr>
          <w:p>
            <w:pPr>
              <w:pStyle w:val="234"/>
              <w:rPr>
                <w:rFonts w:hAnsi="宋体"/>
                <w:highlight w:val="none"/>
              </w:rPr>
            </w:pPr>
            <w:r>
              <w:rPr>
                <w:rFonts w:hint="eastAsia" w:hAnsi="宋体"/>
                <w:highlight w:val="none"/>
              </w:rPr>
              <w:t>影响面积</w:t>
            </w:r>
            <w:r>
              <w:rPr>
                <w:rFonts w:hAnsi="宋体"/>
                <w:highlight w:val="none"/>
              </w:rPr>
              <w:t>(m</w:t>
            </w:r>
            <w:r>
              <w:rPr>
                <w:rFonts w:hAnsi="宋体"/>
                <w:highlight w:val="none"/>
                <w:vertAlign w:val="superscript"/>
              </w:rPr>
              <w:t>2</w:t>
            </w:r>
            <w:r>
              <w:rPr>
                <w:rFonts w:hAnsi="宋体"/>
                <w:highlight w:val="none"/>
              </w:rPr>
              <w:t>)</w:t>
            </w:r>
          </w:p>
        </w:tc>
        <w:tc>
          <w:tcPr>
            <w:tcW w:w="1906" w:type="dxa"/>
            <w:vAlign w:val="center"/>
          </w:tcPr>
          <w:p>
            <w:pPr>
              <w:pStyle w:val="234"/>
              <w:rPr>
                <w:rFonts w:hAnsi="宋体"/>
                <w:highlight w:val="none"/>
              </w:rPr>
            </w:pPr>
            <w:r>
              <w:rPr>
                <w:rFonts w:hint="eastAsia" w:hAnsi="宋体"/>
                <w:highlight w:val="none"/>
              </w:rPr>
              <w:t>超标面积</w:t>
            </w:r>
            <w:r>
              <w:rPr>
                <w:rFonts w:hAnsi="宋体"/>
                <w:highlight w:val="none"/>
              </w:rPr>
              <w:t>(m</w:t>
            </w:r>
            <w:r>
              <w:rPr>
                <w:rFonts w:hAnsi="宋体"/>
                <w:highlight w:val="none"/>
                <w:vertAlign w:val="superscript"/>
              </w:rPr>
              <w:t>2</w:t>
            </w: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04" w:type="dxa"/>
            <w:vAlign w:val="center"/>
          </w:tcPr>
          <w:p>
            <w:pPr>
              <w:pStyle w:val="234"/>
              <w:rPr>
                <w:rFonts w:hAnsi="宋体"/>
                <w:highlight w:val="none"/>
              </w:rPr>
            </w:pPr>
            <w:r>
              <w:rPr>
                <w:rFonts w:hAnsi="宋体"/>
                <w:highlight w:val="none"/>
              </w:rPr>
              <w:t>100</w:t>
            </w:r>
            <w:r>
              <w:rPr>
                <w:rFonts w:hint="eastAsia" w:hAnsi="宋体"/>
                <w:highlight w:val="none"/>
              </w:rPr>
              <w:t>天</w:t>
            </w:r>
          </w:p>
        </w:tc>
        <w:tc>
          <w:tcPr>
            <w:tcW w:w="1817" w:type="dxa"/>
            <w:vAlign w:val="center"/>
          </w:tcPr>
          <w:p>
            <w:pPr>
              <w:pStyle w:val="234"/>
              <w:rPr>
                <w:rFonts w:hAnsi="宋体"/>
                <w:highlight w:val="none"/>
              </w:rPr>
            </w:pPr>
            <w:r>
              <w:rPr>
                <w:rFonts w:hAnsi="宋体"/>
                <w:highlight w:val="none"/>
              </w:rPr>
              <w:t>45</w:t>
            </w:r>
          </w:p>
        </w:tc>
        <w:tc>
          <w:tcPr>
            <w:tcW w:w="1817" w:type="dxa"/>
            <w:vAlign w:val="center"/>
          </w:tcPr>
          <w:p>
            <w:pPr>
              <w:pStyle w:val="234"/>
              <w:rPr>
                <w:rFonts w:hAnsi="宋体"/>
                <w:highlight w:val="none"/>
              </w:rPr>
            </w:pPr>
            <w:r>
              <w:rPr>
                <w:rFonts w:hAnsi="宋体"/>
                <w:highlight w:val="none"/>
              </w:rPr>
              <w:t>28</w:t>
            </w:r>
          </w:p>
        </w:tc>
        <w:tc>
          <w:tcPr>
            <w:tcW w:w="1906" w:type="dxa"/>
            <w:vAlign w:val="center"/>
          </w:tcPr>
          <w:p>
            <w:pPr>
              <w:pStyle w:val="234"/>
              <w:rPr>
                <w:rFonts w:hAnsi="宋体"/>
                <w:highlight w:val="none"/>
              </w:rPr>
            </w:pPr>
            <w:r>
              <w:rPr>
                <w:rFonts w:hAnsi="宋体"/>
                <w:highlight w:val="none"/>
              </w:rPr>
              <w:t>4921</w:t>
            </w:r>
          </w:p>
        </w:tc>
        <w:tc>
          <w:tcPr>
            <w:tcW w:w="1906" w:type="dxa"/>
            <w:vAlign w:val="center"/>
          </w:tcPr>
          <w:p>
            <w:pPr>
              <w:pStyle w:val="234"/>
              <w:rPr>
                <w:rFonts w:hAnsi="宋体"/>
                <w:highlight w:val="none"/>
              </w:rPr>
            </w:pPr>
            <w:r>
              <w:rPr>
                <w:rFonts w:hint="eastAsia" w:hAnsi="宋体"/>
                <w:highlight w:val="none"/>
              </w:rPr>
              <w:t>1</w:t>
            </w:r>
            <w:r>
              <w:rPr>
                <w:rFonts w:hAnsi="宋体"/>
                <w:highlight w:val="none"/>
              </w:rPr>
              <w:t>424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04" w:type="dxa"/>
            <w:vAlign w:val="center"/>
          </w:tcPr>
          <w:p>
            <w:pPr>
              <w:pStyle w:val="234"/>
              <w:rPr>
                <w:rFonts w:hAnsi="宋体"/>
                <w:highlight w:val="none"/>
              </w:rPr>
            </w:pPr>
            <w:r>
              <w:rPr>
                <w:rFonts w:hAnsi="宋体"/>
                <w:highlight w:val="none"/>
              </w:rPr>
              <w:t>1000</w:t>
            </w:r>
            <w:r>
              <w:rPr>
                <w:rFonts w:hint="eastAsia" w:hAnsi="宋体"/>
                <w:highlight w:val="none"/>
              </w:rPr>
              <w:t>天</w:t>
            </w:r>
          </w:p>
        </w:tc>
        <w:tc>
          <w:tcPr>
            <w:tcW w:w="1817" w:type="dxa"/>
            <w:vAlign w:val="center"/>
          </w:tcPr>
          <w:p>
            <w:pPr>
              <w:pStyle w:val="234"/>
              <w:rPr>
                <w:rFonts w:hAnsi="宋体"/>
                <w:highlight w:val="none"/>
              </w:rPr>
            </w:pPr>
            <w:r>
              <w:rPr>
                <w:rFonts w:hint="eastAsia" w:hAnsi="宋体"/>
                <w:highlight w:val="none"/>
              </w:rPr>
              <w:t>1</w:t>
            </w:r>
            <w:r>
              <w:rPr>
                <w:rFonts w:hAnsi="宋体"/>
                <w:highlight w:val="none"/>
              </w:rPr>
              <w:t>64</w:t>
            </w:r>
          </w:p>
        </w:tc>
        <w:tc>
          <w:tcPr>
            <w:tcW w:w="1817" w:type="dxa"/>
            <w:vAlign w:val="center"/>
          </w:tcPr>
          <w:p>
            <w:pPr>
              <w:pStyle w:val="234"/>
              <w:rPr>
                <w:rFonts w:hAnsi="宋体"/>
                <w:highlight w:val="none"/>
              </w:rPr>
            </w:pPr>
            <w:r>
              <w:rPr>
                <w:rFonts w:hAnsi="宋体"/>
                <w:highlight w:val="none"/>
              </w:rPr>
              <w:t>76</w:t>
            </w:r>
          </w:p>
        </w:tc>
        <w:tc>
          <w:tcPr>
            <w:tcW w:w="1906" w:type="dxa"/>
            <w:vAlign w:val="center"/>
          </w:tcPr>
          <w:p>
            <w:pPr>
              <w:pStyle w:val="234"/>
              <w:rPr>
                <w:rFonts w:hAnsi="宋体"/>
                <w:highlight w:val="none"/>
              </w:rPr>
            </w:pPr>
            <w:r>
              <w:rPr>
                <w:rFonts w:hint="eastAsia" w:hAnsi="宋体"/>
                <w:highlight w:val="none"/>
              </w:rPr>
              <w:t>2</w:t>
            </w:r>
            <w:r>
              <w:rPr>
                <w:rFonts w:hAnsi="宋体"/>
                <w:highlight w:val="none"/>
              </w:rPr>
              <w:t>1524</w:t>
            </w:r>
          </w:p>
        </w:tc>
        <w:tc>
          <w:tcPr>
            <w:tcW w:w="1906" w:type="dxa"/>
            <w:vAlign w:val="center"/>
          </w:tcPr>
          <w:p>
            <w:pPr>
              <w:pStyle w:val="234"/>
              <w:rPr>
                <w:rFonts w:hAnsi="宋体"/>
                <w:highlight w:val="none"/>
              </w:rPr>
            </w:pPr>
            <w:r>
              <w:rPr>
                <w:rFonts w:hAnsi="宋体"/>
                <w:highlight w:val="none"/>
              </w:rPr>
              <w:t>5789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504" w:type="dxa"/>
            <w:vAlign w:val="center"/>
          </w:tcPr>
          <w:p>
            <w:pPr>
              <w:pStyle w:val="234"/>
              <w:rPr>
                <w:rFonts w:hAnsi="宋体"/>
                <w:highlight w:val="none"/>
              </w:rPr>
            </w:pPr>
            <w:r>
              <w:rPr>
                <w:rFonts w:hint="eastAsia" w:hAnsi="宋体"/>
                <w:highlight w:val="none"/>
              </w:rPr>
              <w:t>3650天</w:t>
            </w:r>
          </w:p>
        </w:tc>
        <w:tc>
          <w:tcPr>
            <w:tcW w:w="1817" w:type="dxa"/>
            <w:vAlign w:val="center"/>
          </w:tcPr>
          <w:p>
            <w:pPr>
              <w:pStyle w:val="234"/>
              <w:rPr>
                <w:rFonts w:hAnsi="宋体"/>
                <w:highlight w:val="none"/>
              </w:rPr>
            </w:pPr>
            <w:r>
              <w:rPr>
                <w:rFonts w:hint="eastAsia" w:hAnsi="宋体"/>
                <w:highlight w:val="none"/>
              </w:rPr>
              <w:t>3</w:t>
            </w:r>
            <w:r>
              <w:rPr>
                <w:rFonts w:hAnsi="宋体"/>
                <w:highlight w:val="none"/>
              </w:rPr>
              <w:t>41</w:t>
            </w:r>
          </w:p>
        </w:tc>
        <w:tc>
          <w:tcPr>
            <w:tcW w:w="1817" w:type="dxa"/>
            <w:vAlign w:val="center"/>
          </w:tcPr>
          <w:p>
            <w:pPr>
              <w:pStyle w:val="234"/>
              <w:rPr>
                <w:rFonts w:hAnsi="宋体"/>
                <w:highlight w:val="none"/>
              </w:rPr>
            </w:pPr>
            <w:r>
              <w:rPr>
                <w:rFonts w:hint="eastAsia" w:hAnsi="宋体"/>
                <w:highlight w:val="none"/>
              </w:rPr>
              <w:t>1</w:t>
            </w:r>
            <w:r>
              <w:rPr>
                <w:rFonts w:hAnsi="宋体"/>
                <w:highlight w:val="none"/>
              </w:rPr>
              <w:t>52</w:t>
            </w:r>
          </w:p>
        </w:tc>
        <w:tc>
          <w:tcPr>
            <w:tcW w:w="1906" w:type="dxa"/>
            <w:vAlign w:val="center"/>
          </w:tcPr>
          <w:p>
            <w:pPr>
              <w:pStyle w:val="234"/>
              <w:rPr>
                <w:rFonts w:hAnsi="宋体"/>
                <w:highlight w:val="none"/>
              </w:rPr>
            </w:pPr>
            <w:r>
              <w:rPr>
                <w:rFonts w:hint="eastAsia" w:hAnsi="宋体"/>
                <w:highlight w:val="none"/>
              </w:rPr>
              <w:t>4</w:t>
            </w:r>
            <w:r>
              <w:rPr>
                <w:rFonts w:hAnsi="宋体"/>
                <w:highlight w:val="none"/>
              </w:rPr>
              <w:t>4235</w:t>
            </w:r>
          </w:p>
        </w:tc>
        <w:tc>
          <w:tcPr>
            <w:tcW w:w="1906" w:type="dxa"/>
            <w:vAlign w:val="center"/>
          </w:tcPr>
          <w:p>
            <w:pPr>
              <w:pStyle w:val="234"/>
              <w:rPr>
                <w:rFonts w:hAnsi="宋体"/>
                <w:highlight w:val="none"/>
              </w:rPr>
            </w:pPr>
            <w:r>
              <w:rPr>
                <w:rFonts w:hint="eastAsia" w:hAnsi="宋体"/>
                <w:highlight w:val="none"/>
              </w:rPr>
              <w:t>1</w:t>
            </w:r>
            <w:r>
              <w:rPr>
                <w:rFonts w:hAnsi="宋体"/>
                <w:highlight w:val="none"/>
              </w:rPr>
              <w:t>2345</w:t>
            </w:r>
          </w:p>
        </w:tc>
      </w:tr>
    </w:tbl>
    <w:p>
      <w:pPr>
        <w:pStyle w:val="62"/>
        <w:ind w:firstLine="480"/>
        <w:rPr>
          <w:highlight w:val="none"/>
        </w:rPr>
      </w:pPr>
    </w:p>
    <w:bookmarkEnd w:id="295"/>
    <w:p>
      <w:pPr>
        <w:adjustRightInd w:val="0"/>
        <w:snapToGrid w:val="0"/>
        <w:spacing w:line="360" w:lineRule="auto"/>
        <w:ind w:firstLine="0" w:firstLineChars="0"/>
        <w:jc w:val="center"/>
        <w:rPr>
          <w:b/>
          <w:color w:val="000000"/>
          <w:highlight w:val="none"/>
        </w:rPr>
      </w:pPr>
      <w:r>
        <w:rPr>
          <w:sz w:val="21"/>
          <w:highlight w:val="none"/>
        </w:rPr>
        <w:drawing>
          <wp:inline distT="0" distB="0" distL="0" distR="0">
            <wp:extent cx="4623435" cy="3971925"/>
            <wp:effectExtent l="0" t="0" r="5715" b="9525"/>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623435" cy="3971925"/>
                    </a:xfrm>
                    <a:prstGeom prst="rect">
                      <a:avLst/>
                    </a:prstGeom>
                    <a:noFill/>
                    <a:ln>
                      <a:noFill/>
                    </a:ln>
                  </pic:spPr>
                </pic:pic>
              </a:graphicData>
            </a:graphic>
          </wp:inline>
        </w:drawing>
      </w:r>
    </w:p>
    <w:p>
      <w:pPr>
        <w:pStyle w:val="65"/>
        <w:rPr>
          <w:highlight w:val="none"/>
        </w:rPr>
      </w:pPr>
      <w:r>
        <w:rPr>
          <w:rFonts w:hint="eastAsia"/>
          <w:highlight w:val="none"/>
        </w:rPr>
        <w:t xml:space="preserve">图5-6  </w:t>
      </w:r>
      <w:r>
        <w:rPr>
          <w:highlight w:val="none"/>
        </w:rPr>
        <w:t xml:space="preserve">  </w:t>
      </w:r>
      <w:r>
        <w:rPr>
          <w:rFonts w:hint="eastAsia"/>
          <w:highlight w:val="none"/>
        </w:rPr>
        <w:t>生活污水氨氮</w:t>
      </w:r>
      <w:r>
        <w:rPr>
          <w:highlight w:val="none"/>
        </w:rPr>
        <w:t>100</w:t>
      </w:r>
      <w:r>
        <w:rPr>
          <w:rFonts w:hint="eastAsia"/>
          <w:highlight w:val="none"/>
        </w:rPr>
        <w:t>天污染运移图</w:t>
      </w:r>
    </w:p>
    <w:p>
      <w:pPr>
        <w:spacing w:line="360" w:lineRule="auto"/>
        <w:ind w:firstLine="0" w:firstLineChars="0"/>
        <w:jc w:val="center"/>
        <w:rPr>
          <w:rFonts w:hAnsi="宋体"/>
          <w:b/>
          <w:highlight w:val="none"/>
        </w:rPr>
      </w:pPr>
      <w:r>
        <w:rPr>
          <w:sz w:val="21"/>
          <w:highlight w:val="none"/>
        </w:rPr>
        <w:drawing>
          <wp:inline distT="0" distB="0" distL="0" distR="0">
            <wp:extent cx="4623435" cy="3964940"/>
            <wp:effectExtent l="0" t="0" r="5715" b="0"/>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623435" cy="3964940"/>
                    </a:xfrm>
                    <a:prstGeom prst="rect">
                      <a:avLst/>
                    </a:prstGeom>
                    <a:noFill/>
                    <a:ln>
                      <a:noFill/>
                    </a:ln>
                  </pic:spPr>
                </pic:pic>
              </a:graphicData>
            </a:graphic>
          </wp:inline>
        </w:drawing>
      </w:r>
    </w:p>
    <w:p>
      <w:pPr>
        <w:pStyle w:val="65"/>
        <w:rPr>
          <w:highlight w:val="none"/>
        </w:rPr>
      </w:pPr>
      <w:r>
        <w:rPr>
          <w:rFonts w:hint="eastAsia"/>
          <w:highlight w:val="none"/>
        </w:rPr>
        <w:t>续图5-6</w:t>
      </w:r>
      <w:r>
        <w:rPr>
          <w:highlight w:val="none"/>
        </w:rPr>
        <w:t xml:space="preserve">   </w:t>
      </w:r>
      <w:r>
        <w:rPr>
          <w:rFonts w:hint="eastAsia"/>
          <w:highlight w:val="none"/>
        </w:rPr>
        <w:t xml:space="preserve"> 生活污水氨氮</w:t>
      </w:r>
      <w:r>
        <w:rPr>
          <w:highlight w:val="none"/>
        </w:rPr>
        <w:t>1000</w:t>
      </w:r>
      <w:r>
        <w:rPr>
          <w:rFonts w:hint="eastAsia"/>
          <w:highlight w:val="none"/>
        </w:rPr>
        <w:t>天污染运移图</w:t>
      </w:r>
    </w:p>
    <w:p>
      <w:pPr>
        <w:spacing w:line="360" w:lineRule="auto"/>
        <w:ind w:firstLine="0" w:firstLineChars="0"/>
        <w:jc w:val="center"/>
        <w:rPr>
          <w:rFonts w:hAnsi="宋体"/>
          <w:b/>
          <w:highlight w:val="none"/>
        </w:rPr>
      </w:pPr>
      <w:r>
        <w:rPr>
          <w:sz w:val="21"/>
          <w:highlight w:val="none"/>
        </w:rPr>
        <w:drawing>
          <wp:inline distT="0" distB="0" distL="0" distR="0">
            <wp:extent cx="4623435" cy="3964940"/>
            <wp:effectExtent l="0" t="0" r="5715"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623435" cy="3964940"/>
                    </a:xfrm>
                    <a:prstGeom prst="rect">
                      <a:avLst/>
                    </a:prstGeom>
                    <a:noFill/>
                    <a:ln>
                      <a:noFill/>
                    </a:ln>
                  </pic:spPr>
                </pic:pic>
              </a:graphicData>
            </a:graphic>
          </wp:inline>
        </w:drawing>
      </w:r>
    </w:p>
    <w:p>
      <w:pPr>
        <w:pStyle w:val="65"/>
        <w:rPr>
          <w:highlight w:val="none"/>
        </w:rPr>
      </w:pPr>
      <w:r>
        <w:rPr>
          <w:rFonts w:hint="eastAsia"/>
          <w:highlight w:val="none"/>
        </w:rPr>
        <w:t>续图5-6</w:t>
      </w:r>
      <w:r>
        <w:rPr>
          <w:highlight w:val="none"/>
        </w:rPr>
        <w:t xml:space="preserve">  </w:t>
      </w:r>
      <w:r>
        <w:rPr>
          <w:rFonts w:hint="eastAsia"/>
          <w:highlight w:val="none"/>
        </w:rPr>
        <w:t xml:space="preserve"> 生活污水氨氮</w:t>
      </w:r>
      <w:r>
        <w:rPr>
          <w:highlight w:val="none"/>
        </w:rPr>
        <w:t>3650</w:t>
      </w:r>
      <w:r>
        <w:rPr>
          <w:rFonts w:hint="eastAsia"/>
          <w:highlight w:val="none"/>
        </w:rPr>
        <w:t>天污染运移图</w:t>
      </w:r>
    </w:p>
    <w:p>
      <w:pPr>
        <w:spacing w:line="360" w:lineRule="auto"/>
        <w:ind w:firstLine="0" w:firstLineChars="0"/>
        <w:jc w:val="center"/>
        <w:rPr>
          <w:rFonts w:hAnsi="宋体"/>
          <w:b/>
          <w:highlight w:val="none"/>
        </w:rPr>
      </w:pPr>
      <w:r>
        <w:rPr>
          <w:sz w:val="21"/>
          <w:highlight w:val="none"/>
        </w:rPr>
        <w:drawing>
          <wp:inline distT="0" distB="0" distL="0" distR="0">
            <wp:extent cx="4623435" cy="3964940"/>
            <wp:effectExtent l="0" t="0" r="5715"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623435" cy="3964940"/>
                    </a:xfrm>
                    <a:prstGeom prst="rect">
                      <a:avLst/>
                    </a:prstGeom>
                    <a:noFill/>
                    <a:ln>
                      <a:noFill/>
                    </a:ln>
                  </pic:spPr>
                </pic:pic>
              </a:graphicData>
            </a:graphic>
          </wp:inline>
        </w:drawing>
      </w:r>
    </w:p>
    <w:p>
      <w:pPr>
        <w:pStyle w:val="65"/>
        <w:rPr>
          <w:highlight w:val="none"/>
        </w:rPr>
      </w:pPr>
      <w:r>
        <w:rPr>
          <w:rFonts w:hint="eastAsia"/>
          <w:highlight w:val="none"/>
        </w:rPr>
        <w:t>续图5-6</w:t>
      </w:r>
      <w:r>
        <w:rPr>
          <w:highlight w:val="none"/>
        </w:rPr>
        <w:t xml:space="preserve">   </w:t>
      </w:r>
      <w:r>
        <w:rPr>
          <w:rFonts w:hint="eastAsia"/>
          <w:highlight w:val="none"/>
        </w:rPr>
        <w:t xml:space="preserve"> 尾矿淋溶液硒</w:t>
      </w:r>
      <w:r>
        <w:rPr>
          <w:highlight w:val="none"/>
        </w:rPr>
        <w:t>100</w:t>
      </w:r>
      <w:r>
        <w:rPr>
          <w:rFonts w:hint="eastAsia"/>
          <w:highlight w:val="none"/>
        </w:rPr>
        <w:t>天污染运移图</w:t>
      </w:r>
    </w:p>
    <w:p>
      <w:pPr>
        <w:spacing w:line="360" w:lineRule="auto"/>
        <w:ind w:firstLine="0" w:firstLineChars="0"/>
        <w:jc w:val="center"/>
        <w:rPr>
          <w:rFonts w:hAnsi="宋体"/>
          <w:b/>
          <w:highlight w:val="none"/>
        </w:rPr>
      </w:pPr>
      <w:r>
        <w:rPr>
          <w:sz w:val="21"/>
          <w:highlight w:val="none"/>
        </w:rPr>
        <w:drawing>
          <wp:inline distT="0" distB="0" distL="0" distR="0">
            <wp:extent cx="4623435" cy="3964940"/>
            <wp:effectExtent l="0" t="0" r="5715"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623435" cy="3964940"/>
                    </a:xfrm>
                    <a:prstGeom prst="rect">
                      <a:avLst/>
                    </a:prstGeom>
                    <a:noFill/>
                    <a:ln>
                      <a:noFill/>
                    </a:ln>
                  </pic:spPr>
                </pic:pic>
              </a:graphicData>
            </a:graphic>
          </wp:inline>
        </w:drawing>
      </w:r>
    </w:p>
    <w:p>
      <w:pPr>
        <w:pStyle w:val="65"/>
        <w:rPr>
          <w:highlight w:val="none"/>
        </w:rPr>
      </w:pPr>
      <w:r>
        <w:rPr>
          <w:rFonts w:hint="eastAsia"/>
          <w:highlight w:val="none"/>
        </w:rPr>
        <w:t>续图5-6</w:t>
      </w:r>
      <w:r>
        <w:rPr>
          <w:highlight w:val="none"/>
        </w:rPr>
        <w:t xml:space="preserve">   </w:t>
      </w:r>
      <w:r>
        <w:rPr>
          <w:rFonts w:hint="eastAsia"/>
          <w:highlight w:val="none"/>
        </w:rPr>
        <w:t xml:space="preserve"> 尾矿淋溶液硒</w:t>
      </w:r>
      <w:r>
        <w:rPr>
          <w:highlight w:val="none"/>
        </w:rPr>
        <w:t>1000</w:t>
      </w:r>
      <w:r>
        <w:rPr>
          <w:rFonts w:hint="eastAsia"/>
          <w:highlight w:val="none"/>
        </w:rPr>
        <w:t>天污染运移图</w:t>
      </w:r>
    </w:p>
    <w:p>
      <w:pPr>
        <w:spacing w:line="360" w:lineRule="auto"/>
        <w:ind w:firstLine="0" w:firstLineChars="0"/>
        <w:jc w:val="center"/>
        <w:rPr>
          <w:rFonts w:hAnsi="宋体"/>
          <w:b/>
          <w:highlight w:val="none"/>
        </w:rPr>
      </w:pPr>
      <w:r>
        <w:rPr>
          <w:sz w:val="21"/>
          <w:highlight w:val="none"/>
        </w:rPr>
        <w:drawing>
          <wp:inline distT="0" distB="0" distL="0" distR="0">
            <wp:extent cx="4623435" cy="3964940"/>
            <wp:effectExtent l="0" t="0" r="5715" b="0"/>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623435" cy="3964940"/>
                    </a:xfrm>
                    <a:prstGeom prst="rect">
                      <a:avLst/>
                    </a:prstGeom>
                    <a:noFill/>
                    <a:ln>
                      <a:noFill/>
                    </a:ln>
                  </pic:spPr>
                </pic:pic>
              </a:graphicData>
            </a:graphic>
          </wp:inline>
        </w:drawing>
      </w:r>
    </w:p>
    <w:p>
      <w:pPr>
        <w:pStyle w:val="65"/>
        <w:rPr>
          <w:highlight w:val="none"/>
        </w:rPr>
      </w:pPr>
      <w:r>
        <w:rPr>
          <w:rFonts w:hint="eastAsia"/>
          <w:highlight w:val="none"/>
        </w:rPr>
        <w:t>续图5-6</w:t>
      </w:r>
      <w:r>
        <w:rPr>
          <w:highlight w:val="none"/>
        </w:rPr>
        <w:t xml:space="preserve">   </w:t>
      </w:r>
      <w:r>
        <w:rPr>
          <w:rFonts w:hint="eastAsia"/>
          <w:highlight w:val="none"/>
        </w:rPr>
        <w:t xml:space="preserve"> 尾矿淋溶液硒</w:t>
      </w:r>
      <w:r>
        <w:rPr>
          <w:highlight w:val="none"/>
        </w:rPr>
        <w:t>3650</w:t>
      </w:r>
      <w:r>
        <w:rPr>
          <w:rFonts w:hint="eastAsia"/>
          <w:highlight w:val="none"/>
        </w:rPr>
        <w:t>天污染运移图</w:t>
      </w:r>
    </w:p>
    <w:p>
      <w:pPr>
        <w:pStyle w:val="62"/>
        <w:ind w:firstLine="480"/>
        <w:rPr>
          <w:highlight w:val="none"/>
        </w:rPr>
      </w:pPr>
      <w:bookmarkStart w:id="297" w:name="_Toc500749461"/>
      <w:bookmarkStart w:id="298" w:name="_Toc22755116"/>
      <w:r>
        <w:rPr>
          <w:rFonts w:hint="eastAsia"/>
          <w:highlight w:val="none"/>
        </w:rPr>
        <w:t>4.3</w:t>
      </w:r>
      <w:r>
        <w:rPr>
          <w:highlight w:val="none"/>
        </w:rPr>
        <w:t xml:space="preserve"> </w:t>
      </w:r>
      <w:r>
        <w:rPr>
          <w:rFonts w:hint="eastAsia"/>
          <w:highlight w:val="none"/>
        </w:rPr>
        <w:t>对水源地的影响分析</w:t>
      </w:r>
      <w:bookmarkEnd w:id="297"/>
      <w:bookmarkEnd w:id="298"/>
    </w:p>
    <w:p>
      <w:pPr>
        <w:pStyle w:val="62"/>
        <w:ind w:firstLine="480"/>
        <w:rPr>
          <w:highlight w:val="none"/>
        </w:rPr>
      </w:pPr>
      <w:r>
        <w:rPr>
          <w:rFonts w:hint="eastAsia"/>
          <w:highlight w:val="none"/>
        </w:rPr>
        <w:t>1、对光裕堡乡集中供水水源地的影响分析</w:t>
      </w:r>
    </w:p>
    <w:p>
      <w:pPr>
        <w:pStyle w:val="62"/>
        <w:ind w:firstLine="480"/>
        <w:rPr>
          <w:bCs/>
          <w:highlight w:val="none"/>
        </w:rPr>
      </w:pPr>
      <w:r>
        <w:rPr>
          <w:rFonts w:hint="eastAsia"/>
          <w:highlight w:val="none"/>
        </w:rPr>
        <w:t>本项目不在水源地保护区范围内，</w:t>
      </w:r>
      <w:r>
        <w:rPr>
          <w:bCs/>
          <w:highlight w:val="none"/>
        </w:rPr>
        <w:t>水源地位于本项目</w:t>
      </w:r>
      <w:r>
        <w:rPr>
          <w:rFonts w:hint="eastAsia"/>
          <w:bCs/>
          <w:highlight w:val="none"/>
        </w:rPr>
        <w:t>侧向3</w:t>
      </w:r>
      <w:r>
        <w:rPr>
          <w:bCs/>
          <w:highlight w:val="none"/>
        </w:rPr>
        <w:t>.9</w:t>
      </w:r>
      <w:r>
        <w:rPr>
          <w:rFonts w:hint="eastAsia"/>
          <w:highlight w:val="none"/>
        </w:rPr>
        <w:t>km，不在水源地的补给和径流区，因此，不会对光裕堡乡集中供水水源地造成污染影响</w:t>
      </w:r>
      <w:r>
        <w:rPr>
          <w:bCs/>
          <w:highlight w:val="none"/>
        </w:rPr>
        <w:t>。</w:t>
      </w:r>
    </w:p>
    <w:p>
      <w:pPr>
        <w:pStyle w:val="62"/>
        <w:ind w:firstLine="480"/>
        <w:rPr>
          <w:highlight w:val="none"/>
        </w:rPr>
      </w:pPr>
      <w:r>
        <w:rPr>
          <w:rFonts w:hint="eastAsia"/>
          <w:highlight w:val="none"/>
        </w:rPr>
        <w:t>2、对集义乡集中供水水源地的影响分析</w:t>
      </w:r>
    </w:p>
    <w:p>
      <w:pPr>
        <w:pStyle w:val="62"/>
        <w:ind w:firstLine="480"/>
        <w:rPr>
          <w:bCs/>
          <w:highlight w:val="none"/>
        </w:rPr>
      </w:pPr>
      <w:r>
        <w:rPr>
          <w:rFonts w:hint="eastAsia"/>
          <w:highlight w:val="none"/>
        </w:rPr>
        <w:t>本项目不在水源地保护区范围内，</w:t>
      </w:r>
      <w:r>
        <w:rPr>
          <w:bCs/>
          <w:highlight w:val="none"/>
        </w:rPr>
        <w:t>水源地位于本项目</w:t>
      </w:r>
      <w:r>
        <w:rPr>
          <w:rFonts w:hint="eastAsia"/>
          <w:bCs/>
          <w:highlight w:val="none"/>
        </w:rPr>
        <w:t>下</w:t>
      </w:r>
      <w:r>
        <w:rPr>
          <w:bCs/>
          <w:highlight w:val="none"/>
        </w:rPr>
        <w:t>游</w:t>
      </w:r>
      <w:r>
        <w:rPr>
          <w:highlight w:val="none"/>
        </w:rPr>
        <w:t>4.1</w:t>
      </w:r>
      <w:r>
        <w:rPr>
          <w:rFonts w:hint="eastAsia"/>
          <w:highlight w:val="none"/>
        </w:rPr>
        <w:t>km，因此，不会对光裕堡乡集中供水水源地造成污染影响</w:t>
      </w:r>
      <w:r>
        <w:rPr>
          <w:bCs/>
          <w:highlight w:val="none"/>
        </w:rPr>
        <w:t>。</w:t>
      </w:r>
    </w:p>
    <w:p>
      <w:pPr>
        <w:pStyle w:val="62"/>
        <w:ind w:firstLine="480"/>
        <w:rPr>
          <w:highlight w:val="none"/>
        </w:rPr>
      </w:pPr>
      <w:bookmarkStart w:id="299" w:name="_Toc22755117"/>
      <w:r>
        <w:rPr>
          <w:rFonts w:hint="eastAsia"/>
          <w:highlight w:val="none"/>
        </w:rPr>
        <w:t>4.4</w:t>
      </w:r>
      <w:r>
        <w:rPr>
          <w:highlight w:val="none"/>
        </w:rPr>
        <w:t xml:space="preserve"> </w:t>
      </w:r>
      <w:r>
        <w:rPr>
          <w:rFonts w:hint="eastAsia"/>
          <w:highlight w:val="none"/>
        </w:rPr>
        <w:t>对周边村庄水井的影响分析</w:t>
      </w:r>
      <w:bookmarkEnd w:id="299"/>
    </w:p>
    <w:p>
      <w:pPr>
        <w:pStyle w:val="62"/>
        <w:ind w:firstLine="480"/>
        <w:rPr>
          <w:highlight w:val="none"/>
        </w:rPr>
      </w:pPr>
      <w:r>
        <w:rPr>
          <w:rFonts w:hint="eastAsia"/>
          <w:highlight w:val="none"/>
        </w:rPr>
        <w:t>距离本项目下游最近的村庄水井为东堡水井，约1.</w:t>
      </w:r>
      <w:r>
        <w:rPr>
          <w:highlight w:val="none"/>
        </w:rPr>
        <w:t>8</w:t>
      </w:r>
      <w:r>
        <w:rPr>
          <w:rFonts w:hint="eastAsia"/>
          <w:highlight w:val="none"/>
        </w:rPr>
        <w:t>km，污染物沿地下水流方向向下游迁移最大距离3</w:t>
      </w:r>
      <w:r>
        <w:rPr>
          <w:highlight w:val="none"/>
        </w:rPr>
        <w:t>82m</w:t>
      </w:r>
      <w:r>
        <w:rPr>
          <w:rFonts w:hint="eastAsia"/>
          <w:highlight w:val="none"/>
        </w:rPr>
        <w:t>，污染影响范围内没有村庄水井分布，因此，不会对周边村庄水井产生污染影响。</w:t>
      </w:r>
    </w:p>
    <w:p>
      <w:pPr>
        <w:pStyle w:val="4"/>
        <w:ind w:firstLine="562"/>
        <w:rPr>
          <w:rFonts w:hAnsi="宋体"/>
          <w:highlight w:val="none"/>
        </w:rPr>
      </w:pPr>
      <w:bookmarkStart w:id="300" w:name="_Toc22755118"/>
      <w:r>
        <w:rPr>
          <w:rFonts w:hint="eastAsia" w:hAnsi="宋体"/>
          <w:highlight w:val="none"/>
        </w:rPr>
        <w:t>5.3.5地下水环境保护措施</w:t>
      </w:r>
      <w:bookmarkEnd w:id="249"/>
      <w:bookmarkEnd w:id="300"/>
    </w:p>
    <w:bookmarkEnd w:id="250"/>
    <w:p>
      <w:pPr>
        <w:pStyle w:val="62"/>
        <w:ind w:firstLine="480"/>
        <w:rPr>
          <w:highlight w:val="none"/>
        </w:rPr>
      </w:pPr>
      <w:bookmarkStart w:id="301" w:name="_Toc446571881"/>
      <w:bookmarkStart w:id="302" w:name="_Toc446572399"/>
      <w:bookmarkStart w:id="303" w:name="_Toc451612336"/>
      <w:bookmarkStart w:id="304" w:name="_Toc22755119"/>
      <w:r>
        <w:rPr>
          <w:rFonts w:hint="eastAsia" w:hAnsi="宋体"/>
          <w:highlight w:val="none"/>
        </w:rPr>
        <w:t>5.3.5.</w:t>
      </w:r>
      <w:r>
        <w:rPr>
          <w:highlight w:val="none"/>
        </w:rPr>
        <w:t xml:space="preserve">1 </w:t>
      </w:r>
      <w:bookmarkEnd w:id="301"/>
      <w:bookmarkEnd w:id="302"/>
      <w:r>
        <w:rPr>
          <w:rFonts w:hint="eastAsia"/>
          <w:highlight w:val="none"/>
        </w:rPr>
        <w:t>保护原则</w:t>
      </w:r>
      <w:bookmarkEnd w:id="303"/>
      <w:bookmarkEnd w:id="304"/>
    </w:p>
    <w:p>
      <w:pPr>
        <w:pStyle w:val="62"/>
        <w:ind w:firstLine="480"/>
        <w:rPr>
          <w:highlight w:val="none"/>
        </w:rPr>
      </w:pPr>
      <w:bookmarkStart w:id="305" w:name="_Toc446572400"/>
      <w:bookmarkStart w:id="306" w:name="_Toc446571882"/>
      <w:r>
        <w:rPr>
          <w:rFonts w:hint="eastAsia"/>
          <w:highlight w:val="none"/>
        </w:rPr>
        <w:t>为有效保护项目区的地下水环境，除了按项目初设报告中设计的方案处理场地的各种废水，还需要建设地下水动态监测系统，并按期进行监测和采样测试分析。下面结合拟建项目特点和当地自然环境特征，提出地下水环境保护管理的原则和措施，并对措施的经济成本和可行性进行分析论证。</w:t>
      </w:r>
    </w:p>
    <w:p>
      <w:pPr>
        <w:pStyle w:val="62"/>
        <w:ind w:firstLine="480"/>
        <w:rPr>
          <w:highlight w:val="none"/>
        </w:rPr>
      </w:pPr>
      <w:r>
        <w:rPr>
          <w:rFonts w:hint="eastAsia"/>
          <w:highlight w:val="none"/>
        </w:rPr>
        <w:t>在制定该项目工程的地下水环境保护管理措施时，遵循以下原则：</w:t>
      </w:r>
    </w:p>
    <w:p>
      <w:pPr>
        <w:pStyle w:val="62"/>
        <w:ind w:firstLine="480"/>
        <w:rPr>
          <w:highlight w:val="none"/>
        </w:rPr>
      </w:pPr>
      <w:r>
        <w:rPr>
          <w:rFonts w:hint="eastAsia"/>
          <w:highlight w:val="none"/>
        </w:rPr>
        <w:t>（1）预防为主、标本兼治；</w:t>
      </w:r>
    </w:p>
    <w:p>
      <w:pPr>
        <w:pStyle w:val="62"/>
        <w:ind w:firstLine="480"/>
        <w:rPr>
          <w:highlight w:val="none"/>
        </w:rPr>
      </w:pPr>
      <w:r>
        <w:rPr>
          <w:rFonts w:hint="eastAsia"/>
          <w:highlight w:val="none"/>
        </w:rPr>
        <w:t>（2）源头控制、分区防治、污染监控、应急响应；</w:t>
      </w:r>
    </w:p>
    <w:p>
      <w:pPr>
        <w:pStyle w:val="62"/>
        <w:ind w:firstLine="480"/>
        <w:rPr>
          <w:highlight w:val="none"/>
        </w:rPr>
      </w:pPr>
      <w:r>
        <w:rPr>
          <w:rFonts w:hint="eastAsia"/>
          <w:highlight w:val="none"/>
        </w:rPr>
        <w:t>（3）优先考虑项目可研阶段提出的各项环保措施，并针对地下水环境保护目标进行改进和完善；</w:t>
      </w:r>
    </w:p>
    <w:p>
      <w:pPr>
        <w:pStyle w:val="62"/>
        <w:ind w:firstLine="480"/>
        <w:rPr>
          <w:highlight w:val="none"/>
        </w:rPr>
      </w:pPr>
      <w:r>
        <w:rPr>
          <w:rFonts w:hint="eastAsia"/>
          <w:highlight w:val="none"/>
        </w:rPr>
        <w:t>（4）新补充措施应注重其有效性、可操作性、经济性、适用性。</w:t>
      </w:r>
    </w:p>
    <w:bookmarkEnd w:id="305"/>
    <w:bookmarkEnd w:id="306"/>
    <w:p>
      <w:pPr>
        <w:pStyle w:val="62"/>
        <w:ind w:firstLine="480"/>
        <w:rPr>
          <w:highlight w:val="none"/>
        </w:rPr>
      </w:pPr>
      <w:bookmarkStart w:id="307" w:name="_Toc22755120"/>
      <w:r>
        <w:rPr>
          <w:rFonts w:hint="eastAsia"/>
          <w:highlight w:val="none"/>
        </w:rPr>
        <w:t xml:space="preserve">5.3.5.2 </w:t>
      </w:r>
      <w:r>
        <w:rPr>
          <w:highlight w:val="none"/>
        </w:rPr>
        <w:t>源头控制</w:t>
      </w:r>
      <w:r>
        <w:rPr>
          <w:rFonts w:hint="eastAsia"/>
          <w:highlight w:val="none"/>
        </w:rPr>
        <w:t>措施</w:t>
      </w:r>
      <w:bookmarkEnd w:id="307"/>
    </w:p>
    <w:p>
      <w:pPr>
        <w:pStyle w:val="62"/>
        <w:ind w:firstLine="480"/>
        <w:rPr>
          <w:highlight w:val="none"/>
        </w:rPr>
      </w:pPr>
      <w:r>
        <w:rPr>
          <w:rFonts w:hint="eastAsia"/>
          <w:highlight w:val="none"/>
        </w:rPr>
        <w:t>1、生活废水</w:t>
      </w:r>
    </w:p>
    <w:p>
      <w:pPr>
        <w:pStyle w:val="62"/>
        <w:ind w:firstLine="480"/>
        <w:rPr>
          <w:highlight w:val="none"/>
        </w:rPr>
      </w:pPr>
      <w:r>
        <w:rPr>
          <w:rFonts w:hint="eastAsia"/>
          <w:highlight w:val="none"/>
        </w:rPr>
        <w:t>本项目劳动定员共15人，生活用水量0.9m</w:t>
      </w:r>
      <w:r>
        <w:rPr>
          <w:rFonts w:hint="eastAsia"/>
          <w:highlight w:val="none"/>
          <w:vertAlign w:val="superscript"/>
        </w:rPr>
        <w:t>3</w:t>
      </w:r>
      <w:r>
        <w:rPr>
          <w:rFonts w:hint="eastAsia"/>
          <w:highlight w:val="none"/>
        </w:rPr>
        <w:t>/d，270m</w:t>
      </w:r>
      <w:r>
        <w:rPr>
          <w:rFonts w:hint="eastAsia"/>
          <w:highlight w:val="none"/>
          <w:vertAlign w:val="superscript"/>
        </w:rPr>
        <w:t>3</w:t>
      </w:r>
      <w:r>
        <w:rPr>
          <w:rFonts w:hint="eastAsia"/>
          <w:highlight w:val="none"/>
        </w:rPr>
        <w:t>/a。生活污水排放系数按80%计，则生活污水产生量为0.72m</w:t>
      </w:r>
      <w:r>
        <w:rPr>
          <w:rFonts w:hint="eastAsia"/>
          <w:highlight w:val="none"/>
          <w:vertAlign w:val="superscript"/>
        </w:rPr>
        <w:t>3</w:t>
      </w:r>
      <w:r>
        <w:rPr>
          <w:rFonts w:hint="eastAsia"/>
          <w:highlight w:val="none"/>
        </w:rPr>
        <w:t>/d（216m</w:t>
      </w:r>
      <w:r>
        <w:rPr>
          <w:rFonts w:hint="eastAsia"/>
          <w:highlight w:val="none"/>
          <w:vertAlign w:val="superscript"/>
        </w:rPr>
        <w:t>3</w:t>
      </w:r>
      <w:r>
        <w:rPr>
          <w:rFonts w:hint="eastAsia"/>
          <w:highlight w:val="none"/>
        </w:rPr>
        <w:t>/a）。本项目生活污水、食堂废水经隔油池后排入1座2m</w:t>
      </w:r>
      <w:r>
        <w:rPr>
          <w:rFonts w:hint="eastAsia"/>
          <w:highlight w:val="none"/>
          <w:vertAlign w:val="superscript"/>
        </w:rPr>
        <w:t>3</w:t>
      </w:r>
      <w:r>
        <w:rPr>
          <w:rFonts w:hint="eastAsia"/>
          <w:highlight w:val="none"/>
        </w:rPr>
        <w:t>的沉淀池，用于场地洒水或绿化。本项目使用旱厕，定期由附近农户清掏用作农肥。</w:t>
      </w:r>
    </w:p>
    <w:p>
      <w:pPr>
        <w:pStyle w:val="62"/>
        <w:ind w:firstLine="480"/>
        <w:rPr>
          <w:highlight w:val="none"/>
        </w:rPr>
      </w:pPr>
      <w:r>
        <w:rPr>
          <w:rFonts w:hint="eastAsia"/>
          <w:highlight w:val="none"/>
        </w:rPr>
        <w:t>2、生产废水</w:t>
      </w:r>
    </w:p>
    <w:p>
      <w:pPr>
        <w:pStyle w:val="62"/>
        <w:ind w:firstLine="480"/>
        <w:rPr>
          <w:highlight w:val="none"/>
        </w:rPr>
      </w:pPr>
      <w:r>
        <w:rPr>
          <w:rFonts w:hint="eastAsia"/>
          <w:highlight w:val="none"/>
        </w:rPr>
        <w:t>A、尾矿浆</w:t>
      </w:r>
    </w:p>
    <w:p>
      <w:pPr>
        <w:pStyle w:val="62"/>
        <w:ind w:firstLine="480"/>
        <w:rPr>
          <w:highlight w:val="none"/>
        </w:rPr>
      </w:pPr>
      <w:r>
        <w:rPr>
          <w:rFonts w:hint="eastAsia"/>
          <w:highlight w:val="none"/>
        </w:rPr>
        <w:t>尾矿浆经浓缩压滤后，泵入循环水池回用于生产。生产废水全部循环利用不外排。同时生产车间内设集中水池60m</w:t>
      </w:r>
      <w:r>
        <w:rPr>
          <w:rFonts w:hint="eastAsia"/>
          <w:highlight w:val="none"/>
          <w:vertAlign w:val="superscript"/>
        </w:rPr>
        <w:t>3</w:t>
      </w:r>
      <w:r>
        <w:rPr>
          <w:rFonts w:hint="eastAsia"/>
          <w:highlight w:val="none"/>
        </w:rPr>
        <w:t>，将跑、冒、滴、漏、地板冲洗水等经收集后，进入生产系统，作为选矿补充水。</w:t>
      </w:r>
    </w:p>
    <w:p>
      <w:pPr>
        <w:pStyle w:val="62"/>
        <w:ind w:firstLine="480"/>
        <w:rPr>
          <w:highlight w:val="none"/>
        </w:rPr>
      </w:pPr>
      <w:r>
        <w:rPr>
          <w:rFonts w:hint="eastAsia"/>
          <w:highlight w:val="none"/>
        </w:rPr>
        <w:t>B、车辆冲洗用水</w:t>
      </w:r>
    </w:p>
    <w:p>
      <w:pPr>
        <w:pStyle w:val="62"/>
        <w:ind w:firstLine="480"/>
        <w:rPr>
          <w:highlight w:val="none"/>
        </w:rPr>
      </w:pPr>
      <w:r>
        <w:rPr>
          <w:rFonts w:hint="eastAsia"/>
          <w:highlight w:val="none"/>
        </w:rPr>
        <w:t>本次项目拟在厂区出入口设置1座车辆清洗平台，洗车用水量为1.34m</w:t>
      </w:r>
      <w:r>
        <w:rPr>
          <w:rFonts w:hint="eastAsia"/>
          <w:highlight w:val="none"/>
          <w:vertAlign w:val="superscript"/>
        </w:rPr>
        <w:t>3</w:t>
      </w:r>
      <w:r>
        <w:rPr>
          <w:rFonts w:hint="eastAsia"/>
          <w:highlight w:val="none"/>
        </w:rPr>
        <w:t>/d，洗车循环水量为20m</w:t>
      </w:r>
      <w:r>
        <w:rPr>
          <w:rFonts w:hint="eastAsia"/>
          <w:highlight w:val="none"/>
          <w:vertAlign w:val="superscript"/>
        </w:rPr>
        <w:t>3</w:t>
      </w:r>
      <w:r>
        <w:rPr>
          <w:rFonts w:hint="eastAsia"/>
          <w:highlight w:val="none"/>
        </w:rPr>
        <w:t>/d，洗车废水经沉淀池沉淀后循环使用，不外排。</w:t>
      </w:r>
    </w:p>
    <w:p>
      <w:pPr>
        <w:pStyle w:val="62"/>
        <w:ind w:firstLine="480"/>
        <w:rPr>
          <w:highlight w:val="none"/>
        </w:rPr>
      </w:pPr>
      <w:r>
        <w:rPr>
          <w:rFonts w:hint="eastAsia"/>
          <w:highlight w:val="none"/>
        </w:rPr>
        <w:t>3、初期雨水</w:t>
      </w:r>
    </w:p>
    <w:p>
      <w:pPr>
        <w:pStyle w:val="62"/>
        <w:ind w:firstLine="480"/>
        <w:rPr>
          <w:highlight w:val="none"/>
        </w:rPr>
      </w:pPr>
      <w:r>
        <w:rPr>
          <w:rFonts w:hint="eastAsia"/>
          <w:highlight w:val="none"/>
        </w:rPr>
        <w:t>在厂内设置初期雨水收集池，雨水经收集沉淀后可用于原料库和道路洒水降尘，也可以作为生产用水。</w:t>
      </w:r>
    </w:p>
    <w:p>
      <w:pPr>
        <w:pStyle w:val="62"/>
        <w:ind w:firstLine="480"/>
        <w:rPr>
          <w:highlight w:val="none"/>
        </w:rPr>
      </w:pPr>
      <w:bookmarkStart w:id="308" w:name="_Toc22755121"/>
      <w:r>
        <w:rPr>
          <w:rFonts w:hint="eastAsia"/>
          <w:highlight w:val="none"/>
        </w:rPr>
        <w:t xml:space="preserve">5.3.5.3 </w:t>
      </w:r>
      <w:r>
        <w:rPr>
          <w:highlight w:val="none"/>
        </w:rPr>
        <w:t>分区防</w:t>
      </w:r>
      <w:r>
        <w:rPr>
          <w:rFonts w:hint="eastAsia"/>
          <w:highlight w:val="none"/>
        </w:rPr>
        <w:t>渗措施</w:t>
      </w:r>
      <w:bookmarkEnd w:id="308"/>
    </w:p>
    <w:p>
      <w:pPr>
        <w:pStyle w:val="62"/>
        <w:ind w:firstLine="480"/>
        <w:rPr>
          <w:highlight w:val="none"/>
        </w:rPr>
      </w:pPr>
      <w:r>
        <w:rPr>
          <w:highlight w:val="none"/>
        </w:rPr>
        <w:t>对可能泄漏污染物的地面进行防渗处理，可有效</w:t>
      </w:r>
      <w:r>
        <w:rPr>
          <w:rFonts w:hint="eastAsia"/>
          <w:highlight w:val="none"/>
        </w:rPr>
        <w:t>防止</w:t>
      </w:r>
      <w:r>
        <w:rPr>
          <w:highlight w:val="none"/>
        </w:rPr>
        <w:t>污染物渗入地下，并及时将泄漏</w:t>
      </w:r>
      <w:r>
        <w:rPr>
          <w:rFonts w:hint="eastAsia"/>
          <w:highlight w:val="none"/>
        </w:rPr>
        <w:t>或</w:t>
      </w:r>
      <w:r>
        <w:rPr>
          <w:highlight w:val="none"/>
        </w:rPr>
        <w:t>渗漏的污染物收集并进行集中处理。</w:t>
      </w:r>
    </w:p>
    <w:p>
      <w:pPr>
        <w:pStyle w:val="62"/>
        <w:ind w:firstLine="480"/>
        <w:rPr>
          <w:highlight w:val="none"/>
        </w:rPr>
      </w:pPr>
      <w:r>
        <w:rPr>
          <w:rFonts w:hint="eastAsia"/>
          <w:highlight w:val="none"/>
        </w:rPr>
        <w:t>1、防渗分区</w:t>
      </w:r>
    </w:p>
    <w:p>
      <w:pPr>
        <w:pStyle w:val="62"/>
        <w:ind w:firstLine="480"/>
        <w:rPr>
          <w:highlight w:val="none"/>
        </w:rPr>
      </w:pPr>
      <w:r>
        <w:rPr>
          <w:highlight w:val="none"/>
        </w:rPr>
        <w:t>根据</w:t>
      </w:r>
      <w:r>
        <w:rPr>
          <w:rFonts w:hint="eastAsia"/>
          <w:highlight w:val="none"/>
        </w:rPr>
        <w:t>项目区</w:t>
      </w:r>
      <w:r>
        <w:rPr>
          <w:highlight w:val="none"/>
        </w:rPr>
        <w:t>各生产功能单元可能泄漏至地面区域的污染物性质和生产单元的构筑方式，</w:t>
      </w:r>
      <w:r>
        <w:rPr>
          <w:rFonts w:hint="eastAsia"/>
          <w:highlight w:val="none"/>
        </w:rPr>
        <w:t>划分为重点防渗区、简单防渗区。</w:t>
      </w:r>
    </w:p>
    <w:p>
      <w:pPr>
        <w:pStyle w:val="62"/>
        <w:ind w:firstLine="480"/>
        <w:rPr>
          <w:highlight w:val="none"/>
        </w:rPr>
      </w:pPr>
      <w:r>
        <w:rPr>
          <w:rFonts w:hint="eastAsia"/>
          <w:highlight w:val="none"/>
        </w:rPr>
        <w:t>（1）重点防渗区</w:t>
      </w:r>
    </w:p>
    <w:p>
      <w:pPr>
        <w:pStyle w:val="62"/>
        <w:ind w:firstLine="480"/>
        <w:rPr>
          <w:highlight w:val="none"/>
        </w:rPr>
      </w:pPr>
      <w:r>
        <w:rPr>
          <w:rFonts w:hint="eastAsia"/>
          <w:highlight w:val="none"/>
        </w:rPr>
        <w:t>重点防渗区是指事故风险危险区、位于地下或者半地下的生产功能单元，污染物中含有重金属或持久性有机污染物，污染地下水环境的污染物泄漏后不容易被及时发现和处理的区域或部位，如沉淀池、沉砂池、初期雨水池、浓缩池、事故池、洗车水池、危废暂存间等。</w:t>
      </w:r>
    </w:p>
    <w:p>
      <w:pPr>
        <w:pStyle w:val="62"/>
        <w:ind w:firstLine="480"/>
        <w:rPr>
          <w:highlight w:val="none"/>
        </w:rPr>
      </w:pPr>
      <w:r>
        <w:rPr>
          <w:rFonts w:hint="eastAsia"/>
          <w:highlight w:val="none"/>
        </w:rPr>
        <w:t>（</w:t>
      </w:r>
      <w:r>
        <w:rPr>
          <w:highlight w:val="none"/>
        </w:rPr>
        <w:t>2</w:t>
      </w:r>
      <w:r>
        <w:rPr>
          <w:rFonts w:hint="eastAsia"/>
          <w:highlight w:val="none"/>
        </w:rPr>
        <w:t>）一般防渗区</w:t>
      </w:r>
    </w:p>
    <w:p>
      <w:pPr>
        <w:pStyle w:val="62"/>
        <w:ind w:firstLine="480"/>
        <w:rPr>
          <w:highlight w:val="none"/>
        </w:rPr>
      </w:pPr>
      <w:r>
        <w:rPr>
          <w:rFonts w:hint="eastAsia"/>
          <w:highlight w:val="none"/>
        </w:rPr>
        <w:t>生产车间，原料库，废石库、精矿库。</w:t>
      </w:r>
    </w:p>
    <w:p>
      <w:pPr>
        <w:pStyle w:val="62"/>
        <w:ind w:firstLine="480"/>
        <w:rPr>
          <w:highlight w:val="none"/>
        </w:rPr>
      </w:pPr>
      <w:r>
        <w:rPr>
          <w:rFonts w:hint="eastAsia"/>
          <w:highlight w:val="none"/>
        </w:rPr>
        <w:t>（</w:t>
      </w:r>
      <w:r>
        <w:rPr>
          <w:highlight w:val="none"/>
        </w:rPr>
        <w:t>3</w:t>
      </w:r>
      <w:r>
        <w:rPr>
          <w:rFonts w:hint="eastAsia"/>
          <w:highlight w:val="none"/>
        </w:rPr>
        <w:t>）简单防渗区</w:t>
      </w:r>
    </w:p>
    <w:p>
      <w:pPr>
        <w:pStyle w:val="62"/>
        <w:ind w:firstLine="480"/>
        <w:rPr>
          <w:highlight w:val="none"/>
        </w:rPr>
      </w:pPr>
      <w:r>
        <w:rPr>
          <w:rFonts w:hint="eastAsia"/>
          <w:highlight w:val="none"/>
        </w:rPr>
        <w:t>除重点防渗区以外的其它建筑区，如办公楼、厂区道路、门卫、绿化带等。</w:t>
      </w:r>
    </w:p>
    <w:p>
      <w:pPr>
        <w:pStyle w:val="62"/>
        <w:ind w:firstLine="480"/>
        <w:rPr>
          <w:highlight w:val="none"/>
        </w:rPr>
      </w:pPr>
      <w:r>
        <w:rPr>
          <w:rFonts w:hint="eastAsia"/>
          <w:highlight w:val="none"/>
        </w:rPr>
        <w:t>2、防渗</w:t>
      </w:r>
      <w:r>
        <w:rPr>
          <w:highlight w:val="none"/>
        </w:rPr>
        <w:t>措施</w:t>
      </w:r>
    </w:p>
    <w:p>
      <w:pPr>
        <w:pStyle w:val="62"/>
        <w:ind w:firstLine="480"/>
        <w:rPr>
          <w:snapToGrid w:val="0"/>
          <w:color w:val="000000"/>
          <w:highlight w:val="none"/>
        </w:rPr>
      </w:pPr>
      <w:bookmarkStart w:id="309" w:name="_Toc332380253"/>
      <w:bookmarkStart w:id="310" w:name="_Toc332380164"/>
      <w:r>
        <w:rPr>
          <w:rFonts w:hint="eastAsia"/>
          <w:snapToGrid w:val="0"/>
          <w:color w:val="000000"/>
          <w:highlight w:val="none"/>
        </w:rPr>
        <w:t>（1）沉淀池</w:t>
      </w:r>
      <w:r>
        <w:rPr>
          <w:rFonts w:hint="eastAsia"/>
          <w:highlight w:val="none"/>
        </w:rPr>
        <w:t>、沉砂池、初期雨水池、浓缩池、洗车水池、事故池</w:t>
      </w:r>
    </w:p>
    <w:p>
      <w:pPr>
        <w:pStyle w:val="62"/>
        <w:ind w:firstLine="480"/>
        <w:rPr>
          <w:snapToGrid w:val="0"/>
          <w:color w:val="000000"/>
          <w:highlight w:val="none"/>
        </w:rPr>
      </w:pPr>
      <w:r>
        <w:rPr>
          <w:rFonts w:hint="eastAsia"/>
          <w:snapToGrid w:val="0"/>
          <w:color w:val="000000"/>
          <w:highlight w:val="none"/>
        </w:rPr>
        <w:t>池体采用抗渗混凝土浇筑，其厚度不小于</w:t>
      </w:r>
      <w:r>
        <w:rPr>
          <w:snapToGrid w:val="0"/>
          <w:color w:val="000000"/>
          <w:highlight w:val="none"/>
        </w:rPr>
        <w:t>250mm</w:t>
      </w:r>
      <w:r>
        <w:rPr>
          <w:rFonts w:hint="eastAsia"/>
          <w:snapToGrid w:val="0"/>
          <w:color w:val="000000"/>
          <w:highlight w:val="none"/>
        </w:rPr>
        <w:t>，混凝土等级大于</w:t>
      </w:r>
      <w:r>
        <w:rPr>
          <w:snapToGrid w:val="0"/>
          <w:color w:val="000000"/>
          <w:highlight w:val="none"/>
        </w:rPr>
        <w:t>S8</w:t>
      </w:r>
      <w:r>
        <w:rPr>
          <w:rFonts w:hint="eastAsia"/>
          <w:snapToGrid w:val="0"/>
          <w:color w:val="000000"/>
          <w:highlight w:val="none"/>
        </w:rPr>
        <w:t>级，混凝土中掺入微膨胀剂，掺入量以适配结果为准；混凝土需有良好的级配，严格控制沙石的含泥量，并振捣密实，混凝土浇筑完后应加强养护。池体内表面涂刷水泥基渗透结晶型防渗涂料，其厚度不小于</w:t>
      </w:r>
      <w:r>
        <w:rPr>
          <w:snapToGrid w:val="0"/>
          <w:color w:val="000000"/>
          <w:highlight w:val="none"/>
        </w:rPr>
        <w:t>1.0mm</w:t>
      </w:r>
      <w:r>
        <w:rPr>
          <w:rFonts w:hint="eastAsia"/>
          <w:snapToGrid w:val="0"/>
          <w:color w:val="000000"/>
          <w:highlight w:val="none"/>
        </w:rPr>
        <w:t>。废水池防渗结构层渗透系数</w:t>
      </w:r>
      <w:r>
        <w:rPr>
          <w:snapToGrid w:val="0"/>
          <w:color w:val="000000"/>
          <w:highlight w:val="none"/>
        </w:rPr>
        <w:t>≤10</w:t>
      </w:r>
      <w:r>
        <w:rPr>
          <w:snapToGrid w:val="0"/>
          <w:color w:val="000000"/>
          <w:highlight w:val="none"/>
          <w:vertAlign w:val="superscript"/>
        </w:rPr>
        <w:t>-10</w:t>
      </w:r>
      <w:r>
        <w:rPr>
          <w:snapToGrid w:val="0"/>
          <w:color w:val="000000"/>
          <w:highlight w:val="none"/>
        </w:rPr>
        <w:t>cm/s</w:t>
      </w:r>
      <w:r>
        <w:rPr>
          <w:rFonts w:hint="eastAsia"/>
          <w:snapToGrid w:val="0"/>
          <w:color w:val="000000"/>
          <w:highlight w:val="none"/>
        </w:rPr>
        <w:t>。废水处理站地面采用水泥硬化。</w:t>
      </w:r>
    </w:p>
    <w:p>
      <w:pPr>
        <w:pStyle w:val="62"/>
        <w:ind w:firstLine="480"/>
        <w:rPr>
          <w:snapToGrid w:val="0"/>
          <w:color w:val="000000"/>
          <w:highlight w:val="none"/>
        </w:rPr>
      </w:pPr>
      <w:bookmarkStart w:id="311" w:name="_Toc17232448"/>
      <w:r>
        <w:rPr>
          <w:rFonts w:hint="eastAsia"/>
          <w:snapToGrid w:val="0"/>
          <w:color w:val="000000"/>
          <w:highlight w:val="none"/>
        </w:rPr>
        <w:t>（</w:t>
      </w:r>
      <w:r>
        <w:rPr>
          <w:snapToGrid w:val="0"/>
          <w:color w:val="000000"/>
          <w:highlight w:val="none"/>
        </w:rPr>
        <w:t>2</w:t>
      </w:r>
      <w:r>
        <w:rPr>
          <w:rFonts w:hint="eastAsia"/>
          <w:snapToGrid w:val="0"/>
          <w:color w:val="000000"/>
          <w:highlight w:val="none"/>
        </w:rPr>
        <w:t>）</w:t>
      </w:r>
      <w:bookmarkEnd w:id="311"/>
      <w:r>
        <w:rPr>
          <w:rFonts w:hint="eastAsia"/>
          <w:snapToGrid w:val="0"/>
          <w:color w:val="000000"/>
          <w:highlight w:val="none"/>
        </w:rPr>
        <w:t>危废暂存间</w:t>
      </w:r>
    </w:p>
    <w:p>
      <w:pPr>
        <w:pStyle w:val="62"/>
        <w:ind w:firstLine="480"/>
        <w:rPr>
          <w:highlight w:val="none"/>
        </w:rPr>
      </w:pPr>
      <w:r>
        <w:rPr>
          <w:rFonts w:hint="eastAsia"/>
          <w:highlight w:val="none"/>
        </w:rPr>
        <w:t>地面先铺设抗渗等级等于或大于P6级的混凝土，然后上面设2mm厚高密度聚乙烯防渗层，渗透系数≤1×10</w:t>
      </w:r>
      <w:r>
        <w:rPr>
          <w:rFonts w:hint="eastAsia"/>
          <w:highlight w:val="none"/>
          <w:vertAlign w:val="superscript"/>
        </w:rPr>
        <w:t>-10</w:t>
      </w:r>
      <w:r>
        <w:rPr>
          <w:rFonts w:hint="eastAsia"/>
          <w:highlight w:val="none"/>
        </w:rPr>
        <w:t>cm/s，</w:t>
      </w:r>
    </w:p>
    <w:p>
      <w:pPr>
        <w:pStyle w:val="62"/>
        <w:ind w:firstLine="480"/>
        <w:rPr>
          <w:highlight w:val="none"/>
        </w:rPr>
      </w:pPr>
      <w:r>
        <w:rPr>
          <w:rFonts w:hint="eastAsia"/>
          <w:highlight w:val="none"/>
        </w:rPr>
        <w:t>最后设1.0m高的墙裙防渗处理，储存区设15cm高的挡护围堰，室内角落设置集水坑，地面以0.02坡度坡向集水坑。贮存场所设置警示标志，危废暂存间为重点防渗区，设危废暂存桶、危废的容器和包装物粘贴危废识别标志。危险废物定期交有处置资质的单位处置。</w:t>
      </w:r>
    </w:p>
    <w:p>
      <w:pPr>
        <w:pStyle w:val="62"/>
        <w:ind w:firstLine="480"/>
        <w:rPr>
          <w:snapToGrid w:val="0"/>
          <w:color w:val="000000"/>
          <w:highlight w:val="none"/>
        </w:rPr>
      </w:pPr>
      <w:r>
        <w:rPr>
          <w:rFonts w:hint="eastAsia"/>
          <w:snapToGrid w:val="0"/>
          <w:color w:val="000000"/>
          <w:highlight w:val="none"/>
        </w:rPr>
        <w:t>（3）生产车间，原料库，废石库、精矿库</w:t>
      </w:r>
    </w:p>
    <w:p>
      <w:pPr>
        <w:pStyle w:val="62"/>
        <w:ind w:firstLine="480"/>
        <w:rPr>
          <w:highlight w:val="none"/>
        </w:rPr>
      </w:pPr>
      <w:r>
        <w:rPr>
          <w:highlight w:val="none"/>
        </w:rPr>
        <w:t>通过在抗渗混凝土面层（包括钢筋混凝土、钢纤维混凝土）中掺水泥及渗透结晶型防水剂，其下铺砌砂石基层，原土夯实达到防渗的目的。对于混凝土中间的伸缩缝和实体基础的缝隙，通过填充柔性材料达到防渗目的。一般</w:t>
      </w:r>
      <w:r>
        <w:rPr>
          <w:rFonts w:hint="eastAsia"/>
          <w:highlight w:val="none"/>
        </w:rPr>
        <w:t>防渗</w:t>
      </w:r>
      <w:r>
        <w:rPr>
          <w:highlight w:val="none"/>
        </w:rPr>
        <w:t>区抗渗混凝土的抗渗等级不宜小于P8，其厚度不宜小于100mm。确保防渗性能应与1.5</w:t>
      </w:r>
      <w:r>
        <w:rPr>
          <w:rFonts w:hint="eastAsia"/>
          <w:highlight w:val="none"/>
        </w:rPr>
        <w:t>m</w:t>
      </w:r>
      <w:r>
        <w:rPr>
          <w:highlight w:val="none"/>
        </w:rPr>
        <w:t>厚的粘土层等效</w:t>
      </w:r>
      <w:r>
        <w:rPr>
          <w:rFonts w:hint="eastAsia"/>
          <w:highlight w:val="none"/>
        </w:rPr>
        <w:t>，粘土</w:t>
      </w:r>
      <w:r>
        <w:rPr>
          <w:highlight w:val="none"/>
        </w:rPr>
        <w:t>渗透系数≤1.0×10</w:t>
      </w:r>
      <w:r>
        <w:rPr>
          <w:highlight w:val="none"/>
          <w:vertAlign w:val="superscript"/>
        </w:rPr>
        <w:t>-7</w:t>
      </w:r>
      <w:r>
        <w:rPr>
          <w:highlight w:val="none"/>
        </w:rPr>
        <w:t>cm/s。</w:t>
      </w:r>
    </w:p>
    <w:p>
      <w:pPr>
        <w:pStyle w:val="62"/>
        <w:ind w:firstLine="480"/>
        <w:rPr>
          <w:highlight w:val="none"/>
        </w:rPr>
      </w:pPr>
      <w:r>
        <w:rPr>
          <w:rFonts w:hint="eastAsia"/>
          <w:highlight w:val="none"/>
        </w:rPr>
        <w:t>（4）</w:t>
      </w:r>
      <w:bookmarkEnd w:id="309"/>
      <w:bookmarkEnd w:id="310"/>
      <w:r>
        <w:rPr>
          <w:rFonts w:hint="eastAsia"/>
          <w:highlight w:val="none"/>
        </w:rPr>
        <w:t>简单防渗</w:t>
      </w:r>
      <w:r>
        <w:rPr>
          <w:highlight w:val="none"/>
        </w:rPr>
        <w:t>措施</w:t>
      </w:r>
    </w:p>
    <w:p>
      <w:pPr>
        <w:pStyle w:val="62"/>
        <w:ind w:firstLine="480"/>
        <w:rPr>
          <w:highlight w:val="none"/>
        </w:rPr>
      </w:pPr>
      <w:r>
        <w:rPr>
          <w:highlight w:val="none"/>
        </w:rPr>
        <w:t>只需对基础以下采取原土夯实，</w:t>
      </w:r>
      <w:r>
        <w:rPr>
          <w:rFonts w:hint="eastAsia"/>
          <w:highlight w:val="none"/>
        </w:rPr>
        <w:t>进行一般地面硬化</w:t>
      </w:r>
      <w:r>
        <w:rPr>
          <w:highlight w:val="none"/>
        </w:rPr>
        <w:t>，即可达到防渗的目的。</w:t>
      </w:r>
    </w:p>
    <w:p>
      <w:pPr>
        <w:pStyle w:val="62"/>
        <w:ind w:firstLine="480"/>
        <w:rPr>
          <w:highlight w:val="none"/>
        </w:rPr>
      </w:pPr>
      <w:r>
        <w:rPr>
          <w:rFonts w:hint="eastAsia"/>
          <w:highlight w:val="none"/>
        </w:rPr>
        <w:t>综上所述，本项目厂区防渗情况见表5.3-9~5.3-12，防渗分区见附图5-8。</w:t>
      </w:r>
    </w:p>
    <w:p>
      <w:pPr>
        <w:pStyle w:val="65"/>
        <w:rPr>
          <w:highlight w:val="none"/>
        </w:rPr>
      </w:pPr>
      <w:r>
        <w:rPr>
          <w:rFonts w:hint="eastAsia"/>
          <w:highlight w:val="none"/>
        </w:rPr>
        <w:t>表5.3-9    污染控制难易程度分级参照表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17"/>
        <w:gridCol w:w="693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17" w:type="dxa"/>
            <w:vAlign w:val="center"/>
          </w:tcPr>
          <w:p>
            <w:pPr>
              <w:spacing w:line="240" w:lineRule="auto"/>
              <w:ind w:firstLine="0" w:firstLineChars="0"/>
              <w:jc w:val="center"/>
              <w:rPr>
                <w:rFonts w:hAnsi="宋体"/>
                <w:sz w:val="21"/>
                <w:szCs w:val="21"/>
                <w:highlight w:val="none"/>
              </w:rPr>
            </w:pPr>
            <w:r>
              <w:rPr>
                <w:rFonts w:hint="eastAsia" w:hAnsi="宋体"/>
                <w:sz w:val="21"/>
                <w:szCs w:val="21"/>
                <w:highlight w:val="none"/>
              </w:rPr>
              <w:t>污染控制难易程度</w:t>
            </w:r>
          </w:p>
        </w:tc>
        <w:tc>
          <w:tcPr>
            <w:tcW w:w="6933" w:type="dxa"/>
            <w:vAlign w:val="center"/>
          </w:tcPr>
          <w:p>
            <w:pPr>
              <w:spacing w:line="240" w:lineRule="auto"/>
              <w:ind w:firstLine="0" w:firstLineChars="0"/>
              <w:jc w:val="center"/>
              <w:rPr>
                <w:rFonts w:hAnsi="宋体"/>
                <w:sz w:val="21"/>
                <w:szCs w:val="21"/>
                <w:highlight w:val="none"/>
              </w:rPr>
            </w:pPr>
            <w:r>
              <w:rPr>
                <w:rFonts w:hint="eastAsia" w:hAnsi="宋体"/>
                <w:sz w:val="21"/>
                <w:szCs w:val="21"/>
                <w:highlight w:val="none"/>
              </w:rPr>
              <w:t>主要特征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17" w:type="dxa"/>
            <w:vAlign w:val="center"/>
          </w:tcPr>
          <w:p>
            <w:pPr>
              <w:spacing w:line="240" w:lineRule="auto"/>
              <w:ind w:firstLine="0" w:firstLineChars="0"/>
              <w:jc w:val="center"/>
              <w:rPr>
                <w:rFonts w:hAnsi="宋体"/>
                <w:sz w:val="21"/>
                <w:szCs w:val="21"/>
                <w:highlight w:val="none"/>
              </w:rPr>
            </w:pPr>
            <w:r>
              <w:rPr>
                <w:rFonts w:hint="eastAsia" w:hAnsi="宋体"/>
                <w:sz w:val="21"/>
                <w:szCs w:val="21"/>
                <w:highlight w:val="none"/>
              </w:rPr>
              <w:t>难</w:t>
            </w:r>
          </w:p>
        </w:tc>
        <w:tc>
          <w:tcPr>
            <w:tcW w:w="6933" w:type="dxa"/>
            <w:vAlign w:val="center"/>
          </w:tcPr>
          <w:p>
            <w:pPr>
              <w:spacing w:line="240" w:lineRule="auto"/>
              <w:ind w:firstLine="0" w:firstLineChars="0"/>
              <w:jc w:val="center"/>
              <w:rPr>
                <w:rFonts w:hAnsi="宋体"/>
                <w:sz w:val="21"/>
                <w:szCs w:val="21"/>
                <w:highlight w:val="none"/>
              </w:rPr>
            </w:pPr>
            <w:r>
              <w:rPr>
                <w:rFonts w:hint="eastAsia" w:hAnsi="宋体"/>
                <w:sz w:val="21"/>
                <w:szCs w:val="21"/>
                <w:highlight w:val="none"/>
              </w:rPr>
              <w:t>对地下水环境有污染的物料，或污染物泄漏后，不能及时发现和处理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17" w:type="dxa"/>
            <w:vAlign w:val="center"/>
          </w:tcPr>
          <w:p>
            <w:pPr>
              <w:spacing w:line="240" w:lineRule="auto"/>
              <w:ind w:firstLine="0" w:firstLineChars="0"/>
              <w:jc w:val="center"/>
              <w:rPr>
                <w:rFonts w:hAnsi="宋体"/>
                <w:sz w:val="21"/>
                <w:szCs w:val="21"/>
                <w:highlight w:val="none"/>
              </w:rPr>
            </w:pPr>
            <w:r>
              <w:rPr>
                <w:rFonts w:hint="eastAsia" w:hAnsi="宋体"/>
                <w:sz w:val="21"/>
                <w:szCs w:val="21"/>
                <w:highlight w:val="none"/>
              </w:rPr>
              <w:t>易</w:t>
            </w:r>
          </w:p>
        </w:tc>
        <w:tc>
          <w:tcPr>
            <w:tcW w:w="6933" w:type="dxa"/>
            <w:vAlign w:val="center"/>
          </w:tcPr>
          <w:p>
            <w:pPr>
              <w:spacing w:line="240" w:lineRule="auto"/>
              <w:ind w:firstLine="0" w:firstLineChars="0"/>
              <w:jc w:val="center"/>
              <w:rPr>
                <w:rFonts w:hAnsi="宋体"/>
                <w:sz w:val="21"/>
                <w:szCs w:val="21"/>
                <w:highlight w:val="none"/>
              </w:rPr>
            </w:pPr>
            <w:r>
              <w:rPr>
                <w:rFonts w:hint="eastAsia" w:hAnsi="宋体"/>
                <w:sz w:val="21"/>
                <w:szCs w:val="21"/>
                <w:highlight w:val="none"/>
              </w:rPr>
              <w:t>对地下水环境有污染的物料，或污染物泄漏后，可及时发现和处理</w:t>
            </w:r>
          </w:p>
        </w:tc>
      </w:tr>
    </w:tbl>
    <w:p>
      <w:pPr>
        <w:pStyle w:val="65"/>
        <w:rPr>
          <w:highlight w:val="none"/>
        </w:rPr>
      </w:pPr>
      <w:r>
        <w:rPr>
          <w:rFonts w:hint="eastAsia"/>
          <w:highlight w:val="none"/>
        </w:rPr>
        <w:t>表5.3-10    包气带防污性能分类</w:t>
      </w:r>
    </w:p>
    <w:tbl>
      <w:tblPr>
        <w:tblStyle w:val="44"/>
        <w:tblW w:w="8950"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12"/>
        <w:gridCol w:w="823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12"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分级</w:t>
            </w:r>
          </w:p>
        </w:tc>
        <w:tc>
          <w:tcPr>
            <w:tcW w:w="8238"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包气带岩</w:t>
            </w:r>
            <w:r>
              <w:rPr>
                <w:rFonts w:hint="eastAsia" w:ascii="宋体" w:hAnsi="宋体"/>
                <w:sz w:val="21"/>
                <w:szCs w:val="21"/>
                <w:highlight w:val="none"/>
              </w:rPr>
              <w:t>（土）</w:t>
            </w:r>
            <w:r>
              <w:rPr>
                <w:rFonts w:ascii="宋体" w:hAnsi="宋体"/>
                <w:sz w:val="21"/>
                <w:szCs w:val="21"/>
                <w:highlight w:val="none"/>
              </w:rPr>
              <w:t>的渗透性能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12"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强</w:t>
            </w:r>
          </w:p>
        </w:tc>
        <w:tc>
          <w:tcPr>
            <w:tcW w:w="8238" w:type="dxa"/>
            <w:vAlign w:val="center"/>
          </w:tcPr>
          <w:p>
            <w:pPr>
              <w:spacing w:line="240" w:lineRule="auto"/>
              <w:ind w:firstLine="0" w:firstLineChars="0"/>
              <w:jc w:val="left"/>
              <w:rPr>
                <w:rFonts w:ascii="宋体" w:hAnsi="宋体"/>
                <w:sz w:val="21"/>
                <w:szCs w:val="21"/>
                <w:highlight w:val="none"/>
              </w:rPr>
            </w:pPr>
            <w:r>
              <w:rPr>
                <w:rFonts w:ascii="宋体" w:hAnsi="宋体"/>
                <w:sz w:val="21"/>
                <w:szCs w:val="21"/>
                <w:highlight w:val="none"/>
              </w:rPr>
              <w:t>岩</w:t>
            </w:r>
            <w:r>
              <w:rPr>
                <w:rFonts w:hint="eastAsia" w:ascii="宋体" w:hAnsi="宋体"/>
                <w:sz w:val="21"/>
                <w:szCs w:val="21"/>
                <w:highlight w:val="none"/>
              </w:rPr>
              <w:t>（土）</w:t>
            </w:r>
            <w:r>
              <w:rPr>
                <w:rFonts w:ascii="宋体" w:hAnsi="宋体"/>
                <w:sz w:val="21"/>
                <w:szCs w:val="21"/>
                <w:highlight w:val="none"/>
              </w:rPr>
              <w:t>层单层厚度M</w:t>
            </w:r>
            <w:r>
              <w:rPr>
                <w:rFonts w:ascii="宋体" w:hAnsi="宋体"/>
                <w:sz w:val="21"/>
                <w:szCs w:val="21"/>
                <w:highlight w:val="none"/>
                <w:vertAlign w:val="subscript"/>
              </w:rPr>
              <w:t>b</w:t>
            </w:r>
            <w:r>
              <w:rPr>
                <w:rFonts w:ascii="宋体" w:hAnsi="宋体"/>
                <w:sz w:val="21"/>
                <w:szCs w:val="21"/>
                <w:highlight w:val="none"/>
              </w:rPr>
              <w:t>≥1.0m，渗透系数K≤10</w:t>
            </w:r>
            <w:r>
              <w:rPr>
                <w:rFonts w:ascii="宋体" w:hAnsi="宋体"/>
                <w:sz w:val="21"/>
                <w:szCs w:val="21"/>
                <w:highlight w:val="none"/>
                <w:vertAlign w:val="superscript"/>
              </w:rPr>
              <w:t>-7</w:t>
            </w:r>
            <w:r>
              <w:rPr>
                <w:rFonts w:ascii="宋体" w:hAnsi="宋体"/>
                <w:sz w:val="21"/>
                <w:szCs w:val="21"/>
                <w:highlight w:val="none"/>
              </w:rPr>
              <w:t>cm/s，且分布连续、稳定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12"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中</w:t>
            </w:r>
          </w:p>
        </w:tc>
        <w:tc>
          <w:tcPr>
            <w:tcW w:w="8238" w:type="dxa"/>
            <w:vAlign w:val="center"/>
          </w:tcPr>
          <w:p>
            <w:pPr>
              <w:spacing w:line="240" w:lineRule="auto"/>
              <w:ind w:firstLine="0" w:firstLineChars="0"/>
              <w:jc w:val="left"/>
              <w:rPr>
                <w:rFonts w:ascii="宋体" w:hAnsi="宋体"/>
                <w:sz w:val="21"/>
                <w:szCs w:val="21"/>
                <w:highlight w:val="none"/>
              </w:rPr>
            </w:pPr>
            <w:r>
              <w:rPr>
                <w:rFonts w:ascii="宋体" w:hAnsi="宋体"/>
                <w:sz w:val="21"/>
                <w:szCs w:val="21"/>
                <w:highlight w:val="none"/>
              </w:rPr>
              <w:t>岩</w:t>
            </w:r>
            <w:r>
              <w:rPr>
                <w:rFonts w:hint="eastAsia" w:ascii="宋体" w:hAnsi="宋体"/>
                <w:sz w:val="21"/>
                <w:szCs w:val="21"/>
                <w:highlight w:val="none"/>
              </w:rPr>
              <w:t>（土）</w:t>
            </w:r>
            <w:r>
              <w:rPr>
                <w:rFonts w:ascii="宋体" w:hAnsi="宋体"/>
                <w:sz w:val="21"/>
                <w:szCs w:val="21"/>
                <w:highlight w:val="none"/>
              </w:rPr>
              <w:t>层单层厚度0.5m≤M</w:t>
            </w:r>
            <w:r>
              <w:rPr>
                <w:rFonts w:ascii="宋体" w:hAnsi="宋体"/>
                <w:sz w:val="21"/>
                <w:szCs w:val="21"/>
                <w:highlight w:val="none"/>
                <w:vertAlign w:val="subscript"/>
              </w:rPr>
              <w:t>b</w:t>
            </w:r>
            <w:r>
              <w:rPr>
                <w:rFonts w:ascii="宋体" w:hAnsi="宋体"/>
                <w:sz w:val="21"/>
                <w:szCs w:val="21"/>
                <w:highlight w:val="none"/>
              </w:rPr>
              <w:t>﹤1.0m，渗透系数K≤10</w:t>
            </w:r>
            <w:r>
              <w:rPr>
                <w:rFonts w:ascii="宋体" w:hAnsi="宋体"/>
                <w:sz w:val="21"/>
                <w:szCs w:val="21"/>
                <w:highlight w:val="none"/>
                <w:vertAlign w:val="superscript"/>
              </w:rPr>
              <w:t>-7</w:t>
            </w:r>
            <w:r>
              <w:rPr>
                <w:rFonts w:ascii="宋体" w:hAnsi="宋体"/>
                <w:sz w:val="21"/>
                <w:szCs w:val="21"/>
                <w:highlight w:val="none"/>
              </w:rPr>
              <w:t>cm/s，且分布连续、稳定</w:t>
            </w:r>
          </w:p>
          <w:p>
            <w:pPr>
              <w:spacing w:line="240" w:lineRule="auto"/>
              <w:ind w:firstLine="0" w:firstLineChars="0"/>
              <w:jc w:val="left"/>
              <w:rPr>
                <w:rFonts w:ascii="宋体" w:hAnsi="宋体"/>
                <w:sz w:val="21"/>
                <w:szCs w:val="21"/>
                <w:highlight w:val="none"/>
              </w:rPr>
            </w:pPr>
            <w:r>
              <w:rPr>
                <w:rFonts w:ascii="宋体" w:hAnsi="宋体"/>
                <w:sz w:val="21"/>
                <w:szCs w:val="21"/>
                <w:highlight w:val="none"/>
              </w:rPr>
              <w:t>岩</w:t>
            </w:r>
            <w:r>
              <w:rPr>
                <w:rFonts w:hint="eastAsia" w:ascii="宋体" w:hAnsi="宋体"/>
                <w:sz w:val="21"/>
                <w:szCs w:val="21"/>
                <w:highlight w:val="none"/>
              </w:rPr>
              <w:t>（土）</w:t>
            </w:r>
            <w:r>
              <w:rPr>
                <w:rFonts w:ascii="宋体" w:hAnsi="宋体"/>
                <w:sz w:val="21"/>
                <w:szCs w:val="21"/>
                <w:highlight w:val="none"/>
              </w:rPr>
              <w:t>层单层厚度M</w:t>
            </w:r>
            <w:r>
              <w:rPr>
                <w:rFonts w:ascii="宋体" w:hAnsi="宋体"/>
                <w:sz w:val="21"/>
                <w:szCs w:val="21"/>
                <w:highlight w:val="none"/>
                <w:vertAlign w:val="subscript"/>
              </w:rPr>
              <w:t>b</w:t>
            </w:r>
            <w:r>
              <w:rPr>
                <w:rFonts w:ascii="宋体" w:hAnsi="宋体"/>
                <w:sz w:val="21"/>
                <w:szCs w:val="21"/>
                <w:highlight w:val="none"/>
              </w:rPr>
              <w:t>≥1.0m，渗透系数10</w:t>
            </w:r>
            <w:r>
              <w:rPr>
                <w:rFonts w:ascii="宋体" w:hAnsi="宋体"/>
                <w:sz w:val="21"/>
                <w:szCs w:val="21"/>
                <w:highlight w:val="none"/>
                <w:vertAlign w:val="superscript"/>
              </w:rPr>
              <w:t>-7</w:t>
            </w:r>
            <w:r>
              <w:rPr>
                <w:rFonts w:ascii="宋体" w:hAnsi="宋体"/>
                <w:sz w:val="21"/>
                <w:szCs w:val="21"/>
                <w:highlight w:val="none"/>
              </w:rPr>
              <w:t>﹤K≤10</w:t>
            </w:r>
            <w:r>
              <w:rPr>
                <w:rFonts w:ascii="宋体" w:hAnsi="宋体"/>
                <w:sz w:val="21"/>
                <w:szCs w:val="21"/>
                <w:highlight w:val="none"/>
                <w:vertAlign w:val="superscript"/>
              </w:rPr>
              <w:t>-4</w:t>
            </w:r>
            <w:r>
              <w:rPr>
                <w:rFonts w:ascii="宋体" w:hAnsi="宋体"/>
                <w:sz w:val="21"/>
                <w:szCs w:val="21"/>
                <w:highlight w:val="none"/>
              </w:rPr>
              <w:t>cm/s，且分布连续、稳定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12"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弱</w:t>
            </w:r>
          </w:p>
        </w:tc>
        <w:tc>
          <w:tcPr>
            <w:tcW w:w="8238" w:type="dxa"/>
            <w:vAlign w:val="center"/>
          </w:tcPr>
          <w:p>
            <w:pPr>
              <w:spacing w:line="240" w:lineRule="auto"/>
              <w:ind w:firstLine="0" w:firstLineChars="0"/>
              <w:jc w:val="left"/>
              <w:rPr>
                <w:rFonts w:ascii="宋体" w:hAnsi="宋体"/>
                <w:sz w:val="21"/>
                <w:szCs w:val="21"/>
                <w:highlight w:val="none"/>
              </w:rPr>
            </w:pPr>
            <w:r>
              <w:rPr>
                <w:rFonts w:ascii="宋体" w:hAnsi="宋体"/>
                <w:sz w:val="21"/>
                <w:szCs w:val="21"/>
                <w:highlight w:val="none"/>
              </w:rPr>
              <w:t>岩</w:t>
            </w:r>
            <w:r>
              <w:rPr>
                <w:rFonts w:hint="eastAsia" w:ascii="宋体" w:hAnsi="宋体"/>
                <w:sz w:val="21"/>
                <w:szCs w:val="21"/>
                <w:highlight w:val="none"/>
              </w:rPr>
              <w:t>（土）</w:t>
            </w:r>
            <w:r>
              <w:rPr>
                <w:rFonts w:ascii="宋体" w:hAnsi="宋体"/>
                <w:sz w:val="21"/>
                <w:szCs w:val="21"/>
                <w:highlight w:val="none"/>
              </w:rPr>
              <w:t>层不满足上述</w:t>
            </w:r>
            <w:r>
              <w:rPr>
                <w:rFonts w:hint="eastAsia" w:ascii="宋体" w:hAnsi="宋体"/>
                <w:sz w:val="21"/>
                <w:szCs w:val="21"/>
                <w:highlight w:val="none"/>
              </w:rPr>
              <w:t>“强”</w:t>
            </w:r>
            <w:r>
              <w:rPr>
                <w:rFonts w:ascii="宋体" w:hAnsi="宋体"/>
                <w:sz w:val="21"/>
                <w:szCs w:val="21"/>
                <w:highlight w:val="none"/>
              </w:rPr>
              <w:t>和</w:t>
            </w:r>
            <w:r>
              <w:rPr>
                <w:rFonts w:hint="eastAsia" w:ascii="宋体" w:hAnsi="宋体"/>
                <w:sz w:val="21"/>
                <w:szCs w:val="21"/>
                <w:highlight w:val="none"/>
              </w:rPr>
              <w:t>“中”</w:t>
            </w:r>
            <w:r>
              <w:rPr>
                <w:rFonts w:ascii="宋体" w:hAnsi="宋体"/>
                <w:sz w:val="21"/>
                <w:szCs w:val="21"/>
                <w:highlight w:val="none"/>
              </w:rPr>
              <w:t>条件</w:t>
            </w:r>
          </w:p>
        </w:tc>
      </w:tr>
    </w:tbl>
    <w:p>
      <w:pPr>
        <w:pStyle w:val="65"/>
        <w:rPr>
          <w:highlight w:val="none"/>
        </w:rPr>
      </w:pPr>
      <w:r>
        <w:rPr>
          <w:rFonts w:hint="eastAsia"/>
          <w:highlight w:val="none"/>
        </w:rPr>
        <w:t>表5.3-11    地下水污染防治分区参照表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90"/>
        <w:gridCol w:w="1847"/>
        <w:gridCol w:w="1663"/>
        <w:gridCol w:w="1847"/>
        <w:gridCol w:w="200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Align w:val="center"/>
          </w:tcPr>
          <w:p>
            <w:pPr>
              <w:spacing w:line="240" w:lineRule="auto"/>
              <w:ind w:firstLine="0" w:firstLineChars="0"/>
              <w:jc w:val="center"/>
              <w:rPr>
                <w:rFonts w:ascii="宋体" w:hAnsi="宋体"/>
                <w:sz w:val="28"/>
                <w:szCs w:val="21"/>
                <w:highlight w:val="none"/>
              </w:rPr>
            </w:pPr>
            <w:r>
              <w:rPr>
                <w:rFonts w:ascii="宋体" w:hAnsi="宋体"/>
                <w:sz w:val="21"/>
                <w:szCs w:val="21"/>
                <w:highlight w:val="none"/>
              </w:rPr>
              <w:t>防渗分区</w:t>
            </w: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天然包气带</w:t>
            </w:r>
          </w:p>
          <w:p>
            <w:pPr>
              <w:spacing w:line="240" w:lineRule="auto"/>
              <w:ind w:firstLine="0" w:firstLineChars="0"/>
              <w:jc w:val="center"/>
              <w:rPr>
                <w:rFonts w:ascii="宋体" w:hAnsi="宋体"/>
                <w:sz w:val="21"/>
                <w:szCs w:val="21"/>
                <w:highlight w:val="none"/>
              </w:rPr>
            </w:pPr>
            <w:r>
              <w:rPr>
                <w:rFonts w:ascii="宋体" w:hAnsi="宋体"/>
                <w:sz w:val="21"/>
                <w:szCs w:val="21"/>
                <w:highlight w:val="none"/>
              </w:rPr>
              <w:t>防污性能</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污染物控制</w:t>
            </w:r>
          </w:p>
          <w:p>
            <w:pPr>
              <w:spacing w:line="240" w:lineRule="auto"/>
              <w:ind w:firstLine="0" w:firstLineChars="0"/>
              <w:jc w:val="center"/>
              <w:rPr>
                <w:rFonts w:ascii="宋体" w:hAnsi="宋体"/>
                <w:sz w:val="21"/>
                <w:szCs w:val="21"/>
                <w:highlight w:val="none"/>
              </w:rPr>
            </w:pPr>
            <w:r>
              <w:rPr>
                <w:rFonts w:ascii="宋体" w:hAnsi="宋体"/>
                <w:sz w:val="21"/>
                <w:szCs w:val="21"/>
                <w:highlight w:val="none"/>
              </w:rPr>
              <w:t>难易程度</w:t>
            </w: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污染物类型</w:t>
            </w:r>
          </w:p>
        </w:tc>
        <w:tc>
          <w:tcPr>
            <w:tcW w:w="200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防渗技术要求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重点防治区</w:t>
            </w: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弱</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难</w:t>
            </w:r>
          </w:p>
        </w:tc>
        <w:tc>
          <w:tcPr>
            <w:tcW w:w="1847"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重金属、持久性有机物污染物</w:t>
            </w:r>
          </w:p>
        </w:tc>
        <w:tc>
          <w:tcPr>
            <w:tcW w:w="2003"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等效粘土防渗层Mb≥6.0m，K≤10-7cm/s；或参照GB18598执行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continue"/>
            <w:vAlign w:val="center"/>
          </w:tcPr>
          <w:p>
            <w:pPr>
              <w:spacing w:line="240" w:lineRule="auto"/>
              <w:ind w:firstLine="0" w:firstLineChars="0"/>
              <w:jc w:val="left"/>
              <w:rPr>
                <w:rFonts w:ascii="宋体" w:hAnsi="宋体"/>
                <w:sz w:val="21"/>
                <w:szCs w:val="21"/>
                <w:highlight w:val="none"/>
              </w:rPr>
            </w:pP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中</w:t>
            </w:r>
            <w:r>
              <w:rPr>
                <w:rFonts w:hint="eastAsia" w:ascii="宋体" w:hAnsi="宋体"/>
                <w:sz w:val="21"/>
                <w:szCs w:val="21"/>
                <w:highlight w:val="none"/>
              </w:rPr>
              <w:t>-</w:t>
            </w:r>
            <w:r>
              <w:rPr>
                <w:rFonts w:ascii="宋体" w:hAnsi="宋体"/>
                <w:sz w:val="21"/>
                <w:szCs w:val="21"/>
                <w:highlight w:val="none"/>
              </w:rPr>
              <w:t>强</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难</w:t>
            </w:r>
          </w:p>
        </w:tc>
        <w:tc>
          <w:tcPr>
            <w:tcW w:w="1847" w:type="dxa"/>
            <w:vMerge w:val="continue"/>
            <w:vAlign w:val="center"/>
          </w:tcPr>
          <w:p>
            <w:pPr>
              <w:spacing w:line="240" w:lineRule="auto"/>
              <w:ind w:firstLine="0" w:firstLineChars="0"/>
              <w:jc w:val="left"/>
              <w:rPr>
                <w:rFonts w:ascii="宋体" w:hAnsi="宋体"/>
                <w:sz w:val="21"/>
                <w:szCs w:val="21"/>
                <w:highlight w:val="none"/>
              </w:rPr>
            </w:pPr>
          </w:p>
        </w:tc>
        <w:tc>
          <w:tcPr>
            <w:tcW w:w="2003" w:type="dxa"/>
            <w:vMerge w:val="continue"/>
            <w:vAlign w:val="center"/>
          </w:tcPr>
          <w:p>
            <w:pPr>
              <w:spacing w:line="240" w:lineRule="auto"/>
              <w:ind w:firstLine="0" w:firstLineChars="0"/>
              <w:jc w:val="left"/>
              <w:rPr>
                <w:rFonts w:ascii="宋体" w:hAnsi="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continue"/>
            <w:vAlign w:val="center"/>
          </w:tcPr>
          <w:p>
            <w:pPr>
              <w:spacing w:line="240" w:lineRule="auto"/>
              <w:ind w:firstLine="0" w:firstLineChars="0"/>
              <w:jc w:val="left"/>
              <w:rPr>
                <w:rFonts w:ascii="宋体" w:hAnsi="宋体"/>
                <w:sz w:val="21"/>
                <w:szCs w:val="21"/>
                <w:highlight w:val="none"/>
              </w:rPr>
            </w:pP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弱</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易</w:t>
            </w:r>
          </w:p>
        </w:tc>
        <w:tc>
          <w:tcPr>
            <w:tcW w:w="1847" w:type="dxa"/>
            <w:vMerge w:val="continue"/>
            <w:vAlign w:val="center"/>
          </w:tcPr>
          <w:p>
            <w:pPr>
              <w:spacing w:line="240" w:lineRule="auto"/>
              <w:ind w:firstLine="0" w:firstLineChars="0"/>
              <w:jc w:val="left"/>
              <w:rPr>
                <w:rFonts w:ascii="宋体" w:hAnsi="宋体"/>
                <w:sz w:val="21"/>
                <w:szCs w:val="21"/>
                <w:highlight w:val="none"/>
              </w:rPr>
            </w:pPr>
          </w:p>
        </w:tc>
        <w:tc>
          <w:tcPr>
            <w:tcW w:w="2003" w:type="dxa"/>
            <w:vMerge w:val="continue"/>
            <w:vAlign w:val="center"/>
          </w:tcPr>
          <w:p>
            <w:pPr>
              <w:spacing w:line="240" w:lineRule="auto"/>
              <w:ind w:firstLine="0" w:firstLineChars="0"/>
              <w:jc w:val="left"/>
              <w:rPr>
                <w:rFonts w:ascii="宋体" w:hAnsi="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一般防治区</w:t>
            </w: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弱</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易</w:t>
            </w:r>
            <w:r>
              <w:rPr>
                <w:rFonts w:hint="eastAsia" w:ascii="宋体" w:hAnsi="宋体"/>
                <w:sz w:val="21"/>
                <w:szCs w:val="21"/>
                <w:highlight w:val="none"/>
              </w:rPr>
              <w:t>-</w:t>
            </w:r>
            <w:r>
              <w:rPr>
                <w:rFonts w:ascii="宋体" w:hAnsi="宋体"/>
                <w:sz w:val="21"/>
                <w:szCs w:val="21"/>
                <w:highlight w:val="none"/>
              </w:rPr>
              <w:t>难</w:t>
            </w:r>
          </w:p>
        </w:tc>
        <w:tc>
          <w:tcPr>
            <w:tcW w:w="1847"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其他类型</w:t>
            </w:r>
          </w:p>
        </w:tc>
        <w:tc>
          <w:tcPr>
            <w:tcW w:w="2003"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等效粘土防渗层Mb≥1.5m，K≤10-7cm/s；或参照GB16889执行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continue"/>
            <w:vAlign w:val="center"/>
          </w:tcPr>
          <w:p>
            <w:pPr>
              <w:spacing w:line="240" w:lineRule="auto"/>
              <w:ind w:firstLine="0" w:firstLineChars="0"/>
              <w:jc w:val="left"/>
              <w:rPr>
                <w:rFonts w:ascii="宋体" w:hAnsi="宋体"/>
                <w:sz w:val="21"/>
                <w:szCs w:val="21"/>
                <w:highlight w:val="none"/>
              </w:rPr>
            </w:pP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中</w:t>
            </w:r>
            <w:r>
              <w:rPr>
                <w:rFonts w:hint="eastAsia" w:ascii="宋体" w:hAnsi="宋体"/>
                <w:sz w:val="21"/>
                <w:szCs w:val="21"/>
                <w:highlight w:val="none"/>
              </w:rPr>
              <w:t>-</w:t>
            </w:r>
            <w:r>
              <w:rPr>
                <w:rFonts w:ascii="宋体" w:hAnsi="宋体"/>
                <w:sz w:val="21"/>
                <w:szCs w:val="21"/>
                <w:highlight w:val="none"/>
              </w:rPr>
              <w:t>强</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难</w:t>
            </w:r>
          </w:p>
        </w:tc>
        <w:tc>
          <w:tcPr>
            <w:tcW w:w="1847" w:type="dxa"/>
            <w:vMerge w:val="continue"/>
            <w:vAlign w:val="center"/>
          </w:tcPr>
          <w:p>
            <w:pPr>
              <w:spacing w:line="240" w:lineRule="auto"/>
              <w:ind w:firstLine="0" w:firstLineChars="0"/>
              <w:jc w:val="left"/>
              <w:rPr>
                <w:rFonts w:ascii="宋体" w:hAnsi="宋体"/>
                <w:sz w:val="21"/>
                <w:szCs w:val="21"/>
                <w:highlight w:val="none"/>
              </w:rPr>
            </w:pPr>
          </w:p>
        </w:tc>
        <w:tc>
          <w:tcPr>
            <w:tcW w:w="2003" w:type="dxa"/>
            <w:vMerge w:val="continue"/>
            <w:vAlign w:val="center"/>
          </w:tcPr>
          <w:p>
            <w:pPr>
              <w:spacing w:line="240" w:lineRule="auto"/>
              <w:ind w:firstLine="0" w:firstLineChars="0"/>
              <w:jc w:val="left"/>
              <w:rPr>
                <w:rFonts w:ascii="宋体" w:hAnsi="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continue"/>
            <w:vAlign w:val="center"/>
          </w:tcPr>
          <w:p>
            <w:pPr>
              <w:spacing w:line="240" w:lineRule="auto"/>
              <w:ind w:firstLine="0" w:firstLineChars="0"/>
              <w:jc w:val="left"/>
              <w:rPr>
                <w:rFonts w:ascii="宋体" w:hAnsi="宋体"/>
                <w:sz w:val="21"/>
                <w:szCs w:val="21"/>
                <w:highlight w:val="none"/>
              </w:rPr>
            </w:pP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中</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易</w:t>
            </w:r>
          </w:p>
        </w:tc>
        <w:tc>
          <w:tcPr>
            <w:tcW w:w="1847" w:type="dxa"/>
            <w:vMerge w:val="restart"/>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重金属、持久性有机物污染物</w:t>
            </w:r>
          </w:p>
        </w:tc>
        <w:tc>
          <w:tcPr>
            <w:tcW w:w="2003" w:type="dxa"/>
            <w:vMerge w:val="continue"/>
            <w:vAlign w:val="center"/>
          </w:tcPr>
          <w:p>
            <w:pPr>
              <w:spacing w:line="240" w:lineRule="auto"/>
              <w:ind w:firstLine="0" w:firstLineChars="0"/>
              <w:jc w:val="left"/>
              <w:rPr>
                <w:rFonts w:ascii="宋体" w:hAnsi="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Merge w:val="continue"/>
            <w:vAlign w:val="center"/>
          </w:tcPr>
          <w:p>
            <w:pPr>
              <w:spacing w:line="240" w:lineRule="auto"/>
              <w:ind w:firstLine="0" w:firstLineChars="0"/>
              <w:jc w:val="left"/>
              <w:rPr>
                <w:rFonts w:ascii="宋体" w:hAnsi="宋体"/>
                <w:sz w:val="21"/>
                <w:szCs w:val="21"/>
                <w:highlight w:val="none"/>
              </w:rPr>
            </w:pP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强</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易</w:t>
            </w:r>
          </w:p>
        </w:tc>
        <w:tc>
          <w:tcPr>
            <w:tcW w:w="1847" w:type="dxa"/>
            <w:vMerge w:val="continue"/>
            <w:vAlign w:val="center"/>
          </w:tcPr>
          <w:p>
            <w:pPr>
              <w:spacing w:line="240" w:lineRule="auto"/>
              <w:ind w:firstLine="0" w:firstLineChars="0"/>
              <w:jc w:val="left"/>
              <w:rPr>
                <w:rFonts w:ascii="宋体" w:hAnsi="宋体"/>
                <w:sz w:val="21"/>
                <w:szCs w:val="21"/>
                <w:highlight w:val="none"/>
              </w:rPr>
            </w:pPr>
          </w:p>
        </w:tc>
        <w:tc>
          <w:tcPr>
            <w:tcW w:w="2003" w:type="dxa"/>
            <w:vMerge w:val="continue"/>
            <w:vAlign w:val="center"/>
          </w:tcPr>
          <w:p>
            <w:pPr>
              <w:spacing w:line="240" w:lineRule="auto"/>
              <w:ind w:firstLine="0" w:firstLineChars="0"/>
              <w:jc w:val="left"/>
              <w:rPr>
                <w:rFonts w:ascii="宋体" w:hAnsi="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0"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简单防治区</w:t>
            </w: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中</w:t>
            </w:r>
            <w:r>
              <w:rPr>
                <w:rFonts w:hint="eastAsia" w:ascii="宋体" w:hAnsi="宋体"/>
                <w:sz w:val="21"/>
                <w:szCs w:val="21"/>
                <w:highlight w:val="none"/>
              </w:rPr>
              <w:t>-</w:t>
            </w:r>
            <w:r>
              <w:rPr>
                <w:rFonts w:ascii="宋体" w:hAnsi="宋体"/>
                <w:sz w:val="21"/>
                <w:szCs w:val="21"/>
                <w:highlight w:val="none"/>
              </w:rPr>
              <w:t>强</w:t>
            </w:r>
          </w:p>
        </w:tc>
        <w:tc>
          <w:tcPr>
            <w:tcW w:w="166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易</w:t>
            </w:r>
          </w:p>
        </w:tc>
        <w:tc>
          <w:tcPr>
            <w:tcW w:w="1847"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其他类型</w:t>
            </w:r>
          </w:p>
        </w:tc>
        <w:tc>
          <w:tcPr>
            <w:tcW w:w="2003" w:type="dxa"/>
            <w:vAlign w:val="center"/>
          </w:tcPr>
          <w:p>
            <w:pPr>
              <w:spacing w:line="240" w:lineRule="auto"/>
              <w:ind w:firstLine="0" w:firstLineChars="0"/>
              <w:jc w:val="center"/>
              <w:rPr>
                <w:rFonts w:ascii="宋体" w:hAnsi="宋体"/>
                <w:sz w:val="21"/>
                <w:szCs w:val="21"/>
                <w:highlight w:val="none"/>
              </w:rPr>
            </w:pPr>
            <w:r>
              <w:rPr>
                <w:rFonts w:ascii="宋体" w:hAnsi="宋体"/>
                <w:sz w:val="21"/>
                <w:szCs w:val="21"/>
                <w:highlight w:val="none"/>
              </w:rPr>
              <w:t>一般地面硬化</w:t>
            </w:r>
          </w:p>
        </w:tc>
      </w:tr>
    </w:tbl>
    <w:p>
      <w:pPr>
        <w:pStyle w:val="65"/>
        <w:rPr>
          <w:highlight w:val="none"/>
        </w:rPr>
      </w:pPr>
      <w:r>
        <w:rPr>
          <w:rFonts w:hAnsi="宋体"/>
          <w:highlight w:val="none"/>
        </w:rPr>
        <w:t>表</w:t>
      </w:r>
      <w:r>
        <w:rPr>
          <w:rFonts w:hint="eastAsia"/>
          <w:highlight w:val="none"/>
        </w:rPr>
        <w:t>5.3-12</w:t>
      </w:r>
      <w:r>
        <w:rPr>
          <w:highlight w:val="none"/>
        </w:rPr>
        <w:t xml:space="preserve">  </w:t>
      </w:r>
      <w:r>
        <w:rPr>
          <w:rFonts w:hint="eastAsia"/>
          <w:highlight w:val="none"/>
        </w:rPr>
        <w:t xml:space="preserve">  </w:t>
      </w:r>
      <w:r>
        <w:rPr>
          <w:rFonts w:hAnsi="宋体"/>
          <w:highlight w:val="none"/>
        </w:rPr>
        <w:t>防渗分区表</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56"/>
        <w:gridCol w:w="2376"/>
        <w:gridCol w:w="1504"/>
        <w:gridCol w:w="431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56"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编号</w:t>
            </w:r>
          </w:p>
        </w:tc>
        <w:tc>
          <w:tcPr>
            <w:tcW w:w="2376"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装置（单元、设施）</w:t>
            </w:r>
          </w:p>
        </w:tc>
        <w:tc>
          <w:tcPr>
            <w:tcW w:w="1504"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防渗等级</w:t>
            </w:r>
          </w:p>
        </w:tc>
        <w:tc>
          <w:tcPr>
            <w:tcW w:w="4314"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防渗技术要求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56"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1</w:t>
            </w:r>
          </w:p>
        </w:tc>
        <w:tc>
          <w:tcPr>
            <w:tcW w:w="2376" w:type="dxa"/>
            <w:vAlign w:val="center"/>
          </w:tcPr>
          <w:p>
            <w:pPr>
              <w:spacing w:line="240" w:lineRule="auto"/>
              <w:ind w:firstLine="0" w:firstLineChars="0"/>
              <w:jc w:val="center"/>
              <w:rPr>
                <w:rFonts w:ascii="宋体" w:hAnsi="宋体"/>
                <w:kern w:val="24"/>
                <w:sz w:val="21"/>
                <w:szCs w:val="21"/>
                <w:highlight w:val="none"/>
              </w:rPr>
            </w:pPr>
            <w:r>
              <w:rPr>
                <w:rFonts w:hint="eastAsia" w:ascii="宋体" w:hAnsi="宋体"/>
                <w:bCs/>
                <w:sz w:val="21"/>
                <w:szCs w:val="21"/>
                <w:highlight w:val="none"/>
              </w:rPr>
              <w:t>淀池、沉砂池、初期雨水池、浓缩池、事故池、废石库、危废暂存间、尾矿库</w:t>
            </w:r>
          </w:p>
        </w:tc>
        <w:tc>
          <w:tcPr>
            <w:tcW w:w="1504" w:type="dxa"/>
            <w:vAlign w:val="center"/>
          </w:tcPr>
          <w:p>
            <w:pPr>
              <w:spacing w:line="240" w:lineRule="auto"/>
              <w:ind w:firstLine="0" w:firstLineChars="0"/>
              <w:jc w:val="center"/>
              <w:rPr>
                <w:rFonts w:ascii="宋体" w:hAnsi="宋体"/>
                <w:kern w:val="24"/>
                <w:sz w:val="21"/>
                <w:szCs w:val="21"/>
                <w:highlight w:val="none"/>
              </w:rPr>
            </w:pPr>
            <w:r>
              <w:rPr>
                <w:rFonts w:hint="eastAsia" w:ascii="宋体" w:hAnsi="宋体"/>
                <w:kern w:val="24"/>
                <w:sz w:val="21"/>
                <w:szCs w:val="21"/>
                <w:highlight w:val="none"/>
              </w:rPr>
              <w:t>重点</w:t>
            </w:r>
            <w:r>
              <w:rPr>
                <w:rFonts w:ascii="宋体" w:hAnsi="宋体"/>
                <w:kern w:val="24"/>
                <w:sz w:val="21"/>
                <w:szCs w:val="21"/>
                <w:highlight w:val="none"/>
              </w:rPr>
              <w:t>防渗区</w:t>
            </w:r>
          </w:p>
        </w:tc>
        <w:tc>
          <w:tcPr>
            <w:tcW w:w="4314" w:type="dxa"/>
            <w:vAlign w:val="center"/>
          </w:tcPr>
          <w:p>
            <w:pPr>
              <w:spacing w:line="240" w:lineRule="auto"/>
              <w:ind w:firstLine="0" w:firstLineChars="0"/>
              <w:jc w:val="center"/>
              <w:rPr>
                <w:rFonts w:ascii="宋体" w:hAnsi="宋体"/>
                <w:kern w:val="24"/>
                <w:sz w:val="21"/>
                <w:szCs w:val="21"/>
                <w:highlight w:val="none"/>
              </w:rPr>
            </w:pPr>
            <w:r>
              <w:rPr>
                <w:rFonts w:hint="eastAsia" w:ascii="宋体" w:hAnsi="宋体"/>
                <w:bCs/>
                <w:sz w:val="21"/>
                <w:szCs w:val="21"/>
                <w:highlight w:val="none"/>
              </w:rPr>
              <w:t>采</w:t>
            </w:r>
            <w:r>
              <w:rPr>
                <w:rFonts w:ascii="宋体" w:hAnsi="宋体"/>
                <w:sz w:val="21"/>
                <w:szCs w:val="21"/>
                <w:highlight w:val="none"/>
              </w:rPr>
              <w:t>等效粘土防渗层Mb≥6.0m，K≤10-7cm/s；或参照GB18598执行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56" w:type="dxa"/>
            <w:vAlign w:val="center"/>
          </w:tcPr>
          <w:p>
            <w:pPr>
              <w:spacing w:line="240" w:lineRule="auto"/>
              <w:ind w:firstLine="0" w:firstLineChars="0"/>
              <w:jc w:val="center"/>
              <w:rPr>
                <w:rFonts w:ascii="宋体" w:hAnsi="宋体"/>
                <w:kern w:val="24"/>
                <w:sz w:val="21"/>
                <w:szCs w:val="21"/>
                <w:highlight w:val="none"/>
              </w:rPr>
            </w:pPr>
            <w:r>
              <w:rPr>
                <w:rFonts w:hint="eastAsia" w:ascii="宋体" w:hAnsi="宋体"/>
                <w:kern w:val="24"/>
                <w:sz w:val="21"/>
                <w:szCs w:val="21"/>
                <w:highlight w:val="none"/>
              </w:rPr>
              <w:t>2</w:t>
            </w:r>
          </w:p>
        </w:tc>
        <w:tc>
          <w:tcPr>
            <w:tcW w:w="2376" w:type="dxa"/>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生产车间</w:t>
            </w:r>
          </w:p>
        </w:tc>
        <w:tc>
          <w:tcPr>
            <w:tcW w:w="1504" w:type="dxa"/>
            <w:vAlign w:val="center"/>
          </w:tcPr>
          <w:p>
            <w:pPr>
              <w:spacing w:line="240" w:lineRule="auto"/>
              <w:ind w:firstLine="0" w:firstLineChars="0"/>
              <w:jc w:val="center"/>
              <w:rPr>
                <w:rFonts w:ascii="宋体" w:hAnsi="宋体"/>
                <w:kern w:val="24"/>
                <w:sz w:val="21"/>
                <w:szCs w:val="21"/>
                <w:highlight w:val="none"/>
              </w:rPr>
            </w:pPr>
            <w:r>
              <w:rPr>
                <w:rFonts w:hint="eastAsia" w:ascii="宋体" w:hAnsi="宋体"/>
                <w:kern w:val="24"/>
                <w:sz w:val="21"/>
                <w:szCs w:val="21"/>
                <w:highlight w:val="none"/>
              </w:rPr>
              <w:t>一般防渗区</w:t>
            </w:r>
          </w:p>
        </w:tc>
        <w:tc>
          <w:tcPr>
            <w:tcW w:w="4314" w:type="dxa"/>
            <w:vAlign w:val="center"/>
          </w:tcPr>
          <w:p>
            <w:pPr>
              <w:spacing w:line="240" w:lineRule="auto"/>
              <w:ind w:firstLine="0" w:firstLineChars="0"/>
              <w:jc w:val="center"/>
              <w:rPr>
                <w:rFonts w:ascii="宋体" w:hAnsi="宋体"/>
                <w:bCs/>
                <w:sz w:val="21"/>
                <w:szCs w:val="21"/>
                <w:highlight w:val="none"/>
              </w:rPr>
            </w:pPr>
            <w:r>
              <w:rPr>
                <w:rFonts w:ascii="宋体" w:hAnsi="宋体"/>
                <w:sz w:val="21"/>
                <w:szCs w:val="21"/>
                <w:highlight w:val="none"/>
              </w:rPr>
              <w:t>等效粘土防渗层Mb≥1.5m，K≤10-7cm/s；或参照GB16889执行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56"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3</w:t>
            </w:r>
          </w:p>
        </w:tc>
        <w:tc>
          <w:tcPr>
            <w:tcW w:w="2376" w:type="dxa"/>
            <w:vAlign w:val="center"/>
          </w:tcPr>
          <w:p>
            <w:pPr>
              <w:spacing w:line="240" w:lineRule="auto"/>
              <w:ind w:firstLine="0" w:firstLineChars="0"/>
              <w:jc w:val="center"/>
              <w:rPr>
                <w:rFonts w:ascii="宋体" w:hAnsi="宋体"/>
                <w:kern w:val="24"/>
                <w:sz w:val="21"/>
                <w:szCs w:val="21"/>
                <w:highlight w:val="none"/>
              </w:rPr>
            </w:pPr>
            <w:r>
              <w:rPr>
                <w:rFonts w:hint="eastAsia" w:ascii="宋体" w:hAnsi="宋体"/>
                <w:bCs/>
                <w:sz w:val="21"/>
                <w:szCs w:val="21"/>
                <w:highlight w:val="none"/>
              </w:rPr>
              <w:t>其它</w:t>
            </w:r>
          </w:p>
        </w:tc>
        <w:tc>
          <w:tcPr>
            <w:tcW w:w="1504"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简单防渗区</w:t>
            </w:r>
          </w:p>
        </w:tc>
        <w:tc>
          <w:tcPr>
            <w:tcW w:w="4314" w:type="dxa"/>
            <w:vAlign w:val="center"/>
          </w:tcPr>
          <w:p>
            <w:pPr>
              <w:spacing w:line="240" w:lineRule="auto"/>
              <w:ind w:firstLine="0" w:firstLineChars="0"/>
              <w:jc w:val="center"/>
              <w:rPr>
                <w:rFonts w:ascii="宋体" w:hAnsi="宋体"/>
                <w:kern w:val="24"/>
                <w:sz w:val="21"/>
                <w:szCs w:val="21"/>
                <w:highlight w:val="none"/>
              </w:rPr>
            </w:pPr>
            <w:r>
              <w:rPr>
                <w:rFonts w:ascii="宋体" w:hAnsi="宋体"/>
                <w:kern w:val="24"/>
                <w:sz w:val="21"/>
                <w:szCs w:val="21"/>
                <w:highlight w:val="none"/>
              </w:rPr>
              <w:t>一般地面硬化</w:t>
            </w:r>
            <w:r>
              <w:rPr>
                <w:rFonts w:hint="eastAsia" w:ascii="宋体" w:hAnsi="宋体"/>
                <w:kern w:val="24"/>
                <w:sz w:val="21"/>
                <w:szCs w:val="21"/>
                <w:highlight w:val="none"/>
              </w:rPr>
              <w:t>、绿化</w:t>
            </w:r>
          </w:p>
        </w:tc>
      </w:tr>
    </w:tbl>
    <w:p>
      <w:pPr>
        <w:pStyle w:val="62"/>
        <w:ind w:firstLine="480"/>
        <w:rPr>
          <w:highlight w:val="none"/>
        </w:rPr>
      </w:pPr>
      <w:bookmarkStart w:id="312" w:name="_Toc22755122"/>
      <w:r>
        <w:rPr>
          <w:rFonts w:hint="eastAsia" w:hAnsi="宋体"/>
          <w:highlight w:val="none"/>
        </w:rPr>
        <w:t>5.3.5</w:t>
      </w:r>
      <w:r>
        <w:rPr>
          <w:highlight w:val="none"/>
        </w:rPr>
        <w:t>.</w:t>
      </w:r>
      <w:r>
        <w:rPr>
          <w:rFonts w:hint="eastAsia"/>
          <w:highlight w:val="none"/>
        </w:rPr>
        <w:t xml:space="preserve">4 </w:t>
      </w:r>
      <w:r>
        <w:rPr>
          <w:highlight w:val="none"/>
        </w:rPr>
        <w:t>地下水跟踪监测计划</w:t>
      </w:r>
      <w:bookmarkEnd w:id="312"/>
    </w:p>
    <w:p>
      <w:pPr>
        <w:pStyle w:val="62"/>
        <w:ind w:firstLine="480"/>
        <w:rPr>
          <w:bCs/>
          <w:highlight w:val="none"/>
        </w:rPr>
      </w:pPr>
      <w:r>
        <w:rPr>
          <w:bCs/>
          <w:highlight w:val="none"/>
        </w:rPr>
        <w:t>本次评价给出地下水监测计划，目的在于保护居民饮水安全，对</w:t>
      </w:r>
      <w:r>
        <w:rPr>
          <w:rFonts w:hint="eastAsia"/>
          <w:bCs/>
          <w:highlight w:val="none"/>
        </w:rPr>
        <w:t>评价区内</w:t>
      </w:r>
      <w:r>
        <w:rPr>
          <w:bCs/>
          <w:highlight w:val="none"/>
        </w:rPr>
        <w:t>的地下水</w:t>
      </w:r>
      <w:r>
        <w:rPr>
          <w:rFonts w:hint="eastAsia"/>
          <w:bCs/>
          <w:highlight w:val="none"/>
        </w:rPr>
        <w:t>污染</w:t>
      </w:r>
      <w:r>
        <w:rPr>
          <w:bCs/>
          <w:highlight w:val="none"/>
        </w:rPr>
        <w:t>及时预警，并采取合理的补救措施。因此，为了及时准确的掌握地下水水质的变化情况，评价建议建立评价区的区域地下水监控体系，其主要包括监测点位与监测项目、监测频率与监测因子、监测设备与监测人员等。</w:t>
      </w:r>
    </w:p>
    <w:p>
      <w:pPr>
        <w:pStyle w:val="62"/>
        <w:ind w:firstLine="480"/>
        <w:rPr>
          <w:bCs/>
          <w:highlight w:val="none"/>
        </w:rPr>
      </w:pPr>
      <w:r>
        <w:rPr>
          <w:bCs/>
          <w:highlight w:val="none"/>
        </w:rPr>
        <w:t>1、监测点布设</w:t>
      </w:r>
    </w:p>
    <w:p>
      <w:pPr>
        <w:pStyle w:val="62"/>
        <w:ind w:firstLine="480"/>
        <w:rPr>
          <w:bCs/>
          <w:highlight w:val="none"/>
        </w:rPr>
      </w:pPr>
      <w:r>
        <w:rPr>
          <w:bCs/>
          <w:highlight w:val="none"/>
        </w:rPr>
        <w:t>根据该项目的水文地质特点、影响区域、保护目标及主要污染源在评价区布设监测点位。在</w:t>
      </w:r>
      <w:r>
        <w:rPr>
          <w:rFonts w:hint="eastAsia"/>
          <w:bCs/>
          <w:highlight w:val="none"/>
        </w:rPr>
        <w:t>本项目场地上下游</w:t>
      </w:r>
      <w:r>
        <w:rPr>
          <w:bCs/>
          <w:highlight w:val="none"/>
        </w:rPr>
        <w:t>设置水质</w:t>
      </w:r>
      <w:r>
        <w:rPr>
          <w:rFonts w:hint="eastAsia"/>
          <w:bCs/>
          <w:highlight w:val="none"/>
        </w:rPr>
        <w:t>水位</w:t>
      </w:r>
      <w:r>
        <w:rPr>
          <w:bCs/>
          <w:highlight w:val="none"/>
        </w:rPr>
        <w:t>长期监测点，以便进行长期对比监测。</w:t>
      </w:r>
      <w:r>
        <w:rPr>
          <w:rFonts w:hint="eastAsia"/>
          <w:bCs/>
          <w:highlight w:val="none"/>
        </w:rPr>
        <w:t>监测井主要布置在可能会发生污染的装置或设施下游，设计口径300mm，孔深5m，实际终孔孔深以进入地下水位5m为宜。地面以下至水位波动带以上下入实管，水位波动带以下下入花管。</w:t>
      </w:r>
    </w:p>
    <w:p>
      <w:pPr>
        <w:pStyle w:val="62"/>
        <w:ind w:firstLine="480"/>
        <w:rPr>
          <w:bCs/>
          <w:highlight w:val="none"/>
        </w:rPr>
      </w:pPr>
      <w:r>
        <w:rPr>
          <w:rFonts w:hint="eastAsia"/>
          <w:bCs/>
          <w:highlight w:val="none"/>
        </w:rPr>
        <w:t>监测点布设见表5-5、图5-</w:t>
      </w:r>
      <w:r>
        <w:rPr>
          <w:bCs/>
          <w:highlight w:val="none"/>
        </w:rPr>
        <w:t>2</w:t>
      </w:r>
      <w:r>
        <w:rPr>
          <w:rFonts w:hint="eastAsia"/>
          <w:bCs/>
          <w:highlight w:val="none"/>
        </w:rPr>
        <w:t>。</w:t>
      </w:r>
    </w:p>
    <w:p>
      <w:pPr>
        <w:pStyle w:val="65"/>
        <w:rPr>
          <w:highlight w:val="none"/>
        </w:rPr>
      </w:pPr>
      <w:r>
        <w:rPr>
          <w:highlight w:val="none"/>
        </w:rPr>
        <w:t>表</w:t>
      </w:r>
      <w:r>
        <w:rPr>
          <w:rFonts w:hint="eastAsia"/>
          <w:highlight w:val="none"/>
        </w:rPr>
        <w:t>5-5</w:t>
      </w:r>
      <w:r>
        <w:rPr>
          <w:highlight w:val="none"/>
        </w:rPr>
        <w:t xml:space="preserve">  地下水</w:t>
      </w:r>
      <w:r>
        <w:rPr>
          <w:rFonts w:hint="eastAsia"/>
          <w:highlight w:val="none"/>
        </w:rPr>
        <w:t>跟踪</w:t>
      </w:r>
      <w:r>
        <w:rPr>
          <w:highlight w:val="none"/>
        </w:rPr>
        <w:t>监测计划一览表</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28"/>
        <w:gridCol w:w="426"/>
        <w:gridCol w:w="1079"/>
        <w:gridCol w:w="800"/>
        <w:gridCol w:w="1487"/>
        <w:gridCol w:w="1418"/>
        <w:gridCol w:w="2621"/>
        <w:gridCol w:w="69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428" w:type="dxa"/>
            <w:shd w:val="clear" w:color="auto" w:fill="auto"/>
            <w:vAlign w:val="center"/>
          </w:tcPr>
          <w:p>
            <w:pPr>
              <w:spacing w:line="240" w:lineRule="auto"/>
              <w:ind w:firstLine="0" w:firstLineChars="0"/>
              <w:jc w:val="center"/>
              <w:rPr>
                <w:rFonts w:ascii="宋体" w:hAnsi="宋体"/>
                <w:bCs/>
                <w:sz w:val="21"/>
                <w:szCs w:val="21"/>
                <w:highlight w:val="none"/>
              </w:rPr>
            </w:pPr>
            <w:r>
              <w:rPr>
                <w:rFonts w:ascii="宋体" w:hAnsi="宋体"/>
                <w:bCs/>
                <w:sz w:val="21"/>
                <w:szCs w:val="21"/>
                <w:highlight w:val="none"/>
              </w:rPr>
              <w:t>类别</w:t>
            </w:r>
          </w:p>
        </w:tc>
        <w:tc>
          <w:tcPr>
            <w:tcW w:w="426" w:type="dxa"/>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点号</w:t>
            </w:r>
          </w:p>
        </w:tc>
        <w:tc>
          <w:tcPr>
            <w:tcW w:w="1079" w:type="dxa"/>
            <w:tcBorders>
              <w:right w:val="single" w:color="auto" w:sz="4" w:space="0"/>
            </w:tcBorders>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点位</w:t>
            </w:r>
          </w:p>
        </w:tc>
        <w:tc>
          <w:tcPr>
            <w:tcW w:w="800" w:type="dxa"/>
            <w:tcBorders>
              <w:left w:val="single" w:color="auto" w:sz="4" w:space="0"/>
            </w:tcBorders>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井深（m）</w:t>
            </w:r>
          </w:p>
        </w:tc>
        <w:tc>
          <w:tcPr>
            <w:tcW w:w="1487" w:type="dxa"/>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监测层位</w:t>
            </w:r>
          </w:p>
        </w:tc>
        <w:tc>
          <w:tcPr>
            <w:tcW w:w="1418" w:type="dxa"/>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布点原则</w:t>
            </w:r>
          </w:p>
        </w:tc>
        <w:tc>
          <w:tcPr>
            <w:tcW w:w="2621" w:type="dxa"/>
            <w:shd w:val="clear" w:color="auto" w:fill="auto"/>
            <w:vAlign w:val="center"/>
          </w:tcPr>
          <w:p>
            <w:pPr>
              <w:spacing w:line="240" w:lineRule="auto"/>
              <w:ind w:firstLine="0" w:firstLineChars="0"/>
              <w:jc w:val="center"/>
              <w:rPr>
                <w:rFonts w:ascii="宋体" w:hAnsi="宋体"/>
                <w:bCs/>
                <w:sz w:val="21"/>
                <w:szCs w:val="21"/>
                <w:highlight w:val="none"/>
              </w:rPr>
            </w:pPr>
            <w:r>
              <w:rPr>
                <w:rFonts w:ascii="宋体" w:hAnsi="宋体"/>
                <w:bCs/>
                <w:sz w:val="21"/>
                <w:szCs w:val="21"/>
                <w:highlight w:val="none"/>
              </w:rPr>
              <w:t>监测频次</w:t>
            </w:r>
          </w:p>
        </w:tc>
        <w:tc>
          <w:tcPr>
            <w:tcW w:w="691" w:type="dxa"/>
            <w:shd w:val="clear" w:color="auto" w:fill="auto"/>
            <w:vAlign w:val="center"/>
          </w:tcPr>
          <w:p>
            <w:pPr>
              <w:spacing w:line="240" w:lineRule="auto"/>
              <w:ind w:firstLine="0" w:firstLineChars="0"/>
              <w:jc w:val="center"/>
              <w:rPr>
                <w:rFonts w:ascii="宋体" w:hAnsi="宋体"/>
                <w:bCs/>
                <w:sz w:val="21"/>
                <w:szCs w:val="21"/>
                <w:highlight w:val="none"/>
              </w:rPr>
            </w:pPr>
            <w:r>
              <w:rPr>
                <w:rFonts w:ascii="宋体" w:hAnsi="宋体"/>
                <w:bCs/>
                <w:sz w:val="21"/>
                <w:szCs w:val="21"/>
                <w:highlight w:val="none"/>
              </w:rPr>
              <w:t>监测层位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428" w:type="dxa"/>
            <w:vMerge w:val="restart"/>
            <w:shd w:val="clear" w:color="auto" w:fill="auto"/>
            <w:vAlign w:val="center"/>
          </w:tcPr>
          <w:p>
            <w:pPr>
              <w:spacing w:line="240" w:lineRule="auto"/>
              <w:ind w:firstLine="0" w:firstLineChars="0"/>
              <w:jc w:val="center"/>
              <w:rPr>
                <w:rFonts w:ascii="宋体" w:hAnsi="宋体"/>
                <w:bCs/>
                <w:sz w:val="21"/>
                <w:szCs w:val="21"/>
                <w:highlight w:val="none"/>
              </w:rPr>
            </w:pPr>
            <w:r>
              <w:rPr>
                <w:rFonts w:ascii="宋体" w:hAnsi="宋体"/>
                <w:bCs/>
                <w:sz w:val="21"/>
                <w:szCs w:val="21"/>
                <w:highlight w:val="none"/>
              </w:rPr>
              <w:t>水质</w:t>
            </w:r>
          </w:p>
        </w:tc>
        <w:tc>
          <w:tcPr>
            <w:tcW w:w="426" w:type="dxa"/>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1</w:t>
            </w:r>
          </w:p>
        </w:tc>
        <w:tc>
          <w:tcPr>
            <w:tcW w:w="1079" w:type="dxa"/>
            <w:tcBorders>
              <w:right w:val="single" w:color="auto" w:sz="4" w:space="0"/>
            </w:tcBorders>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大木瓜</w:t>
            </w:r>
          </w:p>
        </w:tc>
        <w:tc>
          <w:tcPr>
            <w:tcW w:w="800" w:type="dxa"/>
            <w:tcBorders>
              <w:left w:val="single" w:color="auto" w:sz="4" w:space="0"/>
            </w:tcBorders>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1</w:t>
            </w:r>
            <w:r>
              <w:rPr>
                <w:rFonts w:ascii="宋体" w:hAnsi="宋体"/>
                <w:bCs/>
                <w:sz w:val="21"/>
                <w:szCs w:val="21"/>
                <w:highlight w:val="none"/>
              </w:rPr>
              <w:t>20</w:t>
            </w:r>
          </w:p>
        </w:tc>
        <w:tc>
          <w:tcPr>
            <w:tcW w:w="1487" w:type="dxa"/>
            <w:vAlign w:val="center"/>
          </w:tcPr>
          <w:p>
            <w:pPr>
              <w:spacing w:line="240" w:lineRule="auto"/>
              <w:ind w:firstLine="0" w:firstLineChars="0"/>
              <w:jc w:val="center"/>
              <w:rPr>
                <w:rFonts w:ascii="宋体" w:hAnsi="宋体"/>
                <w:bCs/>
                <w:sz w:val="21"/>
                <w:szCs w:val="21"/>
                <w:highlight w:val="none"/>
              </w:rPr>
            </w:pPr>
            <w:r>
              <w:rPr>
                <w:rFonts w:hint="eastAsia" w:ascii="宋体" w:hAnsi="宋体"/>
                <w:sz w:val="21"/>
                <w:szCs w:val="21"/>
                <w:highlight w:val="none"/>
              </w:rPr>
              <w:t>第四系松散岩类孔隙承压水</w:t>
            </w:r>
          </w:p>
        </w:tc>
        <w:tc>
          <w:tcPr>
            <w:tcW w:w="1418" w:type="dxa"/>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上游对照点</w:t>
            </w:r>
          </w:p>
        </w:tc>
        <w:tc>
          <w:tcPr>
            <w:tcW w:w="2621" w:type="dxa"/>
            <w:vMerge w:val="restart"/>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至少每季度1次，每两次监测之间间隔不少于1个月，周边有环境敏感区应增加监测频次。封场后监测频次至少每半年1次，直到地下水连续2年不超出地下水本地水平。</w:t>
            </w:r>
          </w:p>
        </w:tc>
        <w:tc>
          <w:tcPr>
            <w:tcW w:w="691" w:type="dxa"/>
            <w:vMerge w:val="restart"/>
            <w:shd w:val="clear" w:color="auto" w:fill="auto"/>
            <w:vAlign w:val="center"/>
          </w:tcPr>
          <w:p>
            <w:pPr>
              <w:spacing w:line="240" w:lineRule="auto"/>
              <w:ind w:firstLine="0" w:firstLineChars="0"/>
              <w:jc w:val="center"/>
              <w:rPr>
                <w:rFonts w:ascii="宋体" w:hAnsi="宋体"/>
                <w:bCs/>
                <w:sz w:val="21"/>
                <w:szCs w:val="21"/>
                <w:highlight w:val="none"/>
              </w:rPr>
            </w:pPr>
            <w:r>
              <w:rPr>
                <w:rFonts w:hint="eastAsia" w:ascii="宋体" w:hAnsi="宋体"/>
                <w:bCs/>
                <w:sz w:val="21"/>
                <w:szCs w:val="21"/>
                <w:highlight w:val="none"/>
              </w:rPr>
              <w:t>第四系松散岩类</w:t>
            </w:r>
            <w:r>
              <w:rPr>
                <w:rFonts w:ascii="宋体" w:hAnsi="宋体"/>
                <w:bCs/>
                <w:sz w:val="21"/>
                <w:szCs w:val="21"/>
                <w:highlight w:val="none"/>
              </w:rPr>
              <w:t>孔隙水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428" w:type="dxa"/>
            <w:vMerge w:val="continue"/>
            <w:shd w:val="clear" w:color="auto" w:fill="auto"/>
            <w:vAlign w:val="center"/>
          </w:tcPr>
          <w:p>
            <w:pPr>
              <w:spacing w:line="240" w:lineRule="auto"/>
              <w:ind w:firstLine="0" w:firstLineChars="0"/>
              <w:jc w:val="center"/>
              <w:rPr>
                <w:rFonts w:ascii="宋体" w:hAnsi="宋体"/>
                <w:bCs/>
                <w:spacing w:val="4"/>
                <w:kern w:val="0"/>
                <w:sz w:val="21"/>
                <w:szCs w:val="21"/>
                <w:highlight w:val="none"/>
              </w:rPr>
            </w:pPr>
          </w:p>
        </w:tc>
        <w:tc>
          <w:tcPr>
            <w:tcW w:w="426" w:type="dxa"/>
            <w:shd w:val="clear" w:color="auto" w:fill="auto"/>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pacing w:val="4"/>
                <w:kern w:val="0"/>
                <w:sz w:val="21"/>
                <w:szCs w:val="21"/>
                <w:highlight w:val="none"/>
              </w:rPr>
              <w:t>2</w:t>
            </w:r>
          </w:p>
        </w:tc>
        <w:tc>
          <w:tcPr>
            <w:tcW w:w="1079" w:type="dxa"/>
            <w:tcBorders>
              <w:right w:val="single" w:color="auto" w:sz="4" w:space="0"/>
            </w:tcBorders>
            <w:shd w:val="clear" w:color="auto" w:fill="auto"/>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z w:val="21"/>
                <w:szCs w:val="21"/>
                <w:highlight w:val="none"/>
              </w:rPr>
              <w:t>尾矿库下游5</w:t>
            </w:r>
            <w:r>
              <w:rPr>
                <w:rFonts w:ascii="宋体" w:hAnsi="宋体"/>
                <w:bCs/>
                <w:sz w:val="21"/>
                <w:szCs w:val="21"/>
                <w:highlight w:val="none"/>
              </w:rPr>
              <w:t>0</w:t>
            </w:r>
            <w:r>
              <w:rPr>
                <w:rFonts w:hint="eastAsia" w:ascii="宋体" w:hAnsi="宋体"/>
                <w:bCs/>
                <w:sz w:val="21"/>
                <w:szCs w:val="21"/>
                <w:highlight w:val="none"/>
              </w:rPr>
              <w:t>m</w:t>
            </w:r>
          </w:p>
        </w:tc>
        <w:tc>
          <w:tcPr>
            <w:tcW w:w="800" w:type="dxa"/>
            <w:tcBorders>
              <w:left w:val="single" w:color="auto" w:sz="4" w:space="0"/>
            </w:tcBorders>
            <w:shd w:val="clear" w:color="auto" w:fill="auto"/>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pacing w:val="4"/>
                <w:kern w:val="0"/>
                <w:sz w:val="21"/>
                <w:szCs w:val="21"/>
                <w:highlight w:val="none"/>
              </w:rPr>
              <w:t>5</w:t>
            </w:r>
            <w:r>
              <w:rPr>
                <w:rFonts w:ascii="宋体" w:hAnsi="宋体"/>
                <w:bCs/>
                <w:spacing w:val="4"/>
                <w:kern w:val="0"/>
                <w:sz w:val="21"/>
                <w:szCs w:val="21"/>
                <w:highlight w:val="none"/>
              </w:rPr>
              <w:t>0</w:t>
            </w:r>
          </w:p>
        </w:tc>
        <w:tc>
          <w:tcPr>
            <w:tcW w:w="1487" w:type="dxa"/>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sz w:val="21"/>
                <w:szCs w:val="21"/>
                <w:highlight w:val="none"/>
              </w:rPr>
              <w:t>第四系松散岩类孔隙潜水</w:t>
            </w:r>
          </w:p>
        </w:tc>
        <w:tc>
          <w:tcPr>
            <w:tcW w:w="1418" w:type="dxa"/>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pacing w:val="4"/>
                <w:kern w:val="0"/>
                <w:sz w:val="21"/>
                <w:szCs w:val="21"/>
                <w:highlight w:val="none"/>
              </w:rPr>
              <w:t>污染监控点</w:t>
            </w:r>
          </w:p>
        </w:tc>
        <w:tc>
          <w:tcPr>
            <w:tcW w:w="2621" w:type="dxa"/>
            <w:vMerge w:val="continue"/>
            <w:shd w:val="clear" w:color="auto" w:fill="auto"/>
            <w:vAlign w:val="center"/>
          </w:tcPr>
          <w:p>
            <w:pPr>
              <w:spacing w:line="240" w:lineRule="auto"/>
              <w:ind w:firstLine="0" w:firstLineChars="0"/>
              <w:jc w:val="center"/>
              <w:rPr>
                <w:rFonts w:ascii="宋体" w:hAnsi="宋体"/>
                <w:bCs/>
                <w:spacing w:val="4"/>
                <w:kern w:val="0"/>
                <w:sz w:val="21"/>
                <w:szCs w:val="21"/>
                <w:highlight w:val="none"/>
              </w:rPr>
            </w:pPr>
          </w:p>
        </w:tc>
        <w:tc>
          <w:tcPr>
            <w:tcW w:w="691" w:type="dxa"/>
            <w:vMerge w:val="continue"/>
            <w:shd w:val="clear" w:color="auto" w:fill="auto"/>
            <w:vAlign w:val="center"/>
          </w:tcPr>
          <w:p>
            <w:pPr>
              <w:spacing w:line="240" w:lineRule="auto"/>
              <w:ind w:firstLine="0" w:firstLineChars="0"/>
              <w:jc w:val="center"/>
              <w:rPr>
                <w:rFonts w:ascii="宋体" w:hAnsi="宋体"/>
                <w:bCs/>
                <w:spacing w:val="4"/>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428" w:type="dxa"/>
            <w:vMerge w:val="continue"/>
            <w:shd w:val="clear" w:color="auto" w:fill="auto"/>
            <w:vAlign w:val="center"/>
          </w:tcPr>
          <w:p>
            <w:pPr>
              <w:spacing w:line="240" w:lineRule="auto"/>
              <w:ind w:firstLine="0" w:firstLineChars="0"/>
              <w:jc w:val="center"/>
              <w:rPr>
                <w:rFonts w:ascii="宋体" w:hAnsi="宋体"/>
                <w:bCs/>
                <w:spacing w:val="4"/>
                <w:kern w:val="0"/>
                <w:sz w:val="21"/>
                <w:szCs w:val="21"/>
                <w:highlight w:val="none"/>
              </w:rPr>
            </w:pPr>
          </w:p>
        </w:tc>
        <w:tc>
          <w:tcPr>
            <w:tcW w:w="426" w:type="dxa"/>
            <w:shd w:val="clear" w:color="auto" w:fill="auto"/>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pacing w:val="4"/>
                <w:kern w:val="0"/>
                <w:sz w:val="21"/>
                <w:szCs w:val="21"/>
                <w:highlight w:val="none"/>
              </w:rPr>
              <w:t>3</w:t>
            </w:r>
          </w:p>
        </w:tc>
        <w:tc>
          <w:tcPr>
            <w:tcW w:w="1079" w:type="dxa"/>
            <w:tcBorders>
              <w:right w:val="single" w:color="auto" w:sz="4" w:space="0"/>
            </w:tcBorders>
            <w:shd w:val="clear" w:color="auto" w:fill="auto"/>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z w:val="21"/>
                <w:szCs w:val="21"/>
                <w:highlight w:val="none"/>
              </w:rPr>
              <w:t>东堡</w:t>
            </w:r>
          </w:p>
        </w:tc>
        <w:tc>
          <w:tcPr>
            <w:tcW w:w="800" w:type="dxa"/>
            <w:tcBorders>
              <w:left w:val="single" w:color="auto" w:sz="4" w:space="0"/>
            </w:tcBorders>
            <w:shd w:val="clear" w:color="auto" w:fill="auto"/>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pacing w:val="4"/>
                <w:kern w:val="0"/>
                <w:sz w:val="21"/>
                <w:szCs w:val="21"/>
                <w:highlight w:val="none"/>
              </w:rPr>
              <w:t>8</w:t>
            </w:r>
            <w:r>
              <w:rPr>
                <w:rFonts w:ascii="宋体" w:hAnsi="宋体"/>
                <w:bCs/>
                <w:spacing w:val="4"/>
                <w:kern w:val="0"/>
                <w:sz w:val="21"/>
                <w:szCs w:val="21"/>
                <w:highlight w:val="none"/>
              </w:rPr>
              <w:t>4</w:t>
            </w:r>
          </w:p>
        </w:tc>
        <w:tc>
          <w:tcPr>
            <w:tcW w:w="1487" w:type="dxa"/>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sz w:val="21"/>
                <w:szCs w:val="21"/>
                <w:highlight w:val="none"/>
              </w:rPr>
              <w:t>第四系松散岩类孔隙承压水</w:t>
            </w:r>
          </w:p>
        </w:tc>
        <w:tc>
          <w:tcPr>
            <w:tcW w:w="1418" w:type="dxa"/>
            <w:vAlign w:val="center"/>
          </w:tcPr>
          <w:p>
            <w:pPr>
              <w:spacing w:line="240" w:lineRule="auto"/>
              <w:ind w:firstLine="0" w:firstLineChars="0"/>
              <w:jc w:val="center"/>
              <w:rPr>
                <w:rFonts w:ascii="宋体" w:hAnsi="宋体"/>
                <w:bCs/>
                <w:spacing w:val="4"/>
                <w:kern w:val="0"/>
                <w:sz w:val="21"/>
                <w:szCs w:val="21"/>
                <w:highlight w:val="none"/>
              </w:rPr>
            </w:pPr>
            <w:r>
              <w:rPr>
                <w:rFonts w:hint="eastAsia" w:ascii="宋体" w:hAnsi="宋体"/>
                <w:bCs/>
                <w:spacing w:val="4"/>
                <w:kern w:val="0"/>
                <w:sz w:val="21"/>
                <w:szCs w:val="21"/>
                <w:highlight w:val="none"/>
              </w:rPr>
              <w:t>下游敏感点</w:t>
            </w:r>
          </w:p>
        </w:tc>
        <w:tc>
          <w:tcPr>
            <w:tcW w:w="2621" w:type="dxa"/>
            <w:vMerge w:val="continue"/>
            <w:shd w:val="clear" w:color="auto" w:fill="auto"/>
            <w:vAlign w:val="center"/>
          </w:tcPr>
          <w:p>
            <w:pPr>
              <w:spacing w:line="240" w:lineRule="auto"/>
              <w:ind w:firstLine="0" w:firstLineChars="0"/>
              <w:jc w:val="center"/>
              <w:rPr>
                <w:rFonts w:ascii="宋体" w:hAnsi="宋体"/>
                <w:bCs/>
                <w:spacing w:val="4"/>
                <w:kern w:val="0"/>
                <w:sz w:val="21"/>
                <w:szCs w:val="21"/>
                <w:highlight w:val="none"/>
              </w:rPr>
            </w:pPr>
          </w:p>
        </w:tc>
        <w:tc>
          <w:tcPr>
            <w:tcW w:w="691" w:type="dxa"/>
            <w:vMerge w:val="continue"/>
            <w:shd w:val="clear" w:color="auto" w:fill="auto"/>
            <w:vAlign w:val="center"/>
          </w:tcPr>
          <w:p>
            <w:pPr>
              <w:spacing w:line="240" w:lineRule="auto"/>
              <w:ind w:firstLine="0" w:firstLineChars="0"/>
              <w:jc w:val="center"/>
              <w:rPr>
                <w:rFonts w:ascii="宋体" w:hAnsi="宋体"/>
                <w:bCs/>
                <w:spacing w:val="4"/>
                <w:kern w:val="0"/>
                <w:sz w:val="21"/>
                <w:szCs w:val="21"/>
                <w:highlight w:val="none"/>
              </w:rPr>
            </w:pPr>
          </w:p>
        </w:tc>
      </w:tr>
    </w:tbl>
    <w:p>
      <w:pPr>
        <w:pStyle w:val="65"/>
        <w:rPr>
          <w:highlight w:val="none"/>
        </w:rPr>
      </w:pPr>
    </w:p>
    <w:p>
      <w:pPr>
        <w:spacing w:line="360" w:lineRule="auto"/>
        <w:ind w:firstLine="0" w:firstLineChars="0"/>
        <w:jc w:val="center"/>
        <w:rPr>
          <w:bCs/>
          <w:highlight w:val="none"/>
        </w:rPr>
      </w:pPr>
      <w:r>
        <w:rPr>
          <w:sz w:val="21"/>
          <w:highlight w:val="none"/>
        </w:rPr>
        <w:drawing>
          <wp:inline distT="0" distB="0" distL="0" distR="0">
            <wp:extent cx="3620770" cy="3591560"/>
            <wp:effectExtent l="0" t="0" r="0" b="889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620770" cy="3591560"/>
                    </a:xfrm>
                    <a:prstGeom prst="rect">
                      <a:avLst/>
                    </a:prstGeom>
                    <a:noFill/>
                    <a:ln>
                      <a:noFill/>
                    </a:ln>
                  </pic:spPr>
                </pic:pic>
              </a:graphicData>
            </a:graphic>
          </wp:inline>
        </w:drawing>
      </w:r>
    </w:p>
    <w:p>
      <w:pPr>
        <w:pStyle w:val="65"/>
        <w:rPr>
          <w:highlight w:val="none"/>
        </w:rPr>
      </w:pPr>
      <w:r>
        <w:rPr>
          <w:rFonts w:hint="eastAsia"/>
          <w:highlight w:val="none"/>
        </w:rPr>
        <w:t>图5-7  地下水长期跟踪监测布点图</w:t>
      </w:r>
    </w:p>
    <w:p>
      <w:pPr>
        <w:pStyle w:val="62"/>
        <w:ind w:firstLine="480"/>
        <w:rPr>
          <w:highlight w:val="none"/>
        </w:rPr>
      </w:pPr>
      <w:r>
        <w:rPr>
          <w:rFonts w:hint="eastAsia"/>
          <w:highlight w:val="none"/>
        </w:rPr>
        <w:t>2、</w:t>
      </w:r>
      <w:r>
        <w:rPr>
          <w:highlight w:val="none"/>
        </w:rPr>
        <w:t>监测项目</w:t>
      </w:r>
    </w:p>
    <w:p>
      <w:pPr>
        <w:pStyle w:val="62"/>
        <w:ind w:firstLine="480"/>
        <w:rPr>
          <w:highlight w:val="none"/>
        </w:rPr>
      </w:pPr>
      <w:r>
        <w:rPr>
          <w:rFonts w:hint="eastAsia"/>
          <w:highlight w:val="none"/>
        </w:rPr>
        <w:t>pH、氨氮、硝酸盐、亚硝酸盐、挥发酚、氰化物、砷、汞、六价铬、总硬度、铅、氟化物、镉、铁、锰、铜、锌、溶解性总固体、耗氧量、硫酸盐、氯化物、总大肠菌群、菌落总数、石油类共24项。</w:t>
      </w:r>
    </w:p>
    <w:p>
      <w:pPr>
        <w:pStyle w:val="62"/>
        <w:ind w:firstLine="480"/>
        <w:rPr>
          <w:highlight w:val="none"/>
        </w:rPr>
      </w:pPr>
      <w:r>
        <w:rPr>
          <w:rFonts w:hint="eastAsia"/>
          <w:highlight w:val="none"/>
        </w:rPr>
        <w:t>特征因子：铜、锌、铅、石油类。</w:t>
      </w:r>
    </w:p>
    <w:p>
      <w:pPr>
        <w:pStyle w:val="62"/>
        <w:ind w:firstLine="480"/>
        <w:rPr>
          <w:highlight w:val="none"/>
        </w:rPr>
      </w:pPr>
      <w:r>
        <w:rPr>
          <w:rFonts w:hint="eastAsia"/>
          <w:highlight w:val="none"/>
        </w:rPr>
        <w:t>3、</w:t>
      </w:r>
      <w:r>
        <w:rPr>
          <w:highlight w:val="none"/>
        </w:rPr>
        <w:t>监测频率</w:t>
      </w:r>
    </w:p>
    <w:p>
      <w:pPr>
        <w:pStyle w:val="62"/>
        <w:ind w:firstLine="480"/>
        <w:rPr>
          <w:highlight w:val="none"/>
        </w:rPr>
      </w:pPr>
      <w:r>
        <w:rPr>
          <w:rFonts w:hint="eastAsia"/>
          <w:highlight w:val="none"/>
        </w:rPr>
        <w:t>地下水水质监测，根据《地下水环境监测技术规范》（HJ/T 164-2020），监测频次至少每季度1次，每两次监测之间间隔不少于1个月，周边有环境敏感区应增加监测频次。封场后监测频次至少每半年1次，直到地下水连续2年不超出地下水本地水平。委托有资质单位进行水样采集与化验分析。</w:t>
      </w:r>
    </w:p>
    <w:p>
      <w:pPr>
        <w:pStyle w:val="62"/>
        <w:ind w:firstLine="480"/>
        <w:rPr>
          <w:highlight w:val="none"/>
        </w:rPr>
      </w:pPr>
      <w:r>
        <w:rPr>
          <w:rFonts w:hint="eastAsia"/>
          <w:highlight w:val="none"/>
        </w:rPr>
        <w:t>4</w:t>
      </w:r>
      <w:r>
        <w:rPr>
          <w:highlight w:val="none"/>
        </w:rPr>
        <w:t>、监测数据管理</w:t>
      </w:r>
    </w:p>
    <w:p>
      <w:pPr>
        <w:pStyle w:val="62"/>
        <w:ind w:firstLine="480"/>
        <w:rPr>
          <w:highlight w:val="none"/>
        </w:rPr>
      </w:pPr>
      <w:r>
        <w:rPr>
          <w:highlight w:val="none"/>
        </w:rPr>
        <w:t>监测结果应及时建立档案，并定期向厂安全环保部门汇报，对于常规监测数据应该进行公开，特别是跟周边居民用水安全相关的数据要定期张贴公示，如发现异常或者发生事故，应加密监测频次，改为每天监测一次，并分析污染原因，及时采取应对措施。</w:t>
      </w:r>
    </w:p>
    <w:p>
      <w:pPr>
        <w:pStyle w:val="62"/>
        <w:ind w:firstLine="480"/>
        <w:rPr>
          <w:highlight w:val="none"/>
        </w:rPr>
      </w:pPr>
      <w:bookmarkStart w:id="313" w:name="_Toc22755123"/>
      <w:r>
        <w:rPr>
          <w:rFonts w:hint="eastAsia"/>
          <w:highlight w:val="none"/>
        </w:rPr>
        <w:t>5.3.5</w:t>
      </w:r>
      <w:r>
        <w:rPr>
          <w:highlight w:val="none"/>
        </w:rPr>
        <w:t>.</w:t>
      </w:r>
      <w:r>
        <w:rPr>
          <w:rFonts w:hint="eastAsia"/>
          <w:highlight w:val="none"/>
        </w:rPr>
        <w:t xml:space="preserve">5 </w:t>
      </w:r>
      <w:r>
        <w:rPr>
          <w:highlight w:val="none"/>
        </w:rPr>
        <w:t>应急响应</w:t>
      </w:r>
      <w:bookmarkEnd w:id="313"/>
    </w:p>
    <w:p>
      <w:pPr>
        <w:pStyle w:val="62"/>
        <w:ind w:firstLine="480"/>
        <w:rPr>
          <w:bCs/>
          <w:highlight w:val="none"/>
        </w:rPr>
      </w:pPr>
      <w:bookmarkStart w:id="314" w:name="_Toc323199846"/>
      <w:r>
        <w:rPr>
          <w:bCs/>
          <w:highlight w:val="none"/>
        </w:rPr>
        <w:t>为了及时准确地掌握项目场地周围地下水环境污染状况，建议建立地下水监控体系，包括建立完善的监测制度、配备先进的检测仪器和设备，及时发现污染、及时控制。加强地下水水质的长期动态监测工作，做好应急预案，若发生泄漏事故，通过地下水监测井监测数据及反馈启动应急处置方案，及时发现地下水污染事故及其影响范围和程度，为启动地下水应急措施提供信息保障。</w:t>
      </w:r>
      <w:bookmarkEnd w:id="314"/>
    </w:p>
    <w:p>
      <w:pPr>
        <w:pStyle w:val="62"/>
        <w:ind w:firstLine="480"/>
        <w:rPr>
          <w:bCs/>
          <w:highlight w:val="none"/>
        </w:rPr>
      </w:pPr>
      <w:r>
        <w:rPr>
          <w:rFonts w:hint="eastAsia"/>
          <w:bCs/>
          <w:highlight w:val="none"/>
        </w:rPr>
        <w:t>1、风险应急预案</w:t>
      </w:r>
    </w:p>
    <w:p>
      <w:pPr>
        <w:pStyle w:val="62"/>
        <w:ind w:firstLine="480"/>
        <w:rPr>
          <w:bCs/>
          <w:highlight w:val="none"/>
        </w:rPr>
      </w:pPr>
      <w:r>
        <w:rPr>
          <w:rFonts w:hint="eastAsia"/>
          <w:bCs/>
          <w:highlight w:val="none"/>
        </w:rPr>
        <w:t>制定事故状况应急预案的目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治理程序见图5-7。</w:t>
      </w:r>
    </w:p>
    <w:p>
      <w:pPr>
        <w:snapToGrid w:val="0"/>
        <w:spacing w:line="360" w:lineRule="auto"/>
        <w:ind w:firstLine="0" w:firstLineChars="0"/>
        <w:jc w:val="center"/>
        <w:rPr>
          <w:sz w:val="21"/>
          <w:highlight w:val="none"/>
        </w:rPr>
      </w:pPr>
      <w:r>
        <w:rPr>
          <w:rFonts w:ascii="宋体" w:hAnsi="宋体" w:cs="宋体"/>
          <w:kern w:val="0"/>
          <w:sz w:val="21"/>
          <w:highlight w:val="none"/>
        </w:rPr>
        <w:drawing>
          <wp:inline distT="0" distB="0" distL="0" distR="0">
            <wp:extent cx="4447540" cy="5764530"/>
            <wp:effectExtent l="0" t="0" r="0" b="7620"/>
            <wp:docPr id="897" name="图片 897" descr="0QCW8OM42GMGF(}IPK2D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descr="0QCW8OM42GMGF(}IPK2DW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447540" cy="5764530"/>
                    </a:xfrm>
                    <a:prstGeom prst="rect">
                      <a:avLst/>
                    </a:prstGeom>
                    <a:noFill/>
                    <a:ln>
                      <a:noFill/>
                    </a:ln>
                  </pic:spPr>
                </pic:pic>
              </a:graphicData>
            </a:graphic>
          </wp:inline>
        </w:drawing>
      </w:r>
    </w:p>
    <w:p>
      <w:pPr>
        <w:pStyle w:val="65"/>
        <w:rPr>
          <w:highlight w:val="none"/>
        </w:rPr>
      </w:pPr>
      <w:r>
        <w:rPr>
          <w:rFonts w:hint="eastAsia"/>
          <w:highlight w:val="none"/>
        </w:rPr>
        <w:t>图5-</w:t>
      </w:r>
      <w:r>
        <w:rPr>
          <w:rFonts w:hint="eastAsia"/>
          <w:highlight w:val="none"/>
          <w:lang w:val="en-US" w:eastAsia="zh-CN"/>
        </w:rPr>
        <w:t>8</w:t>
      </w:r>
      <w:r>
        <w:rPr>
          <w:rFonts w:hint="eastAsia"/>
          <w:highlight w:val="none"/>
        </w:rPr>
        <w:t xml:space="preserve">  地下水污染应急治理程序框图</w:t>
      </w:r>
    </w:p>
    <w:p>
      <w:pPr>
        <w:pStyle w:val="62"/>
        <w:ind w:firstLine="480"/>
        <w:rPr>
          <w:highlight w:val="none"/>
        </w:rPr>
      </w:pPr>
      <w:r>
        <w:rPr>
          <w:rFonts w:hint="eastAsia"/>
          <w:highlight w:val="none"/>
        </w:rPr>
        <w:t>2、应急管理</w:t>
      </w:r>
    </w:p>
    <w:p>
      <w:pPr>
        <w:pStyle w:val="62"/>
        <w:ind w:firstLine="480"/>
        <w:rPr>
          <w:highlight w:val="none"/>
        </w:rPr>
      </w:pPr>
      <w:r>
        <w:rPr>
          <w:rFonts w:hint="eastAsia"/>
          <w:highlight w:val="none"/>
        </w:rPr>
        <w:t>在突发地下水污染事故情况下，建议采取以下应急管理措施，以保护地下水环境：</w:t>
      </w:r>
    </w:p>
    <w:p>
      <w:pPr>
        <w:pStyle w:val="62"/>
        <w:ind w:firstLine="480"/>
        <w:rPr>
          <w:highlight w:val="none"/>
        </w:rPr>
      </w:pPr>
      <w:r>
        <w:rPr>
          <w:rFonts w:hint="eastAsia"/>
          <w:highlight w:val="none"/>
        </w:rPr>
        <w:t>①立即启动应急预案；</w:t>
      </w:r>
    </w:p>
    <w:p>
      <w:pPr>
        <w:pStyle w:val="62"/>
        <w:ind w:firstLine="480"/>
        <w:rPr>
          <w:highlight w:val="none"/>
        </w:rPr>
      </w:pPr>
      <w:r>
        <w:rPr>
          <w:rFonts w:hint="eastAsia"/>
          <w:highlight w:val="none"/>
        </w:rPr>
        <w:t>②查明并切断污染源；</w:t>
      </w:r>
    </w:p>
    <w:p>
      <w:pPr>
        <w:pStyle w:val="62"/>
        <w:ind w:firstLine="480"/>
        <w:rPr>
          <w:highlight w:val="none"/>
        </w:rPr>
      </w:pPr>
      <w:r>
        <w:rPr>
          <w:rFonts w:hint="eastAsia"/>
          <w:highlight w:val="none"/>
        </w:rPr>
        <w:t>③查明地下水污染深度、范围和程度；</w:t>
      </w:r>
    </w:p>
    <w:p>
      <w:pPr>
        <w:pStyle w:val="62"/>
        <w:ind w:firstLine="480"/>
        <w:rPr>
          <w:highlight w:val="none"/>
        </w:rPr>
      </w:pPr>
      <w:r>
        <w:rPr>
          <w:rFonts w:hint="eastAsia"/>
          <w:highlight w:val="none"/>
        </w:rPr>
        <w:t>④依据查明的地下水污染情况，合理布置浅井，并进行试抽水工作；</w:t>
      </w:r>
    </w:p>
    <w:p>
      <w:pPr>
        <w:pStyle w:val="62"/>
        <w:ind w:firstLine="480"/>
        <w:rPr>
          <w:highlight w:val="none"/>
        </w:rPr>
      </w:pPr>
      <w:r>
        <w:rPr>
          <w:rFonts w:hint="eastAsia"/>
          <w:highlight w:val="none"/>
        </w:rPr>
        <w:t>⑤依据抽水设计方案进行施工，抽出被污染的地下水体；</w:t>
      </w:r>
    </w:p>
    <w:p>
      <w:pPr>
        <w:pStyle w:val="62"/>
        <w:ind w:firstLine="480"/>
        <w:rPr>
          <w:highlight w:val="none"/>
        </w:rPr>
      </w:pPr>
      <w:r>
        <w:rPr>
          <w:rFonts w:hint="eastAsia"/>
          <w:highlight w:val="none"/>
        </w:rPr>
        <w:t>⑥将抽出的地下水进行集中收集处理，并送实验室进行化验分析；</w:t>
      </w:r>
    </w:p>
    <w:p>
      <w:pPr>
        <w:pStyle w:val="62"/>
        <w:ind w:firstLine="480"/>
        <w:rPr>
          <w:highlight w:val="none"/>
        </w:rPr>
      </w:pPr>
      <w:r>
        <w:rPr>
          <w:rFonts w:hint="eastAsia"/>
          <w:highlight w:val="none"/>
        </w:rPr>
        <w:t>⑦监测孔中的特征污染物浓度满足《地下水质量标准》相关级别标准后，逐步停止抽水，并进行土壤修复治理工作。</w:t>
      </w:r>
    </w:p>
    <w:p>
      <w:pPr>
        <w:pStyle w:val="62"/>
        <w:ind w:firstLine="480"/>
        <w:rPr>
          <w:highlight w:val="none"/>
        </w:rPr>
      </w:pPr>
      <w:r>
        <w:rPr>
          <w:rFonts w:hint="eastAsia"/>
          <w:highlight w:val="none"/>
        </w:rPr>
        <w:t>3、应急保障</w:t>
      </w:r>
    </w:p>
    <w:p>
      <w:pPr>
        <w:pStyle w:val="62"/>
        <w:ind w:firstLine="480"/>
        <w:rPr>
          <w:highlight w:val="none"/>
        </w:rPr>
      </w:pPr>
      <w:r>
        <w:rPr>
          <w:rFonts w:hint="eastAsia"/>
          <w:highlight w:val="none"/>
        </w:rPr>
        <w:t>①人力资源保障：明确各类应急响应的人力资源，包括专业应急队伍、兼职应急队伍的组织与保障方案。</w:t>
      </w:r>
    </w:p>
    <w:p>
      <w:pPr>
        <w:pStyle w:val="62"/>
        <w:ind w:firstLine="480"/>
        <w:rPr>
          <w:highlight w:val="none"/>
        </w:rPr>
      </w:pPr>
      <w:r>
        <w:rPr>
          <w:rFonts w:hint="eastAsia"/>
          <w:highlight w:val="none"/>
        </w:rPr>
        <w:t>②财力保障：明确应急专项经费来源、使用范围、数量和监督管理措施，保障应急状态时应急经费的及时到位。</w:t>
      </w:r>
    </w:p>
    <w:p>
      <w:pPr>
        <w:pStyle w:val="62"/>
        <w:ind w:firstLine="480"/>
        <w:rPr>
          <w:highlight w:val="none"/>
        </w:rPr>
      </w:pPr>
      <w:r>
        <w:rPr>
          <w:rFonts w:hint="eastAsia"/>
          <w:highlight w:val="none"/>
        </w:rPr>
        <w:t>③物资保障：明确应急救援需要使用的应急物资、应急监测仪器、防护器材、装备的类型、数量、性能、存放位置、管理责任人等内容。</w:t>
      </w:r>
      <w:bookmarkStart w:id="315" w:name="_Toc22755124"/>
      <w:bookmarkStart w:id="316" w:name="_Toc456107794"/>
    </w:p>
    <w:p>
      <w:pPr>
        <w:pStyle w:val="4"/>
        <w:ind w:firstLine="562"/>
        <w:rPr>
          <w:highlight w:val="none"/>
        </w:rPr>
      </w:pPr>
      <w:r>
        <w:rPr>
          <w:rFonts w:hint="eastAsia"/>
          <w:highlight w:val="none"/>
        </w:rPr>
        <w:t>5.3.6</w:t>
      </w:r>
      <w:r>
        <w:rPr>
          <w:highlight w:val="none"/>
        </w:rPr>
        <w:t>地下水</w:t>
      </w:r>
      <w:r>
        <w:rPr>
          <w:rFonts w:hint="eastAsia"/>
          <w:highlight w:val="none"/>
        </w:rPr>
        <w:t>环境影响</w:t>
      </w:r>
      <w:r>
        <w:rPr>
          <w:highlight w:val="none"/>
        </w:rPr>
        <w:t>评价结论</w:t>
      </w:r>
      <w:bookmarkEnd w:id="315"/>
      <w:bookmarkEnd w:id="316"/>
    </w:p>
    <w:p>
      <w:pPr>
        <w:pStyle w:val="62"/>
        <w:ind w:firstLine="480"/>
        <w:rPr>
          <w:highlight w:val="none"/>
        </w:rPr>
      </w:pPr>
      <w:r>
        <w:rPr>
          <w:rFonts w:hint="eastAsia"/>
          <w:highlight w:val="none"/>
        </w:rPr>
        <w:t>1、现状监测结果表明，各监测点监测因子均可满足《地下水质量标准》（GB/T 14848-2017）中的Ⅲ类水质标准要求。总体来讲，区域地下水环境质量现状良好。</w:t>
      </w:r>
    </w:p>
    <w:p>
      <w:pPr>
        <w:pStyle w:val="62"/>
        <w:ind w:firstLine="480"/>
        <w:rPr>
          <w:highlight w:val="none"/>
        </w:rPr>
      </w:pPr>
      <w:r>
        <w:rPr>
          <w:rFonts w:hint="eastAsia"/>
          <w:highlight w:val="none"/>
        </w:rPr>
        <w:t>2、本项目不会对周边水源地及村庄水井造成污染影响。</w:t>
      </w:r>
    </w:p>
    <w:p>
      <w:pPr>
        <w:pStyle w:val="62"/>
        <w:ind w:firstLine="480"/>
        <w:rPr>
          <w:highlight w:val="none"/>
        </w:rPr>
      </w:pPr>
      <w:r>
        <w:rPr>
          <w:rFonts w:hint="eastAsia"/>
          <w:highlight w:val="none"/>
        </w:rPr>
        <w:t>3、项目区划分为重点防渗区、一般防渗区和简单防渗区。重点防渗区包括沉淀池、沉砂池、初期雨水池、浓缩池、事故池、废石库、危废暂存间、尾矿库等，一般防渗区为生产车间，厂区其它区域为简单防渗区</w:t>
      </w:r>
      <w:r>
        <w:rPr>
          <w:highlight w:val="none"/>
        </w:rPr>
        <w:t>。</w:t>
      </w:r>
    </w:p>
    <w:p>
      <w:pPr>
        <w:pStyle w:val="62"/>
        <w:ind w:firstLine="480"/>
        <w:rPr>
          <w:highlight w:val="none"/>
        </w:rPr>
      </w:pPr>
      <w:r>
        <w:rPr>
          <w:rFonts w:hint="eastAsia"/>
          <w:highlight w:val="none"/>
        </w:rPr>
        <w:t>综上所述，在施工期和运营期间加强管理，严格遵循地下水环境保护措施的前提下，本工程对地下水环境的影响很小，从地下水环境保护的角度分析，本项目是可行的。</w:t>
      </w:r>
    </w:p>
    <w:p>
      <w:pPr>
        <w:pStyle w:val="3"/>
        <w:ind w:firstLine="643"/>
        <w:rPr>
          <w:rFonts w:hAnsi="宋体"/>
          <w:highlight w:val="none"/>
        </w:rPr>
      </w:pPr>
      <w:r>
        <w:rPr>
          <w:rFonts w:hAnsi="宋体"/>
          <w:highlight w:val="none"/>
        </w:rPr>
        <w:t>5.4</w:t>
      </w:r>
      <w:r>
        <w:rPr>
          <w:rFonts w:hint="eastAsia" w:hAnsi="宋体"/>
          <w:highlight w:val="none"/>
        </w:rPr>
        <w:t>运营期</w:t>
      </w:r>
      <w:r>
        <w:rPr>
          <w:rFonts w:hAnsi="宋体"/>
          <w:highlight w:val="none"/>
        </w:rPr>
        <w:t>声环境影响</w:t>
      </w:r>
      <w:bookmarkEnd w:id="159"/>
      <w:r>
        <w:rPr>
          <w:rFonts w:hAnsi="宋体"/>
          <w:highlight w:val="none"/>
        </w:rPr>
        <w:t>预测与评价</w:t>
      </w:r>
      <w:bookmarkEnd w:id="160"/>
    </w:p>
    <w:p>
      <w:pPr>
        <w:pStyle w:val="4"/>
        <w:ind w:firstLine="562"/>
        <w:rPr>
          <w:rFonts w:hAnsi="宋体"/>
          <w:highlight w:val="none"/>
        </w:rPr>
      </w:pPr>
      <w:r>
        <w:rPr>
          <w:rFonts w:hAnsi="宋体"/>
          <w:highlight w:val="none"/>
        </w:rPr>
        <w:t>5.4.</w:t>
      </w:r>
      <w:r>
        <w:rPr>
          <w:rFonts w:hint="eastAsia" w:hAnsi="宋体"/>
          <w:highlight w:val="none"/>
        </w:rPr>
        <w:t>1噪声源强</w:t>
      </w:r>
    </w:p>
    <w:p>
      <w:pPr>
        <w:spacing w:line="440" w:lineRule="exact"/>
        <w:ind w:firstLine="480"/>
        <w:rPr>
          <w:rFonts w:ascii="宋体" w:hAnsi="宋体"/>
          <w:bCs/>
          <w:szCs w:val="21"/>
          <w:highlight w:val="none"/>
        </w:rPr>
      </w:pPr>
      <w:r>
        <w:rPr>
          <w:rFonts w:ascii="宋体" w:hAnsi="宋体"/>
          <w:bCs/>
          <w:szCs w:val="21"/>
          <w:highlight w:val="none"/>
        </w:rPr>
        <w:t>本项目营运期高噪声设备主要为破碎机、筛分机、球磨机、干选机、风机和运输车辆等，噪声源强在70~1</w:t>
      </w:r>
      <w:r>
        <w:rPr>
          <w:rFonts w:hint="eastAsia" w:ascii="宋体" w:hAnsi="宋体"/>
          <w:bCs/>
          <w:szCs w:val="21"/>
          <w:highlight w:val="none"/>
        </w:rPr>
        <w:t>1</w:t>
      </w:r>
      <w:r>
        <w:rPr>
          <w:rFonts w:ascii="宋体" w:hAnsi="宋体"/>
          <w:bCs/>
          <w:szCs w:val="21"/>
          <w:highlight w:val="none"/>
        </w:rPr>
        <w:t>0dB(A)之间，其噪声源强及防治措施见表5.4-</w:t>
      </w:r>
      <w:r>
        <w:rPr>
          <w:rFonts w:hint="eastAsia" w:ascii="宋体" w:hAnsi="宋体"/>
          <w:bCs/>
          <w:szCs w:val="21"/>
          <w:highlight w:val="none"/>
        </w:rPr>
        <w:t>1</w:t>
      </w:r>
      <w:r>
        <w:rPr>
          <w:rFonts w:ascii="宋体" w:hAnsi="宋体"/>
          <w:bCs/>
          <w:szCs w:val="21"/>
          <w:highlight w:val="none"/>
        </w:rPr>
        <w:t>。</w:t>
      </w:r>
    </w:p>
    <w:p>
      <w:pPr>
        <w:spacing w:line="440" w:lineRule="exact"/>
        <w:ind w:firstLine="480"/>
        <w:jc w:val="center"/>
        <w:rPr>
          <w:rFonts w:ascii="宋体" w:hAnsi="宋体"/>
          <w:bCs/>
          <w:szCs w:val="21"/>
          <w:highlight w:val="none"/>
        </w:rPr>
      </w:pPr>
      <w:r>
        <w:rPr>
          <w:rFonts w:ascii="宋体" w:hAnsi="宋体"/>
          <w:bCs/>
          <w:szCs w:val="21"/>
          <w:highlight w:val="none"/>
        </w:rPr>
        <w:t>表5.4-</w:t>
      </w:r>
      <w:r>
        <w:rPr>
          <w:rFonts w:hint="eastAsia" w:ascii="宋体" w:hAnsi="宋体"/>
          <w:bCs/>
          <w:szCs w:val="21"/>
          <w:highlight w:val="none"/>
        </w:rPr>
        <w:t xml:space="preserve">1  </w:t>
      </w:r>
      <w:r>
        <w:rPr>
          <w:rFonts w:ascii="宋体" w:hAnsi="宋体"/>
          <w:bCs/>
          <w:szCs w:val="21"/>
          <w:highlight w:val="none"/>
        </w:rPr>
        <w:t>设备噪声及防治措施</w:t>
      </w:r>
    </w:p>
    <w:tbl>
      <w:tblPr>
        <w:tblStyle w:val="44"/>
        <w:tblW w:w="90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85"/>
        <w:gridCol w:w="1842"/>
        <w:gridCol w:w="1701"/>
        <w:gridCol w:w="322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主要噪声设备</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治理前dB(A)</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治理后dB(A)</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防治措施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锥式</w:t>
            </w:r>
            <w:r>
              <w:rPr>
                <w:rFonts w:ascii="宋体" w:hAnsi="宋体"/>
                <w:sz w:val="21"/>
                <w:szCs w:val="21"/>
                <w:highlight w:val="none"/>
              </w:rPr>
              <w:t>破碎机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w:t>
            </w:r>
            <w:r>
              <w:rPr>
                <w:rFonts w:hint="eastAsia" w:ascii="宋体" w:hAnsi="宋体"/>
                <w:sz w:val="21"/>
                <w:szCs w:val="21"/>
                <w:highlight w:val="none"/>
              </w:rPr>
              <w:t>10</w:t>
            </w:r>
            <w:r>
              <w:rPr>
                <w:rFonts w:ascii="宋体" w:hAnsi="宋体"/>
                <w:sz w:val="21"/>
                <w:szCs w:val="21"/>
                <w:highlight w:val="none"/>
              </w:rPr>
              <w:t>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70</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颚式破碎机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9</w:t>
            </w:r>
            <w:r>
              <w:rPr>
                <w:rFonts w:ascii="宋体" w:hAnsi="宋体"/>
                <w:sz w:val="21"/>
                <w:szCs w:val="21"/>
                <w:highlight w:val="none"/>
              </w:rPr>
              <w:t>0~</w:t>
            </w:r>
            <w:r>
              <w:rPr>
                <w:rFonts w:hint="eastAsia" w:ascii="宋体" w:hAnsi="宋体"/>
                <w:sz w:val="21"/>
                <w:szCs w:val="21"/>
                <w:highlight w:val="none"/>
              </w:rPr>
              <w:t>110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8</w:t>
            </w:r>
            <w:r>
              <w:rPr>
                <w:rFonts w:ascii="宋体" w:hAnsi="宋体"/>
                <w:sz w:val="21"/>
                <w:szCs w:val="21"/>
                <w:highlight w:val="none"/>
              </w:rPr>
              <w:t>0</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分级</w:t>
            </w:r>
            <w:r>
              <w:rPr>
                <w:rFonts w:ascii="宋体" w:hAnsi="宋体"/>
                <w:sz w:val="21"/>
                <w:szCs w:val="21"/>
                <w:highlight w:val="none"/>
              </w:rPr>
              <w:t>筛</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70~85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高</w:t>
            </w:r>
            <w:r>
              <w:rPr>
                <w:rFonts w:ascii="宋体" w:hAnsi="宋体"/>
                <w:sz w:val="21"/>
                <w:szCs w:val="21"/>
                <w:highlight w:val="none"/>
              </w:rPr>
              <w:t>频筛</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70~95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65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强磁辊</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70~80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球磨机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w:t>
            </w:r>
            <w:r>
              <w:rPr>
                <w:rFonts w:hint="eastAsia" w:ascii="宋体" w:hAnsi="宋体"/>
                <w:sz w:val="21"/>
                <w:szCs w:val="21"/>
                <w:highlight w:val="none"/>
              </w:rPr>
              <w:t>9</w:t>
            </w:r>
            <w:r>
              <w:rPr>
                <w:rFonts w:ascii="宋体" w:hAnsi="宋体"/>
                <w:sz w:val="21"/>
                <w:szCs w:val="21"/>
                <w:highlight w:val="none"/>
              </w:rPr>
              <w:t>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60</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水</w:t>
            </w:r>
            <w:r>
              <w:rPr>
                <w:rFonts w:ascii="宋体" w:hAnsi="宋体"/>
                <w:sz w:val="21"/>
                <w:szCs w:val="21"/>
                <w:highlight w:val="none"/>
              </w:rPr>
              <w:t>泵</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70~</w:t>
            </w:r>
            <w:r>
              <w:rPr>
                <w:rFonts w:hint="eastAsia" w:ascii="宋体" w:hAnsi="宋体"/>
                <w:sz w:val="21"/>
                <w:szCs w:val="21"/>
                <w:highlight w:val="none"/>
              </w:rPr>
              <w:t>85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bCs/>
                <w:sz w:val="21"/>
                <w:szCs w:val="21"/>
                <w:highlight w:val="none"/>
              </w:rPr>
              <w:t>干选机</w:t>
            </w:r>
          </w:p>
        </w:tc>
        <w:tc>
          <w:tcPr>
            <w:tcW w:w="1842"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bCs/>
                <w:sz w:val="21"/>
                <w:szCs w:val="21"/>
                <w:highlight w:val="none"/>
              </w:rPr>
              <w:t>65</w:t>
            </w:r>
            <w:r>
              <w:rPr>
                <w:rFonts w:ascii="宋体" w:hAnsi="宋体"/>
                <w:sz w:val="21"/>
                <w:szCs w:val="21"/>
                <w:highlight w:val="none"/>
              </w:rPr>
              <w:t>～</w:t>
            </w:r>
            <w:r>
              <w:rPr>
                <w:rFonts w:hint="eastAsia" w:ascii="宋体" w:hAnsi="宋体"/>
                <w:sz w:val="21"/>
                <w:szCs w:val="21"/>
                <w:highlight w:val="none"/>
              </w:rPr>
              <w:t>85</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5</w:t>
            </w:r>
            <w:r>
              <w:rPr>
                <w:rFonts w:ascii="宋体" w:hAnsi="宋体"/>
                <w:sz w:val="21"/>
                <w:szCs w:val="21"/>
                <w:highlight w:val="none"/>
              </w:rPr>
              <w:t>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安装在室内、基础减震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285" w:type="dxa"/>
            <w:shd w:val="clear" w:color="auto" w:fill="auto"/>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运输车辆</w:t>
            </w:r>
          </w:p>
        </w:tc>
        <w:tc>
          <w:tcPr>
            <w:tcW w:w="1842" w:type="dxa"/>
            <w:shd w:val="clear" w:color="auto" w:fill="auto"/>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70~80</w:t>
            </w:r>
          </w:p>
        </w:tc>
        <w:tc>
          <w:tcPr>
            <w:tcW w:w="1701" w:type="dxa"/>
            <w:shd w:val="clear" w:color="auto" w:fill="auto"/>
            <w:vAlign w:val="center"/>
          </w:tcPr>
          <w:p>
            <w:pPr>
              <w:spacing w:line="320" w:lineRule="exact"/>
              <w:ind w:firstLine="0" w:firstLineChars="0"/>
              <w:jc w:val="center"/>
              <w:rPr>
                <w:rFonts w:ascii="宋体" w:hAnsi="宋体"/>
                <w:sz w:val="21"/>
                <w:szCs w:val="21"/>
                <w:highlight w:val="none"/>
              </w:rPr>
            </w:pPr>
            <w:r>
              <w:rPr>
                <w:rFonts w:ascii="宋体" w:hAnsi="宋体"/>
                <w:sz w:val="21"/>
                <w:szCs w:val="21"/>
                <w:highlight w:val="none"/>
              </w:rPr>
              <w:t>55</w:t>
            </w:r>
          </w:p>
        </w:tc>
        <w:tc>
          <w:tcPr>
            <w:tcW w:w="3222" w:type="dxa"/>
            <w:shd w:val="clear" w:color="auto" w:fill="auto"/>
            <w:vAlign w:val="center"/>
          </w:tcPr>
          <w:p>
            <w:pPr>
              <w:spacing w:line="320" w:lineRule="exact"/>
              <w:ind w:firstLine="0" w:firstLineChars="0"/>
              <w:jc w:val="center"/>
              <w:rPr>
                <w:rFonts w:ascii="宋体" w:hAnsi="宋体"/>
                <w:sz w:val="21"/>
                <w:szCs w:val="21"/>
                <w:highlight w:val="none"/>
              </w:rPr>
            </w:pPr>
            <w:r>
              <w:rPr>
                <w:rFonts w:hint="eastAsia" w:ascii="宋体" w:hAnsi="宋体"/>
                <w:sz w:val="21"/>
                <w:szCs w:val="21"/>
                <w:highlight w:val="none"/>
              </w:rPr>
              <w:t>减速慢行</w:t>
            </w:r>
            <w:r>
              <w:rPr>
                <w:rFonts w:ascii="宋体" w:hAnsi="宋体"/>
                <w:sz w:val="21"/>
                <w:szCs w:val="21"/>
                <w:highlight w:val="none"/>
              </w:rPr>
              <w:t>，禁止鸣笛</w:t>
            </w:r>
          </w:p>
        </w:tc>
      </w:tr>
    </w:tbl>
    <w:p>
      <w:pPr>
        <w:pStyle w:val="4"/>
        <w:ind w:firstLine="562"/>
        <w:rPr>
          <w:rFonts w:hAnsi="宋体"/>
          <w:highlight w:val="none"/>
        </w:rPr>
      </w:pPr>
      <w:r>
        <w:rPr>
          <w:rFonts w:hAnsi="宋体"/>
          <w:highlight w:val="none"/>
        </w:rPr>
        <w:t>5.4.</w:t>
      </w:r>
      <w:r>
        <w:rPr>
          <w:rFonts w:hint="eastAsia" w:hAnsi="宋体"/>
          <w:highlight w:val="none"/>
        </w:rPr>
        <w:t>2声环境污染防治措施</w:t>
      </w:r>
    </w:p>
    <w:p>
      <w:pPr>
        <w:ind w:firstLine="480"/>
        <w:rPr>
          <w:rFonts w:ascii="宋体" w:hAnsi="宋体"/>
          <w:bCs/>
          <w:szCs w:val="21"/>
          <w:highlight w:val="none"/>
        </w:rPr>
      </w:pPr>
      <w:r>
        <w:rPr>
          <w:rFonts w:hint="eastAsia" w:ascii="宋体" w:hAnsi="宋体"/>
          <w:bCs/>
          <w:szCs w:val="21"/>
          <w:highlight w:val="none"/>
        </w:rPr>
        <w:t>本项目已经于2019年6月建设完成并投入运行。建设单位安装生产设备时已经</w:t>
      </w:r>
      <w:r>
        <w:rPr>
          <w:rFonts w:ascii="宋体" w:hAnsi="宋体"/>
          <w:bCs/>
          <w:szCs w:val="21"/>
          <w:highlight w:val="none"/>
        </w:rPr>
        <w:t>采取了以下噪声防治措施：</w:t>
      </w:r>
    </w:p>
    <w:p>
      <w:pPr>
        <w:ind w:firstLine="480"/>
        <w:rPr>
          <w:rFonts w:ascii="宋体" w:hAnsi="宋体"/>
          <w:bCs/>
          <w:szCs w:val="21"/>
          <w:highlight w:val="none"/>
        </w:rPr>
      </w:pPr>
      <w:r>
        <w:rPr>
          <w:rFonts w:hint="eastAsia" w:ascii="宋体" w:hAnsi="宋体" w:cs="宋体"/>
          <w:bCs/>
          <w:szCs w:val="21"/>
          <w:highlight w:val="none"/>
        </w:rPr>
        <w:t>1、</w:t>
      </w:r>
      <w:r>
        <w:rPr>
          <w:rFonts w:ascii="宋体" w:hAnsi="宋体"/>
          <w:bCs/>
          <w:szCs w:val="21"/>
          <w:highlight w:val="none"/>
        </w:rPr>
        <w:t>在设备选型时，选用了低噪声设备，以降低声源噪声；</w:t>
      </w:r>
    </w:p>
    <w:p>
      <w:pPr>
        <w:ind w:firstLine="480"/>
        <w:rPr>
          <w:rFonts w:ascii="宋体" w:hAnsi="宋体"/>
          <w:bCs/>
          <w:szCs w:val="21"/>
          <w:highlight w:val="none"/>
        </w:rPr>
      </w:pPr>
      <w:r>
        <w:rPr>
          <w:rFonts w:hint="eastAsia" w:ascii="宋体" w:hAnsi="宋体" w:cs="宋体"/>
          <w:bCs/>
          <w:szCs w:val="21"/>
          <w:highlight w:val="none"/>
        </w:rPr>
        <w:t>2、</w:t>
      </w:r>
      <w:r>
        <w:rPr>
          <w:rFonts w:hint="eastAsia" w:ascii="宋体" w:hAnsi="宋体"/>
          <w:bCs/>
          <w:szCs w:val="21"/>
          <w:highlight w:val="none"/>
        </w:rPr>
        <w:t>生</w:t>
      </w:r>
      <w:r>
        <w:rPr>
          <w:rFonts w:ascii="宋体" w:hAnsi="宋体"/>
          <w:bCs/>
          <w:szCs w:val="21"/>
          <w:highlight w:val="none"/>
        </w:rPr>
        <w:t>产主要噪声设备</w:t>
      </w:r>
      <w:r>
        <w:rPr>
          <w:rFonts w:hint="eastAsia" w:ascii="宋体" w:hAnsi="宋体"/>
          <w:bCs/>
          <w:szCs w:val="21"/>
          <w:highlight w:val="none"/>
        </w:rPr>
        <w:t>全部</w:t>
      </w:r>
      <w:r>
        <w:rPr>
          <w:rFonts w:ascii="宋体" w:hAnsi="宋体"/>
          <w:bCs/>
          <w:szCs w:val="21"/>
          <w:highlight w:val="none"/>
        </w:rPr>
        <w:t>放置于车间</w:t>
      </w:r>
      <w:r>
        <w:rPr>
          <w:rFonts w:hint="eastAsia" w:ascii="宋体" w:hAnsi="宋体"/>
          <w:bCs/>
          <w:szCs w:val="21"/>
          <w:highlight w:val="none"/>
        </w:rPr>
        <w:t>内，生产车间布置在厂区北侧，厂址远离村庄，利用</w:t>
      </w:r>
      <w:r>
        <w:rPr>
          <w:rFonts w:ascii="宋体" w:hAnsi="宋体"/>
          <w:bCs/>
          <w:szCs w:val="21"/>
          <w:highlight w:val="none"/>
        </w:rPr>
        <w:t>距离衰减及车间墙壁的隔声作用，降低了项目厂界噪声排放；</w:t>
      </w:r>
    </w:p>
    <w:p>
      <w:pPr>
        <w:ind w:firstLine="480"/>
        <w:rPr>
          <w:rFonts w:ascii="宋体" w:hAnsi="宋体"/>
          <w:bCs/>
          <w:szCs w:val="21"/>
          <w:highlight w:val="none"/>
        </w:rPr>
      </w:pPr>
      <w:r>
        <w:rPr>
          <w:rFonts w:hint="eastAsia" w:ascii="宋体" w:hAnsi="宋体" w:cs="宋体"/>
          <w:bCs/>
          <w:szCs w:val="21"/>
          <w:highlight w:val="none"/>
        </w:rPr>
        <w:t>3、</w:t>
      </w:r>
      <w:r>
        <w:rPr>
          <w:rFonts w:ascii="宋体" w:hAnsi="宋体"/>
          <w:bCs/>
          <w:szCs w:val="21"/>
          <w:highlight w:val="none"/>
        </w:rPr>
        <w:t>对破碎机、磨机等高噪声源等设备安装了减振垫；</w:t>
      </w:r>
    </w:p>
    <w:p>
      <w:pPr>
        <w:ind w:firstLine="480"/>
        <w:rPr>
          <w:rFonts w:ascii="宋体" w:hAnsi="宋体"/>
          <w:bCs/>
          <w:szCs w:val="21"/>
          <w:highlight w:val="none"/>
        </w:rPr>
      </w:pPr>
      <w:r>
        <w:rPr>
          <w:rFonts w:hint="eastAsia" w:ascii="宋体" w:hAnsi="宋体" w:cs="宋体"/>
          <w:bCs/>
          <w:szCs w:val="21"/>
          <w:highlight w:val="none"/>
        </w:rPr>
        <w:t>4、</w:t>
      </w:r>
      <w:r>
        <w:rPr>
          <w:rFonts w:ascii="宋体" w:hAnsi="宋体"/>
          <w:bCs/>
          <w:szCs w:val="21"/>
          <w:highlight w:val="none"/>
        </w:rPr>
        <w:t>加强了厂区及厂界的绿化，绿化带</w:t>
      </w:r>
      <w:r>
        <w:rPr>
          <w:rFonts w:hint="eastAsia" w:ascii="宋体" w:hAnsi="宋体"/>
          <w:bCs/>
          <w:szCs w:val="21"/>
          <w:highlight w:val="none"/>
        </w:rPr>
        <w:t>采用</w:t>
      </w:r>
      <w:r>
        <w:rPr>
          <w:rFonts w:ascii="宋体" w:hAnsi="宋体"/>
          <w:bCs/>
          <w:szCs w:val="21"/>
          <w:highlight w:val="none"/>
        </w:rPr>
        <w:t>高大乔木落叶树与低矮的黄杨、松柏等构成绿化屏障来阻挡噪声。</w:t>
      </w:r>
    </w:p>
    <w:p>
      <w:pPr>
        <w:ind w:firstLine="480"/>
        <w:rPr>
          <w:rFonts w:ascii="宋体" w:hAnsi="宋体"/>
          <w:bCs/>
          <w:szCs w:val="21"/>
          <w:highlight w:val="none"/>
        </w:rPr>
      </w:pPr>
      <w:r>
        <w:rPr>
          <w:rFonts w:hint="eastAsia" w:ascii="宋体" w:hAnsi="宋体" w:cs="宋体"/>
          <w:bCs/>
          <w:szCs w:val="21"/>
          <w:highlight w:val="none"/>
        </w:rPr>
        <w:t>5、</w:t>
      </w:r>
      <w:r>
        <w:rPr>
          <w:rFonts w:ascii="宋体" w:hAnsi="宋体"/>
          <w:bCs/>
          <w:szCs w:val="21"/>
          <w:highlight w:val="none"/>
        </w:rPr>
        <w:t>对进入厂区的车辆要求减速慢行，且禁止鸣笛。运输时间限于白天，夜间不运输。</w:t>
      </w:r>
    </w:p>
    <w:p>
      <w:pPr>
        <w:pStyle w:val="4"/>
        <w:ind w:firstLine="562"/>
        <w:rPr>
          <w:rFonts w:hAnsi="宋体"/>
          <w:highlight w:val="none"/>
        </w:rPr>
      </w:pPr>
      <w:r>
        <w:rPr>
          <w:rFonts w:hint="eastAsia" w:hAnsi="宋体"/>
          <w:highlight w:val="none"/>
        </w:rPr>
        <w:t>5.4.</w:t>
      </w:r>
      <w:r>
        <w:rPr>
          <w:rFonts w:hAnsi="宋体"/>
          <w:highlight w:val="none"/>
        </w:rPr>
        <w:t>3声环境影响预测</w:t>
      </w:r>
    </w:p>
    <w:p>
      <w:pPr>
        <w:ind w:firstLine="480"/>
        <w:rPr>
          <w:rFonts w:ascii="宋体" w:hAnsi="宋体"/>
          <w:spacing w:val="4"/>
          <w:szCs w:val="21"/>
          <w:highlight w:val="none"/>
        </w:rPr>
      </w:pPr>
      <w:r>
        <w:rPr>
          <w:rFonts w:hint="eastAsia" w:ascii="宋体" w:hAnsi="宋体"/>
          <w:bCs/>
          <w:szCs w:val="21"/>
          <w:highlight w:val="none"/>
        </w:rPr>
        <w:t>本项目已经于2019年6月建设完成并投入运行</w:t>
      </w:r>
      <w:r>
        <w:rPr>
          <w:rFonts w:ascii="宋体" w:hAnsi="宋体"/>
          <w:spacing w:val="4"/>
          <w:szCs w:val="21"/>
          <w:highlight w:val="none"/>
        </w:rPr>
        <w:t>，因此将现状监测值</w:t>
      </w:r>
      <w:r>
        <w:rPr>
          <w:rFonts w:hint="eastAsia" w:ascii="宋体" w:hAnsi="宋体"/>
          <w:spacing w:val="4"/>
          <w:szCs w:val="21"/>
          <w:highlight w:val="none"/>
        </w:rPr>
        <w:t>作为</w:t>
      </w:r>
      <w:r>
        <w:rPr>
          <w:rFonts w:ascii="宋体" w:hAnsi="宋体"/>
          <w:spacing w:val="4"/>
          <w:szCs w:val="21"/>
          <w:highlight w:val="none"/>
        </w:rPr>
        <w:t>厂界噪声预测值，具体见表5.4-</w:t>
      </w:r>
      <w:r>
        <w:rPr>
          <w:rFonts w:hint="eastAsia" w:ascii="宋体" w:hAnsi="宋体"/>
          <w:spacing w:val="4"/>
          <w:szCs w:val="21"/>
          <w:highlight w:val="none"/>
        </w:rPr>
        <w:t>2</w:t>
      </w:r>
      <w:r>
        <w:rPr>
          <w:rFonts w:ascii="宋体" w:hAnsi="宋体"/>
          <w:spacing w:val="4"/>
          <w:szCs w:val="21"/>
          <w:highlight w:val="none"/>
        </w:rPr>
        <w:t>。</w:t>
      </w:r>
    </w:p>
    <w:p>
      <w:pPr>
        <w:ind w:firstLine="496"/>
        <w:jc w:val="center"/>
        <w:rPr>
          <w:rFonts w:ascii="宋体" w:hAnsi="宋体"/>
          <w:spacing w:val="4"/>
          <w:szCs w:val="21"/>
          <w:highlight w:val="none"/>
        </w:rPr>
      </w:pPr>
      <w:r>
        <w:rPr>
          <w:rFonts w:ascii="宋体" w:hAnsi="宋体"/>
          <w:spacing w:val="4"/>
          <w:szCs w:val="21"/>
          <w:highlight w:val="none"/>
        </w:rPr>
        <w:t>表5.4-</w:t>
      </w:r>
      <w:r>
        <w:rPr>
          <w:rFonts w:hint="eastAsia" w:ascii="宋体" w:hAnsi="宋体"/>
          <w:spacing w:val="4"/>
          <w:szCs w:val="21"/>
          <w:highlight w:val="none"/>
        </w:rPr>
        <w:t xml:space="preserve">2  </w:t>
      </w:r>
      <w:r>
        <w:rPr>
          <w:rFonts w:ascii="宋体" w:hAnsi="宋体"/>
          <w:spacing w:val="4"/>
          <w:szCs w:val="21"/>
          <w:highlight w:val="none"/>
        </w:rPr>
        <w:t>厂界噪声预测结果单位：dB(A)</w:t>
      </w:r>
    </w:p>
    <w:tbl>
      <w:tblPr>
        <w:tblStyle w:val="44"/>
        <w:tblW w:w="895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821"/>
        <w:gridCol w:w="2044"/>
        <w:gridCol w:w="2044"/>
        <w:gridCol w:w="204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21" w:type="dxa"/>
            <w:vMerge w:val="restart"/>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预测点</w:t>
            </w:r>
          </w:p>
        </w:tc>
        <w:tc>
          <w:tcPr>
            <w:tcW w:w="6129" w:type="dxa"/>
            <w:gridSpan w:val="3"/>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昼间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21" w:type="dxa"/>
            <w:vMerge w:val="continue"/>
            <w:vAlign w:val="center"/>
          </w:tcPr>
          <w:p>
            <w:pPr>
              <w:spacing w:line="320" w:lineRule="exact"/>
              <w:ind w:firstLine="0" w:firstLineChars="0"/>
              <w:jc w:val="center"/>
              <w:rPr>
                <w:rFonts w:ascii="宋体" w:hAnsi="宋体"/>
                <w:bCs/>
                <w:sz w:val="21"/>
                <w:szCs w:val="21"/>
                <w:highlight w:val="none"/>
              </w:rPr>
            </w:pP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贡献值</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标准值</w:t>
            </w:r>
          </w:p>
        </w:tc>
        <w:tc>
          <w:tcPr>
            <w:tcW w:w="2041"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21"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1#西</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28.62</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60</w:t>
            </w:r>
          </w:p>
        </w:tc>
        <w:tc>
          <w:tcPr>
            <w:tcW w:w="2041" w:type="dxa"/>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2821"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2#北</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24.75</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60</w:t>
            </w:r>
          </w:p>
        </w:tc>
        <w:tc>
          <w:tcPr>
            <w:tcW w:w="2041" w:type="dxa"/>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21"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3#东</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29.83</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60</w:t>
            </w:r>
          </w:p>
        </w:tc>
        <w:tc>
          <w:tcPr>
            <w:tcW w:w="2041" w:type="dxa"/>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21"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4#南</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28.43</w:t>
            </w:r>
          </w:p>
        </w:tc>
        <w:tc>
          <w:tcPr>
            <w:tcW w:w="2044" w:type="dxa"/>
            <w:vAlign w:val="center"/>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60</w:t>
            </w:r>
          </w:p>
        </w:tc>
        <w:tc>
          <w:tcPr>
            <w:tcW w:w="2041" w:type="dxa"/>
          </w:tcPr>
          <w:p>
            <w:pPr>
              <w:spacing w:line="320" w:lineRule="exact"/>
              <w:ind w:firstLine="0" w:firstLineChars="0"/>
              <w:jc w:val="center"/>
              <w:rPr>
                <w:rFonts w:ascii="宋体" w:hAnsi="宋体"/>
                <w:bCs/>
                <w:sz w:val="21"/>
                <w:szCs w:val="21"/>
                <w:highlight w:val="none"/>
              </w:rPr>
            </w:pPr>
            <w:r>
              <w:rPr>
                <w:rFonts w:ascii="宋体" w:hAnsi="宋体"/>
                <w:bCs/>
                <w:sz w:val="21"/>
                <w:szCs w:val="21"/>
                <w:highlight w:val="none"/>
              </w:rPr>
              <w:t>达标</w:t>
            </w:r>
          </w:p>
        </w:tc>
      </w:tr>
    </w:tbl>
    <w:p>
      <w:pPr>
        <w:pStyle w:val="4"/>
        <w:ind w:firstLine="562"/>
        <w:rPr>
          <w:rFonts w:hAnsi="宋体"/>
          <w:highlight w:val="none"/>
        </w:rPr>
      </w:pPr>
      <w:r>
        <w:rPr>
          <w:rFonts w:hAnsi="宋体"/>
          <w:highlight w:val="none"/>
        </w:rPr>
        <w:t>5.4.</w:t>
      </w:r>
      <w:r>
        <w:rPr>
          <w:rFonts w:hint="eastAsia" w:hAnsi="宋体"/>
          <w:highlight w:val="none"/>
        </w:rPr>
        <w:t>4</w:t>
      </w:r>
      <w:r>
        <w:rPr>
          <w:rFonts w:hAnsi="宋体"/>
          <w:highlight w:val="none"/>
        </w:rPr>
        <w:t>声环境影响评价结论</w:t>
      </w:r>
    </w:p>
    <w:p>
      <w:pPr>
        <w:spacing w:line="420" w:lineRule="atLeast"/>
        <w:ind w:firstLine="496"/>
        <w:rPr>
          <w:rFonts w:ascii="宋体" w:hAnsi="宋体"/>
          <w:spacing w:val="4"/>
          <w:szCs w:val="21"/>
          <w:highlight w:val="none"/>
        </w:rPr>
      </w:pPr>
      <w:r>
        <w:rPr>
          <w:rFonts w:ascii="宋体" w:hAnsi="宋体"/>
          <w:spacing w:val="4"/>
          <w:szCs w:val="21"/>
          <w:highlight w:val="none"/>
        </w:rPr>
        <w:t>从噪声预测结果可以看出，本项目厂界噪声昼、夜间噪声预测值为未超过《工业企业厂界环境噪声排放标准》(GB12348-2008)中2类区标准限值。</w:t>
      </w:r>
    </w:p>
    <w:p>
      <w:pPr>
        <w:pStyle w:val="4"/>
        <w:rPr>
          <w:rFonts w:hint="eastAsia"/>
          <w:lang w:val="en-US" w:eastAsia="zh-CN"/>
        </w:rPr>
      </w:pPr>
      <w:r>
        <w:rPr>
          <w:rFonts w:hint="eastAsia"/>
          <w:lang w:val="en-US" w:eastAsia="zh-CN"/>
        </w:rPr>
        <w:t>5.4.5声环境影响评价自查表</w:t>
      </w:r>
    </w:p>
    <w:p>
      <w:pPr>
        <w:rPr>
          <w:rFonts w:hint="eastAsia"/>
          <w:sz w:val="24"/>
          <w:szCs w:val="24"/>
          <w:lang w:val="en-US" w:eastAsia="zh-CN"/>
        </w:rPr>
      </w:pPr>
      <w:r>
        <w:rPr>
          <w:rFonts w:hint="eastAsia"/>
          <w:sz w:val="24"/>
          <w:szCs w:val="24"/>
          <w:lang w:eastAsia="zh-CN"/>
        </w:rPr>
        <w:t>声环境影响评价自查表</w:t>
      </w:r>
      <w:r>
        <w:rPr>
          <w:rFonts w:hint="eastAsia"/>
          <w:sz w:val="24"/>
          <w:szCs w:val="24"/>
          <w:lang w:val="en-US" w:eastAsia="zh-CN"/>
        </w:rPr>
        <w:t>见表5.4-3。</w:t>
      </w:r>
    </w:p>
    <w:p>
      <w:pPr>
        <w:ind w:firstLine="496"/>
        <w:jc w:val="center"/>
        <w:rPr>
          <w:rFonts w:hint="eastAsia" w:ascii="宋体" w:hAnsi="宋体" w:eastAsia="宋体" w:cs="Times New Roman"/>
          <w:spacing w:val="4"/>
          <w:szCs w:val="21"/>
          <w:highlight w:val="none"/>
          <w:lang w:eastAsia="zh-CN"/>
        </w:rPr>
      </w:pPr>
      <w:r>
        <w:rPr>
          <w:rFonts w:hint="eastAsia" w:ascii="宋体" w:hAnsi="宋体" w:eastAsia="宋体" w:cs="Times New Roman"/>
          <w:spacing w:val="4"/>
          <w:szCs w:val="21"/>
          <w:highlight w:val="none"/>
          <w:lang w:val="en-US" w:eastAsia="zh-CN"/>
        </w:rPr>
        <w:t xml:space="preserve">表5.4-3  </w:t>
      </w:r>
      <w:r>
        <w:rPr>
          <w:rFonts w:hint="eastAsia" w:ascii="宋体" w:hAnsi="宋体" w:eastAsia="宋体" w:cs="Times New Roman"/>
          <w:spacing w:val="4"/>
          <w:szCs w:val="21"/>
          <w:highlight w:val="none"/>
          <w:lang w:eastAsia="zh-CN"/>
        </w:rPr>
        <w:t>声环境影响评价自查表</w:t>
      </w:r>
    </w:p>
    <w:tbl>
      <w:tblPr>
        <w:tblStyle w:val="45"/>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479"/>
        <w:gridCol w:w="1127"/>
        <w:gridCol w:w="200"/>
        <w:gridCol w:w="807"/>
        <w:gridCol w:w="376"/>
        <w:gridCol w:w="320"/>
        <w:gridCol w:w="259"/>
        <w:gridCol w:w="567"/>
        <w:gridCol w:w="428"/>
        <w:gridCol w:w="501"/>
        <w:gridCol w:w="166"/>
        <w:gridCol w:w="422"/>
        <w:gridCol w:w="118"/>
        <w:gridCol w:w="1054"/>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2595" w:type="dxa"/>
            <w:gridSpan w:val="2"/>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工作内容</w:t>
            </w:r>
          </w:p>
        </w:tc>
        <w:tc>
          <w:tcPr>
            <w:tcW w:w="6345" w:type="dxa"/>
            <w:gridSpan w:val="1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restart"/>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评价等级与范围</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评价等级</w:t>
            </w:r>
          </w:p>
        </w:tc>
        <w:tc>
          <w:tcPr>
            <w:tcW w:w="2510"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一级</w:t>
            </w:r>
            <w:r>
              <w:rPr>
                <w:rFonts w:hint="eastAsia"/>
                <w:sz w:val="21"/>
                <w:szCs w:val="21"/>
                <w:lang w:eastAsia="zh-CN"/>
              </w:rPr>
              <w:sym w:font="Wingdings 2" w:char="00A3"/>
            </w:r>
          </w:p>
        </w:tc>
        <w:tc>
          <w:tcPr>
            <w:tcW w:w="1574"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二级</w:t>
            </w:r>
            <w:r>
              <w:rPr>
                <w:rFonts w:hint="eastAsia"/>
                <w:sz w:val="21"/>
                <w:szCs w:val="21"/>
                <w:lang w:eastAsia="zh-CN"/>
              </w:rPr>
              <w:sym w:font="Wingdings 2" w:char="0052"/>
            </w:r>
          </w:p>
        </w:tc>
        <w:tc>
          <w:tcPr>
            <w:tcW w:w="2261"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三级</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评价范围</w:t>
            </w:r>
          </w:p>
        </w:tc>
        <w:tc>
          <w:tcPr>
            <w:tcW w:w="2510"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val="en-US" w:eastAsia="zh-CN"/>
              </w:rPr>
              <w:t>200m</w:t>
            </w:r>
            <w:r>
              <w:rPr>
                <w:rFonts w:hint="eastAsia"/>
                <w:sz w:val="21"/>
                <w:szCs w:val="21"/>
                <w:lang w:eastAsia="zh-CN"/>
              </w:rPr>
              <w:sym w:font="Wingdings 2" w:char="0052"/>
            </w:r>
          </w:p>
        </w:tc>
        <w:tc>
          <w:tcPr>
            <w:tcW w:w="1574"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val="en-US" w:eastAsia="zh-CN"/>
              </w:rPr>
              <w:t>大于200m</w:t>
            </w:r>
            <w:r>
              <w:rPr>
                <w:rFonts w:hint="eastAsia"/>
                <w:sz w:val="21"/>
                <w:szCs w:val="21"/>
                <w:lang w:eastAsia="zh-CN"/>
              </w:rPr>
              <w:sym w:font="Wingdings 2" w:char="00A3"/>
            </w:r>
          </w:p>
        </w:tc>
        <w:tc>
          <w:tcPr>
            <w:tcW w:w="2261"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小于200m</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评价因子</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评价因子</w:t>
            </w:r>
          </w:p>
        </w:tc>
        <w:tc>
          <w:tcPr>
            <w:tcW w:w="213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eastAsia="zh-CN"/>
              </w:rPr>
              <w:t>等效连续</w:t>
            </w:r>
            <w:r>
              <w:rPr>
                <w:rFonts w:hint="eastAsia"/>
                <w:sz w:val="21"/>
                <w:szCs w:val="21"/>
                <w:lang w:val="en-US" w:eastAsia="zh-CN"/>
              </w:rPr>
              <w:t>A声级</w:t>
            </w:r>
            <w:r>
              <w:rPr>
                <w:rFonts w:hint="eastAsia"/>
                <w:sz w:val="21"/>
                <w:szCs w:val="21"/>
                <w:lang w:eastAsia="zh-CN"/>
              </w:rPr>
              <w:sym w:font="Wingdings 2" w:char="0052"/>
            </w:r>
          </w:p>
        </w:tc>
        <w:tc>
          <w:tcPr>
            <w:tcW w:w="1522"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最大</w:t>
            </w:r>
            <w:r>
              <w:rPr>
                <w:rFonts w:hint="eastAsia"/>
                <w:sz w:val="21"/>
                <w:szCs w:val="21"/>
                <w:lang w:val="en-US" w:eastAsia="zh-CN"/>
              </w:rPr>
              <w:t>A</w:t>
            </w:r>
            <w:r>
              <w:rPr>
                <w:rFonts w:hint="eastAsia"/>
                <w:sz w:val="21"/>
                <w:szCs w:val="21"/>
                <w:lang w:eastAsia="zh-CN"/>
              </w:rPr>
              <w:t>声级</w:t>
            </w:r>
            <w:r>
              <w:rPr>
                <w:rFonts w:hint="eastAsia"/>
                <w:sz w:val="21"/>
                <w:szCs w:val="21"/>
                <w:lang w:eastAsia="zh-CN"/>
              </w:rPr>
              <w:sym w:font="Wingdings 2" w:char="00A3"/>
            </w:r>
          </w:p>
        </w:tc>
        <w:tc>
          <w:tcPr>
            <w:tcW w:w="2689" w:type="dxa"/>
            <w:gridSpan w:val="6"/>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计权等效连续感觉噪声级</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评价标准</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评价标准</w:t>
            </w:r>
          </w:p>
        </w:tc>
        <w:tc>
          <w:tcPr>
            <w:tcW w:w="2510"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国家标准</w:t>
            </w:r>
            <w:r>
              <w:rPr>
                <w:rFonts w:hint="eastAsia"/>
                <w:sz w:val="21"/>
                <w:szCs w:val="21"/>
                <w:lang w:eastAsia="zh-CN"/>
              </w:rPr>
              <w:sym w:font="Wingdings 2" w:char="0052"/>
            </w:r>
          </w:p>
        </w:tc>
        <w:tc>
          <w:tcPr>
            <w:tcW w:w="1574"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地方标准</w:t>
            </w:r>
            <w:r>
              <w:rPr>
                <w:rFonts w:hint="eastAsia"/>
                <w:sz w:val="21"/>
                <w:szCs w:val="21"/>
                <w:lang w:eastAsia="zh-CN"/>
              </w:rPr>
              <w:sym w:font="Wingdings 2" w:char="00A3"/>
            </w:r>
          </w:p>
        </w:tc>
        <w:tc>
          <w:tcPr>
            <w:tcW w:w="2261"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国外标准</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6" w:type="dxa"/>
            <w:vMerge w:val="restart"/>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现状评价</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环境功能区</w:t>
            </w:r>
          </w:p>
        </w:tc>
        <w:tc>
          <w:tcPr>
            <w:tcW w:w="1127"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val="en-US" w:eastAsia="zh-CN"/>
              </w:rPr>
              <w:t>0类区</w:t>
            </w:r>
            <w:r>
              <w:rPr>
                <w:rFonts w:hint="eastAsia"/>
                <w:sz w:val="21"/>
                <w:szCs w:val="21"/>
                <w:lang w:eastAsia="zh-CN"/>
              </w:rPr>
              <w:sym w:font="Wingdings 2" w:char="00A3"/>
            </w:r>
          </w:p>
        </w:tc>
        <w:tc>
          <w:tcPr>
            <w:tcW w:w="1007" w:type="dxa"/>
            <w:gridSpan w:val="2"/>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1类区</w:t>
            </w:r>
            <w:r>
              <w:rPr>
                <w:rFonts w:hint="eastAsia"/>
                <w:sz w:val="21"/>
                <w:szCs w:val="21"/>
                <w:lang w:eastAsia="zh-CN"/>
              </w:rPr>
              <w:sym w:font="Wingdings 2" w:char="0052"/>
            </w:r>
          </w:p>
        </w:tc>
        <w:tc>
          <w:tcPr>
            <w:tcW w:w="955"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2类区</w:t>
            </w:r>
            <w:r>
              <w:rPr>
                <w:rFonts w:hint="eastAsia"/>
                <w:sz w:val="21"/>
                <w:szCs w:val="21"/>
                <w:lang w:eastAsia="zh-CN"/>
              </w:rPr>
              <w:sym w:font="Wingdings 2" w:char="0052"/>
            </w:r>
          </w:p>
        </w:tc>
        <w:tc>
          <w:tcPr>
            <w:tcW w:w="995" w:type="dxa"/>
            <w:gridSpan w:val="2"/>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3类区</w:t>
            </w:r>
            <w:r>
              <w:rPr>
                <w:rFonts w:hint="eastAsia"/>
                <w:sz w:val="21"/>
                <w:szCs w:val="21"/>
                <w:lang w:eastAsia="zh-CN"/>
              </w:rPr>
              <w:sym w:font="Wingdings 2" w:char="00A3"/>
            </w:r>
          </w:p>
        </w:tc>
        <w:tc>
          <w:tcPr>
            <w:tcW w:w="1089"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4a类区</w:t>
            </w:r>
            <w:r>
              <w:rPr>
                <w:rFonts w:hint="eastAsia"/>
                <w:sz w:val="21"/>
                <w:szCs w:val="21"/>
                <w:lang w:eastAsia="zh-CN"/>
              </w:rPr>
              <w:sym w:font="Wingdings 2" w:char="00A3"/>
            </w:r>
          </w:p>
        </w:tc>
        <w:tc>
          <w:tcPr>
            <w:tcW w:w="117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4b类区</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评价年度</w:t>
            </w:r>
          </w:p>
        </w:tc>
        <w:tc>
          <w:tcPr>
            <w:tcW w:w="1327" w:type="dxa"/>
            <w:gridSpan w:val="2"/>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val="en-US" w:eastAsia="zh-CN"/>
              </w:rPr>
              <w:t>初期</w:t>
            </w:r>
            <w:r>
              <w:rPr>
                <w:rFonts w:hint="eastAsia"/>
                <w:sz w:val="21"/>
                <w:szCs w:val="21"/>
                <w:lang w:eastAsia="zh-CN"/>
              </w:rPr>
              <w:sym w:font="Wingdings 2" w:char="0052"/>
            </w:r>
          </w:p>
        </w:tc>
        <w:tc>
          <w:tcPr>
            <w:tcW w:w="1503"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近期</w:t>
            </w:r>
            <w:r>
              <w:rPr>
                <w:rFonts w:hint="eastAsia"/>
                <w:sz w:val="21"/>
                <w:szCs w:val="21"/>
                <w:lang w:eastAsia="zh-CN"/>
              </w:rPr>
              <w:sym w:font="Wingdings 2" w:char="00A3"/>
            </w:r>
          </w:p>
        </w:tc>
        <w:tc>
          <w:tcPr>
            <w:tcW w:w="1755"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中期</w:t>
            </w:r>
            <w:r>
              <w:rPr>
                <w:rFonts w:hint="eastAsia"/>
                <w:sz w:val="21"/>
                <w:szCs w:val="21"/>
                <w:lang w:eastAsia="zh-CN"/>
              </w:rPr>
              <w:sym w:font="Wingdings 2" w:char="00A3"/>
            </w:r>
          </w:p>
        </w:tc>
        <w:tc>
          <w:tcPr>
            <w:tcW w:w="1760"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远期</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现状调查方法</w:t>
            </w:r>
          </w:p>
        </w:tc>
        <w:tc>
          <w:tcPr>
            <w:tcW w:w="213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现场实测法</w:t>
            </w:r>
            <w:r>
              <w:rPr>
                <w:rFonts w:hint="eastAsia"/>
                <w:sz w:val="21"/>
                <w:szCs w:val="21"/>
                <w:lang w:eastAsia="zh-CN"/>
              </w:rPr>
              <w:sym w:font="Wingdings 2" w:char="0052"/>
            </w:r>
          </w:p>
        </w:tc>
        <w:tc>
          <w:tcPr>
            <w:tcW w:w="2617" w:type="dxa"/>
            <w:gridSpan w:val="7"/>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现场实测加模型计算法</w:t>
            </w:r>
            <w:r>
              <w:rPr>
                <w:rFonts w:hint="eastAsia"/>
                <w:sz w:val="21"/>
                <w:szCs w:val="21"/>
                <w:lang w:eastAsia="zh-CN"/>
              </w:rPr>
              <w:sym w:font="Wingdings 2" w:char="00A3"/>
            </w:r>
          </w:p>
        </w:tc>
        <w:tc>
          <w:tcPr>
            <w:tcW w:w="159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收集资料</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现状评价</w:t>
            </w:r>
          </w:p>
        </w:tc>
        <w:tc>
          <w:tcPr>
            <w:tcW w:w="213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达标百分比</w:t>
            </w:r>
            <w:r>
              <w:rPr>
                <w:rFonts w:hint="eastAsia"/>
                <w:sz w:val="21"/>
                <w:szCs w:val="21"/>
                <w:lang w:eastAsia="zh-CN"/>
              </w:rPr>
              <w:sym w:font="Wingdings 2" w:char="0052"/>
            </w:r>
          </w:p>
        </w:tc>
        <w:tc>
          <w:tcPr>
            <w:tcW w:w="4211" w:type="dxa"/>
            <w:gridSpan w:val="10"/>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噪声源调查</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噪声源调查方法</w:t>
            </w:r>
          </w:p>
        </w:tc>
        <w:tc>
          <w:tcPr>
            <w:tcW w:w="2510"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现场实测</w:t>
            </w:r>
            <w:r>
              <w:rPr>
                <w:rFonts w:hint="eastAsia"/>
                <w:sz w:val="21"/>
                <w:szCs w:val="21"/>
                <w:lang w:eastAsia="zh-CN"/>
              </w:rPr>
              <w:sym w:font="Wingdings 2" w:char="00A3"/>
            </w:r>
          </w:p>
        </w:tc>
        <w:tc>
          <w:tcPr>
            <w:tcW w:w="1574"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已有资料</w:t>
            </w:r>
            <w:r>
              <w:rPr>
                <w:rFonts w:hint="eastAsia"/>
                <w:sz w:val="21"/>
                <w:szCs w:val="21"/>
                <w:lang w:eastAsia="zh-CN"/>
              </w:rPr>
              <w:sym w:font="Wingdings 2" w:char="0052"/>
            </w:r>
          </w:p>
        </w:tc>
        <w:tc>
          <w:tcPr>
            <w:tcW w:w="2261"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研究成果</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restart"/>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声环境影响预测与评价</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预测模型</w:t>
            </w:r>
          </w:p>
        </w:tc>
        <w:tc>
          <w:tcPr>
            <w:tcW w:w="2830"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导则推荐模型</w:t>
            </w:r>
            <w:r>
              <w:rPr>
                <w:rFonts w:hint="eastAsia"/>
                <w:sz w:val="21"/>
                <w:szCs w:val="21"/>
                <w:lang w:eastAsia="zh-CN"/>
              </w:rPr>
              <w:sym w:font="Wingdings 2" w:char="0052"/>
            </w:r>
          </w:p>
        </w:tc>
        <w:tc>
          <w:tcPr>
            <w:tcW w:w="3515" w:type="dxa"/>
            <w:gridSpan w:val="8"/>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val="en-US" w:eastAsia="zh-CN"/>
              </w:rPr>
            </w:pPr>
            <w:r>
              <w:rPr>
                <w:rFonts w:hint="eastAsia"/>
                <w:sz w:val="21"/>
                <w:szCs w:val="21"/>
                <w:lang w:eastAsia="zh-CN"/>
              </w:rPr>
              <w:t>其他</w:t>
            </w:r>
            <w:r>
              <w:rPr>
                <w:rFonts w:hint="eastAsia"/>
                <w:sz w:val="21"/>
                <w:szCs w:val="21"/>
                <w:lang w:eastAsia="zh-CN"/>
              </w:rPr>
              <w:sym w:font="Wingdings 2" w:char="00A3"/>
            </w:r>
            <w:r>
              <w:rPr>
                <w:rFonts w:hint="eastAsia"/>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预测范围</w:t>
            </w:r>
          </w:p>
        </w:tc>
        <w:tc>
          <w:tcPr>
            <w:tcW w:w="2510"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200m</w:t>
            </w:r>
            <w:r>
              <w:rPr>
                <w:rFonts w:hint="eastAsia"/>
                <w:sz w:val="21"/>
                <w:szCs w:val="21"/>
                <w:lang w:eastAsia="zh-CN"/>
              </w:rPr>
              <w:sym w:font="Wingdings 2" w:char="0052"/>
            </w:r>
          </w:p>
        </w:tc>
        <w:tc>
          <w:tcPr>
            <w:tcW w:w="1574"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大于200m</w:t>
            </w:r>
            <w:r>
              <w:rPr>
                <w:rFonts w:hint="eastAsia"/>
                <w:sz w:val="21"/>
                <w:szCs w:val="21"/>
                <w:lang w:eastAsia="zh-CN"/>
              </w:rPr>
              <w:sym w:font="Wingdings 2" w:char="00A3"/>
            </w:r>
          </w:p>
        </w:tc>
        <w:tc>
          <w:tcPr>
            <w:tcW w:w="2261"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val="en-US" w:eastAsia="zh-CN"/>
              </w:rPr>
              <w:t>小于200m</w:t>
            </w:r>
            <w:r>
              <w:rPr>
                <w:rFonts w:hint="eastAsia"/>
                <w:sz w:val="21"/>
                <w:szCs w:val="21"/>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预测因子</w:t>
            </w:r>
          </w:p>
        </w:tc>
        <w:tc>
          <w:tcPr>
            <w:tcW w:w="213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等效连续</w:t>
            </w:r>
            <w:r>
              <w:rPr>
                <w:rFonts w:hint="eastAsia"/>
                <w:sz w:val="21"/>
                <w:szCs w:val="21"/>
                <w:lang w:val="en-US" w:eastAsia="zh-CN"/>
              </w:rPr>
              <w:t>A声级</w:t>
            </w:r>
            <w:r>
              <w:rPr>
                <w:rFonts w:hint="eastAsia"/>
                <w:sz w:val="21"/>
                <w:szCs w:val="21"/>
                <w:lang w:eastAsia="zh-CN"/>
              </w:rPr>
              <w:sym w:font="Wingdings 2" w:char="0052"/>
            </w:r>
          </w:p>
        </w:tc>
        <w:tc>
          <w:tcPr>
            <w:tcW w:w="1522"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最大</w:t>
            </w:r>
            <w:r>
              <w:rPr>
                <w:rFonts w:hint="eastAsia"/>
                <w:sz w:val="21"/>
                <w:szCs w:val="21"/>
                <w:lang w:val="en-US" w:eastAsia="zh-CN"/>
              </w:rPr>
              <w:t>A</w:t>
            </w:r>
            <w:r>
              <w:rPr>
                <w:rFonts w:hint="eastAsia"/>
                <w:sz w:val="21"/>
                <w:szCs w:val="21"/>
                <w:lang w:eastAsia="zh-CN"/>
              </w:rPr>
              <w:t>声级</w:t>
            </w:r>
            <w:r>
              <w:rPr>
                <w:rFonts w:hint="eastAsia"/>
                <w:sz w:val="21"/>
                <w:szCs w:val="21"/>
                <w:lang w:eastAsia="zh-CN"/>
              </w:rPr>
              <w:sym w:font="Wingdings 2" w:char="00A3"/>
            </w:r>
          </w:p>
        </w:tc>
        <w:tc>
          <w:tcPr>
            <w:tcW w:w="2689" w:type="dxa"/>
            <w:gridSpan w:val="6"/>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厂界噪声贡献值</w:t>
            </w:r>
          </w:p>
        </w:tc>
        <w:tc>
          <w:tcPr>
            <w:tcW w:w="2830"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达标</w:t>
            </w:r>
            <w:r>
              <w:rPr>
                <w:rFonts w:hint="eastAsia"/>
                <w:sz w:val="21"/>
                <w:szCs w:val="21"/>
                <w:lang w:eastAsia="zh-CN"/>
              </w:rPr>
              <w:sym w:font="Wingdings 2" w:char="0052"/>
            </w:r>
          </w:p>
        </w:tc>
        <w:tc>
          <w:tcPr>
            <w:tcW w:w="3515" w:type="dxa"/>
            <w:gridSpan w:val="8"/>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声环境保护目标处噪声值</w:t>
            </w:r>
          </w:p>
        </w:tc>
        <w:tc>
          <w:tcPr>
            <w:tcW w:w="2830"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达标</w:t>
            </w:r>
            <w:r>
              <w:rPr>
                <w:rFonts w:hint="eastAsia"/>
                <w:sz w:val="21"/>
                <w:szCs w:val="21"/>
                <w:lang w:eastAsia="zh-CN"/>
              </w:rPr>
              <w:sym w:font="Wingdings 2" w:char="0052"/>
            </w:r>
          </w:p>
        </w:tc>
        <w:tc>
          <w:tcPr>
            <w:tcW w:w="3515" w:type="dxa"/>
            <w:gridSpan w:val="8"/>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restart"/>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环境监测计划</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排放监测</w:t>
            </w:r>
          </w:p>
        </w:tc>
        <w:tc>
          <w:tcPr>
            <w:tcW w:w="1127"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厂界监测</w:t>
            </w:r>
            <w:r>
              <w:rPr>
                <w:rFonts w:hint="eastAsia"/>
                <w:sz w:val="21"/>
                <w:szCs w:val="21"/>
                <w:lang w:eastAsia="zh-CN"/>
              </w:rPr>
              <w:sym w:font="Wingdings 2" w:char="0052"/>
            </w:r>
          </w:p>
        </w:tc>
        <w:tc>
          <w:tcPr>
            <w:tcW w:w="1703"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固定位置监测□</w:t>
            </w:r>
          </w:p>
        </w:tc>
        <w:tc>
          <w:tcPr>
            <w:tcW w:w="125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自动监测□</w:t>
            </w:r>
          </w:p>
        </w:tc>
        <w:tc>
          <w:tcPr>
            <w:tcW w:w="1207" w:type="dxa"/>
            <w:gridSpan w:val="4"/>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手动监测□</w:t>
            </w:r>
          </w:p>
        </w:tc>
        <w:tc>
          <w:tcPr>
            <w:tcW w:w="1054"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vMerge w:val="continue"/>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声环境保护目标处噪声监测</w:t>
            </w:r>
          </w:p>
        </w:tc>
        <w:tc>
          <w:tcPr>
            <w:tcW w:w="2830"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监测因子：（等效连续</w:t>
            </w:r>
            <w:r>
              <w:rPr>
                <w:rFonts w:hint="eastAsia"/>
                <w:sz w:val="21"/>
                <w:szCs w:val="21"/>
                <w:lang w:val="en-US" w:eastAsia="zh-CN"/>
              </w:rPr>
              <w:t>A声级</w:t>
            </w:r>
            <w:r>
              <w:rPr>
                <w:rFonts w:hint="eastAsia"/>
                <w:sz w:val="21"/>
                <w:szCs w:val="21"/>
                <w:lang w:eastAsia="zh-CN"/>
              </w:rPr>
              <w:t>）</w:t>
            </w:r>
          </w:p>
        </w:tc>
        <w:tc>
          <w:tcPr>
            <w:tcW w:w="1921"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监测点位数（</w:t>
            </w:r>
            <w:r>
              <w:rPr>
                <w:rFonts w:hint="eastAsia"/>
                <w:sz w:val="21"/>
                <w:szCs w:val="21"/>
                <w:lang w:val="en-US" w:eastAsia="zh-CN"/>
              </w:rPr>
              <w:t>4</w:t>
            </w:r>
            <w:r>
              <w:rPr>
                <w:rFonts w:hint="eastAsia"/>
                <w:sz w:val="21"/>
                <w:szCs w:val="21"/>
                <w:lang w:eastAsia="zh-CN"/>
              </w:rPr>
              <w:t>）</w:t>
            </w:r>
          </w:p>
        </w:tc>
        <w:tc>
          <w:tcPr>
            <w:tcW w:w="1594" w:type="dxa"/>
            <w:gridSpan w:val="3"/>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无监测</w:t>
            </w:r>
            <w:r>
              <w:rPr>
                <w:rFonts w:hint="eastAsia"/>
                <w:sz w:val="21"/>
                <w:szCs w:val="21"/>
                <w:lang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116"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评价结论</w:t>
            </w:r>
          </w:p>
        </w:tc>
        <w:tc>
          <w:tcPr>
            <w:tcW w:w="1479" w:type="dxa"/>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环境影响</w:t>
            </w:r>
          </w:p>
        </w:tc>
        <w:tc>
          <w:tcPr>
            <w:tcW w:w="2830" w:type="dxa"/>
            <w:gridSpan w:val="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可行</w:t>
            </w:r>
            <w:r>
              <w:rPr>
                <w:rFonts w:hint="eastAsia"/>
                <w:sz w:val="21"/>
                <w:szCs w:val="21"/>
                <w:lang w:eastAsia="zh-CN"/>
              </w:rPr>
              <w:sym w:font="Wingdings 2" w:char="0052"/>
            </w:r>
          </w:p>
        </w:tc>
        <w:tc>
          <w:tcPr>
            <w:tcW w:w="3515" w:type="dxa"/>
            <w:gridSpan w:val="8"/>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center"/>
              <w:textAlignment w:val="auto"/>
              <w:rPr>
                <w:rFonts w:hint="eastAsia"/>
                <w:sz w:val="21"/>
                <w:szCs w:val="21"/>
                <w:lang w:eastAsia="zh-CN"/>
              </w:rPr>
            </w:pPr>
            <w:r>
              <w:rPr>
                <w:rFonts w:hint="eastAsia"/>
                <w:sz w:val="21"/>
                <w:szCs w:val="21"/>
                <w:lang w:eastAsia="zh-CN"/>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8940" w:type="dxa"/>
            <w:gridSpan w:val="15"/>
            <w:tcBorders>
              <w:tl2br w:val="nil"/>
              <w:tr2bl w:val="nil"/>
            </w:tcBorders>
            <w:vAlign w:val="center"/>
          </w:tcPr>
          <w:p>
            <w:pPr>
              <w:pStyle w:val="12"/>
              <w:keepNext w:val="0"/>
              <w:keepLines w:val="0"/>
              <w:pageBreakBefore w:val="0"/>
              <w:widowControl w:val="0"/>
              <w:kinsoku/>
              <w:wordWrap/>
              <w:overflowPunct/>
              <w:topLinePunct/>
              <w:autoSpaceDE/>
              <w:autoSpaceDN/>
              <w:bidi w:val="0"/>
              <w:adjustRightInd w:val="0"/>
              <w:snapToGrid w:val="0"/>
              <w:spacing w:line="320" w:lineRule="exact"/>
              <w:ind w:left="0" w:leftChars="0" w:firstLine="0" w:firstLineChars="0"/>
              <w:jc w:val="left"/>
              <w:textAlignment w:val="auto"/>
              <w:rPr>
                <w:rFonts w:hint="eastAsia"/>
                <w:sz w:val="21"/>
                <w:szCs w:val="21"/>
                <w:lang w:eastAsia="zh-CN"/>
              </w:rPr>
            </w:pPr>
            <w:r>
              <w:rPr>
                <w:rFonts w:hint="eastAsia"/>
                <w:sz w:val="21"/>
                <w:szCs w:val="21"/>
                <w:lang w:eastAsia="zh-CN"/>
              </w:rPr>
              <w:t>注：“□”为勾选项，可；“（）”为内容填写项。</w:t>
            </w:r>
          </w:p>
        </w:tc>
      </w:tr>
    </w:tbl>
    <w:p>
      <w:pPr>
        <w:pStyle w:val="3"/>
        <w:ind w:firstLine="643"/>
        <w:rPr>
          <w:rFonts w:hAnsi="宋体"/>
          <w:highlight w:val="none"/>
        </w:rPr>
      </w:pPr>
      <w:bookmarkStart w:id="317" w:name="_Toc4678476"/>
      <w:bookmarkStart w:id="318" w:name="_Toc70201033"/>
      <w:r>
        <w:rPr>
          <w:rFonts w:hAnsi="宋体"/>
          <w:highlight w:val="none"/>
        </w:rPr>
        <w:t>5.5</w:t>
      </w:r>
      <w:r>
        <w:rPr>
          <w:rFonts w:hint="eastAsia" w:hAnsi="宋体"/>
          <w:highlight w:val="none"/>
        </w:rPr>
        <w:t>运营期</w:t>
      </w:r>
      <w:r>
        <w:rPr>
          <w:rFonts w:hAnsi="宋体"/>
          <w:highlight w:val="none"/>
        </w:rPr>
        <w:t>固体废物影响</w:t>
      </w:r>
      <w:bookmarkEnd w:id="317"/>
      <w:r>
        <w:rPr>
          <w:rFonts w:hAnsi="宋体"/>
          <w:highlight w:val="none"/>
        </w:rPr>
        <w:t>分析</w:t>
      </w:r>
      <w:bookmarkEnd w:id="318"/>
    </w:p>
    <w:p>
      <w:pPr>
        <w:pStyle w:val="4"/>
        <w:ind w:firstLine="562"/>
        <w:rPr>
          <w:rFonts w:hAnsi="宋体"/>
          <w:highlight w:val="none"/>
        </w:rPr>
      </w:pPr>
      <w:r>
        <w:rPr>
          <w:rFonts w:hAnsi="宋体"/>
          <w:highlight w:val="none"/>
        </w:rPr>
        <w:t>5.5.1固废来源及处置措施</w:t>
      </w:r>
    </w:p>
    <w:p>
      <w:pPr>
        <w:ind w:firstLine="480"/>
        <w:rPr>
          <w:rFonts w:ascii="宋体" w:hAnsi="宋体"/>
          <w:bCs/>
          <w:szCs w:val="21"/>
          <w:highlight w:val="none"/>
        </w:rPr>
      </w:pPr>
      <w:r>
        <w:rPr>
          <w:rFonts w:ascii="宋体" w:hAnsi="宋体"/>
          <w:bCs/>
          <w:szCs w:val="21"/>
          <w:highlight w:val="none"/>
        </w:rPr>
        <w:t>本项目产生的固废分为生活垃圾、废石、尾砂、除尘灰和废机油。</w:t>
      </w:r>
    </w:p>
    <w:p>
      <w:pPr>
        <w:ind w:firstLine="480"/>
        <w:rPr>
          <w:rFonts w:ascii="宋体" w:hAnsi="宋体"/>
          <w:bCs/>
          <w:szCs w:val="21"/>
          <w:highlight w:val="none"/>
        </w:rPr>
      </w:pPr>
      <w:r>
        <w:rPr>
          <w:rFonts w:hint="eastAsia" w:ascii="宋体" w:hAnsi="宋体"/>
          <w:bCs/>
          <w:szCs w:val="21"/>
          <w:highlight w:val="none"/>
        </w:rPr>
        <w:t>1、</w:t>
      </w:r>
      <w:r>
        <w:rPr>
          <w:rFonts w:ascii="宋体" w:hAnsi="宋体"/>
          <w:bCs/>
          <w:szCs w:val="21"/>
          <w:highlight w:val="none"/>
        </w:rPr>
        <w:t>生活垃圾</w:t>
      </w:r>
    </w:p>
    <w:p>
      <w:pPr>
        <w:ind w:firstLine="480"/>
        <w:rPr>
          <w:rFonts w:ascii="宋体" w:hAnsi="宋体"/>
          <w:bCs/>
          <w:szCs w:val="21"/>
          <w:highlight w:val="none"/>
        </w:rPr>
      </w:pPr>
      <w:r>
        <w:rPr>
          <w:rFonts w:ascii="宋体" w:hAnsi="宋体"/>
          <w:bCs/>
          <w:szCs w:val="21"/>
          <w:highlight w:val="none"/>
        </w:rPr>
        <w:t>项目劳动定员15人，工作制度为3</w:t>
      </w:r>
      <w:r>
        <w:rPr>
          <w:rFonts w:hint="eastAsia" w:ascii="宋体" w:hAnsi="宋体"/>
          <w:bCs/>
          <w:szCs w:val="21"/>
          <w:highlight w:val="none"/>
        </w:rPr>
        <w:t>0</w:t>
      </w:r>
      <w:r>
        <w:rPr>
          <w:rFonts w:ascii="宋体" w:hAnsi="宋体"/>
          <w:bCs/>
          <w:szCs w:val="21"/>
          <w:highlight w:val="none"/>
        </w:rPr>
        <w:t>0d/a，产生量以0.5kg/d计，则生活垃圾的产生量为2.25t/a。厂区设置移动式垃圾桶，生活垃圾集中收集后送环卫部门指定地点处理。</w:t>
      </w:r>
    </w:p>
    <w:p>
      <w:pPr>
        <w:ind w:firstLine="480"/>
        <w:rPr>
          <w:rFonts w:ascii="宋体" w:hAnsi="宋体"/>
          <w:bCs/>
          <w:szCs w:val="21"/>
          <w:highlight w:val="none"/>
        </w:rPr>
      </w:pPr>
      <w:r>
        <w:rPr>
          <w:rFonts w:hint="eastAsia" w:ascii="宋体" w:hAnsi="宋体"/>
          <w:bCs/>
          <w:szCs w:val="21"/>
          <w:highlight w:val="none"/>
        </w:rPr>
        <w:t>2、</w:t>
      </w:r>
      <w:r>
        <w:rPr>
          <w:rFonts w:ascii="宋体" w:hAnsi="宋体"/>
          <w:bCs/>
          <w:szCs w:val="21"/>
          <w:highlight w:val="none"/>
        </w:rPr>
        <w:t>除尘灰</w:t>
      </w:r>
    </w:p>
    <w:p>
      <w:pPr>
        <w:ind w:firstLine="480"/>
        <w:rPr>
          <w:rFonts w:ascii="宋体" w:hAnsi="宋体"/>
          <w:bCs/>
          <w:szCs w:val="21"/>
          <w:highlight w:val="none"/>
        </w:rPr>
      </w:pPr>
      <w:r>
        <w:rPr>
          <w:rFonts w:ascii="宋体" w:hAnsi="宋体"/>
          <w:bCs/>
          <w:szCs w:val="21"/>
          <w:highlight w:val="none"/>
        </w:rPr>
        <w:t>主要来源于粉碎工序、</w:t>
      </w:r>
      <w:r>
        <w:rPr>
          <w:rFonts w:hint="eastAsia" w:ascii="宋体" w:hAnsi="宋体"/>
          <w:bCs/>
          <w:szCs w:val="21"/>
          <w:highlight w:val="none"/>
        </w:rPr>
        <w:t>干</w:t>
      </w:r>
      <w:r>
        <w:rPr>
          <w:rFonts w:ascii="宋体" w:hAnsi="宋体"/>
          <w:bCs/>
          <w:szCs w:val="21"/>
          <w:highlight w:val="none"/>
        </w:rPr>
        <w:t>选工序产生的除尘灰，产生量为</w:t>
      </w:r>
      <w:r>
        <w:rPr>
          <w:rFonts w:hint="eastAsia" w:ascii="宋体" w:hAnsi="宋体"/>
          <w:bCs/>
          <w:szCs w:val="21"/>
          <w:highlight w:val="none"/>
        </w:rPr>
        <w:t>307.8</w:t>
      </w:r>
      <w:r>
        <w:rPr>
          <w:rFonts w:ascii="宋体" w:hAnsi="宋体"/>
          <w:bCs/>
          <w:szCs w:val="21"/>
          <w:highlight w:val="none"/>
        </w:rPr>
        <w:t>t，当作原料回用于生</w:t>
      </w:r>
      <w:r>
        <w:rPr>
          <w:rFonts w:hint="eastAsia" w:ascii="宋体" w:hAnsi="宋体"/>
          <w:bCs/>
          <w:szCs w:val="21"/>
          <w:highlight w:val="none"/>
        </w:rPr>
        <w:t>产</w:t>
      </w:r>
      <w:r>
        <w:rPr>
          <w:rFonts w:ascii="宋体" w:hAnsi="宋体"/>
          <w:bCs/>
          <w:szCs w:val="21"/>
          <w:highlight w:val="none"/>
        </w:rPr>
        <w:t>。</w:t>
      </w:r>
    </w:p>
    <w:p>
      <w:pPr>
        <w:ind w:firstLine="480"/>
        <w:rPr>
          <w:rFonts w:ascii="宋体" w:hAnsi="宋体"/>
          <w:bCs/>
          <w:szCs w:val="21"/>
          <w:highlight w:val="none"/>
        </w:rPr>
      </w:pPr>
      <w:r>
        <w:rPr>
          <w:rFonts w:hint="eastAsia" w:ascii="宋体" w:hAnsi="宋体"/>
          <w:bCs/>
          <w:szCs w:val="21"/>
          <w:highlight w:val="none"/>
        </w:rPr>
        <w:t>3、废石</w:t>
      </w:r>
    </w:p>
    <w:p>
      <w:pPr>
        <w:ind w:firstLine="480"/>
        <w:rPr>
          <w:rFonts w:ascii="宋体" w:hAnsi="宋体"/>
          <w:bCs/>
          <w:szCs w:val="21"/>
          <w:highlight w:val="none"/>
        </w:rPr>
      </w:pPr>
      <w:r>
        <w:rPr>
          <w:rFonts w:hint="eastAsia" w:ascii="宋体" w:hAnsi="宋体"/>
          <w:bCs/>
          <w:szCs w:val="21"/>
          <w:highlight w:val="none"/>
        </w:rPr>
        <w:t>本项目干选机工序选出约19.8万吨/a的废石，外售综合利用，用于商砼原料；沉淀池会产生约1.11万吨/a的粗砂，外售综合利用，用于商砼原料。</w:t>
      </w:r>
    </w:p>
    <w:p>
      <w:pPr>
        <w:ind w:firstLine="480"/>
        <w:rPr>
          <w:rFonts w:ascii="宋体" w:hAnsi="宋体"/>
          <w:bCs/>
          <w:szCs w:val="21"/>
          <w:highlight w:val="none"/>
        </w:rPr>
      </w:pPr>
      <w:r>
        <w:rPr>
          <w:rFonts w:hint="eastAsia" w:ascii="宋体" w:hAnsi="宋体"/>
          <w:bCs/>
          <w:szCs w:val="21"/>
          <w:highlight w:val="none"/>
        </w:rPr>
        <w:t>4、尾砂</w:t>
      </w:r>
    </w:p>
    <w:p>
      <w:pPr>
        <w:ind w:firstLine="480"/>
        <w:rPr>
          <w:rFonts w:ascii="宋体" w:hAnsi="宋体"/>
          <w:bCs/>
          <w:szCs w:val="21"/>
          <w:highlight w:val="none"/>
        </w:rPr>
      </w:pPr>
      <w:r>
        <w:rPr>
          <w:rFonts w:hint="eastAsia" w:ascii="宋体" w:hAnsi="宋体"/>
          <w:bCs/>
          <w:szCs w:val="21"/>
          <w:highlight w:val="none"/>
        </w:rPr>
        <w:t>浓缩池产生的尾砂经脱水后产生量约为0.3万吨/a，运输至尾矿库进行填埋。</w:t>
      </w:r>
    </w:p>
    <w:p>
      <w:pPr>
        <w:ind w:firstLine="480"/>
        <w:rPr>
          <w:rFonts w:ascii="宋体" w:hAnsi="宋体"/>
          <w:bCs/>
          <w:szCs w:val="21"/>
          <w:highlight w:val="none"/>
        </w:rPr>
      </w:pPr>
      <w:r>
        <w:rPr>
          <w:rFonts w:hint="eastAsia" w:ascii="宋体" w:hAnsi="宋体"/>
          <w:bCs/>
          <w:szCs w:val="21"/>
          <w:highlight w:val="none"/>
        </w:rPr>
        <w:t>5、</w:t>
      </w:r>
      <w:r>
        <w:rPr>
          <w:rFonts w:ascii="宋体" w:hAnsi="宋体"/>
          <w:bCs/>
          <w:szCs w:val="21"/>
          <w:highlight w:val="none"/>
        </w:rPr>
        <w:t>废机油</w:t>
      </w:r>
    </w:p>
    <w:p>
      <w:pPr>
        <w:ind w:firstLine="480"/>
        <w:rPr>
          <w:rFonts w:ascii="宋体" w:hAnsi="宋体"/>
          <w:bCs/>
          <w:szCs w:val="21"/>
          <w:highlight w:val="none"/>
        </w:rPr>
      </w:pPr>
      <w:r>
        <w:rPr>
          <w:rFonts w:hint="eastAsia" w:ascii="宋体" w:hAnsi="宋体"/>
          <w:bCs/>
          <w:szCs w:val="21"/>
          <w:highlight w:val="none"/>
        </w:rPr>
        <w:t>本项目检修产生废棉纱、手套约0.1t/a，废机油产生量约为0.5t/a。</w:t>
      </w:r>
      <w:r>
        <w:rPr>
          <w:rFonts w:ascii="宋体" w:hAnsi="宋体"/>
          <w:bCs/>
          <w:szCs w:val="21"/>
          <w:highlight w:val="none"/>
        </w:rPr>
        <w:t>集中收集后于危废暂存间暂存，定期委托有资质单位处理。</w:t>
      </w:r>
    </w:p>
    <w:p>
      <w:pPr>
        <w:pStyle w:val="4"/>
        <w:ind w:firstLine="562"/>
        <w:rPr>
          <w:rFonts w:hAnsi="宋体"/>
          <w:highlight w:val="none"/>
        </w:rPr>
      </w:pPr>
      <w:bookmarkStart w:id="319" w:name="_Toc4678478"/>
      <w:r>
        <w:rPr>
          <w:rFonts w:hAnsi="宋体"/>
          <w:highlight w:val="none"/>
        </w:rPr>
        <w:t>5.5.2固体废物组成及成分分析</w:t>
      </w:r>
      <w:bookmarkEnd w:id="319"/>
    </w:p>
    <w:p>
      <w:pPr>
        <w:ind w:firstLine="480"/>
        <w:rPr>
          <w:rFonts w:ascii="宋体" w:hAnsi="宋体"/>
          <w:highlight w:val="none"/>
        </w:rPr>
      </w:pPr>
      <w:r>
        <w:rPr>
          <w:rFonts w:hint="eastAsia" w:ascii="宋体" w:hAnsi="宋体"/>
          <w:highlight w:val="none"/>
        </w:rPr>
        <w:t>1、</w:t>
      </w:r>
      <w:r>
        <w:rPr>
          <w:rFonts w:ascii="宋体" w:hAnsi="宋体"/>
          <w:highlight w:val="none"/>
        </w:rPr>
        <w:t>废矿物油成分分析</w:t>
      </w:r>
    </w:p>
    <w:p>
      <w:pPr>
        <w:ind w:firstLine="480"/>
        <w:rPr>
          <w:rFonts w:ascii="宋体" w:hAnsi="宋体"/>
          <w:highlight w:val="none"/>
        </w:rPr>
      </w:pPr>
      <w:r>
        <w:rPr>
          <w:rFonts w:ascii="宋体" w:hAnsi="宋体"/>
          <w:highlight w:val="none"/>
        </w:rPr>
        <w:t>机修间生产过程中产生的废矿物油主要为车辆、机械维修和拆解过程中产生的废发动机油、制动器油、自动变速器油、齿轮油等废润滑油以及含油废棉纱、废油桶等，根据《国家危险废物名录》，废物类别为HW08废矿物油与含矿物油废物，废物代码为900-214-08，危险特性为T，I。</w:t>
      </w:r>
    </w:p>
    <w:p>
      <w:pPr>
        <w:pStyle w:val="4"/>
        <w:ind w:firstLine="562"/>
        <w:rPr>
          <w:rFonts w:hAnsi="宋体"/>
          <w:highlight w:val="none"/>
        </w:rPr>
      </w:pPr>
      <w:bookmarkStart w:id="320" w:name="_Toc4678479"/>
      <w:r>
        <w:rPr>
          <w:rFonts w:hAnsi="宋体"/>
          <w:highlight w:val="none"/>
        </w:rPr>
        <w:t>5.5.3固体废物贮存与排放场地情况</w:t>
      </w:r>
      <w:bookmarkEnd w:id="320"/>
    </w:p>
    <w:p>
      <w:pPr>
        <w:ind w:firstLine="480"/>
        <w:rPr>
          <w:rFonts w:ascii="宋体" w:hAnsi="宋体"/>
          <w:highlight w:val="none"/>
        </w:rPr>
      </w:pPr>
      <w:r>
        <w:rPr>
          <w:rFonts w:hint="eastAsia" w:ascii="宋体" w:hAnsi="宋体"/>
          <w:highlight w:val="none"/>
        </w:rPr>
        <w:t>1、</w:t>
      </w:r>
      <w:r>
        <w:rPr>
          <w:rFonts w:ascii="宋体" w:hAnsi="宋体"/>
          <w:highlight w:val="none"/>
        </w:rPr>
        <w:t>一般工业固废暂存间</w:t>
      </w:r>
    </w:p>
    <w:p>
      <w:pPr>
        <w:snapToGrid w:val="0"/>
        <w:ind w:firstLine="480"/>
        <w:rPr>
          <w:rFonts w:ascii="宋体" w:hAnsi="宋体"/>
          <w:highlight w:val="none"/>
        </w:rPr>
      </w:pPr>
      <w:r>
        <w:rPr>
          <w:rFonts w:ascii="宋体" w:hAnsi="宋体"/>
          <w:highlight w:val="none"/>
        </w:rPr>
        <w:t>本项目产生的除尘灰、废石、尾砂均属于一般工业固体废物</w:t>
      </w:r>
      <w:r>
        <w:rPr>
          <w:rFonts w:hint="eastAsia" w:ascii="宋体" w:hAnsi="宋体"/>
          <w:highlight w:val="none"/>
        </w:rPr>
        <w:t>。</w:t>
      </w:r>
    </w:p>
    <w:p>
      <w:pPr>
        <w:snapToGrid w:val="0"/>
        <w:ind w:firstLine="480"/>
        <w:rPr>
          <w:rFonts w:ascii="宋体" w:hAnsi="宋体"/>
          <w:highlight w:val="none"/>
        </w:rPr>
      </w:pPr>
      <w:r>
        <w:rPr>
          <w:rFonts w:ascii="宋体" w:hAnsi="宋体"/>
          <w:highlight w:val="none"/>
        </w:rPr>
        <w:t>除尘灰收集后直接用作原料回用于生产。</w:t>
      </w:r>
    </w:p>
    <w:p>
      <w:pPr>
        <w:ind w:firstLine="480"/>
        <w:rPr>
          <w:rFonts w:ascii="宋体" w:hAnsi="宋体"/>
          <w:highlight w:val="none"/>
        </w:rPr>
      </w:pPr>
      <w:r>
        <w:rPr>
          <w:rFonts w:ascii="宋体" w:hAnsi="宋体"/>
          <w:highlight w:val="none"/>
        </w:rPr>
        <w:t>项目建设一座</w:t>
      </w:r>
      <w:r>
        <w:rPr>
          <w:rFonts w:hint="eastAsia" w:ascii="宋体" w:hAnsi="宋体"/>
          <w:highlight w:val="none"/>
        </w:rPr>
        <w:t>1000</w:t>
      </w:r>
      <w:r>
        <w:rPr>
          <w:rFonts w:ascii="宋体" w:hAnsi="宋体"/>
          <w:highlight w:val="none"/>
        </w:rPr>
        <w:t>m</w:t>
      </w:r>
      <w:r>
        <w:rPr>
          <w:rFonts w:ascii="宋体" w:hAnsi="宋体"/>
          <w:highlight w:val="none"/>
          <w:vertAlign w:val="superscript"/>
        </w:rPr>
        <w:t>2</w:t>
      </w:r>
      <w:r>
        <w:rPr>
          <w:rFonts w:ascii="宋体" w:hAnsi="宋体"/>
          <w:highlight w:val="none"/>
        </w:rPr>
        <w:t>的废石库用于存储废石及粗砂，废石库防风、防雨，设置一般固废标识，满足《</w:t>
      </w:r>
      <w:r>
        <w:rPr>
          <w:rFonts w:hint="eastAsia" w:ascii="宋体" w:hAnsi="宋体"/>
          <w:highlight w:val="none"/>
        </w:rPr>
        <w:t>一般工业固体废物贮存和填埋污染控制标准</w:t>
      </w:r>
      <w:r>
        <w:rPr>
          <w:rFonts w:ascii="宋体" w:hAnsi="宋体"/>
          <w:highlight w:val="none"/>
        </w:rPr>
        <w:t>》（GB18599-20</w:t>
      </w:r>
      <w:r>
        <w:rPr>
          <w:rFonts w:hint="eastAsia" w:ascii="宋体" w:hAnsi="宋体"/>
          <w:highlight w:val="none"/>
        </w:rPr>
        <w:t>20</w:t>
      </w:r>
      <w:r>
        <w:rPr>
          <w:rFonts w:ascii="宋体" w:hAnsi="宋体"/>
          <w:highlight w:val="none"/>
        </w:rPr>
        <w:t>）的相关要求。</w:t>
      </w:r>
    </w:p>
    <w:p>
      <w:pPr>
        <w:ind w:firstLine="480"/>
        <w:rPr>
          <w:rFonts w:ascii="宋体" w:hAnsi="宋体"/>
          <w:highlight w:val="none"/>
        </w:rPr>
      </w:pPr>
      <w:r>
        <w:rPr>
          <w:rFonts w:hint="eastAsia" w:ascii="宋体" w:hAnsi="宋体"/>
          <w:highlight w:val="none"/>
        </w:rPr>
        <w:t>2、</w:t>
      </w:r>
      <w:r>
        <w:rPr>
          <w:rFonts w:ascii="宋体" w:hAnsi="宋体"/>
          <w:highlight w:val="none"/>
        </w:rPr>
        <w:t>危废暂存间</w:t>
      </w:r>
    </w:p>
    <w:p>
      <w:pPr>
        <w:ind w:firstLine="480"/>
        <w:rPr>
          <w:rFonts w:ascii="宋体" w:hAnsi="宋体"/>
          <w:highlight w:val="none"/>
        </w:rPr>
      </w:pPr>
      <w:r>
        <w:rPr>
          <w:rFonts w:ascii="宋体" w:hAnsi="宋体"/>
          <w:highlight w:val="none"/>
        </w:rPr>
        <w:t>环评要求建设单位建设1间</w:t>
      </w:r>
      <w:r>
        <w:rPr>
          <w:rFonts w:hint="eastAsia" w:ascii="宋体" w:hAnsi="宋体"/>
          <w:highlight w:val="none"/>
        </w:rPr>
        <w:t>10</w:t>
      </w:r>
      <w:r>
        <w:rPr>
          <w:rFonts w:ascii="宋体" w:hAnsi="宋体"/>
          <w:highlight w:val="none"/>
        </w:rPr>
        <w:t>m</w:t>
      </w:r>
      <w:r>
        <w:rPr>
          <w:rFonts w:ascii="宋体" w:hAnsi="宋体"/>
          <w:highlight w:val="none"/>
          <w:vertAlign w:val="superscript"/>
        </w:rPr>
        <w:t>2</w:t>
      </w:r>
      <w:r>
        <w:rPr>
          <w:rFonts w:ascii="宋体" w:hAnsi="宋体"/>
          <w:highlight w:val="none"/>
        </w:rPr>
        <w:t>危废暂存间，暂时储存本项目产生的危险废物，厂区危险废物应与使用油品分开贮存。生产过程中产生的废机油存放于危废暂存间内，定期由有资质单位收集处理。危险废物贮存设施及危废暂存间满足《危险废物贮存污染控制标准》（GB18597-2001）及其2013修改单的要求。</w:t>
      </w:r>
    </w:p>
    <w:p>
      <w:pPr>
        <w:pStyle w:val="4"/>
        <w:ind w:firstLine="562"/>
        <w:rPr>
          <w:rFonts w:hAnsi="宋体"/>
          <w:highlight w:val="none"/>
        </w:rPr>
      </w:pPr>
      <w:r>
        <w:rPr>
          <w:rFonts w:hAnsi="宋体"/>
          <w:highlight w:val="none"/>
        </w:rPr>
        <w:t>5.5.</w:t>
      </w:r>
      <w:r>
        <w:rPr>
          <w:rFonts w:hint="eastAsia" w:hAnsi="宋体"/>
          <w:highlight w:val="none"/>
        </w:rPr>
        <w:t>4</w:t>
      </w:r>
      <w:r>
        <w:rPr>
          <w:rFonts w:hAnsi="宋体"/>
          <w:highlight w:val="none"/>
        </w:rPr>
        <w:t>固体废物影响分析结论</w:t>
      </w:r>
    </w:p>
    <w:p>
      <w:pPr>
        <w:ind w:firstLine="480"/>
        <w:rPr>
          <w:rFonts w:ascii="宋体" w:hAnsi="宋体"/>
          <w:highlight w:val="none"/>
        </w:rPr>
      </w:pPr>
      <w:r>
        <w:rPr>
          <w:rFonts w:ascii="宋体" w:hAnsi="宋体"/>
          <w:highlight w:val="none"/>
        </w:rPr>
        <w:t>综上，在采取环评要求的各项环保措施后，本项目将固体废物对当地环境产生的影响降低到最小，符合我国对固体废物处置的政策要求和技术规定，可满足环境保护的要求。</w:t>
      </w:r>
    </w:p>
    <w:p>
      <w:pPr>
        <w:pStyle w:val="3"/>
        <w:ind w:firstLine="643"/>
        <w:rPr>
          <w:rFonts w:hAnsi="宋体"/>
          <w:highlight w:val="none"/>
        </w:rPr>
      </w:pPr>
      <w:bookmarkStart w:id="321" w:name="_Toc4678465"/>
      <w:bookmarkStart w:id="322" w:name="_Toc70201034"/>
      <w:bookmarkStart w:id="323" w:name="_Toc4678486"/>
      <w:r>
        <w:rPr>
          <w:rFonts w:hAnsi="宋体"/>
          <w:highlight w:val="none"/>
        </w:rPr>
        <w:t>5.</w:t>
      </w:r>
      <w:r>
        <w:rPr>
          <w:rFonts w:hint="eastAsia" w:hAnsi="宋体"/>
          <w:highlight w:val="none"/>
        </w:rPr>
        <w:t>6运营期</w:t>
      </w:r>
      <w:r>
        <w:rPr>
          <w:rFonts w:hAnsi="宋体"/>
          <w:highlight w:val="none"/>
        </w:rPr>
        <w:t>地表水环境影响</w:t>
      </w:r>
      <w:bookmarkEnd w:id="321"/>
      <w:r>
        <w:rPr>
          <w:rFonts w:hint="eastAsia" w:hAnsi="宋体"/>
          <w:highlight w:val="none"/>
        </w:rPr>
        <w:t>分析</w:t>
      </w:r>
      <w:bookmarkEnd w:id="322"/>
    </w:p>
    <w:p>
      <w:pPr>
        <w:pStyle w:val="4"/>
        <w:ind w:firstLine="562"/>
        <w:rPr>
          <w:rFonts w:hAnsi="宋体"/>
          <w:highlight w:val="none"/>
        </w:rPr>
      </w:pPr>
      <w:r>
        <w:rPr>
          <w:rFonts w:hAnsi="宋体"/>
          <w:highlight w:val="none"/>
        </w:rPr>
        <w:t>5.</w:t>
      </w:r>
      <w:r>
        <w:rPr>
          <w:rFonts w:hint="eastAsia" w:hAnsi="宋体"/>
          <w:highlight w:val="none"/>
        </w:rPr>
        <w:t>6</w:t>
      </w:r>
      <w:r>
        <w:rPr>
          <w:rFonts w:hAnsi="宋体"/>
          <w:highlight w:val="none"/>
        </w:rPr>
        <w:t>.1评价区地表水概况</w:t>
      </w:r>
    </w:p>
    <w:p>
      <w:pPr>
        <w:pStyle w:val="62"/>
        <w:ind w:firstLine="480"/>
        <w:rPr>
          <w:rFonts w:hAnsi="宋体"/>
          <w:highlight w:val="none"/>
        </w:rPr>
      </w:pPr>
      <w:r>
        <w:rPr>
          <w:rFonts w:hint="eastAsia" w:hAnsi="宋体"/>
          <w:highlight w:val="none"/>
        </w:rPr>
        <w:t>繁峙境内有滹沱河、青羊河两大干流。滹沱河的主要支流有15条，主要有马峪河、赵庄河、峨河、羊眼河等。</w:t>
      </w:r>
    </w:p>
    <w:p>
      <w:pPr>
        <w:pStyle w:val="62"/>
        <w:ind w:firstLine="480"/>
        <w:rPr>
          <w:rFonts w:hAnsi="宋体"/>
          <w:highlight w:val="none"/>
        </w:rPr>
      </w:pPr>
      <w:r>
        <w:rPr>
          <w:rFonts w:hint="eastAsia" w:hAnsi="宋体"/>
          <w:highlight w:val="none"/>
        </w:rPr>
        <w:t>滹沱河源于东南泰戏山脚下桥儿沟的青龙泉，河流至上浪涧郝家湾即潜入地下，而再出于永兴东，暗流20余km。西流15km，至笔峰村出县境入代县，境内全长80km。</w:t>
      </w:r>
    </w:p>
    <w:p>
      <w:pPr>
        <w:pStyle w:val="62"/>
        <w:ind w:firstLine="480"/>
        <w:rPr>
          <w:rFonts w:hAnsi="宋体"/>
          <w:highlight w:val="none"/>
        </w:rPr>
      </w:pPr>
      <w:r>
        <w:rPr>
          <w:rFonts w:hint="eastAsia" w:hAnsi="宋体"/>
          <w:highlight w:val="none"/>
        </w:rPr>
        <w:t>峨河：是滹沱河一级支流，发源于繁峙县五台山北台西侧的大东沟，流经宽滩、岩头等56个行政村，于代县南留属旧村入滹沱河。峨河主河道全长47km，流域面积400.31km</w:t>
      </w:r>
      <w:r>
        <w:rPr>
          <w:rFonts w:hint="eastAsia" w:hAnsi="宋体"/>
          <w:highlight w:val="none"/>
          <w:vertAlign w:val="superscript"/>
        </w:rPr>
        <w:t>2</w:t>
      </w:r>
      <w:r>
        <w:rPr>
          <w:rFonts w:hint="eastAsia" w:hAnsi="宋体"/>
          <w:highlight w:val="none"/>
        </w:rPr>
        <w:t>，多年平均径流量6342万m</w:t>
      </w:r>
      <w:r>
        <w:rPr>
          <w:rFonts w:hint="eastAsia" w:hAnsi="宋体"/>
          <w:highlight w:val="none"/>
          <w:vertAlign w:val="superscript"/>
        </w:rPr>
        <w:t>3</w:t>
      </w:r>
      <w:r>
        <w:rPr>
          <w:rFonts w:hint="eastAsia" w:hAnsi="宋体"/>
          <w:highlight w:val="none"/>
        </w:rPr>
        <w:t>，一般流量1.1-5.0m</w:t>
      </w:r>
      <w:r>
        <w:rPr>
          <w:rFonts w:hint="eastAsia" w:hAnsi="宋体"/>
          <w:highlight w:val="none"/>
          <w:vertAlign w:val="superscript"/>
        </w:rPr>
        <w:t>3</w:t>
      </w:r>
      <w:r>
        <w:rPr>
          <w:rFonts w:hint="eastAsia" w:hAnsi="宋体"/>
          <w:highlight w:val="none"/>
        </w:rPr>
        <w:t>/s，洪水期最大流量69.5m</w:t>
      </w:r>
      <w:r>
        <w:rPr>
          <w:rFonts w:hint="eastAsia" w:hAnsi="宋体"/>
          <w:highlight w:val="none"/>
          <w:vertAlign w:val="superscript"/>
        </w:rPr>
        <w:t>3</w:t>
      </w:r>
      <w:r>
        <w:rPr>
          <w:rFonts w:hint="eastAsia" w:hAnsi="宋体"/>
          <w:highlight w:val="none"/>
        </w:rPr>
        <w:t>/s。</w:t>
      </w:r>
    </w:p>
    <w:p>
      <w:pPr>
        <w:pStyle w:val="62"/>
        <w:ind w:firstLine="480"/>
        <w:rPr>
          <w:rFonts w:hAnsi="宋体"/>
          <w:highlight w:val="none"/>
        </w:rPr>
      </w:pPr>
      <w:r>
        <w:rPr>
          <w:rFonts w:hint="eastAsia" w:hAnsi="宋体"/>
          <w:highlight w:val="none"/>
        </w:rPr>
        <w:t>青羊河亦称大砂河，是海河流域大青河水系最上游的支流之一。发源于东台顶下的古华岩村，经神堂堡、至茨沟营出境，入河北省阜平县，归于大青河，境内全长30km。</w:t>
      </w:r>
    </w:p>
    <w:p>
      <w:pPr>
        <w:pStyle w:val="62"/>
        <w:ind w:firstLine="480"/>
        <w:rPr>
          <w:rFonts w:hAnsi="宋体"/>
          <w:highlight w:val="none"/>
        </w:rPr>
      </w:pPr>
      <w:r>
        <w:rPr>
          <w:rFonts w:hint="eastAsia" w:hAnsi="宋体"/>
          <w:highlight w:val="none"/>
        </w:rPr>
        <w:t>距离本项目最近的河流为滹沱河，位于本项目西北侧2.95km。</w:t>
      </w:r>
    </w:p>
    <w:p>
      <w:pPr>
        <w:pStyle w:val="4"/>
        <w:ind w:firstLine="562"/>
        <w:rPr>
          <w:rFonts w:hAnsi="宋体"/>
          <w:highlight w:val="none"/>
        </w:rPr>
      </w:pPr>
      <w:r>
        <w:rPr>
          <w:rFonts w:hAnsi="宋体"/>
          <w:highlight w:val="none"/>
        </w:rPr>
        <w:t>5.</w:t>
      </w:r>
      <w:r>
        <w:rPr>
          <w:rFonts w:hint="eastAsia" w:hAnsi="宋体"/>
          <w:highlight w:val="none"/>
        </w:rPr>
        <w:t>6</w:t>
      </w:r>
      <w:r>
        <w:rPr>
          <w:rFonts w:hAnsi="宋体"/>
          <w:highlight w:val="none"/>
        </w:rPr>
        <w:t>.2地表水</w:t>
      </w:r>
      <w:r>
        <w:rPr>
          <w:rFonts w:hint="eastAsia" w:hAnsi="宋体"/>
          <w:highlight w:val="none"/>
        </w:rPr>
        <w:t>污染源强</w:t>
      </w:r>
    </w:p>
    <w:p>
      <w:pPr>
        <w:adjustRightInd w:val="0"/>
        <w:snapToGrid w:val="0"/>
        <w:ind w:firstLine="480"/>
        <w:rPr>
          <w:rFonts w:ascii="宋体" w:hAnsi="宋体"/>
          <w:kern w:val="0"/>
          <w:szCs w:val="20"/>
          <w:highlight w:val="none"/>
        </w:rPr>
      </w:pPr>
      <w:r>
        <w:rPr>
          <w:rFonts w:hint="eastAsia" w:ascii="宋体" w:hAnsi="宋体"/>
          <w:kern w:val="0"/>
          <w:szCs w:val="20"/>
          <w:highlight w:val="none"/>
        </w:rPr>
        <w:t>1、</w:t>
      </w:r>
      <w:r>
        <w:rPr>
          <w:rFonts w:ascii="宋体" w:hAnsi="宋体"/>
          <w:kern w:val="0"/>
          <w:szCs w:val="20"/>
          <w:highlight w:val="none"/>
        </w:rPr>
        <w:t>生活</w:t>
      </w:r>
      <w:r>
        <w:rPr>
          <w:rFonts w:hint="eastAsia" w:ascii="宋体" w:hAnsi="宋体"/>
          <w:kern w:val="0"/>
          <w:szCs w:val="20"/>
          <w:highlight w:val="none"/>
        </w:rPr>
        <w:t>废水</w:t>
      </w:r>
    </w:p>
    <w:p>
      <w:pPr>
        <w:adjustRightInd w:val="0"/>
        <w:snapToGrid w:val="0"/>
        <w:ind w:firstLine="480"/>
        <w:rPr>
          <w:rFonts w:ascii="宋体" w:hAnsi="宋体"/>
          <w:kern w:val="0"/>
          <w:szCs w:val="20"/>
          <w:highlight w:val="none"/>
        </w:rPr>
      </w:pPr>
      <w:r>
        <w:rPr>
          <w:rFonts w:hint="eastAsia" w:ascii="宋体" w:hAnsi="宋体"/>
          <w:kern w:val="0"/>
          <w:szCs w:val="20"/>
          <w:highlight w:val="none"/>
        </w:rPr>
        <w:t>本项目劳动定员共15人，生活用水量0.9m</w:t>
      </w:r>
      <w:r>
        <w:rPr>
          <w:rFonts w:hint="eastAsia" w:ascii="宋体" w:hAnsi="宋体"/>
          <w:kern w:val="0"/>
          <w:szCs w:val="20"/>
          <w:highlight w:val="none"/>
          <w:vertAlign w:val="superscript"/>
        </w:rPr>
        <w:t>3</w:t>
      </w:r>
      <w:r>
        <w:rPr>
          <w:rFonts w:hint="eastAsia" w:ascii="宋体" w:hAnsi="宋体"/>
          <w:kern w:val="0"/>
          <w:szCs w:val="20"/>
          <w:highlight w:val="none"/>
        </w:rPr>
        <w:t>/d，270m</w:t>
      </w:r>
      <w:r>
        <w:rPr>
          <w:rFonts w:hint="eastAsia" w:ascii="宋体" w:hAnsi="宋体"/>
          <w:kern w:val="0"/>
          <w:szCs w:val="20"/>
          <w:highlight w:val="none"/>
          <w:vertAlign w:val="superscript"/>
        </w:rPr>
        <w:t>3</w:t>
      </w:r>
      <w:r>
        <w:rPr>
          <w:rFonts w:hint="eastAsia" w:ascii="宋体" w:hAnsi="宋体"/>
          <w:kern w:val="0"/>
          <w:szCs w:val="20"/>
          <w:highlight w:val="none"/>
        </w:rPr>
        <w:t>/a。</w:t>
      </w:r>
      <w:r>
        <w:rPr>
          <w:rFonts w:ascii="宋体" w:hAnsi="宋体"/>
          <w:kern w:val="0"/>
          <w:szCs w:val="20"/>
          <w:highlight w:val="none"/>
        </w:rPr>
        <w:t>生活污水排放系数按80%计，则生活污水产生量为0.</w:t>
      </w:r>
      <w:r>
        <w:rPr>
          <w:rFonts w:hint="eastAsia" w:ascii="宋体" w:hAnsi="宋体"/>
          <w:kern w:val="0"/>
          <w:szCs w:val="20"/>
          <w:highlight w:val="none"/>
        </w:rPr>
        <w:t>72</w:t>
      </w:r>
      <w:r>
        <w:rPr>
          <w:rFonts w:ascii="宋体" w:hAnsi="宋体"/>
          <w:kern w:val="0"/>
          <w:szCs w:val="20"/>
          <w:highlight w:val="none"/>
        </w:rPr>
        <w:t>m³/d（</w:t>
      </w:r>
      <w:r>
        <w:rPr>
          <w:rFonts w:hint="eastAsia" w:ascii="宋体" w:hAnsi="宋体"/>
          <w:kern w:val="0"/>
          <w:szCs w:val="20"/>
          <w:highlight w:val="none"/>
        </w:rPr>
        <w:t>216</w:t>
      </w:r>
      <w:r>
        <w:rPr>
          <w:rFonts w:ascii="宋体" w:hAnsi="宋体"/>
          <w:kern w:val="0"/>
          <w:szCs w:val="20"/>
          <w:highlight w:val="none"/>
        </w:rPr>
        <w:t>m³/a）</w:t>
      </w:r>
      <w:r>
        <w:rPr>
          <w:rFonts w:hint="eastAsia" w:ascii="宋体" w:hAnsi="宋体"/>
          <w:kern w:val="0"/>
          <w:szCs w:val="20"/>
          <w:highlight w:val="none"/>
        </w:rPr>
        <w:t>。本项目生活污水、食堂废水经隔油池后排入1座2m</w:t>
      </w:r>
      <w:r>
        <w:rPr>
          <w:rFonts w:hint="eastAsia" w:ascii="宋体" w:hAnsi="宋体"/>
          <w:kern w:val="0"/>
          <w:szCs w:val="20"/>
          <w:highlight w:val="none"/>
          <w:vertAlign w:val="superscript"/>
        </w:rPr>
        <w:t>3</w:t>
      </w:r>
      <w:r>
        <w:rPr>
          <w:rFonts w:hint="eastAsia" w:ascii="宋体" w:hAnsi="宋体"/>
          <w:kern w:val="0"/>
          <w:szCs w:val="20"/>
          <w:highlight w:val="none"/>
        </w:rPr>
        <w:t>的沉淀池，用于场地洒水或绿化。本项目使用旱厕，定期由附近农户清掏用作农肥。</w:t>
      </w:r>
    </w:p>
    <w:p>
      <w:pPr>
        <w:ind w:firstLine="470" w:firstLineChars="196"/>
        <w:rPr>
          <w:rFonts w:ascii="宋体" w:hAnsi="宋体"/>
          <w:szCs w:val="22"/>
          <w:highlight w:val="none"/>
        </w:rPr>
      </w:pPr>
      <w:r>
        <w:rPr>
          <w:rFonts w:hint="eastAsia" w:ascii="宋体" w:hAnsi="宋体"/>
          <w:szCs w:val="22"/>
          <w:highlight w:val="none"/>
        </w:rPr>
        <w:t>2、</w:t>
      </w:r>
      <w:r>
        <w:rPr>
          <w:rFonts w:ascii="宋体" w:hAnsi="宋体"/>
          <w:szCs w:val="22"/>
          <w:highlight w:val="none"/>
        </w:rPr>
        <w:t>生产</w:t>
      </w:r>
      <w:r>
        <w:rPr>
          <w:rFonts w:hint="eastAsia" w:ascii="宋体" w:hAnsi="宋体"/>
          <w:szCs w:val="22"/>
          <w:highlight w:val="none"/>
        </w:rPr>
        <w:t>废水</w:t>
      </w:r>
    </w:p>
    <w:p>
      <w:pPr>
        <w:ind w:firstLine="470" w:firstLineChars="196"/>
        <w:rPr>
          <w:rFonts w:ascii="宋体" w:hAnsi="宋体"/>
          <w:highlight w:val="none"/>
        </w:rPr>
      </w:pPr>
      <w:r>
        <w:rPr>
          <w:rFonts w:hint="eastAsia" w:ascii="宋体" w:hAnsi="宋体"/>
          <w:szCs w:val="22"/>
          <w:highlight w:val="none"/>
        </w:rPr>
        <w:t>A、</w:t>
      </w:r>
      <w:r>
        <w:rPr>
          <w:rFonts w:hint="eastAsia" w:ascii="宋体" w:hAnsi="宋体"/>
          <w:highlight w:val="none"/>
        </w:rPr>
        <w:t>尾矿浆</w:t>
      </w:r>
    </w:p>
    <w:p>
      <w:pPr>
        <w:pStyle w:val="62"/>
        <w:ind w:firstLine="480"/>
        <w:rPr>
          <w:rFonts w:hAnsi="宋体"/>
          <w:highlight w:val="none"/>
        </w:rPr>
      </w:pPr>
      <w:r>
        <w:rPr>
          <w:rFonts w:hint="eastAsia" w:hAnsi="宋体"/>
          <w:highlight w:val="none"/>
        </w:rPr>
        <w:t>尾矿浆经浓缩压滤后，泵入循环水池回用于生产。生产废水全部循环利用不外排。同时生产车间内设集中水池60m</w:t>
      </w:r>
      <w:r>
        <w:rPr>
          <w:rFonts w:hint="eastAsia" w:hAnsi="宋体"/>
          <w:highlight w:val="none"/>
          <w:vertAlign w:val="superscript"/>
        </w:rPr>
        <w:t>3</w:t>
      </w:r>
      <w:r>
        <w:rPr>
          <w:rFonts w:hint="eastAsia" w:hAnsi="宋体"/>
          <w:highlight w:val="none"/>
        </w:rPr>
        <w:t>，将跑、冒、滴、漏、地板冲洗水等经收集后，进入生产系统，作为选矿补充水。</w:t>
      </w:r>
    </w:p>
    <w:p>
      <w:pPr>
        <w:ind w:firstLine="470" w:firstLineChars="196"/>
        <w:rPr>
          <w:rFonts w:ascii="宋体" w:hAnsi="宋体"/>
          <w:szCs w:val="22"/>
          <w:highlight w:val="none"/>
        </w:rPr>
      </w:pPr>
      <w:r>
        <w:rPr>
          <w:rFonts w:hint="eastAsia" w:ascii="宋体" w:hAnsi="宋体"/>
          <w:szCs w:val="22"/>
          <w:highlight w:val="none"/>
        </w:rPr>
        <w:t>B、</w:t>
      </w:r>
      <w:r>
        <w:rPr>
          <w:rFonts w:ascii="宋体" w:hAnsi="宋体"/>
          <w:szCs w:val="22"/>
          <w:highlight w:val="none"/>
        </w:rPr>
        <w:t>车辆冲洗用水</w:t>
      </w:r>
    </w:p>
    <w:p>
      <w:pPr>
        <w:ind w:firstLine="470" w:firstLineChars="196"/>
        <w:rPr>
          <w:rFonts w:ascii="宋体" w:hAnsi="宋体"/>
          <w:kern w:val="0"/>
          <w:szCs w:val="20"/>
          <w:highlight w:val="none"/>
        </w:rPr>
      </w:pPr>
      <w:r>
        <w:rPr>
          <w:rFonts w:ascii="宋体" w:hAnsi="宋体"/>
          <w:szCs w:val="22"/>
          <w:highlight w:val="none"/>
        </w:rPr>
        <w:t>本次项目拟在厂区出入口设置1座车辆清洗平台，洗车用水量为</w:t>
      </w:r>
      <w:r>
        <w:rPr>
          <w:rFonts w:hint="eastAsia" w:ascii="宋体" w:hAnsi="宋体"/>
          <w:szCs w:val="22"/>
          <w:highlight w:val="none"/>
        </w:rPr>
        <w:t>1.34</w:t>
      </w:r>
      <w:r>
        <w:rPr>
          <w:rFonts w:ascii="宋体" w:hAnsi="宋体"/>
          <w:szCs w:val="22"/>
          <w:highlight w:val="none"/>
        </w:rPr>
        <w:t>m</w:t>
      </w:r>
      <w:r>
        <w:rPr>
          <w:rFonts w:ascii="宋体" w:hAnsi="宋体"/>
          <w:szCs w:val="22"/>
          <w:highlight w:val="none"/>
          <w:vertAlign w:val="superscript"/>
        </w:rPr>
        <w:t>3</w:t>
      </w:r>
      <w:r>
        <w:rPr>
          <w:rFonts w:ascii="宋体" w:hAnsi="宋体"/>
          <w:szCs w:val="22"/>
          <w:highlight w:val="none"/>
        </w:rPr>
        <w:t>/d</w:t>
      </w:r>
      <w:r>
        <w:rPr>
          <w:rFonts w:hint="eastAsia" w:ascii="宋体" w:hAnsi="宋体"/>
          <w:szCs w:val="22"/>
          <w:highlight w:val="none"/>
        </w:rPr>
        <w:t>，</w:t>
      </w:r>
      <w:r>
        <w:rPr>
          <w:rFonts w:hint="eastAsia" w:ascii="宋体" w:hAnsi="宋体"/>
          <w:kern w:val="0"/>
          <w:szCs w:val="20"/>
          <w:highlight w:val="none"/>
        </w:rPr>
        <w:t>洗车循环水量为20m</w:t>
      </w:r>
      <w:r>
        <w:rPr>
          <w:rFonts w:hint="eastAsia" w:ascii="宋体" w:hAnsi="宋体"/>
          <w:kern w:val="0"/>
          <w:szCs w:val="20"/>
          <w:highlight w:val="none"/>
          <w:vertAlign w:val="superscript"/>
        </w:rPr>
        <w:t>3</w:t>
      </w:r>
      <w:r>
        <w:rPr>
          <w:rFonts w:hint="eastAsia" w:ascii="宋体" w:hAnsi="宋体"/>
          <w:kern w:val="0"/>
          <w:szCs w:val="20"/>
          <w:highlight w:val="none"/>
        </w:rPr>
        <w:t>/d，洗车废水经沉淀池沉淀后循环使用，不外排。</w:t>
      </w:r>
    </w:p>
    <w:p>
      <w:pPr>
        <w:pStyle w:val="62"/>
        <w:ind w:firstLine="480"/>
        <w:rPr>
          <w:rFonts w:hAnsi="宋体"/>
          <w:highlight w:val="none"/>
        </w:rPr>
      </w:pPr>
      <w:r>
        <w:rPr>
          <w:rFonts w:hint="eastAsia" w:hAnsi="宋体"/>
          <w:highlight w:val="none"/>
        </w:rPr>
        <w:t>3、</w:t>
      </w:r>
      <w:r>
        <w:rPr>
          <w:rFonts w:hAnsi="宋体"/>
          <w:highlight w:val="none"/>
        </w:rPr>
        <w:t>初期雨水</w:t>
      </w:r>
    </w:p>
    <w:p>
      <w:pPr>
        <w:pStyle w:val="62"/>
        <w:ind w:firstLine="480"/>
        <w:rPr>
          <w:rFonts w:hAnsi="宋体"/>
          <w:highlight w:val="none"/>
          <w:lang w:val="en-US"/>
        </w:rPr>
      </w:pPr>
      <w:r>
        <w:rPr>
          <w:rFonts w:hint="eastAsia" w:hAnsi="宋体"/>
          <w:highlight w:val="none"/>
        </w:rPr>
        <w:t>本项目</w:t>
      </w:r>
      <w:r>
        <w:rPr>
          <w:rFonts w:hAnsi="宋体"/>
          <w:highlight w:val="none"/>
        </w:rPr>
        <w:t>最大初期雨水</w:t>
      </w:r>
      <w:r>
        <w:rPr>
          <w:rFonts w:hAnsi="宋体"/>
          <w:spacing w:val="2"/>
          <w:highlight w:val="none"/>
        </w:rPr>
        <w:t>量</w:t>
      </w:r>
      <w:r>
        <w:rPr>
          <w:rFonts w:hAnsi="宋体"/>
          <w:highlight w:val="none"/>
        </w:rPr>
        <w:t>为</w:t>
      </w:r>
      <w:r>
        <w:rPr>
          <w:rFonts w:hint="eastAsia" w:hAnsi="宋体" w:cs="hakuyoxingshu7000"/>
          <w:highlight w:val="none"/>
        </w:rPr>
        <w:t>129.84</w:t>
      </w:r>
      <w:r>
        <w:rPr>
          <w:rFonts w:hAnsi="宋体" w:cs="hakuyoxingshu7000"/>
          <w:highlight w:val="none"/>
        </w:rPr>
        <w:t>m</w:t>
      </w:r>
      <w:r>
        <w:rPr>
          <w:rFonts w:hAnsi="宋体" w:cs="hakuyoxingshu7000"/>
          <w:spacing w:val="-2"/>
          <w:position w:val="8"/>
          <w:sz w:val="15"/>
          <w:szCs w:val="15"/>
          <w:highlight w:val="none"/>
        </w:rPr>
        <w:t>3</w:t>
      </w:r>
      <w:r>
        <w:rPr>
          <w:rFonts w:hAnsi="宋体"/>
          <w:spacing w:val="-29"/>
          <w:highlight w:val="none"/>
        </w:rPr>
        <w:t>，</w:t>
      </w:r>
      <w:r>
        <w:rPr>
          <w:rFonts w:hAnsi="宋体"/>
          <w:highlight w:val="none"/>
        </w:rPr>
        <w:t>故评价要求在厂区地势最低</w:t>
      </w:r>
      <w:r>
        <w:rPr>
          <w:rFonts w:hAnsi="宋体"/>
          <w:spacing w:val="2"/>
          <w:highlight w:val="none"/>
        </w:rPr>
        <w:t>处</w:t>
      </w:r>
      <w:r>
        <w:rPr>
          <w:rFonts w:hAnsi="宋体"/>
          <w:spacing w:val="-29"/>
          <w:highlight w:val="none"/>
        </w:rPr>
        <w:t>，</w:t>
      </w:r>
      <w:r>
        <w:rPr>
          <w:rFonts w:hAnsi="宋体"/>
          <w:highlight w:val="none"/>
        </w:rPr>
        <w:t>即厂区东北部较低处设</w:t>
      </w:r>
      <w:r>
        <w:rPr>
          <w:rFonts w:hAnsi="宋体" w:cs="hakuyoxingshu7000"/>
          <w:highlight w:val="none"/>
        </w:rPr>
        <w:t>1</w:t>
      </w:r>
      <w:r>
        <w:rPr>
          <w:rFonts w:hAnsi="宋体"/>
          <w:highlight w:val="none"/>
        </w:rPr>
        <w:t>座</w:t>
      </w:r>
      <w:r>
        <w:rPr>
          <w:rFonts w:hint="eastAsia" w:hAnsi="宋体" w:cs="hakuyoxingshu7000"/>
          <w:highlight w:val="none"/>
        </w:rPr>
        <w:t>160</w:t>
      </w:r>
      <w:r>
        <w:rPr>
          <w:rFonts w:hAnsi="宋体" w:cs="hakuyoxingshu7000"/>
          <w:highlight w:val="none"/>
        </w:rPr>
        <w:t>m</w:t>
      </w:r>
      <w:r>
        <w:rPr>
          <w:rFonts w:hAnsi="宋体" w:cs="hakuyoxingshu7000"/>
          <w:position w:val="8"/>
          <w:sz w:val="15"/>
          <w:szCs w:val="15"/>
          <w:highlight w:val="none"/>
        </w:rPr>
        <w:t>3</w:t>
      </w:r>
      <w:r>
        <w:rPr>
          <w:rFonts w:hAnsi="宋体"/>
          <w:highlight w:val="none"/>
        </w:rPr>
        <w:t>初期雨水收集</w:t>
      </w:r>
      <w:r>
        <w:rPr>
          <w:rFonts w:hAnsi="宋体"/>
          <w:spacing w:val="2"/>
          <w:highlight w:val="none"/>
        </w:rPr>
        <w:t>池</w:t>
      </w:r>
      <w:r>
        <w:rPr>
          <w:rFonts w:hAnsi="宋体"/>
          <w:spacing w:val="-51"/>
          <w:highlight w:val="none"/>
        </w:rPr>
        <w:t>，</w:t>
      </w:r>
      <w:r>
        <w:rPr>
          <w:rFonts w:hAnsi="宋体"/>
          <w:highlight w:val="none"/>
        </w:rPr>
        <w:t>收集后的雨水经沉淀</w:t>
      </w:r>
      <w:r>
        <w:rPr>
          <w:rFonts w:hAnsi="宋体"/>
          <w:spacing w:val="2"/>
          <w:highlight w:val="none"/>
        </w:rPr>
        <w:t>后</w:t>
      </w:r>
      <w:r>
        <w:rPr>
          <w:rFonts w:hAnsi="宋体"/>
          <w:spacing w:val="-51"/>
          <w:highlight w:val="none"/>
        </w:rPr>
        <w:t>，</w:t>
      </w:r>
      <w:r>
        <w:rPr>
          <w:rFonts w:hAnsi="宋体"/>
          <w:highlight w:val="none"/>
        </w:rPr>
        <w:t>可以用于</w:t>
      </w:r>
      <w:r>
        <w:rPr>
          <w:rFonts w:hint="eastAsia" w:hAnsi="宋体"/>
          <w:highlight w:val="none"/>
        </w:rPr>
        <w:t>原料库洒水抑尘</w:t>
      </w:r>
      <w:r>
        <w:rPr>
          <w:rFonts w:hAnsi="宋体"/>
          <w:highlight w:val="none"/>
        </w:rPr>
        <w:t>及道路降尘洒水。</w:t>
      </w:r>
    </w:p>
    <w:p>
      <w:pPr>
        <w:pStyle w:val="4"/>
        <w:ind w:firstLine="562"/>
        <w:rPr>
          <w:rFonts w:hAnsi="宋体"/>
          <w:highlight w:val="none"/>
        </w:rPr>
      </w:pPr>
      <w:r>
        <w:rPr>
          <w:rFonts w:hAnsi="宋体"/>
          <w:highlight w:val="none"/>
        </w:rPr>
        <w:t>5.</w:t>
      </w:r>
      <w:r>
        <w:rPr>
          <w:rFonts w:hint="eastAsia" w:hAnsi="宋体"/>
          <w:highlight w:val="none"/>
        </w:rPr>
        <w:t>6</w:t>
      </w:r>
      <w:r>
        <w:rPr>
          <w:rFonts w:hAnsi="宋体"/>
          <w:highlight w:val="none"/>
        </w:rPr>
        <w:t>.</w:t>
      </w:r>
      <w:r>
        <w:rPr>
          <w:rFonts w:hint="eastAsia" w:hAnsi="宋体"/>
          <w:highlight w:val="none"/>
        </w:rPr>
        <w:t>3</w:t>
      </w:r>
      <w:r>
        <w:rPr>
          <w:rFonts w:hAnsi="宋体"/>
          <w:highlight w:val="none"/>
        </w:rPr>
        <w:t>地表水影响</w:t>
      </w:r>
      <w:r>
        <w:rPr>
          <w:rFonts w:hint="eastAsia" w:hAnsi="宋体"/>
          <w:highlight w:val="none"/>
        </w:rPr>
        <w:t>分析</w:t>
      </w:r>
    </w:p>
    <w:p>
      <w:pPr>
        <w:pStyle w:val="62"/>
        <w:ind w:firstLine="480"/>
        <w:rPr>
          <w:rFonts w:hAnsi="宋体"/>
          <w:highlight w:val="none"/>
        </w:rPr>
      </w:pPr>
      <w:r>
        <w:rPr>
          <w:rFonts w:hAnsi="宋体"/>
          <w:highlight w:val="none"/>
        </w:rPr>
        <w:t>项目运营期废水主要为生活废水</w:t>
      </w:r>
      <w:r>
        <w:rPr>
          <w:rFonts w:hint="eastAsia" w:hAnsi="宋体"/>
          <w:highlight w:val="none"/>
        </w:rPr>
        <w:t>、洗车废水、初期雨水和生产废水</w:t>
      </w:r>
      <w:r>
        <w:rPr>
          <w:rFonts w:hAnsi="宋体"/>
          <w:highlight w:val="none"/>
        </w:rPr>
        <w:t>。厂区设置1座2m</w:t>
      </w:r>
      <w:r>
        <w:rPr>
          <w:rFonts w:hAnsi="宋体"/>
          <w:highlight w:val="none"/>
          <w:vertAlign w:val="superscript"/>
        </w:rPr>
        <w:t>3</w:t>
      </w:r>
      <w:r>
        <w:rPr>
          <w:rFonts w:hAnsi="宋体"/>
          <w:highlight w:val="none"/>
        </w:rPr>
        <w:t>的沉淀池，生活污水经简单沉淀后用于厂区和道路洒水、绿化用水；旱厕定期清掏用于农田施肥；洗车废水循环使用不外排</w:t>
      </w:r>
      <w:r>
        <w:rPr>
          <w:rFonts w:hint="eastAsia" w:hAnsi="宋体"/>
          <w:highlight w:val="none"/>
        </w:rPr>
        <w:t>；初期雨水回用于生产用水；</w:t>
      </w:r>
      <w:r>
        <w:rPr>
          <w:rFonts w:hAnsi="宋体"/>
          <w:highlight w:val="none"/>
        </w:rPr>
        <w:t>生</w:t>
      </w:r>
      <w:r>
        <w:rPr>
          <w:rFonts w:hint="eastAsia" w:hAnsi="宋体"/>
          <w:highlight w:val="none"/>
        </w:rPr>
        <w:t>产</w:t>
      </w:r>
      <w:r>
        <w:rPr>
          <w:rFonts w:hAnsi="宋体"/>
          <w:highlight w:val="none"/>
        </w:rPr>
        <w:t>废水</w:t>
      </w:r>
      <w:r>
        <w:rPr>
          <w:rFonts w:hint="eastAsia" w:hAnsi="宋体"/>
          <w:highlight w:val="none"/>
        </w:rPr>
        <w:t>主要为尾矿浆经浓缩池浓缩处理后，上清液回用于生产，不外排。</w:t>
      </w:r>
      <w:r>
        <w:rPr>
          <w:rFonts w:hAnsi="宋体"/>
          <w:highlight w:val="none"/>
        </w:rPr>
        <w:t>综上，本项目废水均不外排，不会对</w:t>
      </w:r>
      <w:r>
        <w:rPr>
          <w:rFonts w:hint="eastAsia" w:hAnsi="宋体"/>
          <w:highlight w:val="none"/>
        </w:rPr>
        <w:t>地表水水体</w:t>
      </w:r>
      <w:r>
        <w:rPr>
          <w:rFonts w:hAnsi="宋体"/>
          <w:highlight w:val="none"/>
        </w:rPr>
        <w:t>水质造成影响。</w:t>
      </w:r>
    </w:p>
    <w:p>
      <w:pPr>
        <w:pStyle w:val="62"/>
        <w:ind w:firstLine="480"/>
        <w:rPr>
          <w:rFonts w:hAnsi="宋体"/>
          <w:highlight w:val="none"/>
        </w:rPr>
      </w:pPr>
      <w:r>
        <w:rPr>
          <w:rFonts w:hAnsi="宋体"/>
          <w:highlight w:val="none"/>
        </w:rPr>
        <w:t>参照《环境影响评技术导则地表水环境》(HJ2.3-2018)水污染影响型建设项目评价等级判定，建设项目运营期污废水不外排，按三级B评价，仅对项目污水不外排的可行性和保证性进行分析。</w:t>
      </w:r>
    </w:p>
    <w:p>
      <w:pPr>
        <w:pStyle w:val="4"/>
        <w:ind w:firstLine="562"/>
        <w:rPr>
          <w:rFonts w:hAnsi="宋体"/>
          <w:highlight w:val="none"/>
        </w:rPr>
      </w:pPr>
      <w:r>
        <w:rPr>
          <w:rFonts w:hint="eastAsia" w:hAnsi="宋体"/>
          <w:highlight w:val="none"/>
        </w:rPr>
        <w:t>5.6.4</w:t>
      </w:r>
      <w:r>
        <w:rPr>
          <w:rFonts w:hAnsi="宋体"/>
          <w:highlight w:val="none"/>
        </w:rPr>
        <w:t>污水不外排的保证性分析</w:t>
      </w:r>
    </w:p>
    <w:p>
      <w:pPr>
        <w:pStyle w:val="62"/>
        <w:ind w:firstLine="480"/>
        <w:rPr>
          <w:rFonts w:hAnsi="宋体"/>
          <w:highlight w:val="none"/>
        </w:rPr>
      </w:pPr>
      <w:r>
        <w:rPr>
          <w:rFonts w:hint="eastAsia" w:hAnsi="宋体"/>
          <w:highlight w:val="none"/>
        </w:rPr>
        <w:t>1、</w:t>
      </w:r>
      <w:r>
        <w:rPr>
          <w:rFonts w:hAnsi="宋体"/>
          <w:highlight w:val="none"/>
        </w:rPr>
        <w:t>尾矿</w:t>
      </w:r>
      <w:r>
        <w:rPr>
          <w:rFonts w:hint="eastAsia" w:hAnsi="宋体"/>
          <w:highlight w:val="none"/>
        </w:rPr>
        <w:t>浆</w:t>
      </w:r>
    </w:p>
    <w:p>
      <w:pPr>
        <w:pStyle w:val="62"/>
        <w:ind w:firstLine="480"/>
        <w:rPr>
          <w:rFonts w:hAnsi="宋体"/>
          <w:highlight w:val="none"/>
        </w:rPr>
      </w:pPr>
      <w:r>
        <w:rPr>
          <w:rFonts w:hAnsi="宋体"/>
          <w:highlight w:val="none"/>
        </w:rPr>
        <w:t>根据前文数值量平衡，尾矿浓缩池最大入料量为</w:t>
      </w:r>
      <w:r>
        <w:rPr>
          <w:rFonts w:hint="eastAsia" w:hAnsi="宋体"/>
          <w:highlight w:val="none"/>
        </w:rPr>
        <w:t>890</w:t>
      </w:r>
      <w:r>
        <w:rPr>
          <w:rFonts w:hAnsi="宋体"/>
          <w:highlight w:val="none"/>
        </w:rPr>
        <w:t>m</w:t>
      </w:r>
      <w:r>
        <w:rPr>
          <w:rFonts w:hAnsi="宋体"/>
          <w:highlight w:val="none"/>
          <w:vertAlign w:val="superscript"/>
        </w:rPr>
        <w:t>3</w:t>
      </w:r>
      <w:r>
        <w:rPr>
          <w:rFonts w:hAnsi="宋体"/>
          <w:highlight w:val="none"/>
        </w:rPr>
        <w:t>/d，</w:t>
      </w:r>
      <w:r>
        <w:rPr>
          <w:rFonts w:hint="eastAsia" w:hAnsi="宋体"/>
          <w:highlight w:val="none"/>
        </w:rPr>
        <w:t>37.1</w:t>
      </w:r>
      <w:r>
        <w:rPr>
          <w:rFonts w:hAnsi="宋体"/>
          <w:highlight w:val="none"/>
        </w:rPr>
        <w:t>m</w:t>
      </w:r>
      <w:r>
        <w:rPr>
          <w:rFonts w:hAnsi="宋体"/>
          <w:highlight w:val="none"/>
          <w:vertAlign w:val="superscript"/>
        </w:rPr>
        <w:t>3</w:t>
      </w:r>
      <w:r>
        <w:rPr>
          <w:rFonts w:hAnsi="宋体"/>
          <w:highlight w:val="none"/>
        </w:rPr>
        <w:t>/h，进入浓缩机的水量不均衡系数取1.25时，则为</w:t>
      </w:r>
      <w:r>
        <w:rPr>
          <w:rFonts w:hint="eastAsia" w:hAnsi="宋体"/>
          <w:highlight w:val="none"/>
        </w:rPr>
        <w:t>46.4</w:t>
      </w:r>
      <w:r>
        <w:rPr>
          <w:rFonts w:hAnsi="宋体"/>
          <w:highlight w:val="none"/>
        </w:rPr>
        <w:t>m</w:t>
      </w:r>
      <w:r>
        <w:rPr>
          <w:rFonts w:hAnsi="宋体"/>
          <w:highlight w:val="none"/>
          <w:vertAlign w:val="superscript"/>
        </w:rPr>
        <w:t>3</w:t>
      </w:r>
      <w:r>
        <w:rPr>
          <w:rFonts w:hAnsi="宋体"/>
          <w:highlight w:val="none"/>
        </w:rPr>
        <w:t>/h，本项目配套1台浓密机直径为</w:t>
      </w:r>
      <w:r>
        <w:rPr>
          <w:rFonts w:hint="eastAsia" w:hAnsi="宋体"/>
          <w:highlight w:val="none"/>
        </w:rPr>
        <w:t>18</w:t>
      </w:r>
      <w:r>
        <w:rPr>
          <w:rFonts w:hAnsi="宋体"/>
          <w:highlight w:val="none"/>
        </w:rPr>
        <w:t>m，处理能力为</w:t>
      </w:r>
      <w:r>
        <w:rPr>
          <w:rFonts w:hint="eastAsia" w:hAnsi="宋体"/>
          <w:highlight w:val="none"/>
        </w:rPr>
        <w:t>10</w:t>
      </w:r>
      <w:r>
        <w:rPr>
          <w:rFonts w:hAnsi="宋体"/>
          <w:highlight w:val="none"/>
        </w:rPr>
        <w:t>0m</w:t>
      </w:r>
      <w:r>
        <w:rPr>
          <w:rFonts w:hAnsi="宋体"/>
          <w:highlight w:val="none"/>
          <w:vertAlign w:val="superscript"/>
        </w:rPr>
        <w:t>3</w:t>
      </w:r>
      <w:r>
        <w:rPr>
          <w:rFonts w:hAnsi="宋体"/>
          <w:highlight w:val="none"/>
        </w:rPr>
        <w:t>/h，则尾矿浓缩机负荷为</w:t>
      </w:r>
      <w:r>
        <w:rPr>
          <w:rFonts w:hint="eastAsia" w:hAnsi="宋体"/>
          <w:highlight w:val="none"/>
        </w:rPr>
        <w:t>46.4</w:t>
      </w:r>
      <w:r>
        <w:rPr>
          <w:rFonts w:hAnsi="宋体"/>
          <w:highlight w:val="none"/>
        </w:rPr>
        <w:t>%。可见所购置的浓缩机有足够富余能力，可满足选矿水处理要求。</w:t>
      </w:r>
    </w:p>
    <w:p>
      <w:pPr>
        <w:pStyle w:val="62"/>
        <w:ind w:firstLine="480"/>
        <w:rPr>
          <w:rFonts w:hAnsi="宋体"/>
          <w:highlight w:val="none"/>
        </w:rPr>
      </w:pPr>
      <w:r>
        <w:rPr>
          <w:rFonts w:hAnsi="宋体"/>
          <w:highlight w:val="none"/>
        </w:rPr>
        <w:t>本项目洗选系统最大设备为直径</w:t>
      </w:r>
      <w:r>
        <w:rPr>
          <w:rFonts w:hint="eastAsia" w:hAnsi="宋体"/>
          <w:highlight w:val="none"/>
        </w:rPr>
        <w:t>18</w:t>
      </w:r>
      <w:r>
        <w:rPr>
          <w:rFonts w:hAnsi="宋体"/>
          <w:highlight w:val="none"/>
        </w:rPr>
        <w:t>m浓缩池，池容</w:t>
      </w:r>
      <w:r>
        <w:rPr>
          <w:rFonts w:hint="eastAsia" w:hAnsi="宋体"/>
          <w:highlight w:val="none"/>
        </w:rPr>
        <w:t>1167</w:t>
      </w:r>
      <w:r>
        <w:rPr>
          <w:rFonts w:hAnsi="宋体"/>
          <w:highlight w:val="none"/>
        </w:rPr>
        <w:t>m</w:t>
      </w:r>
      <w:r>
        <w:rPr>
          <w:rFonts w:hAnsi="宋体"/>
          <w:highlight w:val="none"/>
          <w:vertAlign w:val="superscript"/>
        </w:rPr>
        <w:t>3</w:t>
      </w:r>
      <w:r>
        <w:rPr>
          <w:rFonts w:hAnsi="宋体"/>
          <w:highlight w:val="none"/>
        </w:rPr>
        <w:t>。为确定全厂无废水外排，拟在循环水池</w:t>
      </w:r>
      <w:r>
        <w:rPr>
          <w:rFonts w:hint="eastAsia" w:hAnsi="宋体"/>
          <w:highlight w:val="none"/>
        </w:rPr>
        <w:t>下</w:t>
      </w:r>
      <w:r>
        <w:rPr>
          <w:rFonts w:hAnsi="宋体"/>
          <w:highlight w:val="none"/>
        </w:rPr>
        <w:t>方建设一座事故水池，事故池容积按浓缩池容积的1.25倍计算，则事故池容积</w:t>
      </w:r>
      <w:r>
        <w:rPr>
          <w:rFonts w:hint="eastAsia" w:hAnsi="宋体"/>
          <w:highlight w:val="none"/>
        </w:rPr>
        <w:t>1</w:t>
      </w:r>
      <w:r>
        <w:rPr>
          <w:rFonts w:hAnsi="宋体"/>
          <w:highlight w:val="none"/>
        </w:rPr>
        <w:t>500m</w:t>
      </w:r>
      <w:r>
        <w:rPr>
          <w:rFonts w:hAnsi="宋体"/>
          <w:highlight w:val="none"/>
          <w:vertAlign w:val="superscript"/>
        </w:rPr>
        <w:t>3</w:t>
      </w:r>
      <w:r>
        <w:rPr>
          <w:rFonts w:hAnsi="宋体"/>
          <w:highlight w:val="none"/>
        </w:rPr>
        <w:t>，事故状态下，浓缩池内矿浆可全部泵入事故水池，保证在事故状况下矿浆不外排。</w:t>
      </w:r>
    </w:p>
    <w:p>
      <w:pPr>
        <w:pStyle w:val="62"/>
        <w:ind w:firstLine="480"/>
        <w:rPr>
          <w:rFonts w:hAnsi="宋体"/>
          <w:highlight w:val="none"/>
        </w:rPr>
      </w:pPr>
      <w:r>
        <w:rPr>
          <w:rFonts w:hAnsi="宋体"/>
          <w:highlight w:val="none"/>
        </w:rPr>
        <w:t>由以上分析可以看出</w:t>
      </w:r>
      <w:r>
        <w:rPr>
          <w:rFonts w:hAnsi="宋体"/>
          <w:spacing w:val="-48"/>
          <w:highlight w:val="none"/>
        </w:rPr>
        <w:t>，</w:t>
      </w:r>
      <w:r>
        <w:rPr>
          <w:rFonts w:hAnsi="宋体"/>
          <w:highlight w:val="none"/>
        </w:rPr>
        <w:t>本项目在采取严格的废水污染防治措施后</w:t>
      </w:r>
      <w:r>
        <w:rPr>
          <w:rFonts w:hAnsi="宋体"/>
          <w:spacing w:val="-46"/>
          <w:highlight w:val="none"/>
        </w:rPr>
        <w:t>，</w:t>
      </w:r>
      <w:r>
        <w:rPr>
          <w:rFonts w:hAnsi="宋体"/>
          <w:highlight w:val="none"/>
        </w:rPr>
        <w:t>可以做到生产废水不外排，不会对地表水环境造成影响。</w:t>
      </w:r>
    </w:p>
    <w:p>
      <w:pPr>
        <w:pStyle w:val="4"/>
        <w:ind w:firstLine="562"/>
        <w:rPr>
          <w:rFonts w:hAnsi="宋体"/>
          <w:highlight w:val="none"/>
        </w:rPr>
      </w:pPr>
      <w:r>
        <w:rPr>
          <w:rFonts w:hAnsi="宋体"/>
          <w:highlight w:val="none"/>
        </w:rPr>
        <w:t>5.</w:t>
      </w:r>
      <w:r>
        <w:rPr>
          <w:rFonts w:hint="eastAsia" w:hAnsi="宋体"/>
          <w:highlight w:val="none"/>
        </w:rPr>
        <w:t>6</w:t>
      </w:r>
      <w:r>
        <w:rPr>
          <w:rFonts w:hAnsi="宋体"/>
          <w:highlight w:val="none"/>
        </w:rPr>
        <w:t>.</w:t>
      </w:r>
      <w:r>
        <w:rPr>
          <w:rFonts w:hint="eastAsia" w:hAnsi="宋体"/>
          <w:highlight w:val="none"/>
        </w:rPr>
        <w:t>5</w:t>
      </w:r>
      <w:r>
        <w:rPr>
          <w:rFonts w:hAnsi="宋体"/>
          <w:highlight w:val="none"/>
        </w:rPr>
        <w:t>地表水环境影响评价</w:t>
      </w:r>
      <w:r>
        <w:rPr>
          <w:rFonts w:hint="eastAsia" w:hAnsi="宋体"/>
          <w:highlight w:val="none"/>
        </w:rPr>
        <w:t>结论</w:t>
      </w:r>
    </w:p>
    <w:p>
      <w:pPr>
        <w:pStyle w:val="62"/>
        <w:ind w:firstLine="480"/>
        <w:rPr>
          <w:rFonts w:hAnsi="宋体"/>
          <w:highlight w:val="none"/>
        </w:rPr>
      </w:pPr>
      <w:r>
        <w:rPr>
          <w:rFonts w:hAnsi="宋体"/>
          <w:highlight w:val="none"/>
        </w:rPr>
        <w:t>根据项目工程分析，</w:t>
      </w:r>
      <w:r>
        <w:rPr>
          <w:rFonts w:hint="eastAsia" w:hAnsi="宋体"/>
          <w:highlight w:val="none"/>
        </w:rPr>
        <w:t>项目运营期废水主要为生活废水、洗车废水、初期雨水和生产废水。生活污水经沉淀后用于厂区和道路洒水、绿化用水；旱厕定期清掏用于农田施肥；洗车废水循环使用不外排；初期雨水回用于生产用水；生产废水主要为尾矿浆经浓缩池浓缩处理后，上清液回用于生产，不外排。综上，本项目废水均不外排，</w:t>
      </w:r>
      <w:r>
        <w:rPr>
          <w:rFonts w:hAnsi="宋体"/>
          <w:highlight w:val="none"/>
        </w:rPr>
        <w:t>因此对项目周边地表水环境影响较小。</w:t>
      </w:r>
    </w:p>
    <w:p>
      <w:pPr>
        <w:pStyle w:val="4"/>
        <w:ind w:firstLine="562"/>
        <w:rPr>
          <w:rFonts w:hAnsi="宋体"/>
          <w:highlight w:val="none"/>
        </w:rPr>
      </w:pPr>
      <w:r>
        <w:rPr>
          <w:rFonts w:hAnsi="宋体"/>
          <w:highlight w:val="none"/>
        </w:rPr>
        <w:t>5.</w:t>
      </w:r>
      <w:r>
        <w:rPr>
          <w:rFonts w:hint="eastAsia" w:hAnsi="宋体"/>
          <w:highlight w:val="none"/>
        </w:rPr>
        <w:t>6</w:t>
      </w:r>
      <w:r>
        <w:rPr>
          <w:rFonts w:hAnsi="宋体"/>
          <w:highlight w:val="none"/>
        </w:rPr>
        <w:t>.</w:t>
      </w:r>
      <w:r>
        <w:rPr>
          <w:rFonts w:hint="eastAsia" w:hAnsi="宋体"/>
          <w:highlight w:val="none"/>
        </w:rPr>
        <w:t>6</w:t>
      </w:r>
      <w:r>
        <w:rPr>
          <w:rFonts w:hAnsi="宋体"/>
          <w:highlight w:val="none"/>
        </w:rPr>
        <w:t>地表水环境影响评价自查表</w:t>
      </w:r>
    </w:p>
    <w:p>
      <w:pPr>
        <w:pStyle w:val="62"/>
        <w:ind w:firstLine="480"/>
        <w:rPr>
          <w:rFonts w:hAnsi="宋体"/>
          <w:highlight w:val="none"/>
        </w:rPr>
      </w:pPr>
      <w:r>
        <w:rPr>
          <w:rFonts w:hAnsi="宋体"/>
          <w:highlight w:val="none"/>
        </w:rPr>
        <w:t>本项目地表水环境影响评价自查情况见表5.2-1。</w:t>
      </w:r>
    </w:p>
    <w:p>
      <w:pPr>
        <w:pStyle w:val="62"/>
        <w:ind w:firstLine="480"/>
        <w:rPr>
          <w:rFonts w:hAnsi="宋体"/>
          <w:highlight w:val="none"/>
        </w:rPr>
      </w:pPr>
    </w:p>
    <w:p>
      <w:pPr>
        <w:pStyle w:val="62"/>
        <w:ind w:firstLine="480"/>
        <w:rPr>
          <w:rFonts w:hAnsi="宋体"/>
          <w:highlight w:val="none"/>
        </w:rPr>
        <w:sectPr>
          <w:headerReference r:id="rId20" w:type="first"/>
          <w:footerReference r:id="rId23" w:type="first"/>
          <w:footerReference r:id="rId21" w:type="default"/>
          <w:headerReference r:id="rId19" w:type="even"/>
          <w:footerReference r:id="rId22" w:type="even"/>
          <w:pgSz w:w="11910" w:h="16840"/>
          <w:pgMar w:top="1588" w:right="1588" w:bottom="1474" w:left="1588" w:header="964" w:footer="851" w:gutter="0"/>
          <w:pgBorders>
            <w:top w:val="none" w:sz="0" w:space="0"/>
            <w:left w:val="none" w:sz="0" w:space="0"/>
            <w:bottom w:val="none" w:sz="0" w:space="0"/>
            <w:right w:val="none" w:sz="0" w:space="0"/>
          </w:pgBorders>
          <w:pgNumType w:start="1"/>
          <w:cols w:space="720" w:num="1"/>
          <w:docGrid w:linePitch="326" w:charSpace="0"/>
        </w:sectPr>
      </w:pPr>
    </w:p>
    <w:p>
      <w:pPr>
        <w:widowControl/>
        <w:snapToGrid w:val="0"/>
        <w:spacing w:line="480" w:lineRule="exact"/>
        <w:ind w:firstLine="480" w:firstLineChars="0"/>
        <w:jc w:val="center"/>
        <w:textAlignment w:val="baseline"/>
        <w:rPr>
          <w:rFonts w:ascii="宋体" w:hAnsi="宋体"/>
          <w:kern w:val="0"/>
          <w:szCs w:val="20"/>
          <w:highlight w:val="none"/>
          <w:u w:color="000000"/>
        </w:rPr>
      </w:pPr>
      <w:r>
        <w:rPr>
          <w:rFonts w:ascii="宋体" w:hAnsi="宋体"/>
          <w:kern w:val="0"/>
          <w:szCs w:val="20"/>
          <w:highlight w:val="none"/>
          <w:u w:color="000000"/>
        </w:rPr>
        <w:t>表5.2-1</w:t>
      </w:r>
      <w:r>
        <w:rPr>
          <w:rFonts w:hint="eastAsia" w:ascii="宋体" w:hAnsi="宋体"/>
          <w:kern w:val="0"/>
          <w:szCs w:val="20"/>
          <w:highlight w:val="none"/>
          <w:u w:color="000000"/>
        </w:rPr>
        <w:t xml:space="preserve">  </w:t>
      </w:r>
      <w:r>
        <w:rPr>
          <w:rFonts w:ascii="宋体" w:hAnsi="宋体"/>
          <w:kern w:val="0"/>
          <w:szCs w:val="20"/>
          <w:highlight w:val="none"/>
          <w:u w:color="000000"/>
        </w:rPr>
        <w:t>建设项目地表水环境影响评价自查表</w:t>
      </w:r>
    </w:p>
    <w:tbl>
      <w:tblPr>
        <w:tblStyle w:val="44"/>
        <w:tblW w:w="1399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04"/>
        <w:gridCol w:w="2623"/>
        <w:gridCol w:w="2208"/>
        <w:gridCol w:w="963"/>
        <w:gridCol w:w="257"/>
        <w:gridCol w:w="702"/>
        <w:gridCol w:w="504"/>
        <w:gridCol w:w="940"/>
        <w:gridCol w:w="655"/>
        <w:gridCol w:w="333"/>
        <w:gridCol w:w="582"/>
        <w:gridCol w:w="347"/>
        <w:gridCol w:w="689"/>
        <w:gridCol w:w="126"/>
        <w:gridCol w:w="186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827" w:type="dxa"/>
            <w:gridSpan w:val="2"/>
            <w:vAlign w:val="center"/>
          </w:tcPr>
          <w:p>
            <w:pPr>
              <w:pStyle w:val="64"/>
              <w:rPr>
                <w:rFonts w:hAnsi="宋体"/>
                <w:highlight w:val="none"/>
                <w:lang w:val="zh-CN"/>
              </w:rPr>
            </w:pPr>
            <w:r>
              <w:rPr>
                <w:rFonts w:hAnsi="宋体"/>
                <w:highlight w:val="none"/>
                <w:lang w:val="zh-CN"/>
              </w:rPr>
              <w:t>工作内容</w:t>
            </w:r>
          </w:p>
        </w:tc>
        <w:tc>
          <w:tcPr>
            <w:tcW w:w="10167" w:type="dxa"/>
            <w:gridSpan w:val="13"/>
            <w:vAlign w:val="center"/>
          </w:tcPr>
          <w:p>
            <w:pPr>
              <w:pStyle w:val="64"/>
              <w:rPr>
                <w:rFonts w:hAnsi="宋体"/>
                <w:highlight w:val="none"/>
                <w:lang w:val="zh-CN"/>
              </w:rPr>
            </w:pPr>
            <w:r>
              <w:rPr>
                <w:rFonts w:hAnsi="宋体"/>
                <w:highlight w:val="none"/>
                <w:lang w:val="zh-CN"/>
              </w:rPr>
              <w:t>自查项目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restart"/>
            <w:vAlign w:val="center"/>
          </w:tcPr>
          <w:p>
            <w:pPr>
              <w:pStyle w:val="64"/>
              <w:rPr>
                <w:rFonts w:hAnsi="宋体"/>
                <w:highlight w:val="none"/>
                <w:lang w:val="zh-CN"/>
              </w:rPr>
            </w:pPr>
            <w:r>
              <w:rPr>
                <w:rFonts w:hAnsi="宋体"/>
                <w:highlight w:val="none"/>
                <w:lang w:val="zh-CN"/>
              </w:rPr>
              <w:t>影响识别</w:t>
            </w:r>
          </w:p>
        </w:tc>
        <w:tc>
          <w:tcPr>
            <w:tcW w:w="2623" w:type="dxa"/>
            <w:vAlign w:val="center"/>
          </w:tcPr>
          <w:p>
            <w:pPr>
              <w:pStyle w:val="64"/>
              <w:rPr>
                <w:rFonts w:hAnsi="宋体"/>
                <w:highlight w:val="none"/>
                <w:lang w:val="zh-CN"/>
              </w:rPr>
            </w:pPr>
            <w:r>
              <w:rPr>
                <w:rFonts w:hAnsi="宋体"/>
                <w:highlight w:val="none"/>
                <w:lang w:val="zh-CN"/>
              </w:rPr>
              <w:t>影响类型</w:t>
            </w:r>
          </w:p>
        </w:tc>
        <w:tc>
          <w:tcPr>
            <w:tcW w:w="10167" w:type="dxa"/>
            <w:gridSpan w:val="13"/>
            <w:vAlign w:val="center"/>
          </w:tcPr>
          <w:p>
            <w:pPr>
              <w:pStyle w:val="64"/>
              <w:jc w:val="left"/>
              <w:rPr>
                <w:rFonts w:hAnsi="宋体"/>
                <w:highlight w:val="none"/>
                <w:lang w:val="zh-CN"/>
              </w:rPr>
            </w:pPr>
            <w:r>
              <w:rPr>
                <w:rFonts w:hAnsi="宋体"/>
                <w:highlight w:val="none"/>
                <w:lang w:val="zh-CN"/>
              </w:rPr>
              <w:t>水污染影响型</w:t>
            </w:r>
            <w:r>
              <w:rPr>
                <w:rFonts w:hAnsi="宋体"/>
                <w:highlight w:val="none"/>
                <w:lang w:val="zh-CN"/>
              </w:rPr>
              <w:sym w:font="Wingdings 2" w:char="0052"/>
            </w:r>
            <w:r>
              <w:rPr>
                <w:rFonts w:hAnsi="宋体"/>
                <w:highlight w:val="none"/>
                <w:lang w:val="zh-CN"/>
              </w:rPr>
              <w:t>；水要素影响型</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水环境保护目标</w:t>
            </w:r>
          </w:p>
        </w:tc>
        <w:tc>
          <w:tcPr>
            <w:tcW w:w="10167" w:type="dxa"/>
            <w:gridSpan w:val="13"/>
            <w:vAlign w:val="center"/>
          </w:tcPr>
          <w:p>
            <w:pPr>
              <w:pStyle w:val="64"/>
              <w:jc w:val="left"/>
              <w:rPr>
                <w:rFonts w:hAnsi="宋体"/>
                <w:highlight w:val="none"/>
                <w:lang w:val="zh-CN"/>
              </w:rPr>
            </w:pPr>
            <w:r>
              <w:rPr>
                <w:rFonts w:hAnsi="宋体"/>
                <w:highlight w:val="none"/>
                <w:lang w:val="zh-CN"/>
              </w:rPr>
              <w:t>饮用水水源保护区</w:t>
            </w:r>
            <w:r>
              <w:rPr>
                <w:rFonts w:hAnsi="宋体"/>
                <w:highlight w:val="none"/>
                <w:lang w:val="zh-CN"/>
              </w:rPr>
              <w:sym w:font="Wingdings 2" w:char="00A3"/>
            </w:r>
            <w:r>
              <w:rPr>
                <w:rFonts w:hAnsi="宋体"/>
                <w:highlight w:val="none"/>
                <w:lang w:val="zh-CN"/>
              </w:rPr>
              <w:t>；饮用水取水口</w:t>
            </w:r>
            <w:r>
              <w:rPr>
                <w:rFonts w:hAnsi="宋体"/>
                <w:highlight w:val="none"/>
                <w:lang w:val="zh-CN"/>
              </w:rPr>
              <w:sym w:font="Wingdings 2" w:char="00A3"/>
            </w:r>
            <w:r>
              <w:rPr>
                <w:rFonts w:hAnsi="宋体"/>
                <w:highlight w:val="none"/>
                <w:lang w:val="zh-CN"/>
              </w:rPr>
              <w:t>；涉水的自然保护区</w:t>
            </w:r>
            <w:r>
              <w:rPr>
                <w:rFonts w:hAnsi="宋体"/>
                <w:highlight w:val="none"/>
                <w:lang w:val="zh-CN"/>
              </w:rPr>
              <w:sym w:font="Wingdings 2" w:char="00A3"/>
            </w:r>
            <w:r>
              <w:rPr>
                <w:rFonts w:hAnsi="宋体"/>
                <w:highlight w:val="none"/>
                <w:lang w:val="zh-CN"/>
              </w:rPr>
              <w:t>；重要湿地</w:t>
            </w:r>
            <w:r>
              <w:rPr>
                <w:rFonts w:hAnsi="宋体"/>
                <w:highlight w:val="none"/>
                <w:lang w:val="zh-CN"/>
              </w:rPr>
              <w:sym w:font="Wingdings 2" w:char="00A3"/>
            </w:r>
            <w:r>
              <w:rPr>
                <w:rFonts w:hAnsi="宋体"/>
                <w:highlight w:val="none"/>
                <w:lang w:val="zh-CN"/>
              </w:rPr>
              <w:t>；</w:t>
            </w:r>
          </w:p>
          <w:p>
            <w:pPr>
              <w:pStyle w:val="64"/>
              <w:jc w:val="left"/>
              <w:rPr>
                <w:rFonts w:hAnsi="宋体"/>
                <w:highlight w:val="none"/>
                <w:lang w:val="zh-CN"/>
              </w:rPr>
            </w:pPr>
            <w:r>
              <w:rPr>
                <w:rFonts w:hAnsi="宋体"/>
                <w:highlight w:val="none"/>
                <w:lang w:val="zh-CN"/>
              </w:rPr>
              <w:t>重点保护与珍稀水生生物的栖息地</w:t>
            </w:r>
            <w:r>
              <w:rPr>
                <w:rFonts w:hAnsi="宋体"/>
                <w:highlight w:val="none"/>
                <w:lang w:val="zh-CN"/>
              </w:rPr>
              <w:sym w:font="Wingdings 2" w:char="00A3"/>
            </w:r>
            <w:r>
              <w:rPr>
                <w:rFonts w:hAnsi="宋体"/>
                <w:highlight w:val="none"/>
                <w:lang w:val="zh-CN"/>
              </w:rPr>
              <w:t>；重要水生生物的自然产卵场及索饵场、越冬场和洄游通道、天然渔场等渔业水体</w:t>
            </w:r>
            <w:r>
              <w:rPr>
                <w:rFonts w:hAnsi="宋体"/>
                <w:highlight w:val="none"/>
                <w:lang w:val="zh-CN"/>
              </w:rPr>
              <w:sym w:font="Wingdings 2" w:char="00A3"/>
            </w:r>
            <w:r>
              <w:rPr>
                <w:rFonts w:hAnsi="宋体"/>
                <w:highlight w:val="none"/>
                <w:lang w:val="zh-CN"/>
              </w:rPr>
              <w:t>；涉水的风景名胜区</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影响途径</w:t>
            </w:r>
          </w:p>
        </w:tc>
        <w:tc>
          <w:tcPr>
            <w:tcW w:w="5574" w:type="dxa"/>
            <w:gridSpan w:val="6"/>
            <w:vAlign w:val="center"/>
          </w:tcPr>
          <w:p>
            <w:pPr>
              <w:pStyle w:val="64"/>
              <w:rPr>
                <w:rFonts w:hAnsi="宋体"/>
                <w:highlight w:val="none"/>
                <w:lang w:val="zh-CN"/>
              </w:rPr>
            </w:pPr>
            <w:r>
              <w:rPr>
                <w:rFonts w:hAnsi="宋体"/>
                <w:highlight w:val="none"/>
                <w:lang w:val="zh-CN"/>
              </w:rPr>
              <w:t>水污染影响型</w:t>
            </w:r>
          </w:p>
        </w:tc>
        <w:tc>
          <w:tcPr>
            <w:tcW w:w="4593" w:type="dxa"/>
            <w:gridSpan w:val="7"/>
            <w:vAlign w:val="center"/>
          </w:tcPr>
          <w:p>
            <w:pPr>
              <w:pStyle w:val="64"/>
              <w:rPr>
                <w:rFonts w:hAnsi="宋体"/>
                <w:highlight w:val="none"/>
                <w:lang w:val="zh-CN"/>
              </w:rPr>
            </w:pPr>
            <w:r>
              <w:rPr>
                <w:rFonts w:hAnsi="宋体"/>
                <w:highlight w:val="none"/>
                <w:lang w:val="zh-CN"/>
              </w:rPr>
              <w:t>水文要素影响型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5574" w:type="dxa"/>
            <w:gridSpan w:val="6"/>
            <w:vAlign w:val="center"/>
          </w:tcPr>
          <w:p>
            <w:pPr>
              <w:pStyle w:val="64"/>
              <w:jc w:val="left"/>
              <w:rPr>
                <w:rFonts w:hAnsi="宋体"/>
                <w:highlight w:val="none"/>
                <w:lang w:val="zh-CN"/>
              </w:rPr>
            </w:pPr>
            <w:r>
              <w:rPr>
                <w:rFonts w:hAnsi="宋体"/>
                <w:highlight w:val="none"/>
                <w:lang w:val="zh-CN"/>
              </w:rPr>
              <w:t>直接排放</w:t>
            </w:r>
            <w:r>
              <w:rPr>
                <w:rFonts w:hAnsi="宋体"/>
                <w:highlight w:val="none"/>
                <w:lang w:val="zh-CN"/>
              </w:rPr>
              <w:sym w:font="Wingdings 2" w:char="00A3"/>
            </w:r>
            <w:r>
              <w:rPr>
                <w:rFonts w:hAnsi="宋体"/>
                <w:highlight w:val="none"/>
                <w:lang w:val="zh-CN"/>
              </w:rPr>
              <w:t>；间接排放</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52"/>
            </w:r>
          </w:p>
        </w:tc>
        <w:tc>
          <w:tcPr>
            <w:tcW w:w="4593" w:type="dxa"/>
            <w:gridSpan w:val="7"/>
            <w:vAlign w:val="center"/>
          </w:tcPr>
          <w:p>
            <w:pPr>
              <w:pStyle w:val="64"/>
              <w:rPr>
                <w:rFonts w:hAnsi="宋体"/>
                <w:highlight w:val="none"/>
                <w:lang w:val="zh-CN"/>
              </w:rPr>
            </w:pPr>
            <w:r>
              <w:rPr>
                <w:rFonts w:hAnsi="宋体"/>
                <w:highlight w:val="none"/>
                <w:lang w:val="zh-CN"/>
              </w:rPr>
              <w:t>水温</w:t>
            </w:r>
            <w:r>
              <w:rPr>
                <w:rFonts w:hAnsi="宋体"/>
                <w:highlight w:val="none"/>
                <w:lang w:val="zh-CN"/>
              </w:rPr>
              <w:sym w:font="Wingdings 2" w:char="00A3"/>
            </w:r>
            <w:r>
              <w:rPr>
                <w:rFonts w:hAnsi="宋体"/>
                <w:highlight w:val="none"/>
                <w:lang w:val="zh-CN"/>
              </w:rPr>
              <w:t>；径流</w:t>
            </w:r>
            <w:r>
              <w:rPr>
                <w:rFonts w:hAnsi="宋体"/>
                <w:highlight w:val="none"/>
                <w:lang w:val="zh-CN"/>
              </w:rPr>
              <w:sym w:font="Wingdings 2" w:char="00A3"/>
            </w:r>
            <w:r>
              <w:rPr>
                <w:rFonts w:hAnsi="宋体"/>
                <w:highlight w:val="none"/>
                <w:lang w:val="zh-CN"/>
              </w:rPr>
              <w:t>；水域面积</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影响因子</w:t>
            </w:r>
          </w:p>
        </w:tc>
        <w:tc>
          <w:tcPr>
            <w:tcW w:w="5574" w:type="dxa"/>
            <w:gridSpan w:val="6"/>
            <w:vAlign w:val="center"/>
          </w:tcPr>
          <w:p>
            <w:pPr>
              <w:pStyle w:val="64"/>
              <w:jc w:val="left"/>
              <w:rPr>
                <w:rFonts w:hAnsi="宋体"/>
                <w:highlight w:val="none"/>
                <w:lang w:val="zh-CN"/>
              </w:rPr>
            </w:pPr>
            <w:r>
              <w:rPr>
                <w:rFonts w:hAnsi="宋体"/>
                <w:highlight w:val="none"/>
                <w:lang w:val="zh-CN"/>
              </w:rPr>
              <w:t>持久性污染物</w:t>
            </w:r>
            <w:r>
              <w:rPr>
                <w:rFonts w:hAnsi="宋体"/>
                <w:highlight w:val="none"/>
                <w:lang w:val="zh-CN"/>
              </w:rPr>
              <w:sym w:font="Wingdings 2" w:char="00A3"/>
            </w:r>
            <w:r>
              <w:rPr>
                <w:rFonts w:hAnsi="宋体"/>
                <w:highlight w:val="none"/>
                <w:lang w:val="zh-CN"/>
              </w:rPr>
              <w:t>；有毒有害污染物</w:t>
            </w:r>
            <w:r>
              <w:rPr>
                <w:rFonts w:hAnsi="宋体"/>
                <w:highlight w:val="none"/>
                <w:lang w:val="zh-CN"/>
              </w:rPr>
              <w:sym w:font="Wingdings 2" w:char="00A3"/>
            </w:r>
            <w:r>
              <w:rPr>
                <w:rFonts w:hAnsi="宋体"/>
                <w:highlight w:val="none"/>
                <w:lang w:val="zh-CN"/>
              </w:rPr>
              <w:t>；非持久性污染物</w:t>
            </w:r>
            <w:r>
              <w:rPr>
                <w:rFonts w:hAnsi="宋体"/>
                <w:highlight w:val="none"/>
                <w:lang w:val="zh-CN"/>
              </w:rPr>
              <w:sym w:font="Wingdings 2" w:char="00A3"/>
            </w:r>
            <w:r>
              <w:rPr>
                <w:rFonts w:hAnsi="宋体"/>
                <w:highlight w:val="none"/>
                <w:lang w:val="zh-CN"/>
              </w:rPr>
              <w:t>；</w:t>
            </w:r>
          </w:p>
          <w:p>
            <w:pPr>
              <w:pStyle w:val="64"/>
              <w:jc w:val="left"/>
              <w:rPr>
                <w:rFonts w:hAnsi="宋体"/>
                <w:highlight w:val="none"/>
                <w:lang w:val="zh-CN"/>
              </w:rPr>
            </w:pPr>
            <w:r>
              <w:rPr>
                <w:rFonts w:hAnsi="宋体"/>
                <w:highlight w:val="none"/>
                <w:lang w:val="zh-CN"/>
              </w:rPr>
              <w:t>pH值</w:t>
            </w:r>
            <w:r>
              <w:rPr>
                <w:rFonts w:hAnsi="宋体"/>
                <w:highlight w:val="none"/>
                <w:lang w:val="zh-CN"/>
              </w:rPr>
              <w:sym w:font="Wingdings 2" w:char="00A3"/>
            </w:r>
            <w:r>
              <w:rPr>
                <w:rFonts w:hAnsi="宋体"/>
                <w:highlight w:val="none"/>
                <w:lang w:val="zh-CN"/>
              </w:rPr>
              <w:t>；热污染</w:t>
            </w:r>
            <w:r>
              <w:rPr>
                <w:rFonts w:hAnsi="宋体"/>
                <w:highlight w:val="none"/>
                <w:lang w:val="zh-CN"/>
              </w:rPr>
              <w:sym w:font="Wingdings 2" w:char="00A3"/>
            </w:r>
            <w:r>
              <w:rPr>
                <w:rFonts w:hAnsi="宋体"/>
                <w:highlight w:val="none"/>
                <w:lang w:val="zh-CN"/>
              </w:rPr>
              <w:t>；富营养化</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52"/>
            </w:r>
          </w:p>
        </w:tc>
        <w:tc>
          <w:tcPr>
            <w:tcW w:w="4593" w:type="dxa"/>
            <w:gridSpan w:val="7"/>
            <w:vAlign w:val="center"/>
          </w:tcPr>
          <w:p>
            <w:pPr>
              <w:pStyle w:val="64"/>
              <w:jc w:val="left"/>
              <w:rPr>
                <w:rFonts w:hAnsi="宋体"/>
                <w:highlight w:val="none"/>
                <w:lang w:val="zh-CN"/>
              </w:rPr>
            </w:pPr>
            <w:r>
              <w:rPr>
                <w:rFonts w:hAnsi="宋体"/>
                <w:highlight w:val="none"/>
                <w:lang w:val="zh-CN"/>
              </w:rPr>
              <w:t>水温</w:t>
            </w:r>
            <w:r>
              <w:rPr>
                <w:rFonts w:hAnsi="宋体"/>
                <w:highlight w:val="none"/>
                <w:lang w:val="zh-CN"/>
              </w:rPr>
              <w:sym w:font="Wingdings 2" w:char="00A3"/>
            </w:r>
            <w:r>
              <w:rPr>
                <w:rFonts w:hAnsi="宋体"/>
                <w:highlight w:val="none"/>
                <w:lang w:val="zh-CN"/>
              </w:rPr>
              <w:t>；水位（水深）</w:t>
            </w:r>
            <w:r>
              <w:rPr>
                <w:rFonts w:hAnsi="宋体"/>
                <w:highlight w:val="none"/>
                <w:lang w:val="zh-CN"/>
              </w:rPr>
              <w:sym w:font="Wingdings 2" w:char="00A3"/>
            </w:r>
            <w:r>
              <w:rPr>
                <w:rFonts w:hAnsi="宋体"/>
                <w:highlight w:val="none"/>
                <w:lang w:val="zh-CN"/>
              </w:rPr>
              <w:t>；流速</w:t>
            </w:r>
            <w:r>
              <w:rPr>
                <w:rFonts w:hAnsi="宋体"/>
                <w:highlight w:val="none"/>
                <w:lang w:val="zh-CN"/>
              </w:rPr>
              <w:sym w:font="Wingdings 2" w:char="00A3"/>
            </w:r>
            <w:r>
              <w:rPr>
                <w:rFonts w:hAnsi="宋体"/>
                <w:highlight w:val="none"/>
                <w:lang w:val="zh-CN"/>
              </w:rPr>
              <w:t>；流速</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827" w:type="dxa"/>
            <w:gridSpan w:val="2"/>
            <w:vMerge w:val="restart"/>
            <w:vAlign w:val="center"/>
          </w:tcPr>
          <w:p>
            <w:pPr>
              <w:pStyle w:val="64"/>
              <w:rPr>
                <w:rFonts w:hAnsi="宋体"/>
                <w:highlight w:val="none"/>
                <w:lang w:val="zh-CN"/>
              </w:rPr>
            </w:pPr>
            <w:r>
              <w:rPr>
                <w:rFonts w:hAnsi="宋体"/>
                <w:highlight w:val="none"/>
                <w:lang w:val="zh-CN"/>
              </w:rPr>
              <w:t>评价等级</w:t>
            </w:r>
          </w:p>
        </w:tc>
        <w:tc>
          <w:tcPr>
            <w:tcW w:w="5574" w:type="dxa"/>
            <w:gridSpan w:val="6"/>
            <w:vAlign w:val="center"/>
          </w:tcPr>
          <w:p>
            <w:pPr>
              <w:pStyle w:val="64"/>
              <w:rPr>
                <w:rFonts w:hAnsi="宋体"/>
                <w:highlight w:val="none"/>
                <w:lang w:val="zh-CN"/>
              </w:rPr>
            </w:pPr>
            <w:r>
              <w:rPr>
                <w:rFonts w:hAnsi="宋体"/>
                <w:highlight w:val="none"/>
                <w:lang w:val="zh-CN"/>
              </w:rPr>
              <w:t>水污染影响型</w:t>
            </w:r>
          </w:p>
        </w:tc>
        <w:tc>
          <w:tcPr>
            <w:tcW w:w="4593" w:type="dxa"/>
            <w:gridSpan w:val="7"/>
            <w:vAlign w:val="center"/>
          </w:tcPr>
          <w:p>
            <w:pPr>
              <w:pStyle w:val="64"/>
              <w:rPr>
                <w:rFonts w:hAnsi="宋体"/>
                <w:highlight w:val="none"/>
                <w:lang w:val="zh-CN"/>
              </w:rPr>
            </w:pPr>
            <w:r>
              <w:rPr>
                <w:rFonts w:hAnsi="宋体"/>
                <w:highlight w:val="none"/>
                <w:lang w:val="zh-CN"/>
              </w:rPr>
              <w:t>水文要素影响型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827" w:type="dxa"/>
            <w:gridSpan w:val="2"/>
            <w:vMerge w:val="continue"/>
            <w:vAlign w:val="center"/>
          </w:tcPr>
          <w:p>
            <w:pPr>
              <w:pStyle w:val="64"/>
              <w:rPr>
                <w:rFonts w:hAnsi="宋体"/>
                <w:highlight w:val="none"/>
                <w:lang w:val="zh-CN"/>
              </w:rPr>
            </w:pPr>
          </w:p>
        </w:tc>
        <w:tc>
          <w:tcPr>
            <w:tcW w:w="5574" w:type="dxa"/>
            <w:gridSpan w:val="6"/>
            <w:vAlign w:val="center"/>
          </w:tcPr>
          <w:p>
            <w:pPr>
              <w:pStyle w:val="64"/>
              <w:jc w:val="left"/>
              <w:rPr>
                <w:rFonts w:hAnsi="宋体"/>
                <w:highlight w:val="none"/>
                <w:lang w:val="zh-CN"/>
              </w:rPr>
            </w:pPr>
            <w:r>
              <w:rPr>
                <w:rFonts w:hAnsi="宋体"/>
                <w:highlight w:val="none"/>
                <w:lang w:val="zh-CN"/>
              </w:rPr>
              <w:t>一级</w:t>
            </w:r>
            <w:r>
              <w:rPr>
                <w:rFonts w:hAnsi="宋体"/>
                <w:highlight w:val="none"/>
                <w:lang w:val="zh-CN"/>
              </w:rPr>
              <w:sym w:font="Wingdings 2" w:char="00A3"/>
            </w:r>
            <w:r>
              <w:rPr>
                <w:rFonts w:hAnsi="宋体"/>
                <w:highlight w:val="none"/>
                <w:lang w:val="zh-CN"/>
              </w:rPr>
              <w:t>；二级</w:t>
            </w:r>
            <w:r>
              <w:rPr>
                <w:rFonts w:hAnsi="宋体"/>
                <w:highlight w:val="none"/>
                <w:lang w:val="zh-CN"/>
              </w:rPr>
              <w:sym w:font="Wingdings 2" w:char="00A3"/>
            </w:r>
            <w:r>
              <w:rPr>
                <w:rFonts w:hAnsi="宋体"/>
                <w:highlight w:val="none"/>
                <w:lang w:val="zh-CN"/>
              </w:rPr>
              <w:t>；三级A</w:t>
            </w:r>
            <w:r>
              <w:rPr>
                <w:rFonts w:hAnsi="宋体"/>
                <w:highlight w:val="none"/>
                <w:lang w:val="zh-CN"/>
              </w:rPr>
              <w:sym w:font="Wingdings 2" w:char="00A3"/>
            </w:r>
            <w:r>
              <w:rPr>
                <w:rFonts w:hAnsi="宋体"/>
                <w:highlight w:val="none"/>
                <w:lang w:val="zh-CN"/>
              </w:rPr>
              <w:t>；三级B</w:t>
            </w:r>
            <w:r>
              <w:rPr>
                <w:rFonts w:hAnsi="宋体"/>
                <w:highlight w:val="none"/>
                <w:lang w:val="zh-CN"/>
              </w:rPr>
              <w:sym w:font="Wingdings 2" w:char="0052"/>
            </w:r>
          </w:p>
        </w:tc>
        <w:tc>
          <w:tcPr>
            <w:tcW w:w="4593" w:type="dxa"/>
            <w:gridSpan w:val="7"/>
            <w:vAlign w:val="center"/>
          </w:tcPr>
          <w:p>
            <w:pPr>
              <w:pStyle w:val="64"/>
              <w:jc w:val="left"/>
              <w:rPr>
                <w:rFonts w:hAnsi="宋体"/>
                <w:highlight w:val="none"/>
                <w:lang w:val="zh-CN"/>
              </w:rPr>
            </w:pPr>
            <w:r>
              <w:rPr>
                <w:rFonts w:hAnsi="宋体"/>
                <w:highlight w:val="none"/>
                <w:lang w:val="zh-CN"/>
              </w:rPr>
              <w:t>一级</w:t>
            </w:r>
            <w:r>
              <w:rPr>
                <w:rFonts w:hAnsi="宋体"/>
                <w:highlight w:val="none"/>
                <w:lang w:val="zh-CN"/>
              </w:rPr>
              <w:sym w:font="Wingdings 2" w:char="00A3"/>
            </w:r>
            <w:r>
              <w:rPr>
                <w:rFonts w:hAnsi="宋体"/>
                <w:highlight w:val="none"/>
                <w:lang w:val="zh-CN"/>
              </w:rPr>
              <w:t>；二级</w:t>
            </w:r>
            <w:r>
              <w:rPr>
                <w:rFonts w:hAnsi="宋体"/>
                <w:highlight w:val="none"/>
                <w:lang w:val="zh-CN"/>
              </w:rPr>
              <w:sym w:font="Wingdings 2" w:char="00A3"/>
            </w:r>
            <w:r>
              <w:rPr>
                <w:rFonts w:hAnsi="宋体"/>
                <w:highlight w:val="none"/>
                <w:lang w:val="zh-CN"/>
              </w:rPr>
              <w:t>；三级</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restart"/>
            <w:vAlign w:val="center"/>
          </w:tcPr>
          <w:p>
            <w:pPr>
              <w:pStyle w:val="64"/>
              <w:rPr>
                <w:rFonts w:hAnsi="宋体"/>
                <w:highlight w:val="none"/>
                <w:lang w:val="zh-CN"/>
              </w:rPr>
            </w:pPr>
            <w:r>
              <w:rPr>
                <w:rFonts w:hAnsi="宋体"/>
                <w:highlight w:val="none"/>
                <w:lang w:val="zh-CN"/>
              </w:rPr>
              <w:t>现状调查</w:t>
            </w:r>
          </w:p>
        </w:tc>
        <w:tc>
          <w:tcPr>
            <w:tcW w:w="2623" w:type="dxa"/>
            <w:vMerge w:val="restart"/>
            <w:vAlign w:val="center"/>
          </w:tcPr>
          <w:p>
            <w:pPr>
              <w:pStyle w:val="64"/>
              <w:rPr>
                <w:rFonts w:hAnsi="宋体"/>
                <w:highlight w:val="none"/>
                <w:lang w:val="zh-CN"/>
              </w:rPr>
            </w:pPr>
            <w:r>
              <w:rPr>
                <w:rFonts w:hAnsi="宋体"/>
                <w:highlight w:val="none"/>
                <w:lang w:val="zh-CN"/>
              </w:rPr>
              <w:t>区域污染源</w:t>
            </w:r>
          </w:p>
        </w:tc>
        <w:tc>
          <w:tcPr>
            <w:tcW w:w="5574" w:type="dxa"/>
            <w:gridSpan w:val="6"/>
            <w:vAlign w:val="center"/>
          </w:tcPr>
          <w:p>
            <w:pPr>
              <w:pStyle w:val="64"/>
              <w:rPr>
                <w:rFonts w:hAnsi="宋体"/>
                <w:highlight w:val="none"/>
                <w:lang w:val="zh-CN"/>
              </w:rPr>
            </w:pPr>
            <w:r>
              <w:rPr>
                <w:rFonts w:hAnsi="宋体"/>
                <w:highlight w:val="none"/>
                <w:lang w:val="zh-CN"/>
              </w:rPr>
              <w:t>调查项目</w:t>
            </w:r>
          </w:p>
        </w:tc>
        <w:tc>
          <w:tcPr>
            <w:tcW w:w="4593" w:type="dxa"/>
            <w:gridSpan w:val="7"/>
            <w:vAlign w:val="center"/>
          </w:tcPr>
          <w:p>
            <w:pPr>
              <w:pStyle w:val="64"/>
              <w:rPr>
                <w:rFonts w:hAnsi="宋体"/>
                <w:highlight w:val="none"/>
                <w:lang w:val="zh-CN"/>
              </w:rPr>
            </w:pPr>
            <w:r>
              <w:rPr>
                <w:rFonts w:hAnsi="宋体"/>
                <w:highlight w:val="none"/>
                <w:lang w:val="zh-CN"/>
              </w:rPr>
              <w:t>数据来源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4130" w:type="dxa"/>
            <w:gridSpan w:val="4"/>
            <w:vAlign w:val="center"/>
          </w:tcPr>
          <w:p>
            <w:pPr>
              <w:pStyle w:val="64"/>
              <w:jc w:val="left"/>
              <w:rPr>
                <w:rFonts w:hAnsi="宋体"/>
                <w:highlight w:val="none"/>
                <w:lang w:val="zh-CN"/>
              </w:rPr>
            </w:pPr>
            <w:r>
              <w:rPr>
                <w:rFonts w:hAnsi="宋体"/>
                <w:highlight w:val="none"/>
                <w:lang w:val="zh-CN"/>
              </w:rPr>
              <w:t>已建</w:t>
            </w:r>
            <w:r>
              <w:rPr>
                <w:rFonts w:hAnsi="宋体"/>
                <w:highlight w:val="none"/>
                <w:lang w:val="zh-CN"/>
              </w:rPr>
              <w:sym w:font="Wingdings 2" w:char="00A3"/>
            </w:r>
            <w:r>
              <w:rPr>
                <w:rFonts w:hAnsi="宋体"/>
                <w:highlight w:val="none"/>
                <w:lang w:val="zh-CN"/>
              </w:rPr>
              <w:t>；在建</w:t>
            </w:r>
            <w:r>
              <w:rPr>
                <w:rFonts w:hAnsi="宋体"/>
                <w:highlight w:val="none"/>
                <w:lang w:val="zh-CN"/>
              </w:rPr>
              <w:sym w:font="Wingdings 2" w:char="00A3"/>
            </w:r>
            <w:r>
              <w:rPr>
                <w:rFonts w:hAnsi="宋体"/>
                <w:highlight w:val="none"/>
                <w:lang w:val="zh-CN"/>
              </w:rPr>
              <w:t>；拟建</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52"/>
            </w:r>
          </w:p>
        </w:tc>
        <w:tc>
          <w:tcPr>
            <w:tcW w:w="1444" w:type="dxa"/>
            <w:gridSpan w:val="2"/>
            <w:vAlign w:val="center"/>
          </w:tcPr>
          <w:p>
            <w:pPr>
              <w:pStyle w:val="64"/>
              <w:rPr>
                <w:rFonts w:hAnsi="宋体"/>
                <w:highlight w:val="none"/>
                <w:lang w:val="zh-CN"/>
              </w:rPr>
            </w:pPr>
            <w:r>
              <w:rPr>
                <w:rFonts w:hAnsi="宋体"/>
                <w:highlight w:val="none"/>
                <w:lang w:val="zh-CN"/>
              </w:rPr>
              <w:t>拟替代的污染源</w:t>
            </w:r>
            <w:r>
              <w:rPr>
                <w:rFonts w:hAnsi="宋体"/>
                <w:highlight w:val="none"/>
                <w:lang w:val="zh-CN"/>
              </w:rPr>
              <w:sym w:font="Wingdings 2" w:char="00A3"/>
            </w:r>
          </w:p>
        </w:tc>
        <w:tc>
          <w:tcPr>
            <w:tcW w:w="4593" w:type="dxa"/>
            <w:gridSpan w:val="7"/>
            <w:vAlign w:val="center"/>
          </w:tcPr>
          <w:p>
            <w:pPr>
              <w:pStyle w:val="64"/>
              <w:rPr>
                <w:rFonts w:hAnsi="宋体"/>
                <w:highlight w:val="none"/>
                <w:lang w:val="zh-CN"/>
              </w:rPr>
            </w:pPr>
            <w:r>
              <w:rPr>
                <w:rFonts w:hAnsi="宋体"/>
                <w:highlight w:val="none"/>
                <w:lang w:val="zh-CN"/>
              </w:rPr>
              <w:t>排污许可证</w:t>
            </w:r>
            <w:r>
              <w:rPr>
                <w:rFonts w:hAnsi="宋体"/>
                <w:highlight w:val="none"/>
                <w:lang w:val="zh-CN"/>
              </w:rPr>
              <w:sym w:font="Wingdings 2" w:char="00A3"/>
            </w:r>
            <w:r>
              <w:rPr>
                <w:rFonts w:hAnsi="宋体"/>
                <w:highlight w:val="none"/>
                <w:lang w:val="zh-CN"/>
              </w:rPr>
              <w:t>；环评</w:t>
            </w:r>
            <w:r>
              <w:rPr>
                <w:rFonts w:hAnsi="宋体"/>
                <w:highlight w:val="none"/>
                <w:lang w:val="zh-CN"/>
              </w:rPr>
              <w:sym w:font="Wingdings 2" w:char="00A3"/>
            </w:r>
            <w:r>
              <w:rPr>
                <w:rFonts w:hAnsi="宋体"/>
                <w:highlight w:val="none"/>
                <w:lang w:val="zh-CN"/>
              </w:rPr>
              <w:t>；环保验收</w:t>
            </w:r>
            <w:r>
              <w:rPr>
                <w:rFonts w:hAnsi="宋体"/>
                <w:highlight w:val="none"/>
                <w:lang w:val="zh-CN"/>
              </w:rPr>
              <w:sym w:font="Wingdings 2" w:char="00A3"/>
            </w:r>
            <w:r>
              <w:rPr>
                <w:rFonts w:hAnsi="宋体"/>
                <w:highlight w:val="none"/>
                <w:lang w:val="zh-CN"/>
              </w:rPr>
              <w:t>；既有实测</w:t>
            </w:r>
            <w:r>
              <w:rPr>
                <w:rFonts w:hAnsi="宋体"/>
                <w:highlight w:val="none"/>
                <w:lang w:val="zh-CN"/>
              </w:rPr>
              <w:sym w:font="Wingdings 2" w:char="00A3"/>
            </w:r>
            <w:r>
              <w:rPr>
                <w:rFonts w:hAnsi="宋体"/>
                <w:highlight w:val="none"/>
                <w:lang w:val="zh-CN"/>
              </w:rPr>
              <w:t>；现场监测</w:t>
            </w:r>
            <w:r>
              <w:rPr>
                <w:rFonts w:hAnsi="宋体"/>
                <w:highlight w:val="none"/>
                <w:lang w:val="zh-CN"/>
              </w:rPr>
              <w:sym w:font="Wingdings 2" w:char="00A3"/>
            </w:r>
            <w:r>
              <w:rPr>
                <w:rFonts w:hAnsi="宋体"/>
                <w:highlight w:val="none"/>
                <w:lang w:val="zh-CN"/>
              </w:rPr>
              <w:t>；入河排放口数据</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受影响水体水环境质量</w:t>
            </w:r>
          </w:p>
        </w:tc>
        <w:tc>
          <w:tcPr>
            <w:tcW w:w="5574" w:type="dxa"/>
            <w:gridSpan w:val="6"/>
            <w:vAlign w:val="center"/>
          </w:tcPr>
          <w:p>
            <w:pPr>
              <w:pStyle w:val="64"/>
              <w:rPr>
                <w:rFonts w:hAnsi="宋体"/>
                <w:highlight w:val="none"/>
                <w:lang w:val="zh-CN"/>
              </w:rPr>
            </w:pPr>
            <w:r>
              <w:rPr>
                <w:rFonts w:hAnsi="宋体"/>
                <w:highlight w:val="none"/>
                <w:lang w:val="zh-CN"/>
              </w:rPr>
              <w:t>调查时期</w:t>
            </w:r>
          </w:p>
        </w:tc>
        <w:tc>
          <w:tcPr>
            <w:tcW w:w="4593" w:type="dxa"/>
            <w:gridSpan w:val="7"/>
            <w:vAlign w:val="center"/>
          </w:tcPr>
          <w:p>
            <w:pPr>
              <w:pStyle w:val="64"/>
              <w:rPr>
                <w:rFonts w:hAnsi="宋体"/>
                <w:highlight w:val="none"/>
                <w:lang w:val="zh-CN"/>
              </w:rPr>
            </w:pPr>
            <w:r>
              <w:rPr>
                <w:rFonts w:hAnsi="宋体"/>
                <w:highlight w:val="none"/>
                <w:lang w:val="zh-CN"/>
              </w:rPr>
              <w:t>数据来源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5574" w:type="dxa"/>
            <w:gridSpan w:val="6"/>
            <w:vAlign w:val="center"/>
          </w:tcPr>
          <w:p>
            <w:pPr>
              <w:pStyle w:val="64"/>
              <w:jc w:val="left"/>
              <w:rPr>
                <w:rFonts w:hAnsi="宋体"/>
                <w:highlight w:val="none"/>
                <w:lang w:val="zh-CN"/>
              </w:rPr>
            </w:pPr>
            <w:r>
              <w:rPr>
                <w:rFonts w:hAnsi="宋体"/>
                <w:highlight w:val="none"/>
                <w:lang w:val="zh-CN"/>
              </w:rPr>
              <w:t>丰水期</w:t>
            </w:r>
            <w:r>
              <w:rPr>
                <w:rFonts w:hAnsi="宋体"/>
                <w:highlight w:val="none"/>
                <w:lang w:val="zh-CN"/>
              </w:rPr>
              <w:sym w:font="Wingdings 2" w:char="00A3"/>
            </w:r>
            <w:r>
              <w:rPr>
                <w:rFonts w:hAnsi="宋体"/>
                <w:highlight w:val="none"/>
                <w:lang w:val="zh-CN"/>
              </w:rPr>
              <w:t>；平水期</w:t>
            </w:r>
            <w:r>
              <w:rPr>
                <w:rFonts w:hAnsi="宋体"/>
                <w:highlight w:val="none"/>
                <w:lang w:val="zh-CN"/>
              </w:rPr>
              <w:sym w:font="Wingdings 2" w:char="00A3"/>
            </w:r>
            <w:r>
              <w:rPr>
                <w:rFonts w:hAnsi="宋体"/>
                <w:highlight w:val="none"/>
                <w:lang w:val="zh-CN"/>
              </w:rPr>
              <w:t>；枯水期</w:t>
            </w:r>
            <w:r>
              <w:rPr>
                <w:rFonts w:hAnsi="宋体"/>
                <w:highlight w:val="none"/>
                <w:lang w:val="zh-CN"/>
              </w:rPr>
              <w:sym w:font="Wingdings 2" w:char="00A3"/>
            </w:r>
            <w:r>
              <w:rPr>
                <w:rFonts w:hAnsi="宋体"/>
                <w:highlight w:val="none"/>
                <w:lang w:val="zh-CN"/>
              </w:rPr>
              <w:t>；冰封期</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春季</w:t>
            </w:r>
            <w:r>
              <w:rPr>
                <w:rFonts w:hAnsi="宋体"/>
                <w:highlight w:val="none"/>
                <w:lang w:val="zh-CN"/>
              </w:rPr>
              <w:sym w:font="Wingdings 2" w:char="00A3"/>
            </w:r>
            <w:r>
              <w:rPr>
                <w:rFonts w:hAnsi="宋体"/>
                <w:highlight w:val="none"/>
                <w:lang w:val="zh-CN"/>
              </w:rPr>
              <w:t>；夏季</w:t>
            </w:r>
            <w:r>
              <w:rPr>
                <w:rFonts w:hAnsi="宋体"/>
                <w:highlight w:val="none"/>
                <w:lang w:val="zh-CN"/>
              </w:rPr>
              <w:sym w:font="Wingdings 2" w:char="00A3"/>
            </w:r>
            <w:r>
              <w:rPr>
                <w:rFonts w:hAnsi="宋体"/>
                <w:highlight w:val="none"/>
                <w:lang w:val="zh-CN"/>
              </w:rPr>
              <w:t>；秋季</w:t>
            </w:r>
            <w:r>
              <w:rPr>
                <w:rFonts w:hAnsi="宋体"/>
                <w:highlight w:val="none"/>
                <w:lang w:val="zh-CN"/>
              </w:rPr>
              <w:sym w:font="Wingdings 2" w:char="00A3"/>
            </w:r>
            <w:r>
              <w:rPr>
                <w:rFonts w:hAnsi="宋体"/>
                <w:highlight w:val="none"/>
                <w:lang w:val="zh-CN"/>
              </w:rPr>
              <w:t>；冬季</w:t>
            </w:r>
            <w:r>
              <w:rPr>
                <w:rFonts w:hAnsi="宋体"/>
                <w:highlight w:val="none"/>
                <w:lang w:val="zh-CN"/>
              </w:rPr>
              <w:sym w:font="Wingdings 2" w:char="00A3"/>
            </w:r>
          </w:p>
        </w:tc>
        <w:tc>
          <w:tcPr>
            <w:tcW w:w="4593" w:type="dxa"/>
            <w:gridSpan w:val="7"/>
            <w:vAlign w:val="center"/>
          </w:tcPr>
          <w:p>
            <w:pPr>
              <w:pStyle w:val="64"/>
              <w:jc w:val="left"/>
              <w:rPr>
                <w:rFonts w:hAnsi="宋体"/>
                <w:highlight w:val="none"/>
                <w:lang w:val="zh-CN"/>
              </w:rPr>
            </w:pPr>
            <w:r>
              <w:rPr>
                <w:rFonts w:hAnsi="宋体"/>
                <w:highlight w:val="none"/>
                <w:lang w:val="zh-CN"/>
              </w:rPr>
              <w:t>生态环境保护主管部门</w:t>
            </w:r>
            <w:r>
              <w:rPr>
                <w:rFonts w:hAnsi="宋体"/>
                <w:highlight w:val="none"/>
                <w:lang w:val="zh-CN"/>
              </w:rPr>
              <w:sym w:font="Wingdings 2" w:char="00A3"/>
            </w:r>
            <w:r>
              <w:rPr>
                <w:rFonts w:hAnsi="宋体"/>
                <w:highlight w:val="none"/>
                <w:lang w:val="zh-CN"/>
              </w:rPr>
              <w:t>；补充监测</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区域水资源开发利用状况</w:t>
            </w:r>
          </w:p>
        </w:tc>
        <w:tc>
          <w:tcPr>
            <w:tcW w:w="10167" w:type="dxa"/>
            <w:gridSpan w:val="13"/>
            <w:vAlign w:val="center"/>
          </w:tcPr>
          <w:p>
            <w:pPr>
              <w:pStyle w:val="64"/>
              <w:jc w:val="left"/>
              <w:rPr>
                <w:rFonts w:hAnsi="宋体"/>
                <w:highlight w:val="none"/>
                <w:lang w:val="zh-CN"/>
              </w:rPr>
            </w:pPr>
            <w:r>
              <w:rPr>
                <w:rFonts w:hAnsi="宋体"/>
                <w:highlight w:val="none"/>
                <w:lang w:val="zh-CN"/>
              </w:rPr>
              <w:t>未开发</w:t>
            </w:r>
            <w:r>
              <w:rPr>
                <w:rFonts w:hAnsi="宋体"/>
                <w:highlight w:val="none"/>
                <w:lang w:val="zh-CN"/>
              </w:rPr>
              <w:sym w:font="Wingdings 2" w:char="00A3"/>
            </w:r>
            <w:r>
              <w:rPr>
                <w:rFonts w:hAnsi="宋体"/>
                <w:highlight w:val="none"/>
                <w:lang w:val="zh-CN"/>
              </w:rPr>
              <w:t>；开发量40%以下</w:t>
            </w:r>
            <w:r>
              <w:rPr>
                <w:rFonts w:hAnsi="宋体"/>
                <w:highlight w:val="none"/>
                <w:lang w:val="zh-CN"/>
              </w:rPr>
              <w:sym w:font="Wingdings 2" w:char="00A3"/>
            </w:r>
            <w:r>
              <w:rPr>
                <w:rFonts w:hAnsi="宋体"/>
                <w:highlight w:val="none"/>
                <w:lang w:val="zh-CN"/>
              </w:rPr>
              <w:t>；开发量40%以上</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水文情势调查</w:t>
            </w:r>
          </w:p>
        </w:tc>
        <w:tc>
          <w:tcPr>
            <w:tcW w:w="5574" w:type="dxa"/>
            <w:gridSpan w:val="6"/>
            <w:vAlign w:val="center"/>
          </w:tcPr>
          <w:p>
            <w:pPr>
              <w:pStyle w:val="64"/>
              <w:rPr>
                <w:rFonts w:hAnsi="宋体"/>
                <w:highlight w:val="none"/>
                <w:lang w:val="zh-CN"/>
              </w:rPr>
            </w:pPr>
            <w:r>
              <w:rPr>
                <w:rFonts w:hAnsi="宋体"/>
                <w:highlight w:val="none"/>
                <w:lang w:val="zh-CN"/>
              </w:rPr>
              <w:t>调查时期</w:t>
            </w:r>
          </w:p>
        </w:tc>
        <w:tc>
          <w:tcPr>
            <w:tcW w:w="4593" w:type="dxa"/>
            <w:gridSpan w:val="7"/>
            <w:vAlign w:val="center"/>
          </w:tcPr>
          <w:p>
            <w:pPr>
              <w:pStyle w:val="64"/>
              <w:rPr>
                <w:rFonts w:hAnsi="宋体"/>
                <w:highlight w:val="none"/>
                <w:lang w:val="zh-CN"/>
              </w:rPr>
            </w:pPr>
            <w:r>
              <w:rPr>
                <w:rFonts w:hAnsi="宋体"/>
                <w:highlight w:val="none"/>
                <w:lang w:val="zh-CN"/>
              </w:rPr>
              <w:t>数据来源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5574" w:type="dxa"/>
            <w:gridSpan w:val="6"/>
            <w:vAlign w:val="center"/>
          </w:tcPr>
          <w:p>
            <w:pPr>
              <w:pStyle w:val="64"/>
              <w:jc w:val="left"/>
              <w:rPr>
                <w:rFonts w:hAnsi="宋体"/>
                <w:highlight w:val="none"/>
                <w:lang w:val="zh-CN"/>
              </w:rPr>
            </w:pPr>
            <w:r>
              <w:rPr>
                <w:rFonts w:hAnsi="宋体"/>
                <w:highlight w:val="none"/>
                <w:lang w:val="zh-CN"/>
              </w:rPr>
              <w:t>丰水期</w:t>
            </w:r>
            <w:r>
              <w:rPr>
                <w:rFonts w:hAnsi="宋体"/>
                <w:highlight w:val="none"/>
                <w:lang w:val="zh-CN"/>
              </w:rPr>
              <w:sym w:font="Wingdings 2" w:char="00A3"/>
            </w:r>
            <w:r>
              <w:rPr>
                <w:rFonts w:hAnsi="宋体"/>
                <w:highlight w:val="none"/>
                <w:lang w:val="zh-CN"/>
              </w:rPr>
              <w:t>；平水期</w:t>
            </w:r>
            <w:r>
              <w:rPr>
                <w:rFonts w:hAnsi="宋体"/>
                <w:highlight w:val="none"/>
                <w:lang w:val="zh-CN"/>
              </w:rPr>
              <w:sym w:font="Wingdings 2" w:char="00A3"/>
            </w:r>
            <w:r>
              <w:rPr>
                <w:rFonts w:hAnsi="宋体"/>
                <w:highlight w:val="none"/>
                <w:lang w:val="zh-CN"/>
              </w:rPr>
              <w:t>；枯水期</w:t>
            </w:r>
            <w:r>
              <w:rPr>
                <w:rFonts w:hAnsi="宋体"/>
                <w:highlight w:val="none"/>
                <w:lang w:val="zh-CN"/>
              </w:rPr>
              <w:sym w:font="Wingdings 2" w:char="00A3"/>
            </w:r>
            <w:r>
              <w:rPr>
                <w:rFonts w:hAnsi="宋体"/>
                <w:highlight w:val="none"/>
                <w:lang w:val="zh-CN"/>
              </w:rPr>
              <w:t>；冰封期</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春季</w:t>
            </w:r>
            <w:r>
              <w:rPr>
                <w:rFonts w:hAnsi="宋体"/>
                <w:highlight w:val="none"/>
                <w:lang w:val="zh-CN"/>
              </w:rPr>
              <w:sym w:font="Wingdings 2" w:char="00A3"/>
            </w:r>
            <w:r>
              <w:rPr>
                <w:rFonts w:hAnsi="宋体"/>
                <w:highlight w:val="none"/>
                <w:lang w:val="zh-CN"/>
              </w:rPr>
              <w:t>；夏季</w:t>
            </w:r>
            <w:r>
              <w:rPr>
                <w:rFonts w:hAnsi="宋体"/>
                <w:highlight w:val="none"/>
                <w:lang w:val="zh-CN"/>
              </w:rPr>
              <w:sym w:font="Wingdings 2" w:char="00A3"/>
            </w:r>
            <w:r>
              <w:rPr>
                <w:rFonts w:hAnsi="宋体"/>
                <w:highlight w:val="none"/>
                <w:lang w:val="zh-CN"/>
              </w:rPr>
              <w:t>；秋季</w:t>
            </w:r>
            <w:r>
              <w:rPr>
                <w:rFonts w:hAnsi="宋体"/>
                <w:highlight w:val="none"/>
                <w:lang w:val="zh-CN"/>
              </w:rPr>
              <w:sym w:font="Wingdings 2" w:char="00A3"/>
            </w:r>
            <w:r>
              <w:rPr>
                <w:rFonts w:hAnsi="宋体"/>
                <w:highlight w:val="none"/>
                <w:lang w:val="zh-CN"/>
              </w:rPr>
              <w:t>；冬季</w:t>
            </w:r>
            <w:r>
              <w:rPr>
                <w:rFonts w:hAnsi="宋体"/>
                <w:highlight w:val="none"/>
                <w:lang w:val="zh-CN"/>
              </w:rPr>
              <w:sym w:font="Wingdings 2" w:char="00A3"/>
            </w:r>
          </w:p>
        </w:tc>
        <w:tc>
          <w:tcPr>
            <w:tcW w:w="4593" w:type="dxa"/>
            <w:gridSpan w:val="7"/>
            <w:vAlign w:val="center"/>
          </w:tcPr>
          <w:p>
            <w:pPr>
              <w:pStyle w:val="64"/>
              <w:jc w:val="left"/>
              <w:rPr>
                <w:rFonts w:hAnsi="宋体"/>
                <w:highlight w:val="none"/>
                <w:lang w:val="zh-CN"/>
              </w:rPr>
            </w:pPr>
            <w:r>
              <w:rPr>
                <w:rFonts w:hAnsi="宋体"/>
                <w:highlight w:val="none"/>
                <w:lang w:val="zh-CN"/>
              </w:rPr>
              <w:t>水行政主管部门</w:t>
            </w:r>
            <w:r>
              <w:rPr>
                <w:rFonts w:hAnsi="宋体"/>
                <w:highlight w:val="none"/>
                <w:lang w:val="zh-CN"/>
              </w:rPr>
              <w:sym w:font="Wingdings 2" w:char="00A3"/>
            </w:r>
            <w:r>
              <w:rPr>
                <w:rFonts w:hAnsi="宋体"/>
                <w:highlight w:val="none"/>
                <w:lang w:val="zh-CN"/>
              </w:rPr>
              <w:t>；补充监测</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补充监测</w:t>
            </w:r>
          </w:p>
        </w:tc>
        <w:tc>
          <w:tcPr>
            <w:tcW w:w="5574" w:type="dxa"/>
            <w:gridSpan w:val="6"/>
            <w:vAlign w:val="center"/>
          </w:tcPr>
          <w:p>
            <w:pPr>
              <w:pStyle w:val="64"/>
              <w:rPr>
                <w:rFonts w:hAnsi="宋体"/>
                <w:highlight w:val="none"/>
                <w:lang w:val="zh-CN"/>
              </w:rPr>
            </w:pPr>
            <w:r>
              <w:rPr>
                <w:rFonts w:hAnsi="宋体"/>
                <w:highlight w:val="none"/>
                <w:lang w:val="zh-CN"/>
              </w:rPr>
              <w:t>监测时期</w:t>
            </w:r>
          </w:p>
        </w:tc>
        <w:tc>
          <w:tcPr>
            <w:tcW w:w="1570" w:type="dxa"/>
            <w:gridSpan w:val="3"/>
            <w:vAlign w:val="center"/>
          </w:tcPr>
          <w:p>
            <w:pPr>
              <w:pStyle w:val="64"/>
              <w:rPr>
                <w:rFonts w:hAnsi="宋体"/>
                <w:highlight w:val="none"/>
                <w:lang w:val="zh-CN"/>
              </w:rPr>
            </w:pPr>
            <w:r>
              <w:rPr>
                <w:rFonts w:hAnsi="宋体"/>
                <w:highlight w:val="none"/>
                <w:lang w:val="zh-CN"/>
              </w:rPr>
              <w:t>监测因子</w:t>
            </w:r>
          </w:p>
        </w:tc>
        <w:tc>
          <w:tcPr>
            <w:tcW w:w="3023" w:type="dxa"/>
            <w:gridSpan w:val="4"/>
            <w:vAlign w:val="center"/>
          </w:tcPr>
          <w:p>
            <w:pPr>
              <w:pStyle w:val="64"/>
              <w:rPr>
                <w:rFonts w:hAnsi="宋体"/>
                <w:highlight w:val="none"/>
                <w:lang w:val="zh-CN"/>
              </w:rPr>
            </w:pPr>
            <w:r>
              <w:rPr>
                <w:rFonts w:hAnsi="宋体"/>
                <w:highlight w:val="none"/>
                <w:lang w:val="zh-CN"/>
              </w:rPr>
              <w:t>监测断面或点位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5574" w:type="dxa"/>
            <w:gridSpan w:val="6"/>
            <w:vAlign w:val="center"/>
          </w:tcPr>
          <w:p>
            <w:pPr>
              <w:pStyle w:val="64"/>
              <w:jc w:val="left"/>
              <w:rPr>
                <w:rFonts w:hAnsi="宋体"/>
                <w:highlight w:val="none"/>
                <w:lang w:val="zh-CN"/>
              </w:rPr>
            </w:pPr>
            <w:r>
              <w:rPr>
                <w:rFonts w:hAnsi="宋体"/>
                <w:highlight w:val="none"/>
                <w:lang w:val="zh-CN"/>
              </w:rPr>
              <w:t>丰水期</w:t>
            </w:r>
            <w:r>
              <w:rPr>
                <w:rFonts w:hAnsi="宋体"/>
                <w:highlight w:val="none"/>
                <w:lang w:val="zh-CN"/>
              </w:rPr>
              <w:sym w:font="Wingdings 2" w:char="00A3"/>
            </w:r>
            <w:r>
              <w:rPr>
                <w:rFonts w:hAnsi="宋体"/>
                <w:highlight w:val="none"/>
                <w:lang w:val="zh-CN"/>
              </w:rPr>
              <w:t>；平水期</w:t>
            </w:r>
            <w:r>
              <w:rPr>
                <w:rFonts w:hAnsi="宋体"/>
                <w:highlight w:val="none"/>
                <w:lang w:val="zh-CN"/>
              </w:rPr>
              <w:sym w:font="Wingdings 2" w:char="00A3"/>
            </w:r>
            <w:r>
              <w:rPr>
                <w:rFonts w:hAnsi="宋体"/>
                <w:highlight w:val="none"/>
                <w:lang w:val="zh-CN"/>
              </w:rPr>
              <w:t>；枯水期</w:t>
            </w:r>
            <w:r>
              <w:rPr>
                <w:rFonts w:hAnsi="宋体"/>
                <w:highlight w:val="none"/>
                <w:lang w:val="zh-CN"/>
              </w:rPr>
              <w:sym w:font="Wingdings 2" w:char="00A3"/>
            </w:r>
            <w:r>
              <w:rPr>
                <w:rFonts w:hAnsi="宋体"/>
                <w:highlight w:val="none"/>
                <w:lang w:val="zh-CN"/>
              </w:rPr>
              <w:t>；冰封期</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春季</w:t>
            </w:r>
            <w:r>
              <w:rPr>
                <w:rFonts w:hAnsi="宋体"/>
                <w:highlight w:val="none"/>
                <w:lang w:val="zh-CN"/>
              </w:rPr>
              <w:sym w:font="Wingdings 2" w:char="00A3"/>
            </w:r>
            <w:r>
              <w:rPr>
                <w:rFonts w:hAnsi="宋体"/>
                <w:highlight w:val="none"/>
                <w:lang w:val="zh-CN"/>
              </w:rPr>
              <w:t>；夏季</w:t>
            </w:r>
            <w:r>
              <w:rPr>
                <w:rFonts w:hAnsi="宋体"/>
                <w:highlight w:val="none"/>
                <w:lang w:val="zh-CN"/>
              </w:rPr>
              <w:sym w:font="Wingdings 2" w:char="00A3"/>
            </w:r>
            <w:r>
              <w:rPr>
                <w:rFonts w:hAnsi="宋体"/>
                <w:highlight w:val="none"/>
                <w:lang w:val="zh-CN"/>
              </w:rPr>
              <w:t>；秋季</w:t>
            </w:r>
            <w:r>
              <w:rPr>
                <w:rFonts w:hAnsi="宋体"/>
                <w:highlight w:val="none"/>
                <w:lang w:val="zh-CN"/>
              </w:rPr>
              <w:sym w:font="Wingdings 2" w:char="00A3"/>
            </w:r>
            <w:r>
              <w:rPr>
                <w:rFonts w:hAnsi="宋体"/>
                <w:highlight w:val="none"/>
                <w:lang w:val="zh-CN"/>
              </w:rPr>
              <w:t>；冬季</w:t>
            </w:r>
            <w:r>
              <w:rPr>
                <w:rFonts w:hAnsi="宋体"/>
                <w:highlight w:val="none"/>
                <w:lang w:val="zh-CN"/>
              </w:rPr>
              <w:sym w:font="Wingdings 2" w:char="00A3"/>
            </w:r>
          </w:p>
        </w:tc>
        <w:tc>
          <w:tcPr>
            <w:tcW w:w="1570" w:type="dxa"/>
            <w:gridSpan w:val="3"/>
            <w:vAlign w:val="center"/>
          </w:tcPr>
          <w:p>
            <w:pPr>
              <w:pStyle w:val="64"/>
              <w:rPr>
                <w:rFonts w:hAnsi="宋体"/>
                <w:highlight w:val="none"/>
                <w:lang w:val="zh-CN"/>
              </w:rPr>
            </w:pPr>
            <w:r>
              <w:rPr>
                <w:rFonts w:hAnsi="宋体"/>
                <w:highlight w:val="none"/>
                <w:lang w:val="zh-CN"/>
              </w:rPr>
              <w:t>（）</w:t>
            </w:r>
          </w:p>
        </w:tc>
        <w:tc>
          <w:tcPr>
            <w:tcW w:w="3023" w:type="dxa"/>
            <w:gridSpan w:val="4"/>
            <w:vAlign w:val="center"/>
          </w:tcPr>
          <w:p>
            <w:pPr>
              <w:pStyle w:val="64"/>
              <w:rPr>
                <w:rFonts w:hAnsi="宋体"/>
                <w:highlight w:val="none"/>
                <w:lang w:val="zh-CN"/>
              </w:rPr>
            </w:pPr>
            <w:r>
              <w:rPr>
                <w:rFonts w:hAnsi="宋体"/>
                <w:highlight w:val="none"/>
                <w:lang w:val="zh-CN"/>
              </w:rPr>
              <w:t>监</w:t>
            </w:r>
            <w:r>
              <w:rPr>
                <w:rFonts w:hint="eastAsia" w:hAnsi="宋体"/>
                <w:highlight w:val="none"/>
                <w:lang w:val="zh-CN"/>
              </w:rPr>
              <w:t>测</w:t>
            </w:r>
            <w:r>
              <w:rPr>
                <w:rFonts w:hAnsi="宋体"/>
                <w:highlight w:val="none"/>
                <w:lang w:val="zh-CN"/>
              </w:rPr>
              <w:t>断面或点位个数（）个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restart"/>
            <w:vAlign w:val="center"/>
          </w:tcPr>
          <w:p>
            <w:pPr>
              <w:pStyle w:val="64"/>
              <w:rPr>
                <w:rFonts w:hAnsi="宋体"/>
                <w:highlight w:val="none"/>
                <w:lang w:val="zh-CN"/>
              </w:rPr>
            </w:pPr>
            <w:r>
              <w:rPr>
                <w:rFonts w:hAnsi="宋体"/>
                <w:highlight w:val="none"/>
                <w:lang w:val="zh-CN"/>
              </w:rPr>
              <w:t>现状评价</w:t>
            </w:r>
          </w:p>
        </w:tc>
        <w:tc>
          <w:tcPr>
            <w:tcW w:w="2623" w:type="dxa"/>
            <w:vAlign w:val="center"/>
          </w:tcPr>
          <w:p>
            <w:pPr>
              <w:pStyle w:val="64"/>
              <w:rPr>
                <w:rFonts w:hAnsi="宋体"/>
                <w:highlight w:val="none"/>
                <w:lang w:val="zh-CN"/>
              </w:rPr>
            </w:pPr>
            <w:r>
              <w:rPr>
                <w:rFonts w:hAnsi="宋体"/>
                <w:highlight w:val="none"/>
                <w:lang w:val="zh-CN"/>
              </w:rPr>
              <w:t>评价范围</w:t>
            </w:r>
          </w:p>
        </w:tc>
        <w:tc>
          <w:tcPr>
            <w:tcW w:w="10167" w:type="dxa"/>
            <w:gridSpan w:val="13"/>
            <w:vAlign w:val="center"/>
          </w:tcPr>
          <w:p>
            <w:pPr>
              <w:pStyle w:val="64"/>
              <w:jc w:val="left"/>
              <w:rPr>
                <w:rFonts w:hAnsi="宋体"/>
                <w:highlight w:val="none"/>
                <w:lang w:val="zh-CN"/>
              </w:rPr>
            </w:pPr>
            <w:r>
              <w:rPr>
                <w:rFonts w:hAnsi="宋体"/>
                <w:highlight w:val="none"/>
                <w:lang w:val="zh-CN"/>
              </w:rPr>
              <w:t>河流长度（）km；湖明库、河口及近岸海域面积（）km²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评价因子</w:t>
            </w:r>
          </w:p>
        </w:tc>
        <w:tc>
          <w:tcPr>
            <w:tcW w:w="10167" w:type="dxa"/>
            <w:gridSpan w:val="13"/>
            <w:vAlign w:val="center"/>
          </w:tcPr>
          <w:p>
            <w:pPr>
              <w:pStyle w:val="64"/>
              <w:jc w:val="left"/>
              <w:rPr>
                <w:rFonts w:hAnsi="宋体"/>
                <w:highlight w:val="none"/>
                <w:lang w:val="zh-CN"/>
              </w:rPr>
            </w:pPr>
            <w:r>
              <w:rPr>
                <w:rFonts w:hAnsi="宋体"/>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评价标准</w:t>
            </w:r>
          </w:p>
        </w:tc>
        <w:tc>
          <w:tcPr>
            <w:tcW w:w="10167" w:type="dxa"/>
            <w:gridSpan w:val="13"/>
            <w:vAlign w:val="center"/>
          </w:tcPr>
          <w:p>
            <w:pPr>
              <w:pStyle w:val="64"/>
              <w:jc w:val="left"/>
              <w:rPr>
                <w:rFonts w:hAnsi="宋体"/>
                <w:highlight w:val="none"/>
                <w:lang w:val="zh-CN"/>
              </w:rPr>
            </w:pPr>
            <w:r>
              <w:rPr>
                <w:rFonts w:hAnsi="宋体"/>
                <w:highlight w:val="none"/>
                <w:lang w:val="zh-CN"/>
              </w:rPr>
              <w:t>河流、湖库河</w:t>
            </w:r>
            <w:r>
              <w:rPr>
                <w:rFonts w:hAnsi="宋体"/>
                <w:highlight w:val="none"/>
                <w:lang w:val="zh-CN"/>
              </w:rPr>
              <w:sym w:font="Wingdings 2" w:char="00A3"/>
            </w:r>
            <w:r>
              <w:rPr>
                <w:rFonts w:hAnsi="宋体"/>
                <w:highlight w:val="none"/>
                <w:lang w:val="zh-CN"/>
              </w:rPr>
              <w:t>I类</w:t>
            </w:r>
            <w:r>
              <w:rPr>
                <w:rFonts w:hAnsi="宋体"/>
                <w:highlight w:val="none"/>
                <w:lang w:val="zh-CN"/>
              </w:rPr>
              <w:sym w:font="Wingdings 2" w:char="00A3"/>
            </w:r>
            <w:r>
              <w:rPr>
                <w:rFonts w:hAnsi="宋体"/>
                <w:highlight w:val="none"/>
                <w:lang w:val="zh-CN"/>
              </w:rPr>
              <w:t>；II类</w:t>
            </w:r>
            <w:r>
              <w:rPr>
                <w:rFonts w:hAnsi="宋体"/>
                <w:highlight w:val="none"/>
                <w:lang w:val="zh-CN"/>
              </w:rPr>
              <w:sym w:font="Wingdings 2" w:char="00A3"/>
            </w:r>
            <w:r>
              <w:rPr>
                <w:rFonts w:hAnsi="宋体"/>
                <w:highlight w:val="none"/>
                <w:lang w:val="zh-CN"/>
              </w:rPr>
              <w:t>；皿类</w:t>
            </w:r>
            <w:r>
              <w:rPr>
                <w:rFonts w:hAnsi="宋体"/>
                <w:highlight w:val="none"/>
                <w:lang w:val="zh-CN"/>
              </w:rPr>
              <w:sym w:font="Wingdings 2" w:char="00A3"/>
            </w:r>
            <w:r>
              <w:rPr>
                <w:rFonts w:hAnsi="宋体"/>
                <w:highlight w:val="none"/>
                <w:lang w:val="zh-CN"/>
              </w:rPr>
              <w:t>；IV类</w:t>
            </w:r>
            <w:r>
              <w:rPr>
                <w:rFonts w:hAnsi="宋体"/>
                <w:highlight w:val="none"/>
                <w:lang w:val="zh-CN"/>
              </w:rPr>
              <w:sym w:font="Wingdings 2" w:char="00A3"/>
            </w:r>
            <w:r>
              <w:rPr>
                <w:rFonts w:hAnsi="宋体"/>
                <w:highlight w:val="none"/>
                <w:lang w:val="zh-CN"/>
              </w:rPr>
              <w:t>；V类</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10167" w:type="dxa"/>
            <w:gridSpan w:val="13"/>
            <w:vAlign w:val="center"/>
          </w:tcPr>
          <w:p>
            <w:pPr>
              <w:pStyle w:val="64"/>
              <w:jc w:val="left"/>
              <w:rPr>
                <w:rFonts w:hAnsi="宋体"/>
                <w:highlight w:val="none"/>
                <w:lang w:val="zh-CN"/>
              </w:rPr>
            </w:pPr>
            <w:r>
              <w:rPr>
                <w:rFonts w:hAnsi="宋体"/>
                <w:highlight w:val="none"/>
                <w:lang w:val="zh-CN"/>
              </w:rPr>
              <w:t>近岸海域第一类</w:t>
            </w:r>
            <w:r>
              <w:rPr>
                <w:rFonts w:hAnsi="宋体"/>
                <w:highlight w:val="none"/>
                <w:lang w:val="zh-CN"/>
              </w:rPr>
              <w:sym w:font="Wingdings 2" w:char="00A3"/>
            </w:r>
            <w:r>
              <w:rPr>
                <w:rFonts w:hAnsi="宋体"/>
                <w:highlight w:val="none"/>
                <w:lang w:val="zh-CN"/>
              </w:rPr>
              <w:t>；第二类</w:t>
            </w:r>
            <w:r>
              <w:rPr>
                <w:rFonts w:hAnsi="宋体"/>
                <w:highlight w:val="none"/>
                <w:lang w:val="zh-CN"/>
              </w:rPr>
              <w:sym w:font="Wingdings 2" w:char="00A3"/>
            </w:r>
            <w:r>
              <w:rPr>
                <w:rFonts w:hAnsi="宋体"/>
                <w:highlight w:val="none"/>
                <w:lang w:val="zh-CN"/>
              </w:rPr>
              <w:t>；第一类</w:t>
            </w:r>
            <w:r>
              <w:rPr>
                <w:rFonts w:hAnsi="宋体"/>
                <w:highlight w:val="none"/>
                <w:lang w:val="zh-CN"/>
              </w:rPr>
              <w:sym w:font="Wingdings 2" w:char="00A3"/>
            </w:r>
            <w:r>
              <w:rPr>
                <w:rFonts w:hAnsi="宋体"/>
                <w:highlight w:val="none"/>
                <w:lang w:val="zh-CN"/>
              </w:rPr>
              <w:t>；第四类</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10167" w:type="dxa"/>
            <w:gridSpan w:val="13"/>
            <w:vAlign w:val="center"/>
          </w:tcPr>
          <w:p>
            <w:pPr>
              <w:pStyle w:val="64"/>
              <w:jc w:val="left"/>
              <w:rPr>
                <w:rFonts w:hAnsi="宋体"/>
                <w:highlight w:val="none"/>
                <w:lang w:val="zh-CN"/>
              </w:rPr>
            </w:pPr>
            <w:r>
              <w:rPr>
                <w:rFonts w:hAnsi="宋体"/>
                <w:highlight w:val="none"/>
                <w:lang w:val="zh-CN"/>
              </w:rPr>
              <w:t>规划年评价标准（）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评价时期</w:t>
            </w:r>
          </w:p>
        </w:tc>
        <w:tc>
          <w:tcPr>
            <w:tcW w:w="10167" w:type="dxa"/>
            <w:gridSpan w:val="13"/>
            <w:vAlign w:val="center"/>
          </w:tcPr>
          <w:p>
            <w:pPr>
              <w:pStyle w:val="64"/>
              <w:jc w:val="left"/>
              <w:rPr>
                <w:rFonts w:hAnsi="宋体"/>
                <w:highlight w:val="none"/>
                <w:lang w:val="zh-CN"/>
              </w:rPr>
            </w:pPr>
            <w:r>
              <w:rPr>
                <w:rFonts w:hAnsi="宋体"/>
                <w:highlight w:val="none"/>
                <w:lang w:val="zh-CN"/>
              </w:rPr>
              <w:t>丰水期</w:t>
            </w:r>
            <w:r>
              <w:rPr>
                <w:rFonts w:hAnsi="宋体"/>
                <w:highlight w:val="none"/>
                <w:lang w:val="zh-CN"/>
              </w:rPr>
              <w:sym w:font="Wingdings 2" w:char="00A3"/>
            </w:r>
            <w:r>
              <w:rPr>
                <w:rFonts w:hAnsi="宋体"/>
                <w:highlight w:val="none"/>
                <w:lang w:val="zh-CN"/>
              </w:rPr>
              <w:t>；平水期</w:t>
            </w:r>
            <w:r>
              <w:rPr>
                <w:rFonts w:hAnsi="宋体"/>
                <w:highlight w:val="none"/>
                <w:lang w:val="zh-CN"/>
              </w:rPr>
              <w:sym w:font="Wingdings 2" w:char="00A3"/>
            </w:r>
            <w:r>
              <w:rPr>
                <w:rFonts w:hAnsi="宋体"/>
                <w:highlight w:val="none"/>
                <w:lang w:val="zh-CN"/>
              </w:rPr>
              <w:t>；枯水期</w:t>
            </w:r>
            <w:r>
              <w:rPr>
                <w:rFonts w:hAnsi="宋体"/>
                <w:highlight w:val="none"/>
                <w:lang w:val="zh-CN"/>
              </w:rPr>
              <w:sym w:font="Wingdings 2" w:char="00A3"/>
            </w:r>
            <w:r>
              <w:rPr>
                <w:rFonts w:hAnsi="宋体"/>
                <w:highlight w:val="none"/>
                <w:lang w:val="zh-CN"/>
              </w:rPr>
              <w:t>；冰封期</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春季</w:t>
            </w:r>
            <w:r>
              <w:rPr>
                <w:rFonts w:hAnsi="宋体"/>
                <w:highlight w:val="none"/>
                <w:lang w:val="zh-CN"/>
              </w:rPr>
              <w:sym w:font="Wingdings 2" w:char="00A3"/>
            </w:r>
            <w:r>
              <w:rPr>
                <w:rFonts w:hAnsi="宋体"/>
                <w:highlight w:val="none"/>
                <w:lang w:val="zh-CN"/>
              </w:rPr>
              <w:t>；夏季</w:t>
            </w:r>
            <w:r>
              <w:rPr>
                <w:rFonts w:hAnsi="宋体"/>
                <w:highlight w:val="none"/>
                <w:lang w:val="zh-CN"/>
              </w:rPr>
              <w:sym w:font="Wingdings 2" w:char="00A3"/>
            </w:r>
            <w:r>
              <w:rPr>
                <w:rFonts w:hAnsi="宋体"/>
                <w:highlight w:val="none"/>
                <w:lang w:val="zh-CN"/>
              </w:rPr>
              <w:t>；秋季</w:t>
            </w:r>
            <w:r>
              <w:rPr>
                <w:rFonts w:hAnsi="宋体"/>
                <w:highlight w:val="none"/>
                <w:lang w:val="zh-CN"/>
              </w:rPr>
              <w:sym w:font="Wingdings 2" w:char="00A3"/>
            </w:r>
            <w:r>
              <w:rPr>
                <w:rFonts w:hAnsi="宋体"/>
                <w:highlight w:val="none"/>
                <w:lang w:val="zh-CN"/>
              </w:rPr>
              <w:t>；冬季</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评价结论</w:t>
            </w:r>
          </w:p>
        </w:tc>
        <w:tc>
          <w:tcPr>
            <w:tcW w:w="8180" w:type="dxa"/>
            <w:gridSpan w:val="11"/>
            <w:vAlign w:val="center"/>
          </w:tcPr>
          <w:p>
            <w:pPr>
              <w:pStyle w:val="64"/>
              <w:jc w:val="left"/>
              <w:rPr>
                <w:rFonts w:hAnsi="宋体"/>
                <w:highlight w:val="none"/>
                <w:lang w:val="zh-CN"/>
              </w:rPr>
            </w:pPr>
            <w:r>
              <w:rPr>
                <w:rFonts w:hAnsi="宋体"/>
                <w:highlight w:val="none"/>
                <w:lang w:val="zh-CN"/>
              </w:rPr>
              <w:t>水环境功能区或水功能区、近岸海域环境</w:t>
            </w:r>
            <w:r>
              <w:rPr>
                <w:rFonts w:hint="eastAsia" w:hAnsi="宋体"/>
                <w:highlight w:val="none"/>
                <w:lang w:val="zh-CN"/>
              </w:rPr>
              <w:t>功能区</w:t>
            </w:r>
            <w:r>
              <w:rPr>
                <w:rFonts w:hAnsi="宋体"/>
                <w:highlight w:val="none"/>
                <w:lang w:val="zh-CN"/>
              </w:rPr>
              <w:t>水质达标状况</w:t>
            </w:r>
            <w:r>
              <w:rPr>
                <w:rFonts w:hAnsi="宋体"/>
                <w:highlight w:val="none"/>
                <w:lang w:val="zh-CN"/>
              </w:rPr>
              <w:sym w:font="Wingdings 2" w:char="00A3"/>
            </w:r>
            <w:r>
              <w:rPr>
                <w:rFonts w:hAnsi="宋体"/>
                <w:highlight w:val="none"/>
                <w:lang w:val="zh-CN"/>
              </w:rPr>
              <w:t>：达标</w:t>
            </w:r>
            <w:r>
              <w:rPr>
                <w:rFonts w:hAnsi="宋体"/>
                <w:highlight w:val="none"/>
                <w:lang w:val="zh-CN"/>
              </w:rPr>
              <w:sym w:font="Wingdings 2" w:char="00A3"/>
            </w:r>
            <w:r>
              <w:rPr>
                <w:rFonts w:hAnsi="宋体"/>
                <w:highlight w:val="none"/>
                <w:lang w:val="zh-CN"/>
              </w:rPr>
              <w:t>；不达标</w:t>
            </w:r>
            <w:r>
              <w:rPr>
                <w:rFonts w:hAnsi="宋体"/>
                <w:highlight w:val="none"/>
                <w:lang w:val="zh-CN"/>
              </w:rPr>
              <w:sym w:font="Wingdings 2" w:char="00A3"/>
            </w:r>
            <w:r>
              <w:rPr>
                <w:rFonts w:hAnsi="宋体"/>
                <w:highlight w:val="none"/>
                <w:lang w:val="zh-CN"/>
              </w:rPr>
              <w:t>；</w:t>
            </w:r>
          </w:p>
          <w:p>
            <w:pPr>
              <w:pStyle w:val="64"/>
              <w:jc w:val="left"/>
              <w:rPr>
                <w:rFonts w:hAnsi="宋体"/>
                <w:highlight w:val="none"/>
                <w:lang w:val="zh-CN"/>
              </w:rPr>
            </w:pPr>
            <w:r>
              <w:rPr>
                <w:rFonts w:hAnsi="宋体"/>
                <w:highlight w:val="none"/>
                <w:lang w:val="zh-CN"/>
              </w:rPr>
              <w:t>水环境控制单元或断面水质达标状况</w:t>
            </w:r>
            <w:r>
              <w:rPr>
                <w:rFonts w:hAnsi="宋体"/>
                <w:highlight w:val="none"/>
                <w:lang w:val="zh-CN"/>
              </w:rPr>
              <w:sym w:font="Wingdings 2" w:char="00A3"/>
            </w:r>
            <w:r>
              <w:rPr>
                <w:rFonts w:hAnsi="宋体"/>
                <w:highlight w:val="none"/>
                <w:lang w:val="zh-CN"/>
              </w:rPr>
              <w:t>：达标</w:t>
            </w:r>
            <w:r>
              <w:rPr>
                <w:rFonts w:hAnsi="宋体"/>
                <w:highlight w:val="none"/>
                <w:lang w:val="zh-CN"/>
              </w:rPr>
              <w:sym w:font="Wingdings 2" w:char="00A3"/>
            </w:r>
            <w:r>
              <w:rPr>
                <w:rFonts w:hAnsi="宋体"/>
                <w:highlight w:val="none"/>
                <w:lang w:val="zh-CN"/>
              </w:rPr>
              <w:t>；不达标</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水环境保护目标质量状况</w:t>
            </w:r>
            <w:r>
              <w:rPr>
                <w:rFonts w:hAnsi="宋体"/>
                <w:highlight w:val="none"/>
                <w:lang w:val="zh-CN"/>
              </w:rPr>
              <w:sym w:font="Wingdings 2" w:char="00A3"/>
            </w:r>
            <w:r>
              <w:rPr>
                <w:rFonts w:hAnsi="宋体"/>
                <w:highlight w:val="none"/>
                <w:lang w:val="zh-CN"/>
              </w:rPr>
              <w:t>：达标</w:t>
            </w:r>
            <w:r>
              <w:rPr>
                <w:rFonts w:hAnsi="宋体"/>
                <w:highlight w:val="none"/>
                <w:lang w:val="zh-CN"/>
              </w:rPr>
              <w:sym w:font="Wingdings 2" w:char="00A3"/>
            </w:r>
            <w:r>
              <w:rPr>
                <w:rFonts w:hAnsi="宋体"/>
                <w:highlight w:val="none"/>
                <w:lang w:val="zh-CN"/>
              </w:rPr>
              <w:t>；不达标</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对照断面、控制断面等代表性断面的水质状况</w:t>
            </w:r>
            <w:r>
              <w:rPr>
                <w:rFonts w:hAnsi="宋体"/>
                <w:highlight w:val="none"/>
                <w:lang w:val="zh-CN"/>
              </w:rPr>
              <w:sym w:font="Wingdings 2" w:char="00A3"/>
            </w:r>
            <w:r>
              <w:rPr>
                <w:rFonts w:hAnsi="宋体"/>
                <w:highlight w:val="none"/>
                <w:lang w:val="zh-CN"/>
              </w:rPr>
              <w:t>：达标</w:t>
            </w:r>
            <w:r>
              <w:rPr>
                <w:rFonts w:hAnsi="宋体"/>
                <w:highlight w:val="none"/>
                <w:lang w:val="zh-CN"/>
              </w:rPr>
              <w:sym w:font="Wingdings 2" w:char="00A3"/>
            </w:r>
            <w:r>
              <w:rPr>
                <w:rFonts w:hAnsi="宋体"/>
                <w:highlight w:val="none"/>
                <w:lang w:val="zh-CN"/>
              </w:rPr>
              <w:t>；不达标</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底泥污染评价</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水资源与开发利用程度及其水文情势评价</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水环境质量回顾评价</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流域（区域）水资源（包括水能资源）与开发利用总体状况、生态流量管理要求与现状满足程度、建设项目占用水域空间的水流状况与河湖演变状况</w:t>
            </w:r>
            <w:r>
              <w:rPr>
                <w:rFonts w:hAnsi="宋体"/>
                <w:highlight w:val="none"/>
                <w:lang w:val="zh-CN"/>
              </w:rPr>
              <w:sym w:font="Wingdings 2" w:char="00A3"/>
            </w:r>
          </w:p>
        </w:tc>
        <w:tc>
          <w:tcPr>
            <w:tcW w:w="1987" w:type="dxa"/>
            <w:gridSpan w:val="2"/>
            <w:vAlign w:val="center"/>
          </w:tcPr>
          <w:p>
            <w:pPr>
              <w:pStyle w:val="64"/>
              <w:jc w:val="left"/>
              <w:rPr>
                <w:rFonts w:hAnsi="宋体"/>
                <w:highlight w:val="none"/>
                <w:lang w:val="zh-CN"/>
              </w:rPr>
            </w:pPr>
            <w:r>
              <w:rPr>
                <w:rFonts w:hAnsi="宋体"/>
                <w:highlight w:val="none"/>
                <w:lang w:val="zh-CN"/>
              </w:rPr>
              <w:t>达标区</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不达标区</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restart"/>
            <w:vAlign w:val="center"/>
          </w:tcPr>
          <w:p>
            <w:pPr>
              <w:pStyle w:val="64"/>
              <w:rPr>
                <w:rFonts w:hAnsi="宋体"/>
                <w:highlight w:val="none"/>
                <w:lang w:val="zh-CN"/>
              </w:rPr>
            </w:pPr>
            <w:r>
              <w:rPr>
                <w:rFonts w:hAnsi="宋体"/>
                <w:highlight w:val="none"/>
                <w:lang w:val="zh-CN"/>
              </w:rPr>
              <w:t>影响预测</w:t>
            </w:r>
          </w:p>
        </w:tc>
        <w:tc>
          <w:tcPr>
            <w:tcW w:w="2623" w:type="dxa"/>
            <w:vAlign w:val="center"/>
          </w:tcPr>
          <w:p>
            <w:pPr>
              <w:pStyle w:val="64"/>
              <w:rPr>
                <w:rFonts w:hAnsi="宋体"/>
                <w:highlight w:val="none"/>
                <w:lang w:val="zh-CN"/>
              </w:rPr>
            </w:pPr>
            <w:r>
              <w:rPr>
                <w:rFonts w:hAnsi="宋体"/>
                <w:highlight w:val="none"/>
                <w:lang w:val="zh-CN"/>
              </w:rPr>
              <w:t>预测范围</w:t>
            </w:r>
          </w:p>
        </w:tc>
        <w:tc>
          <w:tcPr>
            <w:tcW w:w="10167" w:type="dxa"/>
            <w:gridSpan w:val="13"/>
            <w:vAlign w:val="center"/>
          </w:tcPr>
          <w:p>
            <w:pPr>
              <w:pStyle w:val="64"/>
              <w:jc w:val="left"/>
              <w:rPr>
                <w:rFonts w:hAnsi="宋体"/>
                <w:highlight w:val="none"/>
                <w:lang w:val="zh-CN"/>
              </w:rPr>
            </w:pPr>
            <w:r>
              <w:rPr>
                <w:rFonts w:hAnsi="宋体"/>
                <w:highlight w:val="none"/>
                <w:lang w:val="zh-CN"/>
              </w:rPr>
              <w:t>河流长度（）km；湖明库、河口及近岸海域面积（）km²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预测因子</w:t>
            </w:r>
          </w:p>
        </w:tc>
        <w:tc>
          <w:tcPr>
            <w:tcW w:w="10167" w:type="dxa"/>
            <w:gridSpan w:val="13"/>
            <w:vAlign w:val="center"/>
          </w:tcPr>
          <w:p>
            <w:pPr>
              <w:pStyle w:val="64"/>
              <w:jc w:val="left"/>
              <w:rPr>
                <w:rFonts w:hAnsi="宋体"/>
                <w:highlight w:val="none"/>
                <w:lang w:val="zh-CN"/>
              </w:rPr>
            </w:pPr>
            <w:r>
              <w:rPr>
                <w:rFonts w:hAnsi="宋体"/>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预测时期</w:t>
            </w:r>
          </w:p>
        </w:tc>
        <w:tc>
          <w:tcPr>
            <w:tcW w:w="10167" w:type="dxa"/>
            <w:gridSpan w:val="13"/>
            <w:vAlign w:val="center"/>
          </w:tcPr>
          <w:p>
            <w:pPr>
              <w:pStyle w:val="64"/>
              <w:jc w:val="left"/>
              <w:rPr>
                <w:rFonts w:hAnsi="宋体"/>
                <w:highlight w:val="none"/>
                <w:lang w:val="zh-CN"/>
              </w:rPr>
            </w:pPr>
            <w:r>
              <w:rPr>
                <w:rFonts w:hAnsi="宋体"/>
                <w:highlight w:val="none"/>
                <w:lang w:val="zh-CN"/>
              </w:rPr>
              <w:t>丰水期</w:t>
            </w:r>
            <w:r>
              <w:rPr>
                <w:rFonts w:hAnsi="宋体"/>
                <w:highlight w:val="none"/>
                <w:lang w:val="zh-CN"/>
              </w:rPr>
              <w:sym w:font="Wingdings 2" w:char="00A3"/>
            </w:r>
            <w:r>
              <w:rPr>
                <w:rFonts w:hAnsi="宋体"/>
                <w:highlight w:val="none"/>
                <w:lang w:val="zh-CN"/>
              </w:rPr>
              <w:t>；平水期</w:t>
            </w:r>
            <w:r>
              <w:rPr>
                <w:rFonts w:hAnsi="宋体"/>
                <w:highlight w:val="none"/>
                <w:lang w:val="zh-CN"/>
              </w:rPr>
              <w:sym w:font="Wingdings 2" w:char="00A3"/>
            </w:r>
            <w:r>
              <w:rPr>
                <w:rFonts w:hAnsi="宋体"/>
                <w:highlight w:val="none"/>
                <w:lang w:val="zh-CN"/>
              </w:rPr>
              <w:t>；枯水期</w:t>
            </w:r>
            <w:r>
              <w:rPr>
                <w:rFonts w:hAnsi="宋体"/>
                <w:highlight w:val="none"/>
                <w:lang w:val="zh-CN"/>
              </w:rPr>
              <w:sym w:font="Wingdings 2" w:char="00A3"/>
            </w:r>
            <w:r>
              <w:rPr>
                <w:rFonts w:hAnsi="宋体"/>
                <w:highlight w:val="none"/>
                <w:lang w:val="zh-CN"/>
              </w:rPr>
              <w:t>；冰封期</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春季</w:t>
            </w:r>
            <w:r>
              <w:rPr>
                <w:rFonts w:hAnsi="宋体"/>
                <w:highlight w:val="none"/>
                <w:lang w:val="zh-CN"/>
              </w:rPr>
              <w:sym w:font="Wingdings 2" w:char="00A3"/>
            </w:r>
            <w:r>
              <w:rPr>
                <w:rFonts w:hAnsi="宋体"/>
                <w:highlight w:val="none"/>
                <w:lang w:val="zh-CN"/>
              </w:rPr>
              <w:t>；夏季</w:t>
            </w:r>
            <w:r>
              <w:rPr>
                <w:rFonts w:hAnsi="宋体"/>
                <w:highlight w:val="none"/>
                <w:lang w:val="zh-CN"/>
              </w:rPr>
              <w:sym w:font="Wingdings 2" w:char="00A3"/>
            </w:r>
            <w:r>
              <w:rPr>
                <w:rFonts w:hAnsi="宋体"/>
                <w:highlight w:val="none"/>
                <w:lang w:val="zh-CN"/>
              </w:rPr>
              <w:t>；秋季</w:t>
            </w:r>
            <w:r>
              <w:rPr>
                <w:rFonts w:hAnsi="宋体"/>
                <w:highlight w:val="none"/>
                <w:lang w:val="zh-CN"/>
              </w:rPr>
              <w:sym w:font="Wingdings 2" w:char="00A3"/>
            </w:r>
            <w:r>
              <w:rPr>
                <w:rFonts w:hAnsi="宋体"/>
                <w:highlight w:val="none"/>
                <w:lang w:val="zh-CN"/>
              </w:rPr>
              <w:t>；冬季</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设计水文条件</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预测情景</w:t>
            </w:r>
          </w:p>
        </w:tc>
        <w:tc>
          <w:tcPr>
            <w:tcW w:w="10167" w:type="dxa"/>
            <w:gridSpan w:val="13"/>
            <w:vAlign w:val="center"/>
          </w:tcPr>
          <w:p>
            <w:pPr>
              <w:pStyle w:val="64"/>
              <w:jc w:val="left"/>
              <w:rPr>
                <w:rFonts w:hAnsi="宋体"/>
                <w:highlight w:val="none"/>
                <w:lang w:val="zh-CN"/>
              </w:rPr>
            </w:pPr>
            <w:r>
              <w:rPr>
                <w:rFonts w:hAnsi="宋体"/>
                <w:highlight w:val="none"/>
                <w:lang w:val="zh-CN"/>
              </w:rPr>
              <w:t>建设期</w:t>
            </w:r>
            <w:r>
              <w:rPr>
                <w:rFonts w:hAnsi="宋体"/>
                <w:highlight w:val="none"/>
                <w:lang w:val="zh-CN"/>
              </w:rPr>
              <w:sym w:font="Wingdings 2" w:char="00A3"/>
            </w:r>
            <w:r>
              <w:rPr>
                <w:rFonts w:hAnsi="宋体"/>
                <w:highlight w:val="none"/>
                <w:lang w:val="zh-CN"/>
              </w:rPr>
              <w:t>；生产运行期</w:t>
            </w:r>
            <w:r>
              <w:rPr>
                <w:rFonts w:hAnsi="宋体"/>
                <w:highlight w:val="none"/>
                <w:lang w:val="zh-CN"/>
              </w:rPr>
              <w:sym w:font="Wingdings 2" w:char="00A3"/>
            </w:r>
            <w:r>
              <w:rPr>
                <w:rFonts w:hAnsi="宋体"/>
                <w:highlight w:val="none"/>
                <w:lang w:val="zh-CN"/>
              </w:rPr>
              <w:t>；服务期满后</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正常工况</w:t>
            </w:r>
            <w:r>
              <w:rPr>
                <w:rFonts w:hAnsi="宋体"/>
                <w:highlight w:val="none"/>
                <w:lang w:val="zh-CN"/>
              </w:rPr>
              <w:sym w:font="Wingdings 2" w:char="00A3"/>
            </w:r>
            <w:r>
              <w:rPr>
                <w:rFonts w:hAnsi="宋体"/>
                <w:highlight w:val="none"/>
                <w:lang w:val="zh-CN"/>
              </w:rPr>
              <w:t>；非正常工况</w:t>
            </w:r>
            <w:r>
              <w:rPr>
                <w:rFonts w:hAnsi="宋体"/>
                <w:highlight w:val="none"/>
                <w:lang w:val="zh-CN"/>
              </w:rPr>
              <w:sym w:font="Wingdings 2" w:char="00A3"/>
            </w:r>
            <w:r>
              <w:rPr>
                <w:rFonts w:hAnsi="宋体"/>
                <w:highlight w:val="none"/>
                <w:lang w:val="zh-CN"/>
              </w:rPr>
              <w:t>；</w:t>
            </w:r>
          </w:p>
          <w:p>
            <w:pPr>
              <w:pStyle w:val="64"/>
              <w:jc w:val="left"/>
              <w:rPr>
                <w:rFonts w:hAnsi="宋体"/>
                <w:highlight w:val="none"/>
                <w:lang w:val="zh-CN"/>
              </w:rPr>
            </w:pPr>
            <w:r>
              <w:rPr>
                <w:rFonts w:hAnsi="宋体"/>
                <w:highlight w:val="none"/>
                <w:lang w:val="zh-CN"/>
              </w:rPr>
              <w:t>污染控制和减缓措施方案</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区（流）域环境质量改善目标要求情景</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预测方法</w:t>
            </w:r>
          </w:p>
        </w:tc>
        <w:tc>
          <w:tcPr>
            <w:tcW w:w="10167" w:type="dxa"/>
            <w:gridSpan w:val="13"/>
            <w:vAlign w:val="center"/>
          </w:tcPr>
          <w:p>
            <w:pPr>
              <w:pStyle w:val="64"/>
              <w:jc w:val="left"/>
              <w:rPr>
                <w:rFonts w:hAnsi="宋体"/>
                <w:highlight w:val="none"/>
                <w:lang w:val="zh-CN"/>
              </w:rPr>
            </w:pPr>
            <w:r>
              <w:rPr>
                <w:rFonts w:hAnsi="宋体"/>
                <w:highlight w:val="none"/>
                <w:lang w:val="zh-CN"/>
              </w:rPr>
              <w:t>数值解</w:t>
            </w:r>
            <w:r>
              <w:rPr>
                <w:rFonts w:hAnsi="宋体"/>
                <w:highlight w:val="none"/>
                <w:lang w:val="zh-CN"/>
              </w:rPr>
              <w:sym w:font="Wingdings 2" w:char="00A3"/>
            </w:r>
            <w:r>
              <w:rPr>
                <w:rFonts w:hAnsi="宋体"/>
                <w:highlight w:val="none"/>
                <w:lang w:val="zh-CN"/>
              </w:rPr>
              <w:t>；解析解</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导则推荐模式</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restart"/>
            <w:vAlign w:val="center"/>
          </w:tcPr>
          <w:p>
            <w:pPr>
              <w:pStyle w:val="64"/>
              <w:rPr>
                <w:rFonts w:hAnsi="宋体"/>
                <w:highlight w:val="none"/>
                <w:lang w:val="zh-CN"/>
              </w:rPr>
            </w:pPr>
            <w:r>
              <w:rPr>
                <w:rFonts w:hAnsi="宋体"/>
                <w:highlight w:val="none"/>
                <w:lang w:val="zh-CN"/>
              </w:rPr>
              <w:t>环境影响评价</w:t>
            </w:r>
          </w:p>
        </w:tc>
        <w:tc>
          <w:tcPr>
            <w:tcW w:w="2623" w:type="dxa"/>
            <w:vAlign w:val="center"/>
          </w:tcPr>
          <w:p>
            <w:pPr>
              <w:pStyle w:val="64"/>
              <w:rPr>
                <w:rFonts w:hAnsi="宋体"/>
                <w:highlight w:val="none"/>
                <w:lang w:val="zh-CN"/>
              </w:rPr>
            </w:pPr>
            <w:r>
              <w:rPr>
                <w:rFonts w:hAnsi="宋体"/>
                <w:highlight w:val="none"/>
                <w:lang w:val="zh-CN"/>
              </w:rPr>
              <w:t>水污染控制和水环环境影响减缓措施有效性评价</w:t>
            </w:r>
          </w:p>
        </w:tc>
        <w:tc>
          <w:tcPr>
            <w:tcW w:w="10167" w:type="dxa"/>
            <w:gridSpan w:val="13"/>
            <w:vAlign w:val="center"/>
          </w:tcPr>
          <w:p>
            <w:pPr>
              <w:pStyle w:val="64"/>
              <w:jc w:val="left"/>
              <w:rPr>
                <w:rFonts w:hAnsi="宋体"/>
                <w:highlight w:val="none"/>
                <w:lang w:val="zh-CN"/>
              </w:rPr>
            </w:pPr>
            <w:r>
              <w:rPr>
                <w:rFonts w:hAnsi="宋体"/>
                <w:highlight w:val="none"/>
                <w:lang w:val="zh-CN"/>
              </w:rPr>
              <w:t>区（流）域水环境质量改善目标</w:t>
            </w:r>
            <w:r>
              <w:rPr>
                <w:rFonts w:hAnsi="宋体"/>
                <w:highlight w:val="none"/>
                <w:lang w:val="zh-CN"/>
              </w:rPr>
              <w:sym w:font="Wingdings 2" w:char="00A3"/>
            </w:r>
            <w:r>
              <w:rPr>
                <w:rFonts w:hAnsi="宋体"/>
                <w:highlight w:val="none"/>
                <w:lang w:val="zh-CN"/>
              </w:rPr>
              <w:t>；替代削减源</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水环境影响评价</w:t>
            </w:r>
          </w:p>
        </w:tc>
        <w:tc>
          <w:tcPr>
            <w:tcW w:w="10167" w:type="dxa"/>
            <w:gridSpan w:val="13"/>
            <w:vAlign w:val="center"/>
          </w:tcPr>
          <w:p>
            <w:pPr>
              <w:pStyle w:val="64"/>
              <w:jc w:val="left"/>
              <w:rPr>
                <w:rFonts w:hAnsi="宋体"/>
                <w:highlight w:val="none"/>
                <w:lang w:val="zh-CN"/>
              </w:rPr>
            </w:pPr>
            <w:r>
              <w:rPr>
                <w:rFonts w:hAnsi="宋体"/>
                <w:highlight w:val="none"/>
                <w:lang w:val="zh-CN"/>
              </w:rPr>
              <w:t>排放放口混合区外满足水环境管理要求</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水环境功能区或水功能区、近岸海域环填功能区水质达标</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满足水环境保护目标水域水环境质量要求</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水环境控制单元或断面水质达标</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满足重点水污染物排放总量控制指标要求，重点行业建设项目，主要污染物排放满足等量或减量替代要求</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满足区（流）域水环境质量改善目标要求</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水文要素影响型建设项目同时应包括水文情势变化评价、主要水文特征值影响评价、生态流量符合性评价</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对于新设或调整入河（湖库、近岸海域）排放口的建设项目，应包括排放口设置的环境合理性评价</w:t>
            </w:r>
            <w:r>
              <w:rPr>
                <w:rFonts w:hAnsi="宋体"/>
                <w:highlight w:val="none"/>
                <w:lang w:val="zh-CN"/>
              </w:rPr>
              <w:sym w:font="Wingdings 2" w:char="00A3"/>
            </w:r>
          </w:p>
          <w:p>
            <w:pPr>
              <w:pStyle w:val="64"/>
              <w:jc w:val="left"/>
              <w:rPr>
                <w:rFonts w:hAnsi="宋体"/>
                <w:highlight w:val="none"/>
                <w:lang w:val="zh-CN"/>
              </w:rPr>
            </w:pPr>
            <w:r>
              <w:rPr>
                <w:rFonts w:hAnsi="宋体"/>
                <w:highlight w:val="none"/>
                <w:lang w:val="zh-CN"/>
              </w:rPr>
              <w:t>满足生态保护红线、水环境质量底线、资源利用上线和环境准入清单管理要求</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污染源排放量核算</w:t>
            </w:r>
          </w:p>
        </w:tc>
        <w:tc>
          <w:tcPr>
            <w:tcW w:w="3171" w:type="dxa"/>
            <w:gridSpan w:val="2"/>
            <w:vAlign w:val="center"/>
          </w:tcPr>
          <w:p>
            <w:pPr>
              <w:pStyle w:val="64"/>
              <w:rPr>
                <w:rFonts w:hAnsi="宋体"/>
                <w:highlight w:val="none"/>
                <w:lang w:val="zh-CN"/>
              </w:rPr>
            </w:pPr>
            <w:r>
              <w:rPr>
                <w:rFonts w:hAnsi="宋体"/>
                <w:highlight w:val="none"/>
                <w:lang w:val="zh-CN"/>
              </w:rPr>
              <w:t>污染物名称</w:t>
            </w:r>
          </w:p>
        </w:tc>
        <w:tc>
          <w:tcPr>
            <w:tcW w:w="4320" w:type="dxa"/>
            <w:gridSpan w:val="8"/>
            <w:vAlign w:val="center"/>
          </w:tcPr>
          <w:p>
            <w:pPr>
              <w:pStyle w:val="64"/>
              <w:rPr>
                <w:rFonts w:hAnsi="宋体"/>
                <w:highlight w:val="none"/>
                <w:lang w:val="zh-CN"/>
              </w:rPr>
            </w:pPr>
            <w:r>
              <w:rPr>
                <w:rFonts w:hAnsi="宋体"/>
                <w:highlight w:val="none"/>
                <w:lang w:val="zh-CN"/>
              </w:rPr>
              <w:t>排放量/(t/a)</w:t>
            </w:r>
          </w:p>
        </w:tc>
        <w:tc>
          <w:tcPr>
            <w:tcW w:w="2676" w:type="dxa"/>
            <w:gridSpan w:val="3"/>
            <w:vAlign w:val="center"/>
          </w:tcPr>
          <w:p>
            <w:pPr>
              <w:pStyle w:val="64"/>
              <w:rPr>
                <w:rFonts w:hAnsi="宋体"/>
                <w:highlight w:val="none"/>
                <w:lang w:val="zh-CN"/>
              </w:rPr>
            </w:pPr>
            <w:r>
              <w:rPr>
                <w:rFonts w:hAnsi="宋体"/>
                <w:highlight w:val="none"/>
                <w:lang w:val="zh-CN"/>
              </w:rPr>
              <w:t>排放浓度/(mg/L)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3171" w:type="dxa"/>
            <w:gridSpan w:val="2"/>
            <w:vAlign w:val="center"/>
          </w:tcPr>
          <w:p>
            <w:pPr>
              <w:pStyle w:val="64"/>
              <w:rPr>
                <w:rFonts w:hAnsi="宋体"/>
                <w:highlight w:val="none"/>
                <w:lang w:val="zh-CN"/>
              </w:rPr>
            </w:pPr>
            <w:r>
              <w:rPr>
                <w:rFonts w:hAnsi="宋体"/>
                <w:highlight w:val="none"/>
                <w:lang w:val="zh-CN"/>
              </w:rPr>
              <w:t>（）</w:t>
            </w:r>
          </w:p>
        </w:tc>
        <w:tc>
          <w:tcPr>
            <w:tcW w:w="4320" w:type="dxa"/>
            <w:gridSpan w:val="8"/>
            <w:vAlign w:val="center"/>
          </w:tcPr>
          <w:p>
            <w:pPr>
              <w:pStyle w:val="64"/>
              <w:rPr>
                <w:rFonts w:hAnsi="宋体"/>
                <w:highlight w:val="none"/>
                <w:lang w:val="zh-CN"/>
              </w:rPr>
            </w:pPr>
            <w:r>
              <w:rPr>
                <w:rFonts w:hAnsi="宋体"/>
                <w:highlight w:val="none"/>
                <w:lang w:val="zh-CN"/>
              </w:rPr>
              <w:t>（）</w:t>
            </w:r>
          </w:p>
        </w:tc>
        <w:tc>
          <w:tcPr>
            <w:tcW w:w="2676" w:type="dxa"/>
            <w:gridSpan w:val="3"/>
            <w:vAlign w:val="center"/>
          </w:tcPr>
          <w:p>
            <w:pPr>
              <w:pStyle w:val="64"/>
              <w:rPr>
                <w:rFonts w:hAnsi="宋体"/>
                <w:highlight w:val="none"/>
                <w:lang w:val="zh-CN"/>
              </w:rPr>
            </w:pPr>
            <w:r>
              <w:rPr>
                <w:rFonts w:hAnsi="宋体"/>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2208" w:type="dxa"/>
            <w:vAlign w:val="center"/>
          </w:tcPr>
          <w:p>
            <w:pPr>
              <w:pStyle w:val="64"/>
              <w:rPr>
                <w:rFonts w:hAnsi="宋体"/>
                <w:highlight w:val="none"/>
                <w:lang w:val="zh-CN"/>
              </w:rPr>
            </w:pPr>
            <w:r>
              <w:rPr>
                <w:rFonts w:hAnsi="宋体"/>
                <w:highlight w:val="none"/>
                <w:lang w:val="zh-CN"/>
              </w:rPr>
              <w:t>污染源名称</w:t>
            </w:r>
          </w:p>
        </w:tc>
        <w:tc>
          <w:tcPr>
            <w:tcW w:w="2426" w:type="dxa"/>
            <w:gridSpan w:val="4"/>
            <w:vAlign w:val="center"/>
          </w:tcPr>
          <w:p>
            <w:pPr>
              <w:pStyle w:val="64"/>
              <w:rPr>
                <w:rFonts w:hAnsi="宋体"/>
                <w:highlight w:val="none"/>
                <w:lang w:val="zh-CN"/>
              </w:rPr>
            </w:pPr>
            <w:r>
              <w:rPr>
                <w:rFonts w:hAnsi="宋体"/>
                <w:highlight w:val="none"/>
                <w:lang w:val="zh-CN"/>
              </w:rPr>
              <w:t>排污许可证编号</w:t>
            </w:r>
          </w:p>
        </w:tc>
        <w:tc>
          <w:tcPr>
            <w:tcW w:w="1595" w:type="dxa"/>
            <w:gridSpan w:val="2"/>
            <w:vAlign w:val="center"/>
          </w:tcPr>
          <w:p>
            <w:pPr>
              <w:pStyle w:val="64"/>
              <w:rPr>
                <w:rFonts w:hAnsi="宋体"/>
                <w:highlight w:val="none"/>
                <w:lang w:val="zh-CN"/>
              </w:rPr>
            </w:pPr>
            <w:r>
              <w:rPr>
                <w:rFonts w:hAnsi="宋体"/>
                <w:highlight w:val="none"/>
                <w:lang w:val="zh-CN"/>
              </w:rPr>
              <w:t>污染物名称</w:t>
            </w:r>
          </w:p>
        </w:tc>
        <w:tc>
          <w:tcPr>
            <w:tcW w:w="2077" w:type="dxa"/>
            <w:gridSpan w:val="5"/>
            <w:vAlign w:val="center"/>
          </w:tcPr>
          <w:p>
            <w:pPr>
              <w:pStyle w:val="64"/>
              <w:rPr>
                <w:rFonts w:hAnsi="宋体"/>
                <w:highlight w:val="none"/>
                <w:lang w:val="zh-CN"/>
              </w:rPr>
            </w:pPr>
            <w:r>
              <w:rPr>
                <w:rFonts w:hAnsi="宋体"/>
                <w:highlight w:val="none"/>
                <w:lang w:val="zh-CN"/>
              </w:rPr>
              <w:t>排放量/(t/a)</w:t>
            </w:r>
          </w:p>
        </w:tc>
        <w:tc>
          <w:tcPr>
            <w:tcW w:w="1861" w:type="dxa"/>
            <w:vAlign w:val="center"/>
          </w:tcPr>
          <w:p>
            <w:pPr>
              <w:pStyle w:val="64"/>
              <w:rPr>
                <w:rFonts w:hAnsi="宋体"/>
                <w:highlight w:val="none"/>
                <w:lang w:val="zh-CN"/>
              </w:rPr>
            </w:pPr>
            <w:r>
              <w:rPr>
                <w:rFonts w:hAnsi="宋体"/>
                <w:highlight w:val="none"/>
                <w:lang w:val="zh-CN"/>
              </w:rPr>
              <w:t>排放浓度(mg/L)</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替代源排放情况</w:t>
            </w:r>
          </w:p>
        </w:tc>
        <w:tc>
          <w:tcPr>
            <w:tcW w:w="2208" w:type="dxa"/>
            <w:vAlign w:val="center"/>
          </w:tcPr>
          <w:p>
            <w:pPr>
              <w:pStyle w:val="64"/>
              <w:rPr>
                <w:rFonts w:hAnsi="宋体"/>
                <w:highlight w:val="none"/>
                <w:lang w:val="zh-CN"/>
              </w:rPr>
            </w:pPr>
            <w:r>
              <w:rPr>
                <w:rFonts w:hAnsi="宋体"/>
                <w:highlight w:val="none"/>
                <w:lang w:val="zh-CN"/>
              </w:rPr>
              <w:t>（）</w:t>
            </w:r>
          </w:p>
        </w:tc>
        <w:tc>
          <w:tcPr>
            <w:tcW w:w="2426" w:type="dxa"/>
            <w:gridSpan w:val="4"/>
            <w:vAlign w:val="center"/>
          </w:tcPr>
          <w:p>
            <w:pPr>
              <w:pStyle w:val="64"/>
              <w:rPr>
                <w:rFonts w:hAnsi="宋体"/>
                <w:highlight w:val="none"/>
                <w:lang w:val="zh-CN"/>
              </w:rPr>
            </w:pPr>
            <w:r>
              <w:rPr>
                <w:rFonts w:hAnsi="宋体"/>
                <w:highlight w:val="none"/>
                <w:lang w:val="zh-CN"/>
              </w:rPr>
              <w:t>（）</w:t>
            </w:r>
          </w:p>
        </w:tc>
        <w:tc>
          <w:tcPr>
            <w:tcW w:w="1595" w:type="dxa"/>
            <w:gridSpan w:val="2"/>
            <w:vAlign w:val="center"/>
          </w:tcPr>
          <w:p>
            <w:pPr>
              <w:pStyle w:val="64"/>
              <w:rPr>
                <w:rFonts w:hAnsi="宋体"/>
                <w:highlight w:val="none"/>
                <w:lang w:val="zh-CN"/>
              </w:rPr>
            </w:pPr>
            <w:r>
              <w:rPr>
                <w:rFonts w:hAnsi="宋体"/>
                <w:highlight w:val="none"/>
                <w:lang w:val="zh-CN"/>
              </w:rPr>
              <w:t>（）</w:t>
            </w:r>
          </w:p>
        </w:tc>
        <w:tc>
          <w:tcPr>
            <w:tcW w:w="2077" w:type="dxa"/>
            <w:gridSpan w:val="5"/>
            <w:vAlign w:val="center"/>
          </w:tcPr>
          <w:p>
            <w:pPr>
              <w:pStyle w:val="64"/>
              <w:rPr>
                <w:rFonts w:hAnsi="宋体"/>
                <w:highlight w:val="none"/>
                <w:lang w:val="zh-CN"/>
              </w:rPr>
            </w:pPr>
            <w:r>
              <w:rPr>
                <w:rFonts w:hAnsi="宋体"/>
                <w:highlight w:val="none"/>
                <w:lang w:val="zh-CN"/>
              </w:rPr>
              <w:t>（）</w:t>
            </w:r>
          </w:p>
        </w:tc>
        <w:tc>
          <w:tcPr>
            <w:tcW w:w="1861" w:type="dxa"/>
            <w:vAlign w:val="center"/>
          </w:tcPr>
          <w:p>
            <w:pPr>
              <w:pStyle w:val="64"/>
              <w:rPr>
                <w:rFonts w:hAnsi="宋体"/>
                <w:highlight w:val="none"/>
                <w:lang w:val="zh-CN"/>
              </w:rPr>
            </w:pPr>
            <w:r>
              <w:rPr>
                <w:rFonts w:hAnsi="宋体"/>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生态流量确定</w:t>
            </w:r>
          </w:p>
        </w:tc>
        <w:tc>
          <w:tcPr>
            <w:tcW w:w="10167" w:type="dxa"/>
            <w:gridSpan w:val="13"/>
            <w:vAlign w:val="center"/>
          </w:tcPr>
          <w:p>
            <w:pPr>
              <w:pStyle w:val="64"/>
              <w:jc w:val="left"/>
              <w:rPr>
                <w:rFonts w:hAnsi="宋体"/>
                <w:highlight w:val="none"/>
                <w:lang w:val="zh-CN"/>
              </w:rPr>
            </w:pPr>
            <w:r>
              <w:rPr>
                <w:rFonts w:hAnsi="宋体"/>
                <w:highlight w:val="none"/>
                <w:lang w:val="zh-CN"/>
              </w:rPr>
              <w:t>生态流量，一般水期()m³/s；鱼类繁殖期（）m³/s；其他（)m³/s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10167" w:type="dxa"/>
            <w:gridSpan w:val="13"/>
            <w:vAlign w:val="center"/>
          </w:tcPr>
          <w:p>
            <w:pPr>
              <w:pStyle w:val="64"/>
              <w:jc w:val="left"/>
              <w:rPr>
                <w:rFonts w:hAnsi="宋体"/>
                <w:highlight w:val="none"/>
                <w:lang w:val="zh-CN"/>
              </w:rPr>
            </w:pPr>
            <w:r>
              <w:rPr>
                <w:rFonts w:hAnsi="宋体"/>
                <w:highlight w:val="none"/>
                <w:lang w:val="zh-CN"/>
              </w:rPr>
              <w:t>生态水位，一般水期（）m；鱼类繁殖期（）m；其他（）m；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restart"/>
            <w:vAlign w:val="center"/>
          </w:tcPr>
          <w:p>
            <w:pPr>
              <w:pStyle w:val="64"/>
              <w:rPr>
                <w:rFonts w:hAnsi="宋体"/>
                <w:highlight w:val="none"/>
                <w:lang w:val="zh-CN"/>
              </w:rPr>
            </w:pPr>
            <w:r>
              <w:rPr>
                <w:rFonts w:hAnsi="宋体"/>
                <w:highlight w:val="none"/>
                <w:lang w:val="zh-CN"/>
              </w:rPr>
              <w:t>防治措施</w:t>
            </w:r>
          </w:p>
        </w:tc>
        <w:tc>
          <w:tcPr>
            <w:tcW w:w="2623" w:type="dxa"/>
            <w:vAlign w:val="center"/>
          </w:tcPr>
          <w:p>
            <w:pPr>
              <w:pStyle w:val="64"/>
              <w:rPr>
                <w:rFonts w:hAnsi="宋体"/>
                <w:highlight w:val="none"/>
                <w:lang w:val="zh-CN"/>
              </w:rPr>
            </w:pPr>
            <w:r>
              <w:rPr>
                <w:rFonts w:hAnsi="宋体"/>
                <w:highlight w:val="none"/>
                <w:lang w:val="zh-CN"/>
              </w:rPr>
              <w:t>环保措施</w:t>
            </w:r>
          </w:p>
        </w:tc>
        <w:tc>
          <w:tcPr>
            <w:tcW w:w="10167" w:type="dxa"/>
            <w:gridSpan w:val="13"/>
            <w:vAlign w:val="center"/>
          </w:tcPr>
          <w:p>
            <w:pPr>
              <w:pStyle w:val="64"/>
              <w:jc w:val="left"/>
              <w:rPr>
                <w:rFonts w:hAnsi="宋体"/>
                <w:highlight w:val="none"/>
                <w:lang w:val="zh-CN"/>
              </w:rPr>
            </w:pPr>
            <w:r>
              <w:rPr>
                <w:rFonts w:hAnsi="宋体"/>
                <w:highlight w:val="none"/>
                <w:lang w:val="zh-CN"/>
              </w:rPr>
              <w:t>污水处理设施</w:t>
            </w:r>
            <w:r>
              <w:rPr>
                <w:rFonts w:hAnsi="宋体"/>
                <w:highlight w:val="none"/>
                <w:lang w:val="zh-CN"/>
              </w:rPr>
              <w:sym w:font="Wingdings 2" w:char="0052"/>
            </w:r>
            <w:r>
              <w:rPr>
                <w:rFonts w:hAnsi="宋体"/>
                <w:highlight w:val="none"/>
                <w:lang w:val="zh-CN"/>
              </w:rPr>
              <w:t>；水文减缓设施</w:t>
            </w:r>
            <w:r>
              <w:rPr>
                <w:rFonts w:hAnsi="宋体"/>
                <w:highlight w:val="none"/>
                <w:lang w:val="zh-CN"/>
              </w:rPr>
              <w:sym w:font="Wingdings 2" w:char="00A3"/>
            </w:r>
            <w:r>
              <w:rPr>
                <w:rFonts w:hAnsi="宋体"/>
                <w:highlight w:val="none"/>
                <w:lang w:val="zh-CN"/>
              </w:rPr>
              <w:t>；生态流量保障设施</w:t>
            </w:r>
            <w:r>
              <w:rPr>
                <w:rFonts w:hAnsi="宋体"/>
                <w:highlight w:val="none"/>
                <w:lang w:val="zh-CN"/>
              </w:rPr>
              <w:sym w:font="Wingdings 2" w:char="00A3"/>
            </w:r>
            <w:r>
              <w:rPr>
                <w:rFonts w:hAnsi="宋体"/>
                <w:highlight w:val="none"/>
                <w:lang w:val="zh-CN"/>
              </w:rPr>
              <w:t>；区域削减</w:t>
            </w:r>
            <w:r>
              <w:rPr>
                <w:rFonts w:hAnsi="宋体"/>
                <w:highlight w:val="none"/>
                <w:lang w:val="zh-CN"/>
              </w:rPr>
              <w:sym w:font="Wingdings 2" w:char="00A3"/>
            </w:r>
            <w:r>
              <w:rPr>
                <w:rFonts w:hAnsi="宋体"/>
                <w:highlight w:val="none"/>
                <w:lang w:val="zh-CN"/>
              </w:rPr>
              <w:t>；依托其他工程措施</w:t>
            </w:r>
            <w:r>
              <w:rPr>
                <w:rFonts w:hAnsi="宋体"/>
                <w:highlight w:val="none"/>
                <w:lang w:val="zh-CN"/>
              </w:rPr>
              <w:sym w:font="Wingdings 2" w:char="00A3"/>
            </w:r>
            <w:r>
              <w:rPr>
                <w:rFonts w:hAnsi="宋体"/>
                <w:highlight w:val="none"/>
                <w:lang w:val="zh-CN"/>
              </w:rPr>
              <w:t>；其他</w:t>
            </w:r>
            <w:r>
              <w:rPr>
                <w:rFonts w:hAnsi="宋体"/>
                <w:highlight w:val="none"/>
                <w:lang w:val="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restart"/>
            <w:vAlign w:val="center"/>
          </w:tcPr>
          <w:p>
            <w:pPr>
              <w:pStyle w:val="64"/>
              <w:rPr>
                <w:rFonts w:hAnsi="宋体"/>
                <w:highlight w:val="none"/>
                <w:lang w:val="zh-CN"/>
              </w:rPr>
            </w:pPr>
            <w:r>
              <w:rPr>
                <w:rFonts w:hAnsi="宋体"/>
                <w:highlight w:val="none"/>
                <w:lang w:val="zh-CN"/>
              </w:rPr>
              <w:t>监测计划</w:t>
            </w:r>
          </w:p>
        </w:tc>
        <w:tc>
          <w:tcPr>
            <w:tcW w:w="3428" w:type="dxa"/>
            <w:gridSpan w:val="3"/>
            <w:vAlign w:val="center"/>
          </w:tcPr>
          <w:p>
            <w:pPr>
              <w:pStyle w:val="64"/>
              <w:rPr>
                <w:rFonts w:hAnsi="宋体"/>
                <w:highlight w:val="none"/>
                <w:lang w:val="zh-CN"/>
              </w:rPr>
            </w:pPr>
          </w:p>
        </w:tc>
        <w:tc>
          <w:tcPr>
            <w:tcW w:w="3134" w:type="dxa"/>
            <w:gridSpan w:val="5"/>
            <w:vAlign w:val="center"/>
          </w:tcPr>
          <w:p>
            <w:pPr>
              <w:pStyle w:val="64"/>
              <w:rPr>
                <w:rFonts w:hAnsi="宋体"/>
                <w:highlight w:val="none"/>
                <w:lang w:val="zh-CN"/>
              </w:rPr>
            </w:pPr>
            <w:r>
              <w:rPr>
                <w:rFonts w:hAnsi="宋体"/>
                <w:highlight w:val="none"/>
                <w:lang w:val="zh-CN"/>
              </w:rPr>
              <w:t>环境质量</w:t>
            </w:r>
          </w:p>
        </w:tc>
        <w:tc>
          <w:tcPr>
            <w:tcW w:w="3605" w:type="dxa"/>
            <w:gridSpan w:val="5"/>
            <w:vAlign w:val="center"/>
          </w:tcPr>
          <w:p>
            <w:pPr>
              <w:pStyle w:val="64"/>
              <w:rPr>
                <w:rFonts w:hAnsi="宋体"/>
                <w:highlight w:val="none"/>
                <w:lang w:val="zh-CN"/>
              </w:rPr>
            </w:pPr>
            <w:r>
              <w:rPr>
                <w:rFonts w:hAnsi="宋体"/>
                <w:highlight w:val="none"/>
                <w:lang w:val="zh-CN"/>
              </w:rPr>
              <w:t>污染源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3428" w:type="dxa"/>
            <w:gridSpan w:val="3"/>
            <w:vAlign w:val="center"/>
          </w:tcPr>
          <w:p>
            <w:pPr>
              <w:pStyle w:val="64"/>
              <w:rPr>
                <w:rFonts w:hAnsi="宋体"/>
                <w:highlight w:val="none"/>
                <w:lang w:val="zh-CN"/>
              </w:rPr>
            </w:pPr>
            <w:r>
              <w:rPr>
                <w:rFonts w:hAnsi="宋体"/>
                <w:highlight w:val="none"/>
                <w:lang w:val="zh-CN"/>
              </w:rPr>
              <w:t>监测方案</w:t>
            </w:r>
          </w:p>
        </w:tc>
        <w:tc>
          <w:tcPr>
            <w:tcW w:w="3134" w:type="dxa"/>
            <w:gridSpan w:val="5"/>
            <w:vAlign w:val="center"/>
          </w:tcPr>
          <w:p>
            <w:pPr>
              <w:pStyle w:val="64"/>
              <w:rPr>
                <w:rFonts w:hAnsi="宋体"/>
                <w:highlight w:val="none"/>
                <w:lang w:val="zh-CN"/>
              </w:rPr>
            </w:pPr>
            <w:r>
              <w:rPr>
                <w:rFonts w:hAnsi="宋体"/>
                <w:highlight w:val="none"/>
                <w:lang w:val="zh-CN"/>
              </w:rPr>
              <w:t>手动</w:t>
            </w:r>
            <w:r>
              <w:rPr>
                <w:rFonts w:hAnsi="宋体"/>
                <w:highlight w:val="none"/>
                <w:lang w:val="zh-CN"/>
              </w:rPr>
              <w:sym w:font="Wingdings 2" w:char="00A3"/>
            </w:r>
            <w:r>
              <w:rPr>
                <w:rFonts w:hAnsi="宋体"/>
                <w:highlight w:val="none"/>
                <w:lang w:val="zh-CN"/>
              </w:rPr>
              <w:t>；自动</w:t>
            </w:r>
            <w:r>
              <w:rPr>
                <w:rFonts w:hAnsi="宋体"/>
                <w:highlight w:val="none"/>
                <w:lang w:val="zh-CN"/>
              </w:rPr>
              <w:sym w:font="Wingdings 2" w:char="00A3"/>
            </w:r>
            <w:r>
              <w:rPr>
                <w:rFonts w:hAnsi="宋体"/>
                <w:highlight w:val="none"/>
                <w:lang w:val="zh-CN"/>
              </w:rPr>
              <w:t>；无监测</w:t>
            </w:r>
            <w:r>
              <w:rPr>
                <w:rFonts w:hAnsi="宋体"/>
                <w:highlight w:val="none"/>
                <w:lang w:val="zh-CN"/>
              </w:rPr>
              <w:sym w:font="Wingdings 2" w:char="0052"/>
            </w:r>
          </w:p>
        </w:tc>
        <w:tc>
          <w:tcPr>
            <w:tcW w:w="3605" w:type="dxa"/>
            <w:gridSpan w:val="5"/>
            <w:vAlign w:val="center"/>
          </w:tcPr>
          <w:p>
            <w:pPr>
              <w:pStyle w:val="64"/>
              <w:rPr>
                <w:rFonts w:hAnsi="宋体"/>
                <w:highlight w:val="none"/>
                <w:lang w:val="zh-CN"/>
              </w:rPr>
            </w:pPr>
            <w:r>
              <w:rPr>
                <w:rFonts w:hAnsi="宋体"/>
                <w:highlight w:val="none"/>
                <w:lang w:val="zh-CN"/>
              </w:rPr>
              <w:t>手动</w:t>
            </w:r>
            <w:r>
              <w:rPr>
                <w:rFonts w:hAnsi="宋体"/>
                <w:highlight w:val="none"/>
                <w:lang w:val="zh-CN"/>
              </w:rPr>
              <w:sym w:font="Wingdings 2" w:char="00A3"/>
            </w:r>
            <w:r>
              <w:rPr>
                <w:rFonts w:hAnsi="宋体"/>
                <w:highlight w:val="none"/>
                <w:lang w:val="zh-CN"/>
              </w:rPr>
              <w:t>；自动</w:t>
            </w:r>
            <w:r>
              <w:rPr>
                <w:rFonts w:hAnsi="宋体"/>
                <w:highlight w:val="none"/>
                <w:lang w:val="zh-CN"/>
              </w:rPr>
              <w:sym w:font="Wingdings 2" w:char="00A3"/>
            </w:r>
            <w:r>
              <w:rPr>
                <w:rFonts w:hAnsi="宋体"/>
                <w:highlight w:val="none"/>
                <w:lang w:val="zh-CN"/>
              </w:rPr>
              <w:t>；无监测</w:t>
            </w:r>
            <w:r>
              <w:rPr>
                <w:rFonts w:hAnsi="宋体"/>
                <w:highlight w:val="none"/>
                <w:lang w:val="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3428" w:type="dxa"/>
            <w:gridSpan w:val="3"/>
            <w:vAlign w:val="center"/>
          </w:tcPr>
          <w:p>
            <w:pPr>
              <w:pStyle w:val="64"/>
              <w:rPr>
                <w:rFonts w:hAnsi="宋体"/>
                <w:highlight w:val="none"/>
                <w:lang w:val="zh-CN"/>
              </w:rPr>
            </w:pPr>
            <w:r>
              <w:rPr>
                <w:rFonts w:hAnsi="宋体"/>
                <w:highlight w:val="none"/>
                <w:lang w:val="zh-CN"/>
              </w:rPr>
              <w:t>监测点位</w:t>
            </w:r>
          </w:p>
        </w:tc>
        <w:tc>
          <w:tcPr>
            <w:tcW w:w="3134" w:type="dxa"/>
            <w:gridSpan w:val="5"/>
            <w:vAlign w:val="center"/>
          </w:tcPr>
          <w:p>
            <w:pPr>
              <w:pStyle w:val="64"/>
              <w:rPr>
                <w:rFonts w:hAnsi="宋体"/>
                <w:highlight w:val="none"/>
                <w:lang w:val="zh-CN"/>
              </w:rPr>
            </w:pPr>
            <w:r>
              <w:rPr>
                <w:rFonts w:hAnsi="宋体"/>
                <w:highlight w:val="none"/>
                <w:lang w:val="zh-CN"/>
              </w:rPr>
              <w:t>（）</w:t>
            </w:r>
          </w:p>
        </w:tc>
        <w:tc>
          <w:tcPr>
            <w:tcW w:w="3605" w:type="dxa"/>
            <w:gridSpan w:val="5"/>
            <w:vAlign w:val="center"/>
          </w:tcPr>
          <w:p>
            <w:pPr>
              <w:pStyle w:val="64"/>
              <w:rPr>
                <w:rFonts w:hAnsi="宋体"/>
                <w:highlight w:val="none"/>
                <w:lang w:val="zh-CN"/>
              </w:rPr>
            </w:pPr>
            <w:r>
              <w:rPr>
                <w:rFonts w:hAnsi="宋体"/>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Merge w:val="continue"/>
            <w:vAlign w:val="center"/>
          </w:tcPr>
          <w:p>
            <w:pPr>
              <w:pStyle w:val="64"/>
              <w:rPr>
                <w:rFonts w:hAnsi="宋体"/>
                <w:highlight w:val="none"/>
                <w:lang w:val="zh-CN"/>
              </w:rPr>
            </w:pPr>
          </w:p>
        </w:tc>
        <w:tc>
          <w:tcPr>
            <w:tcW w:w="3428" w:type="dxa"/>
            <w:gridSpan w:val="3"/>
            <w:vAlign w:val="center"/>
          </w:tcPr>
          <w:p>
            <w:pPr>
              <w:pStyle w:val="64"/>
              <w:rPr>
                <w:rFonts w:hAnsi="宋体"/>
                <w:highlight w:val="none"/>
                <w:lang w:val="zh-CN"/>
              </w:rPr>
            </w:pPr>
            <w:r>
              <w:rPr>
                <w:rFonts w:hAnsi="宋体"/>
                <w:highlight w:val="none"/>
                <w:lang w:val="zh-CN"/>
              </w:rPr>
              <w:t>监测因子</w:t>
            </w:r>
          </w:p>
        </w:tc>
        <w:tc>
          <w:tcPr>
            <w:tcW w:w="3134" w:type="dxa"/>
            <w:gridSpan w:val="5"/>
            <w:vAlign w:val="center"/>
          </w:tcPr>
          <w:p>
            <w:pPr>
              <w:pStyle w:val="64"/>
              <w:rPr>
                <w:rFonts w:hAnsi="宋体"/>
                <w:highlight w:val="none"/>
                <w:lang w:val="zh-CN"/>
              </w:rPr>
            </w:pPr>
            <w:r>
              <w:rPr>
                <w:rFonts w:hAnsi="宋体"/>
                <w:highlight w:val="none"/>
                <w:lang w:val="zh-CN"/>
              </w:rPr>
              <w:t>（）</w:t>
            </w:r>
          </w:p>
        </w:tc>
        <w:tc>
          <w:tcPr>
            <w:tcW w:w="3605" w:type="dxa"/>
            <w:gridSpan w:val="5"/>
            <w:vAlign w:val="center"/>
          </w:tcPr>
          <w:p>
            <w:pPr>
              <w:pStyle w:val="64"/>
              <w:rPr>
                <w:rFonts w:hAnsi="宋体"/>
                <w:highlight w:val="none"/>
                <w:lang w:val="zh-CN"/>
              </w:rPr>
            </w:pPr>
            <w:r>
              <w:rPr>
                <w:rFonts w:hAnsi="宋体"/>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204" w:type="dxa"/>
            <w:vMerge w:val="continue"/>
            <w:vAlign w:val="center"/>
          </w:tcPr>
          <w:p>
            <w:pPr>
              <w:pStyle w:val="64"/>
              <w:rPr>
                <w:rFonts w:hAnsi="宋体"/>
                <w:highlight w:val="none"/>
                <w:lang w:val="zh-CN"/>
              </w:rPr>
            </w:pPr>
          </w:p>
        </w:tc>
        <w:tc>
          <w:tcPr>
            <w:tcW w:w="2623" w:type="dxa"/>
            <w:vAlign w:val="center"/>
          </w:tcPr>
          <w:p>
            <w:pPr>
              <w:pStyle w:val="64"/>
              <w:rPr>
                <w:rFonts w:hAnsi="宋体"/>
                <w:highlight w:val="none"/>
                <w:lang w:val="zh-CN"/>
              </w:rPr>
            </w:pPr>
            <w:r>
              <w:rPr>
                <w:rFonts w:hAnsi="宋体"/>
                <w:highlight w:val="none"/>
                <w:lang w:val="zh-CN"/>
              </w:rPr>
              <w:t>污染物排放清单</w:t>
            </w:r>
          </w:p>
        </w:tc>
        <w:tc>
          <w:tcPr>
            <w:tcW w:w="10167" w:type="dxa"/>
            <w:gridSpan w:val="13"/>
            <w:vAlign w:val="center"/>
          </w:tcPr>
          <w:p>
            <w:pPr>
              <w:pStyle w:val="64"/>
              <w:jc w:val="left"/>
              <w:rPr>
                <w:rFonts w:hAnsi="宋体"/>
                <w:highlight w:val="none"/>
                <w:lang w:val="zh-CN"/>
              </w:rPr>
            </w:pPr>
            <w:r>
              <w:rPr>
                <w:rFonts w:hAnsi="宋体"/>
                <w:highlight w:val="none"/>
                <w:lang w:val="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827" w:type="dxa"/>
            <w:gridSpan w:val="2"/>
            <w:vAlign w:val="center"/>
          </w:tcPr>
          <w:p>
            <w:pPr>
              <w:pStyle w:val="64"/>
              <w:rPr>
                <w:rFonts w:hAnsi="宋体"/>
                <w:highlight w:val="none"/>
                <w:lang w:val="zh-CN"/>
              </w:rPr>
            </w:pPr>
            <w:r>
              <w:rPr>
                <w:rFonts w:hAnsi="宋体"/>
                <w:highlight w:val="none"/>
                <w:lang w:val="zh-CN"/>
              </w:rPr>
              <w:t>评价结论</w:t>
            </w:r>
          </w:p>
        </w:tc>
        <w:tc>
          <w:tcPr>
            <w:tcW w:w="10167" w:type="dxa"/>
            <w:gridSpan w:val="13"/>
            <w:vAlign w:val="center"/>
          </w:tcPr>
          <w:p>
            <w:pPr>
              <w:pStyle w:val="64"/>
              <w:jc w:val="left"/>
              <w:rPr>
                <w:rFonts w:hAnsi="宋体"/>
                <w:highlight w:val="none"/>
                <w:lang w:val="zh-CN"/>
              </w:rPr>
            </w:pPr>
            <w:r>
              <w:rPr>
                <w:rFonts w:hAnsi="宋体"/>
                <w:highlight w:val="none"/>
                <w:lang w:val="zh-CN"/>
              </w:rPr>
              <w:t>可以接受</w:t>
            </w:r>
            <w:r>
              <w:rPr>
                <w:rFonts w:hAnsi="宋体"/>
                <w:highlight w:val="none"/>
                <w:lang w:val="zh-CN"/>
              </w:rPr>
              <w:sym w:font="Wingdings 2" w:char="0052"/>
            </w:r>
            <w:r>
              <w:rPr>
                <w:rFonts w:hAnsi="宋体"/>
                <w:highlight w:val="none"/>
                <w:lang w:val="zh-CN"/>
              </w:rPr>
              <w:t>，不可以接受。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3994" w:type="dxa"/>
            <w:gridSpan w:val="15"/>
            <w:vAlign w:val="center"/>
          </w:tcPr>
          <w:p>
            <w:pPr>
              <w:pStyle w:val="64"/>
              <w:jc w:val="left"/>
              <w:rPr>
                <w:rFonts w:hAnsi="宋体"/>
                <w:highlight w:val="none"/>
                <w:lang w:val="zh-CN"/>
              </w:rPr>
            </w:pPr>
            <w:r>
              <w:rPr>
                <w:rFonts w:hAnsi="宋体"/>
                <w:highlight w:val="none"/>
                <w:lang w:val="zh-CN"/>
              </w:rPr>
              <w:t>注：“</w:t>
            </w:r>
            <w:r>
              <w:rPr>
                <w:rFonts w:hAnsi="宋体"/>
                <w:highlight w:val="none"/>
                <w:lang w:val="zh-CN"/>
              </w:rPr>
              <w:sym w:font="Wingdings 2" w:char="00A3"/>
            </w:r>
            <w:r>
              <w:rPr>
                <w:rFonts w:hAnsi="宋体"/>
                <w:highlight w:val="none"/>
                <w:lang w:val="zh-CN"/>
              </w:rPr>
              <w:t>”为勾选项；可√；“()”为内容填写项，"备注"为其他补充内容。</w:t>
            </w:r>
          </w:p>
        </w:tc>
      </w:tr>
    </w:tbl>
    <w:p>
      <w:pPr>
        <w:widowControl/>
        <w:snapToGrid w:val="0"/>
        <w:spacing w:line="480" w:lineRule="exact"/>
        <w:ind w:firstLine="480" w:firstLineChars="0"/>
        <w:jc w:val="center"/>
        <w:textAlignment w:val="baseline"/>
        <w:rPr>
          <w:rFonts w:ascii="宋体" w:hAnsi="宋体"/>
          <w:kern w:val="0"/>
          <w:szCs w:val="20"/>
          <w:highlight w:val="none"/>
          <w:u w:color="000000"/>
        </w:rPr>
      </w:pPr>
    </w:p>
    <w:p>
      <w:pPr>
        <w:widowControl/>
        <w:snapToGrid w:val="0"/>
        <w:spacing w:line="480" w:lineRule="exact"/>
        <w:ind w:firstLine="480" w:firstLineChars="0"/>
        <w:jc w:val="center"/>
        <w:textAlignment w:val="baseline"/>
        <w:rPr>
          <w:rFonts w:ascii="宋体" w:hAnsi="宋体"/>
          <w:kern w:val="0"/>
          <w:szCs w:val="20"/>
          <w:highlight w:val="none"/>
          <w:u w:color="000000"/>
        </w:rPr>
        <w:sectPr>
          <w:pgSz w:w="16840" w:h="11910" w:orient="landscape"/>
          <w:pgMar w:top="1588" w:right="1588" w:bottom="1474" w:left="1474" w:header="964" w:footer="851" w:gutter="0"/>
          <w:pgBorders>
            <w:top w:val="none" w:sz="0" w:space="0"/>
            <w:left w:val="none" w:sz="0" w:space="0"/>
            <w:bottom w:val="none" w:sz="0" w:space="0"/>
            <w:right w:val="none" w:sz="0" w:space="0"/>
          </w:pgBorders>
          <w:cols w:space="720" w:num="1"/>
          <w:docGrid w:linePitch="326" w:charSpace="0"/>
        </w:sectPr>
      </w:pPr>
    </w:p>
    <w:bookmarkEnd w:id="323"/>
    <w:p>
      <w:pPr>
        <w:pStyle w:val="3"/>
        <w:ind w:firstLine="643"/>
        <w:rPr>
          <w:rFonts w:hAnsi="宋体"/>
          <w:highlight w:val="none"/>
        </w:rPr>
      </w:pPr>
      <w:bookmarkStart w:id="324" w:name="_Toc4678489"/>
      <w:bookmarkStart w:id="325" w:name="_Toc70201035"/>
      <w:r>
        <w:rPr>
          <w:rFonts w:hAnsi="宋体"/>
          <w:highlight w:val="none"/>
        </w:rPr>
        <w:t>5.7</w:t>
      </w:r>
      <w:r>
        <w:rPr>
          <w:rFonts w:hint="eastAsia" w:hAnsi="宋体"/>
          <w:highlight w:val="none"/>
        </w:rPr>
        <w:t>运营期</w:t>
      </w:r>
      <w:r>
        <w:rPr>
          <w:rFonts w:hAnsi="宋体"/>
          <w:highlight w:val="none"/>
        </w:rPr>
        <w:t>环境风险</w:t>
      </w:r>
      <w:bookmarkEnd w:id="324"/>
      <w:r>
        <w:rPr>
          <w:rFonts w:hint="eastAsia" w:hAnsi="宋体"/>
          <w:highlight w:val="none"/>
        </w:rPr>
        <w:t>预测与评价</w:t>
      </w:r>
      <w:bookmarkEnd w:id="325"/>
    </w:p>
    <w:p>
      <w:pPr>
        <w:pStyle w:val="62"/>
        <w:ind w:firstLine="480"/>
        <w:rPr>
          <w:rFonts w:hAnsi="宋体"/>
          <w:b/>
          <w:bCs/>
          <w:highlight w:val="none"/>
        </w:rPr>
      </w:pPr>
      <w:bookmarkStart w:id="326" w:name="_Toc4678490"/>
      <w:r>
        <w:rPr>
          <w:rFonts w:hint="eastAsia" w:hAnsi="宋体"/>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4"/>
        <w:ind w:firstLine="562"/>
        <w:rPr>
          <w:rFonts w:hAnsi="宋体"/>
          <w:highlight w:val="none"/>
        </w:rPr>
      </w:pPr>
      <w:r>
        <w:rPr>
          <w:rFonts w:hAnsi="宋体"/>
          <w:highlight w:val="none"/>
        </w:rPr>
        <w:t>5.7.1风险物质</w:t>
      </w:r>
      <w:bookmarkEnd w:id="326"/>
    </w:p>
    <w:p>
      <w:pPr>
        <w:ind w:firstLine="480"/>
        <w:rPr>
          <w:rFonts w:ascii="宋体" w:hAnsi="宋体"/>
          <w:szCs w:val="20"/>
          <w:highlight w:val="none"/>
        </w:rPr>
      </w:pPr>
      <w:r>
        <w:rPr>
          <w:rFonts w:ascii="宋体" w:hAnsi="宋体"/>
          <w:szCs w:val="20"/>
          <w:highlight w:val="none"/>
        </w:rPr>
        <w:t>本项目为铁矿选矿项目，生产过程中涉及的环境风险物质主要是机修间产生的废矿物油。</w:t>
      </w:r>
    </w:p>
    <w:p>
      <w:pPr>
        <w:pStyle w:val="4"/>
        <w:ind w:firstLine="562"/>
        <w:rPr>
          <w:rFonts w:hAnsi="宋体"/>
          <w:highlight w:val="none"/>
        </w:rPr>
      </w:pPr>
      <w:r>
        <w:rPr>
          <w:rFonts w:hAnsi="宋体"/>
          <w:highlight w:val="none"/>
        </w:rPr>
        <w:t>5.7.2评价等级</w:t>
      </w:r>
    </w:p>
    <w:p>
      <w:pPr>
        <w:ind w:firstLine="480"/>
        <w:rPr>
          <w:rFonts w:ascii="宋体" w:hAnsi="宋体"/>
          <w:szCs w:val="20"/>
          <w:highlight w:val="none"/>
        </w:rPr>
      </w:pPr>
      <w:r>
        <w:rPr>
          <w:rFonts w:ascii="宋体" w:hAnsi="宋体"/>
          <w:szCs w:val="20"/>
          <w:highlight w:val="none"/>
        </w:rPr>
        <w:t>本项目所在区域不涉及环境敏感区，根据《建设项目环境风险评价技术导则》（HJ169-2018）中规定，环境风险评价等级确定为简单分析。</w:t>
      </w:r>
    </w:p>
    <w:p>
      <w:pPr>
        <w:pStyle w:val="4"/>
        <w:ind w:firstLine="562"/>
        <w:rPr>
          <w:rFonts w:hAnsi="宋体"/>
          <w:highlight w:val="none"/>
        </w:rPr>
      </w:pPr>
      <w:bookmarkStart w:id="327" w:name="5.7.2环境风险识别"/>
      <w:bookmarkEnd w:id="327"/>
      <w:bookmarkStart w:id="328" w:name="_Toc4678491"/>
      <w:r>
        <w:rPr>
          <w:rFonts w:hAnsi="宋体"/>
          <w:highlight w:val="none"/>
        </w:rPr>
        <w:t>5.</w:t>
      </w:r>
      <w:r>
        <w:rPr>
          <w:rFonts w:hint="eastAsia" w:hAnsi="宋体"/>
          <w:highlight w:val="none"/>
        </w:rPr>
        <w:t>7.3</w:t>
      </w:r>
      <w:r>
        <w:rPr>
          <w:rFonts w:hAnsi="宋体"/>
          <w:highlight w:val="none"/>
        </w:rPr>
        <w:t>环境风险识别</w:t>
      </w:r>
      <w:bookmarkEnd w:id="328"/>
    </w:p>
    <w:p>
      <w:pPr>
        <w:snapToGrid w:val="0"/>
        <w:ind w:firstLine="480"/>
        <w:rPr>
          <w:rFonts w:ascii="宋体" w:hAnsi="宋体" w:cstheme="minorBidi"/>
          <w:highlight w:val="none"/>
        </w:rPr>
      </w:pPr>
      <w:r>
        <w:rPr>
          <w:rFonts w:ascii="宋体" w:hAnsi="宋体" w:cstheme="minorBidi"/>
          <w:highlight w:val="none"/>
        </w:rPr>
        <w:t>通过对本项目生产工艺环节的分析并类比同类型项目的风险分析，确定</w:t>
      </w:r>
      <w:r>
        <w:rPr>
          <w:rFonts w:hint="eastAsia" w:ascii="宋体" w:hAnsi="宋体" w:cstheme="minorBidi"/>
          <w:highlight w:val="none"/>
        </w:rPr>
        <w:t>尾矿库</w:t>
      </w:r>
      <w:r>
        <w:rPr>
          <w:rFonts w:ascii="宋体" w:hAnsi="宋体" w:cstheme="minorBidi"/>
          <w:highlight w:val="none"/>
        </w:rPr>
        <w:t>及危废暂存间为风险控制主要环节。</w:t>
      </w:r>
    </w:p>
    <w:p>
      <w:pPr>
        <w:snapToGrid w:val="0"/>
        <w:ind w:firstLine="480"/>
        <w:rPr>
          <w:rFonts w:ascii="宋体" w:hAnsi="宋体" w:cstheme="minorBidi"/>
          <w:highlight w:val="none"/>
        </w:rPr>
      </w:pPr>
      <w:r>
        <w:rPr>
          <w:rFonts w:hint="eastAsia" w:ascii="宋体" w:hAnsi="宋体" w:cstheme="minorBidi"/>
          <w:highlight w:val="none"/>
        </w:rPr>
        <w:t>1、</w:t>
      </w:r>
      <w:r>
        <w:rPr>
          <w:rFonts w:ascii="宋体" w:hAnsi="宋体" w:cstheme="minorBidi"/>
          <w:highlight w:val="none"/>
        </w:rPr>
        <w:t>尾矿库溃坝引起的泥石流灾害；</w:t>
      </w:r>
    </w:p>
    <w:p>
      <w:pPr>
        <w:snapToGrid w:val="0"/>
        <w:ind w:firstLine="480"/>
        <w:rPr>
          <w:rFonts w:ascii="宋体" w:hAnsi="宋体" w:cstheme="minorBidi"/>
          <w:highlight w:val="none"/>
        </w:rPr>
      </w:pPr>
      <w:r>
        <w:rPr>
          <w:rFonts w:hint="eastAsia" w:ascii="宋体" w:hAnsi="宋体" w:cstheme="minorBidi"/>
          <w:highlight w:val="none"/>
        </w:rPr>
        <w:t>2、</w:t>
      </w:r>
      <w:r>
        <w:rPr>
          <w:rFonts w:ascii="宋体" w:hAnsi="宋体" w:cstheme="minorBidi"/>
          <w:highlight w:val="none"/>
        </w:rPr>
        <w:t>危险废物泄露、火灾引起的环境风险。</w:t>
      </w:r>
    </w:p>
    <w:p>
      <w:pPr>
        <w:snapToGrid w:val="0"/>
        <w:ind w:firstLine="480"/>
        <w:rPr>
          <w:rFonts w:ascii="宋体" w:hAnsi="宋体" w:cstheme="minorBidi"/>
          <w:highlight w:val="none"/>
        </w:rPr>
      </w:pPr>
      <w:r>
        <w:rPr>
          <w:rFonts w:ascii="宋体" w:hAnsi="宋体" w:cstheme="minorBidi"/>
          <w:highlight w:val="none"/>
        </w:rPr>
        <w:t>对此，本次评价将依据《建设项目环境风险评价技术导则》（HJ169-2018）进行项目的环境风险评价，并提出控制要求、预防措施和应急预案。</w:t>
      </w:r>
    </w:p>
    <w:p>
      <w:pPr>
        <w:keepNext/>
        <w:keepLines/>
        <w:ind w:firstLine="480"/>
        <w:outlineLvl w:val="3"/>
        <w:rPr>
          <w:rFonts w:ascii="宋体" w:hAnsi="宋体"/>
          <w:bCs/>
          <w:szCs w:val="28"/>
          <w:highlight w:val="none"/>
        </w:rPr>
      </w:pPr>
      <w:bookmarkStart w:id="329" w:name="5.7.2.1废石堆放引起的泥石流风险"/>
      <w:bookmarkEnd w:id="329"/>
      <w:r>
        <w:rPr>
          <w:rFonts w:hint="eastAsia" w:ascii="宋体" w:hAnsi="宋体"/>
          <w:bCs/>
          <w:szCs w:val="28"/>
          <w:highlight w:val="none"/>
        </w:rPr>
        <w:t>5.7.3</w:t>
      </w:r>
      <w:r>
        <w:rPr>
          <w:rFonts w:ascii="宋体" w:hAnsi="宋体"/>
          <w:bCs/>
          <w:szCs w:val="28"/>
          <w:highlight w:val="none"/>
        </w:rPr>
        <w:t>.1</w:t>
      </w:r>
      <w:r>
        <w:rPr>
          <w:rFonts w:hint="eastAsia" w:ascii="宋体" w:hAnsi="宋体"/>
          <w:bCs/>
          <w:szCs w:val="28"/>
          <w:highlight w:val="none"/>
        </w:rPr>
        <w:t>尾砂</w:t>
      </w:r>
      <w:r>
        <w:rPr>
          <w:rFonts w:ascii="宋体" w:hAnsi="宋体"/>
          <w:bCs/>
          <w:szCs w:val="28"/>
          <w:highlight w:val="none"/>
        </w:rPr>
        <w:t>堆放引起的泥石流风险</w:t>
      </w:r>
    </w:p>
    <w:p>
      <w:pPr>
        <w:snapToGrid w:val="0"/>
        <w:ind w:firstLine="480"/>
        <w:rPr>
          <w:rFonts w:ascii="宋体" w:hAnsi="宋体" w:cstheme="minorBidi"/>
          <w:highlight w:val="none"/>
        </w:rPr>
      </w:pPr>
      <w:r>
        <w:rPr>
          <w:rFonts w:ascii="宋体" w:hAnsi="宋体" w:cstheme="minorBidi"/>
          <w:highlight w:val="none"/>
        </w:rPr>
        <w:t>由排弃</w:t>
      </w:r>
      <w:r>
        <w:rPr>
          <w:rFonts w:hint="eastAsia" w:ascii="宋体" w:hAnsi="宋体" w:cstheme="minorBidi"/>
          <w:highlight w:val="none"/>
        </w:rPr>
        <w:t>尾砂</w:t>
      </w:r>
      <w:r>
        <w:rPr>
          <w:rFonts w:ascii="宋体" w:hAnsi="宋体" w:cstheme="minorBidi"/>
          <w:highlight w:val="none"/>
        </w:rPr>
        <w:t>引起的泥石流，是含有大量泥沙石块的流体，它具有巨大的能量，来势凶猛、破坏力极强，是矿山开采中常见的一种在人为作用诱导下产生的灾害现象。泥石流的形成有两个必要条件：一是大量的雨水；二是大量的沙石。雨水是大自然的产物，而泥沙则多属人为产品。一些矿山开采的剥离土和废石堆积在山坡或沟谷中，使围岩失去稳定性，形成大规模的崩塌和滑坡，为泥石流储备了丰富的松散固体物质，当暴雨来临时，便形成大规模泥石流。</w:t>
      </w:r>
    </w:p>
    <w:p>
      <w:pPr>
        <w:snapToGrid w:val="0"/>
        <w:ind w:firstLine="480"/>
        <w:rPr>
          <w:rFonts w:ascii="宋体" w:hAnsi="宋体" w:cstheme="minorBidi"/>
          <w:highlight w:val="none"/>
        </w:rPr>
      </w:pPr>
      <w:r>
        <w:rPr>
          <w:rFonts w:ascii="宋体" w:hAnsi="宋体" w:cstheme="minorBidi"/>
          <w:highlight w:val="none"/>
        </w:rPr>
        <w:t>本项目拟新建1个</w:t>
      </w:r>
      <w:r>
        <w:rPr>
          <w:rFonts w:hint="eastAsia" w:ascii="宋体" w:hAnsi="宋体" w:cstheme="minorBidi"/>
          <w:highlight w:val="none"/>
        </w:rPr>
        <w:t>尾矿库</w:t>
      </w:r>
      <w:r>
        <w:rPr>
          <w:rFonts w:ascii="宋体" w:hAnsi="宋体" w:cstheme="minorBidi"/>
          <w:highlight w:val="none"/>
        </w:rPr>
        <w:t>，</w:t>
      </w:r>
      <w:r>
        <w:rPr>
          <w:rFonts w:hint="eastAsia" w:ascii="宋体" w:hAnsi="宋体" w:cstheme="minorBidi"/>
          <w:highlight w:val="none"/>
        </w:rPr>
        <w:t>尾矿库</w:t>
      </w:r>
      <w:r>
        <w:rPr>
          <w:rFonts w:ascii="宋体" w:hAnsi="宋体" w:cstheme="minorBidi"/>
          <w:highlight w:val="none"/>
        </w:rPr>
        <w:t>基本情况详见表5.</w:t>
      </w:r>
      <w:r>
        <w:rPr>
          <w:rFonts w:hint="eastAsia" w:ascii="宋体" w:hAnsi="宋体" w:cstheme="minorBidi"/>
          <w:highlight w:val="none"/>
        </w:rPr>
        <w:t>7</w:t>
      </w:r>
      <w:r>
        <w:rPr>
          <w:rFonts w:ascii="宋体" w:hAnsi="宋体" w:cstheme="minorBidi"/>
          <w:highlight w:val="none"/>
        </w:rPr>
        <w:t>-1。</w:t>
      </w:r>
    </w:p>
    <w:p>
      <w:pPr>
        <w:pStyle w:val="65"/>
        <w:rPr>
          <w:rFonts w:hAnsi="宋体"/>
          <w:highlight w:val="none"/>
          <w:lang w:val="zh-CN"/>
        </w:rPr>
      </w:pPr>
      <w:r>
        <w:rPr>
          <w:rFonts w:hAnsi="宋体"/>
          <w:highlight w:val="none"/>
          <w:lang w:val="zh-CN"/>
        </w:rPr>
        <w:t>表5.</w:t>
      </w:r>
      <w:r>
        <w:rPr>
          <w:rFonts w:hint="eastAsia" w:hAnsi="宋体"/>
          <w:highlight w:val="none"/>
          <w:lang w:val="zh-CN"/>
        </w:rPr>
        <w:t>7</w:t>
      </w:r>
      <w:r>
        <w:rPr>
          <w:rFonts w:hAnsi="宋体"/>
          <w:highlight w:val="none"/>
          <w:lang w:val="zh-CN"/>
        </w:rPr>
        <w:t>-1</w:t>
      </w:r>
      <w:r>
        <w:rPr>
          <w:rFonts w:hint="eastAsia" w:hAnsi="宋体"/>
          <w:highlight w:val="none"/>
          <w:lang w:val="zh-CN"/>
        </w:rPr>
        <w:t xml:space="preserve">  </w:t>
      </w:r>
      <w:r>
        <w:rPr>
          <w:rFonts w:hAnsi="宋体"/>
          <w:highlight w:val="none"/>
          <w:lang w:val="zh-CN"/>
        </w:rPr>
        <w:t>尾矿库基本情况</w:t>
      </w:r>
    </w:p>
    <w:tbl>
      <w:tblPr>
        <w:tblStyle w:val="44"/>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29"/>
        <w:gridCol w:w="4441"/>
        <w:gridCol w:w="850"/>
        <w:gridCol w:w="993"/>
        <w:gridCol w:w="850"/>
        <w:gridCol w:w="11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9" w:type="dxa"/>
            <w:vAlign w:val="center"/>
          </w:tcPr>
          <w:p>
            <w:pPr>
              <w:pStyle w:val="64"/>
              <w:rPr>
                <w:rFonts w:hAnsi="宋体"/>
                <w:highlight w:val="none"/>
                <w:lang w:val="zh-CN"/>
              </w:rPr>
            </w:pPr>
            <w:r>
              <w:rPr>
                <w:rFonts w:hAnsi="宋体"/>
                <w:highlight w:val="none"/>
                <w:lang w:val="zh-CN"/>
              </w:rPr>
              <w:t>名称</w:t>
            </w:r>
          </w:p>
        </w:tc>
        <w:tc>
          <w:tcPr>
            <w:tcW w:w="4441" w:type="dxa"/>
            <w:vAlign w:val="center"/>
          </w:tcPr>
          <w:p>
            <w:pPr>
              <w:pStyle w:val="64"/>
              <w:rPr>
                <w:rFonts w:hAnsi="宋体"/>
                <w:highlight w:val="none"/>
                <w:lang w:val="zh-CN"/>
              </w:rPr>
            </w:pPr>
            <w:r>
              <w:rPr>
                <w:rFonts w:hAnsi="宋体"/>
                <w:highlight w:val="none"/>
                <w:lang w:val="zh-CN"/>
              </w:rPr>
              <w:t>地理位置及基础设施建设情况</w:t>
            </w:r>
          </w:p>
        </w:tc>
        <w:tc>
          <w:tcPr>
            <w:tcW w:w="850" w:type="dxa"/>
            <w:vAlign w:val="center"/>
          </w:tcPr>
          <w:p>
            <w:pPr>
              <w:pStyle w:val="64"/>
              <w:rPr>
                <w:rFonts w:hAnsi="宋体"/>
                <w:highlight w:val="none"/>
                <w:lang w:val="zh-CN"/>
              </w:rPr>
            </w:pPr>
            <w:r>
              <w:rPr>
                <w:rFonts w:hAnsi="宋体"/>
                <w:highlight w:val="none"/>
                <w:lang w:val="zh-CN"/>
              </w:rPr>
              <w:t>占地面积（m</w:t>
            </w:r>
            <w:r>
              <w:rPr>
                <w:rFonts w:hAnsi="宋体"/>
                <w:highlight w:val="none"/>
                <w:vertAlign w:val="superscript"/>
                <w:lang w:val="zh-CN"/>
              </w:rPr>
              <w:t>2</w:t>
            </w:r>
            <w:r>
              <w:rPr>
                <w:rFonts w:hAnsi="宋体"/>
                <w:highlight w:val="none"/>
                <w:lang w:val="zh-CN"/>
              </w:rPr>
              <w:t>）</w:t>
            </w:r>
          </w:p>
        </w:tc>
        <w:tc>
          <w:tcPr>
            <w:tcW w:w="993" w:type="dxa"/>
            <w:vAlign w:val="center"/>
          </w:tcPr>
          <w:p>
            <w:pPr>
              <w:pStyle w:val="64"/>
              <w:rPr>
                <w:rFonts w:hAnsi="宋体"/>
                <w:highlight w:val="none"/>
                <w:lang w:val="zh-CN"/>
              </w:rPr>
            </w:pPr>
            <w:r>
              <w:rPr>
                <w:rFonts w:hAnsi="宋体"/>
                <w:highlight w:val="none"/>
                <w:lang w:val="zh-CN"/>
              </w:rPr>
              <w:t>容量（m</w:t>
            </w:r>
            <w:r>
              <w:rPr>
                <w:rFonts w:hAnsi="宋体"/>
                <w:highlight w:val="none"/>
                <w:vertAlign w:val="superscript"/>
                <w:lang w:val="zh-CN"/>
              </w:rPr>
              <w:t>3</w:t>
            </w:r>
            <w:r>
              <w:rPr>
                <w:rFonts w:hAnsi="宋体"/>
                <w:highlight w:val="none"/>
                <w:lang w:val="zh-CN"/>
              </w:rPr>
              <w:t>）</w:t>
            </w:r>
          </w:p>
        </w:tc>
        <w:tc>
          <w:tcPr>
            <w:tcW w:w="850" w:type="dxa"/>
            <w:vAlign w:val="center"/>
          </w:tcPr>
          <w:p>
            <w:pPr>
              <w:pStyle w:val="64"/>
              <w:rPr>
                <w:rFonts w:hAnsi="宋体"/>
                <w:highlight w:val="none"/>
                <w:lang w:val="zh-CN"/>
              </w:rPr>
            </w:pPr>
            <w:r>
              <w:rPr>
                <w:rFonts w:hAnsi="宋体"/>
                <w:highlight w:val="none"/>
                <w:lang w:val="zh-CN"/>
              </w:rPr>
              <w:t>存在风险</w:t>
            </w:r>
          </w:p>
        </w:tc>
        <w:tc>
          <w:tcPr>
            <w:tcW w:w="1187" w:type="dxa"/>
            <w:vAlign w:val="center"/>
          </w:tcPr>
          <w:p>
            <w:pPr>
              <w:pStyle w:val="64"/>
              <w:rPr>
                <w:rFonts w:hAnsi="宋体"/>
                <w:highlight w:val="none"/>
                <w:lang w:val="zh-CN"/>
              </w:rPr>
            </w:pPr>
            <w:r>
              <w:rPr>
                <w:rFonts w:hAnsi="宋体"/>
                <w:highlight w:val="none"/>
                <w:lang w:val="zh-CN"/>
              </w:rPr>
              <w:t>下游敏感因素分析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9" w:type="dxa"/>
            <w:vAlign w:val="center"/>
          </w:tcPr>
          <w:p>
            <w:pPr>
              <w:pStyle w:val="64"/>
              <w:rPr>
                <w:rFonts w:hAnsi="宋体"/>
                <w:highlight w:val="none"/>
                <w:lang w:val="zh-CN"/>
              </w:rPr>
            </w:pPr>
            <w:r>
              <w:rPr>
                <w:rFonts w:hint="eastAsia" w:hAnsi="宋体"/>
                <w:highlight w:val="none"/>
                <w:lang w:val="zh-CN"/>
              </w:rPr>
              <w:t>尾矿库</w:t>
            </w:r>
            <w:r>
              <w:rPr>
                <w:rFonts w:hAnsi="宋体"/>
                <w:highlight w:val="none"/>
                <w:lang w:val="zh-CN"/>
              </w:rPr>
              <w:t>场</w:t>
            </w:r>
          </w:p>
        </w:tc>
        <w:tc>
          <w:tcPr>
            <w:tcW w:w="4441" w:type="dxa"/>
            <w:vAlign w:val="center"/>
          </w:tcPr>
          <w:p>
            <w:pPr>
              <w:pStyle w:val="64"/>
              <w:rPr>
                <w:rFonts w:hAnsi="宋体"/>
                <w:highlight w:val="none"/>
                <w:lang w:val="zh-CN"/>
              </w:rPr>
            </w:pPr>
            <w:r>
              <w:rPr>
                <w:rFonts w:hint="eastAsia" w:hAnsi="宋体"/>
                <w:highlight w:val="none"/>
                <w:lang w:val="zh-CN"/>
              </w:rPr>
              <w:t>尾矿库布置在选场东侧的沟谷内，经计算尾矿库容积为10.74万m</w:t>
            </w:r>
            <w:r>
              <w:rPr>
                <w:rFonts w:hint="eastAsia" w:hAnsi="宋体"/>
                <w:highlight w:val="none"/>
                <w:vertAlign w:val="superscript"/>
                <w:lang w:val="zh-CN"/>
              </w:rPr>
              <w:t>3</w:t>
            </w:r>
            <w:r>
              <w:rPr>
                <w:rFonts w:hint="eastAsia" w:hAnsi="宋体"/>
                <w:highlight w:val="none"/>
                <w:lang w:val="zh-CN"/>
              </w:rPr>
              <w:t>。尾矿库下部筑拦渣坝（断面为梯形，上宽4米，高4.5米），且留有排洪涵管。</w:t>
            </w:r>
          </w:p>
        </w:tc>
        <w:tc>
          <w:tcPr>
            <w:tcW w:w="850" w:type="dxa"/>
            <w:vAlign w:val="center"/>
          </w:tcPr>
          <w:p>
            <w:pPr>
              <w:pStyle w:val="64"/>
              <w:rPr>
                <w:rFonts w:hAnsi="宋体"/>
                <w:highlight w:val="none"/>
                <w:lang w:val="zh-CN"/>
              </w:rPr>
            </w:pPr>
            <w:r>
              <w:rPr>
                <w:rFonts w:hint="eastAsia" w:hAnsi="宋体"/>
                <w:highlight w:val="none"/>
                <w:lang w:val="zh-CN"/>
              </w:rPr>
              <w:t>19700</w:t>
            </w:r>
          </w:p>
        </w:tc>
        <w:tc>
          <w:tcPr>
            <w:tcW w:w="993" w:type="dxa"/>
            <w:vAlign w:val="center"/>
          </w:tcPr>
          <w:p>
            <w:pPr>
              <w:pStyle w:val="64"/>
              <w:rPr>
                <w:rFonts w:hAnsi="宋体"/>
                <w:highlight w:val="none"/>
                <w:lang w:val="zh-CN"/>
              </w:rPr>
            </w:pPr>
            <w:r>
              <w:rPr>
                <w:rFonts w:hint="eastAsia" w:hAnsi="宋体"/>
                <w:highlight w:val="none"/>
                <w:lang w:val="zh-CN"/>
              </w:rPr>
              <w:t>10.74</w:t>
            </w:r>
            <w:r>
              <w:rPr>
                <w:rFonts w:hAnsi="宋体"/>
                <w:highlight w:val="none"/>
                <w:lang w:val="zh-CN"/>
              </w:rPr>
              <w:t>万</w:t>
            </w:r>
          </w:p>
        </w:tc>
        <w:tc>
          <w:tcPr>
            <w:tcW w:w="850" w:type="dxa"/>
            <w:vAlign w:val="center"/>
          </w:tcPr>
          <w:p>
            <w:pPr>
              <w:pStyle w:val="64"/>
              <w:rPr>
                <w:rFonts w:hAnsi="宋体"/>
                <w:highlight w:val="none"/>
                <w:lang w:val="zh-CN"/>
              </w:rPr>
            </w:pPr>
            <w:r>
              <w:rPr>
                <w:rFonts w:hAnsi="宋体"/>
                <w:highlight w:val="none"/>
                <w:lang w:val="zh-CN"/>
              </w:rPr>
              <w:t>溃坝、滑坡、泥石</w:t>
            </w:r>
          </w:p>
          <w:p>
            <w:pPr>
              <w:pStyle w:val="64"/>
              <w:rPr>
                <w:rFonts w:hAnsi="宋体"/>
                <w:highlight w:val="none"/>
                <w:lang w:val="zh-CN"/>
              </w:rPr>
            </w:pPr>
            <w:r>
              <w:rPr>
                <w:rFonts w:hAnsi="宋体"/>
                <w:highlight w:val="none"/>
                <w:lang w:val="zh-CN"/>
              </w:rPr>
              <w:t>流</w:t>
            </w:r>
          </w:p>
        </w:tc>
        <w:tc>
          <w:tcPr>
            <w:tcW w:w="1187" w:type="dxa"/>
            <w:vAlign w:val="center"/>
          </w:tcPr>
          <w:p>
            <w:pPr>
              <w:pStyle w:val="64"/>
              <w:rPr>
                <w:rFonts w:hAnsi="宋体"/>
                <w:highlight w:val="none"/>
                <w:lang w:val="zh-CN"/>
              </w:rPr>
            </w:pPr>
            <w:r>
              <w:rPr>
                <w:rFonts w:hAnsi="宋体"/>
                <w:highlight w:val="none"/>
                <w:lang w:val="zh-CN"/>
              </w:rPr>
              <w:t>坝址下游无敏感点</w:t>
            </w:r>
          </w:p>
        </w:tc>
      </w:tr>
    </w:tbl>
    <w:p>
      <w:pPr>
        <w:snapToGrid w:val="0"/>
        <w:ind w:firstLine="480"/>
        <w:rPr>
          <w:rFonts w:ascii="宋体" w:hAnsi="宋体" w:cstheme="minorBidi"/>
          <w:highlight w:val="none"/>
        </w:rPr>
      </w:pPr>
      <w:r>
        <w:rPr>
          <w:rFonts w:hint="eastAsia" w:ascii="宋体" w:hAnsi="宋体" w:cstheme="minorBidi"/>
          <w:highlight w:val="none"/>
        </w:rPr>
        <w:t>选矿</w:t>
      </w:r>
      <w:r>
        <w:rPr>
          <w:rFonts w:ascii="宋体" w:hAnsi="宋体" w:cstheme="minorBidi"/>
          <w:highlight w:val="none"/>
        </w:rPr>
        <w:t>废石堆存于沟谷之中，形成了发生泥石流的潜在物质来源，废弃土石无序堆放可形成各类松散物质构成的不稳定边坡，遇到大量雨水形成的径流时，一旦溃坝有可能会随水流下泻形成泥石流。由于本项目尾矿库下游无敏感点分布，因此溃坝不会对村庄建筑、村民生活等造成影响。</w:t>
      </w:r>
    </w:p>
    <w:p>
      <w:pPr>
        <w:keepNext/>
        <w:keepLines/>
        <w:ind w:firstLine="480"/>
        <w:outlineLvl w:val="3"/>
        <w:rPr>
          <w:rFonts w:ascii="宋体" w:hAnsi="宋体"/>
          <w:bCs/>
          <w:szCs w:val="28"/>
          <w:highlight w:val="none"/>
        </w:rPr>
      </w:pPr>
      <w:r>
        <w:rPr>
          <w:rFonts w:ascii="宋体" w:hAnsi="宋体"/>
          <w:bCs/>
          <w:szCs w:val="28"/>
          <w:highlight w:val="none"/>
        </w:rPr>
        <w:t>5.7.3.2废机油泄露、火灾风险</w:t>
      </w:r>
    </w:p>
    <w:p>
      <w:pPr>
        <w:snapToGrid w:val="0"/>
        <w:ind w:firstLine="480"/>
        <w:rPr>
          <w:rFonts w:ascii="宋体" w:hAnsi="宋体" w:cstheme="minorBidi"/>
          <w:highlight w:val="none"/>
        </w:rPr>
      </w:pPr>
      <w:r>
        <w:rPr>
          <w:rFonts w:ascii="宋体" w:hAnsi="宋体" w:cstheme="minorBidi"/>
          <w:highlight w:val="none"/>
        </w:rPr>
        <w:t>机修间产生的废机油于危废暂存间内暂存，若发生泄露，会下渗进入土壤、地下水，从而污染地表水、地下水以及土壤环境。而且油类物质属易燃物质，若发生泄露，遇明火可能会发生火灾，燃烧废气对大气环境可能造成一定危害，产生的消防废水以及燃烧后的废物若处置不当还会对环境造成二次污染。</w:t>
      </w:r>
    </w:p>
    <w:p>
      <w:pPr>
        <w:keepNext/>
        <w:keepLines/>
        <w:spacing w:line="500" w:lineRule="exact"/>
        <w:ind w:firstLine="562"/>
        <w:outlineLvl w:val="2"/>
        <w:rPr>
          <w:rFonts w:ascii="宋体" w:hAnsi="宋体"/>
          <w:b/>
          <w:bCs/>
          <w:sz w:val="28"/>
          <w:szCs w:val="32"/>
          <w:highlight w:val="none"/>
        </w:rPr>
      </w:pPr>
      <w:bookmarkStart w:id="330" w:name="_Toc4678492"/>
      <w:r>
        <w:rPr>
          <w:rFonts w:ascii="宋体" w:hAnsi="宋体"/>
          <w:b/>
          <w:bCs/>
          <w:sz w:val="28"/>
          <w:szCs w:val="32"/>
          <w:highlight w:val="none"/>
        </w:rPr>
        <w:t>5.</w:t>
      </w:r>
      <w:r>
        <w:rPr>
          <w:rFonts w:hint="eastAsia" w:ascii="宋体" w:hAnsi="宋体"/>
          <w:b/>
          <w:bCs/>
          <w:sz w:val="28"/>
          <w:szCs w:val="32"/>
          <w:highlight w:val="none"/>
        </w:rPr>
        <w:t>7</w:t>
      </w:r>
      <w:r>
        <w:rPr>
          <w:rFonts w:ascii="宋体" w:hAnsi="宋体"/>
          <w:b/>
          <w:bCs/>
          <w:sz w:val="28"/>
          <w:szCs w:val="32"/>
          <w:highlight w:val="none"/>
        </w:rPr>
        <w:t>.</w:t>
      </w:r>
      <w:r>
        <w:rPr>
          <w:rFonts w:hint="eastAsia" w:ascii="宋体" w:hAnsi="宋体"/>
          <w:b/>
          <w:bCs/>
          <w:sz w:val="28"/>
          <w:szCs w:val="32"/>
          <w:highlight w:val="none"/>
        </w:rPr>
        <w:t>4废机油</w:t>
      </w:r>
      <w:r>
        <w:rPr>
          <w:rFonts w:ascii="宋体" w:hAnsi="宋体"/>
          <w:b/>
          <w:bCs/>
          <w:sz w:val="28"/>
          <w:szCs w:val="32"/>
          <w:highlight w:val="none"/>
        </w:rPr>
        <w:t>环境风险分析</w:t>
      </w:r>
      <w:bookmarkEnd w:id="330"/>
    </w:p>
    <w:p>
      <w:pPr>
        <w:keepNext/>
        <w:keepLines/>
        <w:ind w:firstLine="480"/>
        <w:outlineLvl w:val="3"/>
        <w:rPr>
          <w:rFonts w:ascii="宋体" w:hAnsi="宋体"/>
          <w:bCs/>
          <w:szCs w:val="28"/>
          <w:highlight w:val="none"/>
        </w:rPr>
      </w:pPr>
      <w:r>
        <w:rPr>
          <w:rFonts w:ascii="宋体" w:hAnsi="宋体"/>
          <w:bCs/>
          <w:szCs w:val="28"/>
          <w:highlight w:val="none"/>
        </w:rPr>
        <w:t>5.7.4</w:t>
      </w:r>
      <w:r>
        <w:rPr>
          <w:rFonts w:hint="eastAsia" w:ascii="宋体" w:hAnsi="宋体"/>
          <w:bCs/>
          <w:szCs w:val="28"/>
          <w:highlight w:val="none"/>
        </w:rPr>
        <w:t>.</w:t>
      </w:r>
      <w:r>
        <w:rPr>
          <w:rFonts w:ascii="宋体" w:hAnsi="宋体"/>
          <w:bCs/>
          <w:szCs w:val="28"/>
          <w:highlight w:val="none"/>
        </w:rPr>
        <w:t>1废机油泄露风险分析</w:t>
      </w:r>
    </w:p>
    <w:p>
      <w:pPr>
        <w:snapToGrid w:val="0"/>
        <w:ind w:firstLine="480"/>
        <w:rPr>
          <w:rFonts w:ascii="宋体" w:hAnsi="宋体" w:cstheme="minorBidi"/>
          <w:szCs w:val="20"/>
          <w:highlight w:val="none"/>
        </w:rPr>
      </w:pPr>
      <w:r>
        <w:rPr>
          <w:rFonts w:ascii="宋体" w:hAnsi="宋体" w:cstheme="minorBidi"/>
          <w:szCs w:val="20"/>
          <w:highlight w:val="none"/>
        </w:rPr>
        <w:t>1</w:t>
      </w:r>
      <w:r>
        <w:rPr>
          <w:rFonts w:hint="eastAsia" w:ascii="宋体" w:hAnsi="宋体" w:cstheme="minorBidi"/>
          <w:szCs w:val="20"/>
          <w:highlight w:val="none"/>
        </w:rPr>
        <w:t>、</w:t>
      </w:r>
      <w:r>
        <w:rPr>
          <w:rFonts w:ascii="宋体" w:hAnsi="宋体" w:cstheme="minorBidi"/>
          <w:szCs w:val="20"/>
          <w:highlight w:val="none"/>
        </w:rPr>
        <w:t>废机油泄露源强分析</w:t>
      </w:r>
    </w:p>
    <w:p>
      <w:pPr>
        <w:snapToGrid w:val="0"/>
        <w:ind w:firstLine="480"/>
        <w:rPr>
          <w:rFonts w:ascii="宋体" w:hAnsi="宋体" w:cstheme="minorBidi"/>
          <w:szCs w:val="20"/>
          <w:highlight w:val="none"/>
        </w:rPr>
      </w:pPr>
      <w:r>
        <w:rPr>
          <w:rFonts w:ascii="宋体" w:hAnsi="宋体" w:cstheme="minorBidi"/>
          <w:szCs w:val="20"/>
          <w:highlight w:val="none"/>
        </w:rPr>
        <w:t>废机油由专用容器收集后存于危废间内，最大泄露量按厂内最大存量考虑，一次最大泄露量约0.</w:t>
      </w:r>
      <w:r>
        <w:rPr>
          <w:rFonts w:hint="eastAsia" w:ascii="宋体" w:hAnsi="宋体" w:cstheme="minorBidi"/>
          <w:szCs w:val="20"/>
          <w:highlight w:val="none"/>
        </w:rPr>
        <w:t>5</w:t>
      </w:r>
      <w:r>
        <w:rPr>
          <w:rFonts w:ascii="宋体" w:hAnsi="宋体" w:cstheme="minorBidi"/>
          <w:szCs w:val="20"/>
          <w:highlight w:val="none"/>
        </w:rPr>
        <w:t>t。</w:t>
      </w:r>
    </w:p>
    <w:p>
      <w:pPr>
        <w:snapToGrid w:val="0"/>
        <w:ind w:firstLine="480"/>
        <w:rPr>
          <w:rFonts w:ascii="宋体" w:hAnsi="宋体" w:cstheme="minorBidi"/>
          <w:szCs w:val="20"/>
          <w:highlight w:val="none"/>
        </w:rPr>
      </w:pPr>
      <w:r>
        <w:rPr>
          <w:rFonts w:ascii="宋体" w:hAnsi="宋体" w:cstheme="minorBidi"/>
          <w:szCs w:val="20"/>
          <w:highlight w:val="none"/>
        </w:rPr>
        <w:t>2</w:t>
      </w:r>
      <w:r>
        <w:rPr>
          <w:rFonts w:hint="eastAsia" w:ascii="宋体" w:hAnsi="宋体" w:cstheme="minorBidi"/>
          <w:szCs w:val="20"/>
          <w:highlight w:val="none"/>
        </w:rPr>
        <w:t>、</w:t>
      </w:r>
      <w:r>
        <w:rPr>
          <w:rFonts w:ascii="宋体" w:hAnsi="宋体" w:cstheme="minorBidi"/>
          <w:szCs w:val="20"/>
          <w:highlight w:val="none"/>
        </w:rPr>
        <w:t>泄露条件</w:t>
      </w:r>
    </w:p>
    <w:p>
      <w:pPr>
        <w:snapToGrid w:val="0"/>
        <w:ind w:firstLine="480"/>
        <w:rPr>
          <w:rFonts w:ascii="宋体" w:hAnsi="宋体" w:cstheme="minorBidi"/>
          <w:szCs w:val="20"/>
          <w:highlight w:val="none"/>
        </w:rPr>
      </w:pPr>
      <w:r>
        <w:rPr>
          <w:rFonts w:hint="eastAsia" w:ascii="宋体" w:hAnsi="宋体" w:cs="宋体"/>
          <w:szCs w:val="20"/>
          <w:highlight w:val="none"/>
        </w:rPr>
        <w:t>①</w:t>
      </w:r>
      <w:r>
        <w:rPr>
          <w:rFonts w:ascii="宋体" w:hAnsi="宋体" w:cstheme="minorBidi"/>
          <w:szCs w:val="20"/>
          <w:highlight w:val="none"/>
        </w:rPr>
        <w:t>危险废物收集桶老化出现裂缝；</w:t>
      </w:r>
    </w:p>
    <w:p>
      <w:pPr>
        <w:snapToGrid w:val="0"/>
        <w:ind w:firstLine="480"/>
        <w:rPr>
          <w:rFonts w:ascii="宋体" w:hAnsi="宋体" w:cstheme="minorBidi"/>
          <w:szCs w:val="20"/>
          <w:highlight w:val="none"/>
        </w:rPr>
      </w:pPr>
      <w:r>
        <w:rPr>
          <w:rFonts w:hint="eastAsia" w:ascii="宋体" w:hAnsi="宋体" w:cs="宋体"/>
          <w:szCs w:val="20"/>
          <w:highlight w:val="none"/>
        </w:rPr>
        <w:t>②</w:t>
      </w:r>
      <w:r>
        <w:rPr>
          <w:rFonts w:ascii="宋体" w:hAnsi="宋体" w:cstheme="minorBidi"/>
          <w:szCs w:val="20"/>
          <w:highlight w:val="none"/>
        </w:rPr>
        <w:t>危险废物收集桶出现意外倒地、流出；</w:t>
      </w:r>
    </w:p>
    <w:p>
      <w:pPr>
        <w:snapToGrid w:val="0"/>
        <w:ind w:firstLine="480"/>
        <w:rPr>
          <w:rFonts w:ascii="宋体" w:hAnsi="宋体" w:cstheme="minorBidi"/>
          <w:szCs w:val="20"/>
          <w:highlight w:val="none"/>
        </w:rPr>
      </w:pPr>
      <w:r>
        <w:rPr>
          <w:rFonts w:hint="eastAsia" w:ascii="宋体" w:hAnsi="宋体" w:cs="宋体"/>
          <w:szCs w:val="20"/>
          <w:highlight w:val="none"/>
        </w:rPr>
        <w:t>③</w:t>
      </w:r>
      <w:r>
        <w:rPr>
          <w:rFonts w:ascii="宋体" w:hAnsi="宋体" w:cstheme="minorBidi"/>
          <w:szCs w:val="20"/>
          <w:highlight w:val="none"/>
        </w:rPr>
        <w:t>由其他突发事件引起的风险物质泄漏（比如火灾）。</w:t>
      </w:r>
    </w:p>
    <w:p>
      <w:pPr>
        <w:snapToGrid w:val="0"/>
        <w:ind w:firstLine="480"/>
        <w:rPr>
          <w:rFonts w:ascii="宋体" w:hAnsi="宋体" w:cstheme="minorBidi"/>
          <w:szCs w:val="20"/>
          <w:highlight w:val="none"/>
        </w:rPr>
      </w:pPr>
      <w:r>
        <w:rPr>
          <w:rFonts w:ascii="宋体" w:hAnsi="宋体" w:cstheme="minorBidi"/>
          <w:szCs w:val="20"/>
          <w:highlight w:val="none"/>
        </w:rPr>
        <w:t>3</w:t>
      </w:r>
      <w:r>
        <w:rPr>
          <w:rFonts w:hint="eastAsia" w:ascii="宋体" w:hAnsi="宋体" w:cstheme="minorBidi"/>
          <w:szCs w:val="20"/>
          <w:highlight w:val="none"/>
        </w:rPr>
        <w:t>、</w:t>
      </w:r>
      <w:r>
        <w:rPr>
          <w:rFonts w:ascii="宋体" w:hAnsi="宋体" w:cstheme="minorBidi"/>
          <w:szCs w:val="20"/>
          <w:highlight w:val="none"/>
        </w:rPr>
        <w:t>扩散途径</w:t>
      </w:r>
    </w:p>
    <w:p>
      <w:pPr>
        <w:snapToGrid w:val="0"/>
        <w:ind w:firstLine="480"/>
        <w:rPr>
          <w:rFonts w:ascii="宋体" w:hAnsi="宋体" w:cstheme="minorBidi"/>
          <w:szCs w:val="20"/>
          <w:highlight w:val="none"/>
        </w:rPr>
      </w:pPr>
      <w:r>
        <w:rPr>
          <w:rFonts w:ascii="宋体" w:hAnsi="宋体" w:cstheme="minorBidi"/>
          <w:szCs w:val="20"/>
          <w:highlight w:val="none"/>
        </w:rPr>
        <w:t>废机油泄露后会随意在厂内地面顺地势扩散，并下渗进入土壤、地下水，对矿区饮用水源产生影响。</w:t>
      </w:r>
    </w:p>
    <w:p>
      <w:pPr>
        <w:snapToGrid w:val="0"/>
        <w:ind w:firstLine="480"/>
        <w:rPr>
          <w:rFonts w:ascii="宋体" w:hAnsi="宋体" w:cstheme="minorBidi"/>
          <w:szCs w:val="20"/>
          <w:highlight w:val="none"/>
        </w:rPr>
      </w:pPr>
      <w:r>
        <w:rPr>
          <w:rFonts w:ascii="宋体" w:hAnsi="宋体" w:cstheme="minorBidi"/>
          <w:szCs w:val="20"/>
          <w:highlight w:val="none"/>
        </w:rPr>
        <w:t>4</w:t>
      </w:r>
      <w:r>
        <w:rPr>
          <w:rFonts w:hint="eastAsia" w:ascii="宋体" w:hAnsi="宋体" w:cstheme="minorBidi"/>
          <w:szCs w:val="20"/>
          <w:highlight w:val="none"/>
        </w:rPr>
        <w:t>、</w:t>
      </w:r>
      <w:r>
        <w:rPr>
          <w:rFonts w:ascii="宋体" w:hAnsi="宋体" w:cstheme="minorBidi"/>
          <w:szCs w:val="20"/>
          <w:highlight w:val="none"/>
        </w:rPr>
        <w:t>环境风险分析</w:t>
      </w:r>
    </w:p>
    <w:p>
      <w:pPr>
        <w:snapToGrid w:val="0"/>
        <w:ind w:firstLine="480"/>
        <w:rPr>
          <w:rFonts w:ascii="宋体" w:hAnsi="宋体" w:cstheme="minorBidi"/>
          <w:szCs w:val="20"/>
          <w:highlight w:val="none"/>
        </w:rPr>
      </w:pPr>
      <w:r>
        <w:rPr>
          <w:rFonts w:ascii="宋体" w:hAnsi="宋体" w:cstheme="minorBidi"/>
          <w:szCs w:val="20"/>
          <w:highlight w:val="none"/>
        </w:rPr>
        <w:t>油类物质发生泄露，可能会对区域地表水、地下水和土壤造成一定污染。这些物质泄漏时会沿着地面，顺着地势扩散。这些物质平时存放在危废暂存间内，</w:t>
      </w:r>
      <w:r>
        <w:rPr>
          <w:rFonts w:hint="eastAsia" w:ascii="宋体" w:hAnsi="宋体" w:cstheme="minorBidi"/>
          <w:szCs w:val="20"/>
          <w:highlight w:val="none"/>
        </w:rPr>
        <w:t>环评</w:t>
      </w:r>
      <w:r>
        <w:rPr>
          <w:rFonts w:ascii="宋体" w:hAnsi="宋体" w:cstheme="minorBidi"/>
          <w:szCs w:val="20"/>
          <w:highlight w:val="none"/>
        </w:rPr>
        <w:t>要求危废暂存间严格按照规范要求进行防渗设计，由于泄露量较小，发生泄漏时，用沙土堵住车间大门，可以确保泄漏物质不流出厂房，因此基本不会对地表水、地下水、土壤等造成污染。</w:t>
      </w:r>
    </w:p>
    <w:p>
      <w:pPr>
        <w:keepNext/>
        <w:keepLines/>
        <w:ind w:firstLine="480"/>
        <w:outlineLvl w:val="3"/>
        <w:rPr>
          <w:rFonts w:ascii="宋体" w:hAnsi="宋体"/>
          <w:bCs/>
          <w:szCs w:val="28"/>
          <w:highlight w:val="none"/>
        </w:rPr>
      </w:pPr>
      <w:r>
        <w:rPr>
          <w:rFonts w:ascii="宋体" w:hAnsi="宋体"/>
          <w:bCs/>
          <w:szCs w:val="28"/>
          <w:highlight w:val="none"/>
        </w:rPr>
        <w:t>5.7.4.</w:t>
      </w:r>
      <w:r>
        <w:rPr>
          <w:rFonts w:hint="eastAsia" w:ascii="宋体" w:hAnsi="宋体"/>
          <w:bCs/>
          <w:szCs w:val="28"/>
          <w:highlight w:val="none"/>
        </w:rPr>
        <w:t>2</w:t>
      </w:r>
      <w:r>
        <w:rPr>
          <w:rFonts w:ascii="宋体" w:hAnsi="宋体"/>
          <w:bCs/>
          <w:szCs w:val="28"/>
          <w:highlight w:val="none"/>
        </w:rPr>
        <w:t>废机油火灾风险分析</w:t>
      </w:r>
    </w:p>
    <w:p>
      <w:pPr>
        <w:snapToGrid w:val="0"/>
        <w:ind w:firstLine="480"/>
        <w:rPr>
          <w:rFonts w:ascii="宋体" w:hAnsi="宋体" w:cstheme="minorBidi"/>
          <w:szCs w:val="20"/>
          <w:highlight w:val="none"/>
        </w:rPr>
      </w:pPr>
      <w:r>
        <w:rPr>
          <w:rFonts w:ascii="宋体" w:hAnsi="宋体" w:cstheme="minorBidi"/>
          <w:szCs w:val="20"/>
          <w:highlight w:val="none"/>
        </w:rPr>
        <w:t>1</w:t>
      </w:r>
      <w:r>
        <w:rPr>
          <w:rFonts w:hint="eastAsia" w:ascii="宋体" w:hAnsi="宋体" w:cstheme="minorBidi"/>
          <w:szCs w:val="20"/>
          <w:highlight w:val="none"/>
        </w:rPr>
        <w:t>、</w:t>
      </w:r>
      <w:r>
        <w:rPr>
          <w:rFonts w:ascii="宋体" w:hAnsi="宋体" w:cstheme="minorBidi"/>
          <w:szCs w:val="20"/>
          <w:highlight w:val="none"/>
        </w:rPr>
        <w:t>火灾源强分析</w:t>
      </w:r>
    </w:p>
    <w:p>
      <w:pPr>
        <w:snapToGrid w:val="0"/>
        <w:ind w:firstLine="480"/>
        <w:rPr>
          <w:rFonts w:ascii="宋体" w:hAnsi="宋体" w:cstheme="minorBidi"/>
          <w:szCs w:val="20"/>
          <w:highlight w:val="none"/>
        </w:rPr>
      </w:pPr>
      <w:r>
        <w:rPr>
          <w:rFonts w:ascii="宋体" w:hAnsi="宋体" w:cstheme="minorBidi"/>
          <w:szCs w:val="20"/>
          <w:highlight w:val="none"/>
        </w:rPr>
        <w:t>油类物质属易燃物质，厂内最大存量约0.</w:t>
      </w:r>
      <w:r>
        <w:rPr>
          <w:rFonts w:hint="eastAsia" w:ascii="宋体" w:hAnsi="宋体" w:cstheme="minorBidi"/>
          <w:szCs w:val="20"/>
          <w:highlight w:val="none"/>
        </w:rPr>
        <w:t>5</w:t>
      </w:r>
      <w:r>
        <w:rPr>
          <w:rFonts w:ascii="宋体" w:hAnsi="宋体" w:cstheme="minorBidi"/>
          <w:szCs w:val="20"/>
          <w:highlight w:val="none"/>
        </w:rPr>
        <w:t>t，存量很小，其燃烧产物一般为二氧化碳、水、氮氧化物、二氧化硫等，对环境有一定危害。</w:t>
      </w:r>
    </w:p>
    <w:p>
      <w:pPr>
        <w:snapToGrid w:val="0"/>
        <w:ind w:firstLine="480"/>
        <w:rPr>
          <w:rFonts w:ascii="宋体" w:hAnsi="宋体" w:cstheme="minorBidi"/>
          <w:szCs w:val="20"/>
          <w:highlight w:val="none"/>
        </w:rPr>
      </w:pPr>
      <w:r>
        <w:rPr>
          <w:rFonts w:ascii="宋体" w:hAnsi="宋体" w:cstheme="minorBidi"/>
          <w:szCs w:val="20"/>
          <w:highlight w:val="none"/>
        </w:rPr>
        <w:t>根据《中国环境影响评价培训教材》：燃烧1m</w:t>
      </w:r>
      <w:r>
        <w:rPr>
          <w:rFonts w:ascii="宋体" w:hAnsi="宋体" w:cstheme="minorBidi"/>
          <w:szCs w:val="20"/>
          <w:highlight w:val="none"/>
          <w:vertAlign w:val="superscript"/>
        </w:rPr>
        <w:t>3</w:t>
      </w:r>
      <w:r>
        <w:rPr>
          <w:rFonts w:ascii="宋体" w:hAnsi="宋体" w:cstheme="minorBidi"/>
          <w:szCs w:val="20"/>
          <w:highlight w:val="none"/>
        </w:rPr>
        <w:t>的柴油排放的主要大气污染物总量：氮氧化物（以NO</w:t>
      </w:r>
      <w:r>
        <w:rPr>
          <w:rFonts w:ascii="宋体" w:hAnsi="宋体" w:cstheme="minorBidi"/>
          <w:szCs w:val="20"/>
          <w:highlight w:val="none"/>
          <w:vertAlign w:val="subscript"/>
        </w:rPr>
        <w:t>2</w:t>
      </w:r>
      <w:r>
        <w:rPr>
          <w:rFonts w:ascii="宋体" w:hAnsi="宋体" w:cstheme="minorBidi"/>
          <w:szCs w:val="20"/>
          <w:highlight w:val="none"/>
        </w:rPr>
        <w:t>计）8.57kg/m</w:t>
      </w:r>
      <w:r>
        <w:rPr>
          <w:rFonts w:ascii="宋体" w:hAnsi="宋体" w:cstheme="minorBidi"/>
          <w:szCs w:val="20"/>
          <w:highlight w:val="none"/>
          <w:vertAlign w:val="superscript"/>
        </w:rPr>
        <w:t>3</w:t>
      </w:r>
      <w:r>
        <w:rPr>
          <w:rFonts w:ascii="宋体" w:hAnsi="宋体" w:cstheme="minorBidi"/>
          <w:szCs w:val="20"/>
          <w:highlight w:val="none"/>
        </w:rPr>
        <w:t>，二氧化硫10.0kg/m</w:t>
      </w:r>
      <w:r>
        <w:rPr>
          <w:rFonts w:ascii="宋体" w:hAnsi="宋体" w:cstheme="minorBidi"/>
          <w:szCs w:val="20"/>
          <w:highlight w:val="none"/>
          <w:vertAlign w:val="superscript"/>
        </w:rPr>
        <w:t>3</w:t>
      </w:r>
      <w:r>
        <w:rPr>
          <w:rFonts w:ascii="宋体" w:hAnsi="宋体" w:cstheme="minorBidi"/>
          <w:szCs w:val="20"/>
          <w:highlight w:val="none"/>
        </w:rPr>
        <w:t>，烟尘1.80kg/m</w:t>
      </w:r>
      <w:r>
        <w:rPr>
          <w:rFonts w:ascii="宋体" w:hAnsi="宋体" w:cstheme="minorBidi"/>
          <w:szCs w:val="20"/>
          <w:highlight w:val="none"/>
          <w:vertAlign w:val="superscript"/>
        </w:rPr>
        <w:t>3</w:t>
      </w:r>
      <w:r>
        <w:rPr>
          <w:rFonts w:ascii="宋体" w:hAnsi="宋体" w:cstheme="minorBidi"/>
          <w:szCs w:val="20"/>
          <w:highlight w:val="none"/>
        </w:rPr>
        <w:t>。本项目的油类物质参照柴油燃烧的标准计算，油的密度约为0.91×10</w:t>
      </w:r>
      <w:r>
        <w:rPr>
          <w:rFonts w:ascii="宋体" w:hAnsi="宋体" w:cstheme="minorBidi"/>
          <w:szCs w:val="20"/>
          <w:highlight w:val="none"/>
          <w:vertAlign w:val="superscript"/>
        </w:rPr>
        <w:t>3</w:t>
      </w:r>
      <w:r>
        <w:rPr>
          <w:rFonts w:ascii="宋体" w:hAnsi="宋体" w:cstheme="minorBidi"/>
          <w:szCs w:val="20"/>
          <w:highlight w:val="none"/>
        </w:rPr>
        <w:t>kg/m</w:t>
      </w:r>
      <w:r>
        <w:rPr>
          <w:rFonts w:ascii="宋体" w:hAnsi="宋体" w:cstheme="minorBidi"/>
          <w:szCs w:val="20"/>
          <w:highlight w:val="none"/>
          <w:vertAlign w:val="superscript"/>
        </w:rPr>
        <w:t>3</w:t>
      </w:r>
      <w:r>
        <w:rPr>
          <w:rFonts w:ascii="宋体" w:hAnsi="宋体" w:cstheme="minorBidi"/>
          <w:szCs w:val="20"/>
          <w:highlight w:val="none"/>
        </w:rPr>
        <w:t>。</w:t>
      </w:r>
    </w:p>
    <w:p>
      <w:pPr>
        <w:snapToGrid w:val="0"/>
        <w:ind w:firstLine="480"/>
        <w:rPr>
          <w:rFonts w:ascii="宋体" w:hAnsi="宋体" w:cstheme="minorBidi"/>
          <w:szCs w:val="20"/>
          <w:highlight w:val="none"/>
        </w:rPr>
      </w:pPr>
      <w:r>
        <w:rPr>
          <w:rFonts w:ascii="宋体" w:hAnsi="宋体" w:cstheme="minorBidi"/>
          <w:szCs w:val="20"/>
          <w:highlight w:val="none"/>
        </w:rPr>
        <w:t>危废暂存间发生火灾时，则油燃烧产生NO</w:t>
      </w:r>
      <w:r>
        <w:rPr>
          <w:rFonts w:ascii="宋体" w:hAnsi="宋体" w:cstheme="minorBidi"/>
          <w:szCs w:val="20"/>
          <w:highlight w:val="none"/>
          <w:vertAlign w:val="subscript"/>
        </w:rPr>
        <w:t>2</w:t>
      </w:r>
      <w:r>
        <w:rPr>
          <w:rFonts w:ascii="宋体" w:hAnsi="宋体" w:cstheme="minorBidi"/>
          <w:szCs w:val="20"/>
          <w:highlight w:val="none"/>
        </w:rPr>
        <w:t>、SO</w:t>
      </w:r>
      <w:r>
        <w:rPr>
          <w:rFonts w:ascii="宋体" w:hAnsi="宋体" w:cstheme="minorBidi"/>
          <w:szCs w:val="20"/>
          <w:highlight w:val="none"/>
          <w:vertAlign w:val="subscript"/>
        </w:rPr>
        <w:t>2</w:t>
      </w:r>
      <w:r>
        <w:rPr>
          <w:rFonts w:ascii="宋体" w:hAnsi="宋体" w:cstheme="minorBidi"/>
          <w:szCs w:val="20"/>
          <w:highlight w:val="none"/>
        </w:rPr>
        <w:t>和烟尘会对周边大气环境产生一定影响。由于厂内易燃物质存量很小，若发生火灾，产生的有毒有害气体量很少，基本不会对周边村庄造成影响。</w:t>
      </w:r>
    </w:p>
    <w:p>
      <w:pPr>
        <w:snapToGrid w:val="0"/>
        <w:ind w:firstLine="480"/>
        <w:rPr>
          <w:rFonts w:ascii="宋体" w:hAnsi="宋体" w:cstheme="minorBidi"/>
          <w:szCs w:val="20"/>
          <w:highlight w:val="none"/>
        </w:rPr>
      </w:pPr>
      <w:r>
        <w:rPr>
          <w:rFonts w:ascii="宋体" w:hAnsi="宋体" w:cstheme="minorBidi"/>
          <w:szCs w:val="20"/>
          <w:highlight w:val="none"/>
        </w:rPr>
        <w:t>2</w:t>
      </w:r>
      <w:r>
        <w:rPr>
          <w:rFonts w:hint="eastAsia" w:ascii="宋体" w:hAnsi="宋体" w:cstheme="minorBidi"/>
          <w:szCs w:val="20"/>
          <w:highlight w:val="none"/>
        </w:rPr>
        <w:t>、</w:t>
      </w:r>
      <w:r>
        <w:rPr>
          <w:rFonts w:ascii="宋体" w:hAnsi="宋体" w:cstheme="minorBidi"/>
          <w:szCs w:val="20"/>
          <w:highlight w:val="none"/>
        </w:rPr>
        <w:t>释放条件</w:t>
      </w:r>
    </w:p>
    <w:p>
      <w:pPr>
        <w:snapToGrid w:val="0"/>
        <w:ind w:firstLine="480"/>
        <w:rPr>
          <w:rFonts w:ascii="宋体" w:hAnsi="宋体" w:cstheme="minorBidi"/>
          <w:szCs w:val="20"/>
          <w:highlight w:val="none"/>
        </w:rPr>
      </w:pPr>
      <w:r>
        <w:rPr>
          <w:rFonts w:hint="eastAsia" w:ascii="宋体" w:hAnsi="宋体" w:cs="宋体"/>
          <w:szCs w:val="20"/>
          <w:highlight w:val="none"/>
        </w:rPr>
        <w:t>①</w:t>
      </w:r>
      <w:r>
        <w:rPr>
          <w:rFonts w:ascii="宋体" w:hAnsi="宋体" w:cstheme="minorBidi"/>
          <w:szCs w:val="20"/>
          <w:highlight w:val="none"/>
        </w:rPr>
        <w:t>可燃物质与明火接触；</w:t>
      </w:r>
    </w:p>
    <w:p>
      <w:pPr>
        <w:snapToGrid w:val="0"/>
        <w:ind w:firstLine="480"/>
        <w:rPr>
          <w:rFonts w:ascii="宋体" w:hAnsi="宋体" w:cstheme="minorBidi"/>
          <w:szCs w:val="20"/>
          <w:highlight w:val="none"/>
        </w:rPr>
      </w:pPr>
      <w:r>
        <w:rPr>
          <w:rFonts w:hint="eastAsia" w:ascii="宋体" w:hAnsi="宋体" w:cs="宋体"/>
          <w:szCs w:val="20"/>
          <w:highlight w:val="none"/>
        </w:rPr>
        <w:t>②</w:t>
      </w:r>
      <w:r>
        <w:rPr>
          <w:rFonts w:ascii="宋体" w:hAnsi="宋体" w:cstheme="minorBidi"/>
          <w:szCs w:val="20"/>
          <w:highlight w:val="none"/>
        </w:rPr>
        <w:t>人为因素引发的自然灾害，造成事故，如避雷设施施工质量差，设计不合理等可能引发雷击事故的发生；</w:t>
      </w:r>
    </w:p>
    <w:p>
      <w:pPr>
        <w:snapToGrid w:val="0"/>
        <w:ind w:firstLine="480"/>
        <w:rPr>
          <w:rFonts w:ascii="宋体" w:hAnsi="宋体" w:cstheme="minorBidi"/>
          <w:szCs w:val="20"/>
          <w:highlight w:val="none"/>
        </w:rPr>
      </w:pPr>
      <w:r>
        <w:rPr>
          <w:rFonts w:hint="eastAsia" w:ascii="宋体" w:hAnsi="宋体" w:cs="宋体"/>
          <w:szCs w:val="20"/>
          <w:highlight w:val="none"/>
        </w:rPr>
        <w:t>③</w:t>
      </w:r>
      <w:r>
        <w:rPr>
          <w:rFonts w:ascii="宋体" w:hAnsi="宋体" w:cstheme="minorBidi"/>
          <w:szCs w:val="20"/>
          <w:highlight w:val="none"/>
        </w:rPr>
        <w:t>其他情况造成的可燃物质着火。</w:t>
      </w:r>
    </w:p>
    <w:p>
      <w:pPr>
        <w:snapToGrid w:val="0"/>
        <w:ind w:firstLine="480"/>
        <w:rPr>
          <w:rFonts w:ascii="宋体" w:hAnsi="宋体" w:cstheme="minorBidi"/>
          <w:szCs w:val="20"/>
          <w:highlight w:val="none"/>
        </w:rPr>
      </w:pPr>
      <w:r>
        <w:rPr>
          <w:rFonts w:ascii="宋体" w:hAnsi="宋体" w:cstheme="minorBidi"/>
          <w:szCs w:val="20"/>
          <w:highlight w:val="none"/>
        </w:rPr>
        <w:t>3</w:t>
      </w:r>
      <w:r>
        <w:rPr>
          <w:rFonts w:hint="eastAsia" w:ascii="宋体" w:hAnsi="宋体" w:cstheme="minorBidi"/>
          <w:szCs w:val="20"/>
          <w:highlight w:val="none"/>
        </w:rPr>
        <w:t>、</w:t>
      </w:r>
      <w:r>
        <w:rPr>
          <w:rFonts w:ascii="宋体" w:hAnsi="宋体" w:cstheme="minorBidi"/>
          <w:szCs w:val="20"/>
          <w:highlight w:val="none"/>
        </w:rPr>
        <w:t>扩散途径</w:t>
      </w:r>
    </w:p>
    <w:p>
      <w:pPr>
        <w:snapToGrid w:val="0"/>
        <w:ind w:firstLine="480"/>
        <w:rPr>
          <w:rFonts w:ascii="宋体" w:hAnsi="宋体" w:cstheme="minorBidi"/>
          <w:szCs w:val="20"/>
          <w:highlight w:val="none"/>
        </w:rPr>
      </w:pPr>
      <w:r>
        <w:rPr>
          <w:rFonts w:ascii="宋体" w:hAnsi="宋体" w:cstheme="minorBidi"/>
          <w:szCs w:val="20"/>
          <w:highlight w:val="none"/>
        </w:rPr>
        <w:t>地面风险源发生火灾瞬时会产生大量浓烟，浓烟会随着风势扩散。</w:t>
      </w:r>
    </w:p>
    <w:p>
      <w:pPr>
        <w:snapToGrid w:val="0"/>
        <w:ind w:firstLine="480"/>
        <w:rPr>
          <w:rFonts w:ascii="宋体" w:hAnsi="宋体" w:cstheme="minorBidi"/>
          <w:szCs w:val="20"/>
          <w:highlight w:val="none"/>
        </w:rPr>
      </w:pPr>
      <w:r>
        <w:rPr>
          <w:rFonts w:ascii="宋体" w:hAnsi="宋体" w:cstheme="minorBidi"/>
          <w:szCs w:val="20"/>
          <w:highlight w:val="none"/>
        </w:rPr>
        <w:t>4</w:t>
      </w:r>
      <w:r>
        <w:rPr>
          <w:rFonts w:hint="eastAsia" w:ascii="宋体" w:hAnsi="宋体" w:cstheme="minorBidi"/>
          <w:szCs w:val="20"/>
          <w:highlight w:val="none"/>
        </w:rPr>
        <w:t>、</w:t>
      </w:r>
      <w:r>
        <w:rPr>
          <w:rFonts w:ascii="宋体" w:hAnsi="宋体" w:cstheme="minorBidi"/>
          <w:szCs w:val="20"/>
          <w:highlight w:val="none"/>
        </w:rPr>
        <w:t>环境风险分析</w:t>
      </w:r>
    </w:p>
    <w:p>
      <w:pPr>
        <w:snapToGrid w:val="0"/>
        <w:ind w:firstLine="480"/>
        <w:rPr>
          <w:rFonts w:ascii="宋体" w:hAnsi="宋体" w:cstheme="minorBidi"/>
          <w:szCs w:val="20"/>
          <w:highlight w:val="none"/>
        </w:rPr>
      </w:pPr>
      <w:r>
        <w:rPr>
          <w:rFonts w:ascii="宋体" w:hAnsi="宋体" w:cstheme="minorBidi"/>
          <w:szCs w:val="20"/>
          <w:highlight w:val="none"/>
        </w:rPr>
        <w:t>本项目油类物质发生火灾后，会产生氮氧化物、二氧化碳、二氧化硫、烟尘等，主要会对厂内局部空气质量造成较大的影响，</w:t>
      </w:r>
      <w:r>
        <w:rPr>
          <w:rFonts w:hint="eastAsia" w:ascii="宋体" w:hAnsi="宋体" w:cstheme="minorBidi"/>
          <w:szCs w:val="20"/>
          <w:highlight w:val="none"/>
        </w:rPr>
        <w:t>若发生火灾，产生的有毒有害气体量很少</w:t>
      </w:r>
      <w:r>
        <w:rPr>
          <w:rFonts w:ascii="宋体" w:hAnsi="宋体" w:cstheme="minorBidi"/>
          <w:szCs w:val="20"/>
          <w:highlight w:val="none"/>
        </w:rPr>
        <w:t>，因此基本不会对周边村庄造成影响。</w:t>
      </w:r>
    </w:p>
    <w:p>
      <w:pPr>
        <w:keepNext/>
        <w:keepLines/>
        <w:ind w:firstLine="480"/>
        <w:outlineLvl w:val="3"/>
        <w:rPr>
          <w:rFonts w:ascii="宋体" w:hAnsi="宋体"/>
          <w:bCs/>
          <w:szCs w:val="28"/>
          <w:highlight w:val="none"/>
        </w:rPr>
      </w:pPr>
      <w:r>
        <w:rPr>
          <w:rFonts w:ascii="宋体" w:hAnsi="宋体"/>
          <w:bCs/>
          <w:szCs w:val="28"/>
          <w:highlight w:val="none"/>
        </w:rPr>
        <w:t>5.7.4.</w:t>
      </w:r>
      <w:r>
        <w:rPr>
          <w:rFonts w:hint="eastAsia" w:ascii="宋体" w:hAnsi="宋体"/>
          <w:bCs/>
          <w:szCs w:val="28"/>
          <w:highlight w:val="none"/>
        </w:rPr>
        <w:t>3</w:t>
      </w:r>
      <w:r>
        <w:rPr>
          <w:rFonts w:ascii="宋体" w:hAnsi="宋体"/>
          <w:bCs/>
          <w:szCs w:val="28"/>
          <w:highlight w:val="none"/>
        </w:rPr>
        <w:t>废机油泄露、火灾风险防范措施</w:t>
      </w:r>
    </w:p>
    <w:p>
      <w:pPr>
        <w:snapToGrid w:val="0"/>
        <w:ind w:firstLine="480"/>
        <w:rPr>
          <w:rFonts w:ascii="宋体" w:hAnsi="宋体" w:cstheme="minorBidi"/>
          <w:szCs w:val="20"/>
          <w:highlight w:val="none"/>
        </w:rPr>
      </w:pPr>
      <w:r>
        <w:rPr>
          <w:rFonts w:ascii="宋体" w:hAnsi="宋体" w:cstheme="minorBidi"/>
          <w:szCs w:val="20"/>
          <w:highlight w:val="none"/>
        </w:rPr>
        <w:t>1、泄露风险防范措施</w:t>
      </w:r>
    </w:p>
    <w:p>
      <w:pPr>
        <w:snapToGrid w:val="0"/>
        <w:ind w:firstLine="480"/>
        <w:rPr>
          <w:rFonts w:ascii="宋体" w:hAnsi="宋体" w:cstheme="minorBidi"/>
          <w:szCs w:val="20"/>
          <w:highlight w:val="none"/>
        </w:rPr>
      </w:pPr>
      <w:r>
        <w:rPr>
          <w:rFonts w:ascii="宋体" w:hAnsi="宋体" w:cstheme="minorBidi"/>
          <w:szCs w:val="20"/>
          <w:highlight w:val="none"/>
        </w:rPr>
        <w:t>1）危废暂存间应封闭，严格按照规范要求进行防渗设计，门口设置围堰，在发生泄漏事件时，可确保将危险物质围堵在厂房内。</w:t>
      </w:r>
    </w:p>
    <w:p>
      <w:pPr>
        <w:snapToGrid w:val="0"/>
        <w:ind w:firstLine="480"/>
        <w:rPr>
          <w:rFonts w:ascii="宋体" w:hAnsi="宋体" w:cstheme="minorBidi"/>
          <w:szCs w:val="20"/>
          <w:highlight w:val="none"/>
        </w:rPr>
      </w:pPr>
      <w:r>
        <w:rPr>
          <w:rFonts w:ascii="宋体" w:hAnsi="宋体" w:cstheme="minorBidi"/>
          <w:szCs w:val="20"/>
          <w:highlight w:val="none"/>
        </w:rPr>
        <w:t>2）日常有值班人员进行安全检查。</w:t>
      </w:r>
    </w:p>
    <w:p>
      <w:pPr>
        <w:snapToGrid w:val="0"/>
        <w:ind w:firstLine="480"/>
        <w:rPr>
          <w:rFonts w:ascii="宋体" w:hAnsi="宋体" w:cstheme="minorBidi"/>
          <w:szCs w:val="20"/>
          <w:highlight w:val="none"/>
        </w:rPr>
      </w:pPr>
      <w:r>
        <w:rPr>
          <w:rFonts w:ascii="宋体" w:hAnsi="宋体" w:cstheme="minorBidi"/>
          <w:szCs w:val="20"/>
          <w:highlight w:val="none"/>
        </w:rPr>
        <w:t>2、火灾风险防范措施</w:t>
      </w:r>
    </w:p>
    <w:p>
      <w:pPr>
        <w:snapToGrid w:val="0"/>
        <w:ind w:firstLine="480"/>
        <w:rPr>
          <w:rFonts w:ascii="宋体" w:hAnsi="宋体" w:cstheme="minorBidi"/>
          <w:szCs w:val="20"/>
          <w:highlight w:val="none"/>
        </w:rPr>
      </w:pPr>
      <w:r>
        <w:rPr>
          <w:rFonts w:ascii="宋体" w:hAnsi="宋体" w:cstheme="minorBidi"/>
          <w:szCs w:val="20"/>
          <w:highlight w:val="none"/>
        </w:rPr>
        <w:t>1）危废暂存间设置消防设施，悬挂禁止明火标志，进行消防验收，及时更换补充消防应急物资。</w:t>
      </w:r>
    </w:p>
    <w:p>
      <w:pPr>
        <w:snapToGrid w:val="0"/>
        <w:ind w:firstLine="480"/>
        <w:rPr>
          <w:rFonts w:ascii="宋体" w:hAnsi="宋体" w:cstheme="minorBidi"/>
          <w:szCs w:val="20"/>
          <w:highlight w:val="none"/>
        </w:rPr>
      </w:pPr>
      <w:r>
        <w:rPr>
          <w:rFonts w:ascii="宋体" w:hAnsi="宋体" w:cstheme="minorBidi"/>
          <w:szCs w:val="20"/>
          <w:highlight w:val="none"/>
        </w:rPr>
        <w:t>2）坚持在安全的情况下再进行危险物质的操作，停止操作时，及时封闭危险物质。</w:t>
      </w:r>
    </w:p>
    <w:p>
      <w:pPr>
        <w:keepNext/>
        <w:keepLines/>
        <w:ind w:firstLine="480"/>
        <w:outlineLvl w:val="3"/>
        <w:rPr>
          <w:rFonts w:ascii="宋体" w:hAnsi="宋体"/>
          <w:bCs/>
          <w:szCs w:val="28"/>
          <w:highlight w:val="none"/>
        </w:rPr>
      </w:pPr>
      <w:r>
        <w:rPr>
          <w:rFonts w:ascii="宋体" w:hAnsi="宋体"/>
          <w:bCs/>
          <w:szCs w:val="28"/>
          <w:highlight w:val="none"/>
        </w:rPr>
        <w:t>5.7.4.</w:t>
      </w:r>
      <w:r>
        <w:rPr>
          <w:rFonts w:hint="eastAsia" w:ascii="宋体" w:hAnsi="宋体"/>
          <w:bCs/>
          <w:szCs w:val="28"/>
          <w:highlight w:val="none"/>
        </w:rPr>
        <w:t>4</w:t>
      </w:r>
      <w:r>
        <w:rPr>
          <w:rFonts w:ascii="宋体" w:hAnsi="宋体"/>
          <w:bCs/>
          <w:szCs w:val="28"/>
          <w:highlight w:val="none"/>
        </w:rPr>
        <w:t>事故应急预案</w:t>
      </w:r>
    </w:p>
    <w:p>
      <w:pPr>
        <w:snapToGrid w:val="0"/>
        <w:ind w:firstLine="480"/>
        <w:rPr>
          <w:rFonts w:ascii="宋体" w:hAnsi="宋体" w:cstheme="minorBidi"/>
          <w:highlight w:val="none"/>
        </w:rPr>
      </w:pPr>
      <w:r>
        <w:rPr>
          <w:rFonts w:ascii="宋体" w:hAnsi="宋体" w:cstheme="minorBidi"/>
          <w:highlight w:val="none"/>
        </w:rPr>
        <w:t>根据《企业事业单位突发环境事件应急预案备案管理办法（试行）》，企业应结合公司实际情况建立一套应急救援体系，以进一步增强</w:t>
      </w:r>
      <w:r>
        <w:rPr>
          <w:rFonts w:hint="eastAsia" w:ascii="宋体" w:hAnsi="宋体" w:cstheme="minorBidi"/>
          <w:highlight w:val="none"/>
        </w:rPr>
        <w:t>防治</w:t>
      </w:r>
      <w:r>
        <w:rPr>
          <w:rFonts w:ascii="宋体" w:hAnsi="宋体" w:cstheme="minorBidi"/>
          <w:highlight w:val="none"/>
        </w:rPr>
        <w:t>和应对可能突发的环境污染事故的应急救援能力。</w:t>
      </w:r>
    </w:p>
    <w:p>
      <w:pPr>
        <w:pStyle w:val="4"/>
        <w:ind w:firstLine="562"/>
        <w:rPr>
          <w:rFonts w:hAnsi="宋体"/>
          <w:highlight w:val="none"/>
        </w:rPr>
      </w:pPr>
      <w:r>
        <w:rPr>
          <w:rFonts w:hAnsi="宋体"/>
          <w:highlight w:val="none"/>
        </w:rPr>
        <w:t>5.</w:t>
      </w:r>
      <w:r>
        <w:rPr>
          <w:rFonts w:hint="eastAsia" w:hAnsi="宋体"/>
          <w:highlight w:val="none"/>
        </w:rPr>
        <w:t>7.5</w:t>
      </w:r>
      <w:r>
        <w:rPr>
          <w:rFonts w:hAnsi="宋体"/>
          <w:highlight w:val="none"/>
        </w:rPr>
        <w:t>尾矿库环境风险分析</w:t>
      </w:r>
    </w:p>
    <w:p>
      <w:pPr>
        <w:pStyle w:val="62"/>
        <w:ind w:firstLine="480"/>
        <w:rPr>
          <w:rFonts w:hAnsi="宋体"/>
          <w:highlight w:val="none"/>
        </w:rPr>
      </w:pPr>
      <w:r>
        <w:rPr>
          <w:rFonts w:hAnsi="宋体"/>
          <w:highlight w:val="none"/>
        </w:rPr>
        <w:t>本项目尾矿库风险评价参照《尾矿库环境风险评估技术导则》（HJ740-2015）进行评价。</w:t>
      </w:r>
    </w:p>
    <w:p>
      <w:pPr>
        <w:keepNext/>
        <w:keepLines/>
        <w:ind w:firstLine="480"/>
        <w:outlineLvl w:val="3"/>
        <w:rPr>
          <w:rFonts w:ascii="宋体" w:hAnsi="宋体"/>
          <w:bCs/>
          <w:szCs w:val="28"/>
          <w:highlight w:val="none"/>
        </w:rPr>
      </w:pPr>
      <w:r>
        <w:rPr>
          <w:rFonts w:ascii="宋体" w:hAnsi="宋体"/>
          <w:bCs/>
          <w:szCs w:val="28"/>
          <w:highlight w:val="none"/>
        </w:rPr>
        <w:t>5.7.5</w:t>
      </w:r>
      <w:r>
        <w:rPr>
          <w:rFonts w:hint="eastAsia" w:ascii="宋体" w:hAnsi="宋体"/>
          <w:bCs/>
          <w:szCs w:val="28"/>
          <w:highlight w:val="none"/>
        </w:rPr>
        <w:t>.</w:t>
      </w:r>
      <w:r>
        <w:rPr>
          <w:rFonts w:ascii="宋体" w:hAnsi="宋体"/>
          <w:bCs/>
          <w:szCs w:val="28"/>
          <w:highlight w:val="none"/>
        </w:rPr>
        <w:t>1评价范围</w:t>
      </w:r>
    </w:p>
    <w:p>
      <w:pPr>
        <w:pStyle w:val="62"/>
        <w:ind w:firstLine="480"/>
        <w:rPr>
          <w:rFonts w:hAnsi="宋体"/>
          <w:highlight w:val="none"/>
        </w:rPr>
      </w:pPr>
      <w:r>
        <w:rPr>
          <w:rFonts w:hAnsi="宋体"/>
          <w:highlight w:val="none"/>
        </w:rPr>
        <w:t>根据《尾矿库环境风险评估技术导则》（HJ740-2015），风险受体调查评估范围如下所述：</w:t>
      </w:r>
    </w:p>
    <w:p>
      <w:pPr>
        <w:pStyle w:val="62"/>
        <w:ind w:firstLine="480"/>
        <w:rPr>
          <w:rFonts w:hAnsi="宋体"/>
          <w:highlight w:val="none"/>
        </w:rPr>
      </w:pPr>
      <w:r>
        <w:rPr>
          <w:rFonts w:hint="eastAsia" w:hAnsi="宋体"/>
          <w:highlight w:val="none"/>
        </w:rPr>
        <w:t>1、</w:t>
      </w:r>
      <w:r>
        <w:rPr>
          <w:rFonts w:hAnsi="宋体"/>
          <w:highlight w:val="none"/>
        </w:rPr>
        <w:t>涉及水环境风险受体的调查范围：尾矿库下游不小于10公里。</w:t>
      </w:r>
    </w:p>
    <w:p>
      <w:pPr>
        <w:pStyle w:val="62"/>
        <w:ind w:firstLine="480"/>
        <w:rPr>
          <w:rFonts w:hAnsi="宋体"/>
          <w:highlight w:val="none"/>
        </w:rPr>
      </w:pPr>
      <w:r>
        <w:rPr>
          <w:rFonts w:hint="eastAsia" w:hAnsi="宋体"/>
          <w:highlight w:val="none"/>
        </w:rPr>
        <w:t>2、</w:t>
      </w:r>
      <w:r>
        <w:rPr>
          <w:rFonts w:hAnsi="宋体"/>
          <w:highlight w:val="none"/>
        </w:rPr>
        <w:t>其他类型环境风险受体调查评估范围：</w:t>
      </w:r>
    </w:p>
    <w:p>
      <w:pPr>
        <w:pStyle w:val="62"/>
        <w:ind w:firstLine="480"/>
        <w:rPr>
          <w:rFonts w:hAnsi="宋体"/>
          <w:highlight w:val="none"/>
        </w:rPr>
      </w:pPr>
      <w:r>
        <w:rPr>
          <w:rFonts w:hint="eastAsia" w:hAnsi="宋体"/>
          <w:highlight w:val="none"/>
        </w:rPr>
        <w:t>①</w:t>
      </w:r>
      <w:r>
        <w:rPr>
          <w:rFonts w:hAnsi="宋体"/>
          <w:highlight w:val="none"/>
        </w:rPr>
        <w:t>山谷型、傍山型、截河型尾矿库：尾矿库下游不小于80倍坝高；</w:t>
      </w:r>
    </w:p>
    <w:p>
      <w:pPr>
        <w:pStyle w:val="62"/>
        <w:ind w:firstLine="480"/>
        <w:rPr>
          <w:rFonts w:hAnsi="宋体"/>
          <w:highlight w:val="none"/>
        </w:rPr>
      </w:pPr>
      <w:r>
        <w:rPr>
          <w:rFonts w:hint="eastAsia" w:hAnsi="宋体"/>
          <w:highlight w:val="none"/>
        </w:rPr>
        <w:t>②</w:t>
      </w:r>
      <w:r>
        <w:rPr>
          <w:rFonts w:hAnsi="宋体"/>
          <w:highlight w:val="none"/>
        </w:rPr>
        <w:t>其他类型尾矿库：尾矿库下游不小于40倍坝高。本项目尾矿库为山谷型，拦挡坝总高4.5m，因此评价范围取80倍坝高，即尾矿库下游</w:t>
      </w:r>
      <w:r>
        <w:rPr>
          <w:rFonts w:hint="eastAsia" w:hAnsi="宋体"/>
          <w:highlight w:val="none"/>
        </w:rPr>
        <w:t>36</w:t>
      </w:r>
      <w:r>
        <w:rPr>
          <w:rFonts w:hAnsi="宋体"/>
          <w:highlight w:val="none"/>
        </w:rPr>
        <w:t>0m作为评价范围。</w:t>
      </w:r>
    </w:p>
    <w:p>
      <w:pPr>
        <w:keepNext/>
        <w:keepLines/>
        <w:ind w:firstLine="480"/>
        <w:outlineLvl w:val="3"/>
        <w:rPr>
          <w:rFonts w:ascii="宋体" w:hAnsi="宋体"/>
          <w:bCs/>
          <w:szCs w:val="28"/>
          <w:highlight w:val="none"/>
        </w:rPr>
      </w:pPr>
      <w:r>
        <w:rPr>
          <w:rFonts w:ascii="宋体" w:hAnsi="宋体"/>
          <w:bCs/>
          <w:szCs w:val="28"/>
          <w:highlight w:val="none"/>
        </w:rPr>
        <w:t>5.7.5.2环境风险预判</w:t>
      </w:r>
    </w:p>
    <w:p>
      <w:pPr>
        <w:pStyle w:val="62"/>
        <w:ind w:firstLine="480"/>
        <w:rPr>
          <w:rFonts w:hAnsi="宋体"/>
          <w:highlight w:val="none"/>
        </w:rPr>
      </w:pPr>
      <w:r>
        <w:rPr>
          <w:rFonts w:hAnsi="宋体"/>
          <w:highlight w:val="none"/>
        </w:rPr>
        <w:t>根据《尾矿库环境风险评估技术导则》（HJ740-2015），本项目拟从尾矿库类型、规模、周边环境敏感性、安全性、历史事件与环境违法情况五个方面，对尾矿库环境风险进行预判，判断是否属于重点环境监管干尾矿库。环境风险预判表见表5</w:t>
      </w:r>
      <w:r>
        <w:rPr>
          <w:rFonts w:hint="eastAsia" w:hAnsi="宋体"/>
          <w:highlight w:val="none"/>
        </w:rPr>
        <w:t>.7</w:t>
      </w:r>
      <w:r>
        <w:rPr>
          <w:rFonts w:hAnsi="宋体"/>
          <w:highlight w:val="none"/>
        </w:rPr>
        <w:t>-</w:t>
      </w:r>
      <w:r>
        <w:rPr>
          <w:rFonts w:hint="eastAsia" w:hAnsi="宋体"/>
          <w:highlight w:val="none"/>
        </w:rPr>
        <w:t>2</w:t>
      </w:r>
      <w:r>
        <w:rPr>
          <w:rFonts w:hAnsi="宋体"/>
          <w:highlight w:val="none"/>
        </w:rPr>
        <w:t>。</w:t>
      </w:r>
    </w:p>
    <w:p>
      <w:pPr>
        <w:pStyle w:val="62"/>
        <w:ind w:firstLine="480"/>
        <w:rPr>
          <w:rFonts w:hAnsi="宋体"/>
          <w:highlight w:val="none"/>
        </w:rPr>
      </w:pPr>
    </w:p>
    <w:p>
      <w:pPr>
        <w:pStyle w:val="62"/>
        <w:ind w:firstLine="480"/>
        <w:rPr>
          <w:rFonts w:hAnsi="宋体"/>
          <w:highlight w:val="none"/>
        </w:rPr>
      </w:pPr>
    </w:p>
    <w:p>
      <w:pPr>
        <w:pStyle w:val="62"/>
        <w:ind w:firstLine="480"/>
        <w:rPr>
          <w:rFonts w:hAnsi="宋体"/>
          <w:highlight w:val="none"/>
        </w:rPr>
      </w:pPr>
    </w:p>
    <w:p>
      <w:pPr>
        <w:spacing w:line="240" w:lineRule="auto"/>
        <w:ind w:firstLine="0" w:firstLineChars="0"/>
        <w:jc w:val="left"/>
        <w:rPr>
          <w:rFonts w:ascii="宋体" w:hAnsi="宋体"/>
          <w:kern w:val="0"/>
          <w:sz w:val="22"/>
          <w:szCs w:val="22"/>
          <w:highlight w:val="none"/>
        </w:rPr>
        <w:sectPr>
          <w:pgSz w:w="11906" w:h="16840"/>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5"/>
        <w:rPr>
          <w:rFonts w:hAnsi="宋体"/>
          <w:highlight w:val="none"/>
        </w:rPr>
      </w:pPr>
      <w:r>
        <w:rPr>
          <w:rFonts w:hAnsi="宋体"/>
          <w:highlight w:val="none"/>
        </w:rPr>
        <w:t>表5</w:t>
      </w:r>
      <w:r>
        <w:rPr>
          <w:rFonts w:hint="eastAsia" w:hAnsi="宋体"/>
          <w:highlight w:val="none"/>
        </w:rPr>
        <w:t>.7</w:t>
      </w:r>
      <w:r>
        <w:rPr>
          <w:rFonts w:hAnsi="宋体"/>
          <w:highlight w:val="none"/>
        </w:rPr>
        <w:t>-</w:t>
      </w:r>
      <w:r>
        <w:rPr>
          <w:rFonts w:hint="eastAsia" w:hAnsi="宋体"/>
          <w:highlight w:val="none"/>
        </w:rPr>
        <w:t xml:space="preserve">2  </w:t>
      </w:r>
      <w:r>
        <w:rPr>
          <w:rFonts w:hAnsi="宋体"/>
          <w:highlight w:val="none"/>
        </w:rPr>
        <w:t>尾矿库环境风险预判表</w:t>
      </w:r>
    </w:p>
    <w:p>
      <w:pPr>
        <w:spacing w:before="7" w:line="10" w:lineRule="exact"/>
        <w:ind w:firstLine="0" w:firstLineChars="0"/>
        <w:jc w:val="left"/>
        <w:rPr>
          <w:rFonts w:ascii="宋体" w:hAnsi="宋体"/>
          <w:kern w:val="0"/>
          <w:sz w:val="4"/>
          <w:szCs w:val="4"/>
          <w:highlight w:val="none"/>
        </w:rPr>
      </w:pPr>
    </w:p>
    <w:tbl>
      <w:tblPr>
        <w:tblStyle w:val="44"/>
        <w:tblW w:w="1399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12"/>
        <w:gridCol w:w="1170"/>
        <w:gridCol w:w="8110"/>
        <w:gridCol w:w="2124"/>
        <w:gridCol w:w="127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716" w:type="dxa"/>
            <w:gridSpan w:val="4"/>
            <w:vAlign w:val="center"/>
          </w:tcPr>
          <w:p>
            <w:pPr>
              <w:pStyle w:val="64"/>
              <w:rPr>
                <w:rFonts w:hAnsi="宋体"/>
                <w:szCs w:val="21"/>
                <w:highlight w:val="none"/>
              </w:rPr>
            </w:pPr>
            <w:r>
              <w:rPr>
                <w:rFonts w:hAnsi="宋体"/>
                <w:szCs w:val="21"/>
                <w:highlight w:val="none"/>
              </w:rPr>
              <w:t>符</w:t>
            </w:r>
            <w:r>
              <w:rPr>
                <w:rFonts w:hAnsi="宋体"/>
                <w:spacing w:val="2"/>
                <w:szCs w:val="21"/>
                <w:highlight w:val="none"/>
              </w:rPr>
              <w:t>合</w:t>
            </w:r>
            <w:r>
              <w:rPr>
                <w:rFonts w:hAnsi="宋体"/>
                <w:szCs w:val="21"/>
                <w:highlight w:val="none"/>
              </w:rPr>
              <w:t>下</w:t>
            </w:r>
            <w:r>
              <w:rPr>
                <w:rFonts w:hAnsi="宋体"/>
                <w:spacing w:val="2"/>
                <w:szCs w:val="21"/>
                <w:highlight w:val="none"/>
              </w:rPr>
              <w:t>列</w:t>
            </w:r>
            <w:r>
              <w:rPr>
                <w:rFonts w:hAnsi="宋体"/>
                <w:szCs w:val="21"/>
                <w:highlight w:val="none"/>
              </w:rPr>
              <w:t>情</w:t>
            </w:r>
            <w:r>
              <w:rPr>
                <w:rFonts w:hAnsi="宋体"/>
                <w:spacing w:val="2"/>
                <w:szCs w:val="21"/>
                <w:highlight w:val="none"/>
              </w:rPr>
              <w:t>形</w:t>
            </w:r>
            <w:r>
              <w:rPr>
                <w:rFonts w:hAnsi="宋体"/>
                <w:szCs w:val="21"/>
                <w:highlight w:val="none"/>
              </w:rPr>
              <w:t>之</w:t>
            </w:r>
            <w:r>
              <w:rPr>
                <w:rFonts w:hAnsi="宋体"/>
                <w:spacing w:val="2"/>
                <w:szCs w:val="21"/>
                <w:highlight w:val="none"/>
              </w:rPr>
              <w:t>一</w:t>
            </w:r>
            <w:r>
              <w:rPr>
                <w:rFonts w:hAnsi="宋体"/>
                <w:szCs w:val="21"/>
                <w:highlight w:val="none"/>
              </w:rPr>
              <w:t>，</w:t>
            </w:r>
            <w:r>
              <w:rPr>
                <w:rFonts w:hAnsi="宋体"/>
                <w:spacing w:val="2"/>
                <w:szCs w:val="21"/>
                <w:highlight w:val="none"/>
              </w:rPr>
              <w:t>列</w:t>
            </w:r>
            <w:r>
              <w:rPr>
                <w:rFonts w:hAnsi="宋体"/>
                <w:szCs w:val="21"/>
                <w:highlight w:val="none"/>
              </w:rPr>
              <w:t>入</w:t>
            </w:r>
            <w:r>
              <w:rPr>
                <w:rFonts w:hAnsi="宋体"/>
                <w:spacing w:val="2"/>
                <w:szCs w:val="21"/>
                <w:highlight w:val="none"/>
              </w:rPr>
              <w:t>重</w:t>
            </w:r>
            <w:r>
              <w:rPr>
                <w:rFonts w:hAnsi="宋体"/>
                <w:szCs w:val="21"/>
                <w:highlight w:val="none"/>
              </w:rPr>
              <w:t>点</w:t>
            </w:r>
            <w:r>
              <w:rPr>
                <w:rFonts w:hAnsi="宋体"/>
                <w:spacing w:val="2"/>
                <w:szCs w:val="21"/>
                <w:highlight w:val="none"/>
              </w:rPr>
              <w:t>环</w:t>
            </w:r>
            <w:r>
              <w:rPr>
                <w:rFonts w:hAnsi="宋体"/>
                <w:szCs w:val="21"/>
                <w:highlight w:val="none"/>
              </w:rPr>
              <w:t>境</w:t>
            </w:r>
            <w:r>
              <w:rPr>
                <w:rFonts w:hAnsi="宋体"/>
                <w:spacing w:val="2"/>
                <w:szCs w:val="21"/>
                <w:highlight w:val="none"/>
              </w:rPr>
              <w:t>监</w:t>
            </w:r>
            <w:r>
              <w:rPr>
                <w:rFonts w:hAnsi="宋体"/>
                <w:szCs w:val="21"/>
                <w:highlight w:val="none"/>
              </w:rPr>
              <w:t>管库</w:t>
            </w:r>
          </w:p>
        </w:tc>
        <w:tc>
          <w:tcPr>
            <w:tcW w:w="1276" w:type="dxa"/>
            <w:vAlign w:val="center"/>
          </w:tcPr>
          <w:p>
            <w:pPr>
              <w:pStyle w:val="64"/>
              <w:rPr>
                <w:rFonts w:hAnsi="宋体"/>
                <w:szCs w:val="21"/>
                <w:highlight w:val="none"/>
              </w:rPr>
            </w:pPr>
            <w:r>
              <w:rPr>
                <w:rFonts w:hAnsi="宋体"/>
                <w:szCs w:val="21"/>
                <w:highlight w:val="none"/>
              </w:rPr>
              <w:t>相</w:t>
            </w:r>
            <w:r>
              <w:rPr>
                <w:rFonts w:hAnsi="宋体"/>
                <w:spacing w:val="2"/>
                <w:szCs w:val="21"/>
                <w:highlight w:val="none"/>
              </w:rPr>
              <w:t>关</w:t>
            </w:r>
            <w:r>
              <w:rPr>
                <w:rFonts w:hAnsi="宋体"/>
                <w:szCs w:val="21"/>
                <w:highlight w:val="none"/>
              </w:rPr>
              <w:t>说明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12" w:type="dxa"/>
            <w:vMerge w:val="restart"/>
            <w:vAlign w:val="center"/>
          </w:tcPr>
          <w:p>
            <w:pPr>
              <w:pStyle w:val="64"/>
              <w:rPr>
                <w:rFonts w:hAnsi="宋体"/>
                <w:szCs w:val="21"/>
                <w:highlight w:val="none"/>
              </w:rPr>
            </w:pPr>
            <w:r>
              <w:rPr>
                <w:rFonts w:hAnsi="宋体"/>
                <w:szCs w:val="21"/>
                <w:highlight w:val="none"/>
              </w:rPr>
              <w:t>类型</w:t>
            </w:r>
          </w:p>
        </w:tc>
        <w:tc>
          <w:tcPr>
            <w:tcW w:w="9280" w:type="dxa"/>
            <w:gridSpan w:val="2"/>
            <w:vAlign w:val="center"/>
          </w:tcPr>
          <w:p>
            <w:pPr>
              <w:pStyle w:val="64"/>
              <w:jc w:val="left"/>
              <w:rPr>
                <w:rFonts w:hAnsi="宋体"/>
                <w:szCs w:val="21"/>
                <w:highlight w:val="none"/>
              </w:rPr>
            </w:pPr>
            <w:r>
              <w:rPr>
                <w:rFonts w:hAnsi="宋体"/>
                <w:w w:val="95"/>
                <w:szCs w:val="21"/>
                <w:highlight w:val="none"/>
              </w:rPr>
              <w:t>矿</w:t>
            </w:r>
            <w:r>
              <w:rPr>
                <w:rFonts w:hAnsi="宋体"/>
                <w:spacing w:val="1"/>
                <w:w w:val="95"/>
                <w:szCs w:val="21"/>
                <w:highlight w:val="none"/>
              </w:rPr>
              <w:t>种</w:t>
            </w:r>
            <w:r>
              <w:rPr>
                <w:rFonts w:hAnsi="宋体"/>
                <w:w w:val="95"/>
                <w:szCs w:val="21"/>
                <w:highlight w:val="none"/>
              </w:rPr>
              <w:t>类</w:t>
            </w:r>
            <w:r>
              <w:rPr>
                <w:rFonts w:hAnsi="宋体"/>
                <w:spacing w:val="1"/>
                <w:w w:val="95"/>
                <w:szCs w:val="21"/>
                <w:highlight w:val="none"/>
              </w:rPr>
              <w:t>型</w:t>
            </w:r>
            <w:r>
              <w:rPr>
                <w:rFonts w:hAnsi="宋体"/>
                <w:w w:val="95"/>
                <w:szCs w:val="21"/>
                <w:highlight w:val="none"/>
              </w:rPr>
              <w:t>（</w:t>
            </w:r>
            <w:r>
              <w:rPr>
                <w:rFonts w:hAnsi="宋体"/>
                <w:spacing w:val="1"/>
                <w:w w:val="95"/>
                <w:szCs w:val="21"/>
                <w:highlight w:val="none"/>
              </w:rPr>
              <w:t>包</w:t>
            </w:r>
            <w:r>
              <w:rPr>
                <w:rFonts w:hAnsi="宋体"/>
                <w:w w:val="95"/>
                <w:szCs w:val="21"/>
                <w:highlight w:val="none"/>
              </w:rPr>
              <w:t>括</w:t>
            </w:r>
            <w:r>
              <w:rPr>
                <w:rFonts w:hAnsi="宋体"/>
                <w:spacing w:val="1"/>
                <w:w w:val="95"/>
                <w:szCs w:val="21"/>
                <w:highlight w:val="none"/>
              </w:rPr>
              <w:t>主</w:t>
            </w:r>
            <w:r>
              <w:rPr>
                <w:rFonts w:hAnsi="宋体"/>
                <w:w w:val="95"/>
                <w:szCs w:val="21"/>
                <w:highlight w:val="none"/>
              </w:rPr>
              <w:t>矿</w:t>
            </w:r>
            <w:r>
              <w:rPr>
                <w:rFonts w:hAnsi="宋体"/>
                <w:spacing w:val="1"/>
                <w:w w:val="95"/>
                <w:szCs w:val="21"/>
                <w:highlight w:val="none"/>
              </w:rPr>
              <w:t>种</w:t>
            </w:r>
            <w:r>
              <w:rPr>
                <w:rFonts w:hAnsi="宋体"/>
                <w:w w:val="95"/>
                <w:szCs w:val="21"/>
                <w:highlight w:val="none"/>
              </w:rPr>
              <w:t>、</w:t>
            </w:r>
            <w:r>
              <w:rPr>
                <w:rFonts w:hAnsi="宋体"/>
                <w:spacing w:val="1"/>
                <w:w w:val="95"/>
                <w:szCs w:val="21"/>
                <w:highlight w:val="none"/>
              </w:rPr>
              <w:t>附</w:t>
            </w:r>
            <w:r>
              <w:rPr>
                <w:rFonts w:hAnsi="宋体"/>
                <w:w w:val="95"/>
                <w:szCs w:val="21"/>
                <w:highlight w:val="none"/>
              </w:rPr>
              <w:t>属</w:t>
            </w:r>
            <w:r>
              <w:rPr>
                <w:rFonts w:hAnsi="宋体"/>
                <w:spacing w:val="1"/>
                <w:w w:val="95"/>
                <w:szCs w:val="21"/>
                <w:highlight w:val="none"/>
              </w:rPr>
              <w:t>矿</w:t>
            </w:r>
            <w:r>
              <w:rPr>
                <w:rFonts w:hAnsi="宋体"/>
                <w:w w:val="95"/>
                <w:szCs w:val="21"/>
                <w:highlight w:val="none"/>
              </w:rPr>
              <w:t>种</w:t>
            </w:r>
            <w:r>
              <w:rPr>
                <w:rFonts w:hAnsi="宋体"/>
                <w:spacing w:val="1"/>
                <w:w w:val="95"/>
                <w:szCs w:val="21"/>
                <w:highlight w:val="none"/>
              </w:rPr>
              <w:t>）</w:t>
            </w:r>
            <w:r>
              <w:rPr>
                <w:rFonts w:hAnsi="宋体" w:cs="hakuyoxingshu7000"/>
                <w:w w:val="95"/>
                <w:szCs w:val="21"/>
                <w:highlight w:val="none"/>
              </w:rPr>
              <w:t>/</w:t>
            </w:r>
            <w:r>
              <w:rPr>
                <w:rFonts w:hAnsi="宋体"/>
                <w:w w:val="95"/>
                <w:szCs w:val="21"/>
                <w:highlight w:val="none"/>
              </w:rPr>
              <w:t>尾</w:t>
            </w:r>
            <w:r>
              <w:rPr>
                <w:rFonts w:hAnsi="宋体"/>
                <w:spacing w:val="1"/>
                <w:w w:val="95"/>
                <w:szCs w:val="21"/>
                <w:highlight w:val="none"/>
              </w:rPr>
              <w:t>矿</w:t>
            </w:r>
            <w:r>
              <w:rPr>
                <w:rFonts w:hAnsi="宋体"/>
                <w:w w:val="95"/>
                <w:szCs w:val="21"/>
                <w:highlight w:val="none"/>
              </w:rPr>
              <w:t>（</w:t>
            </w:r>
            <w:r>
              <w:rPr>
                <w:rFonts w:hAnsi="宋体"/>
                <w:spacing w:val="1"/>
                <w:w w:val="95"/>
                <w:szCs w:val="21"/>
                <w:highlight w:val="none"/>
              </w:rPr>
              <w:t>或</w:t>
            </w:r>
            <w:r>
              <w:rPr>
                <w:rFonts w:hAnsi="宋体"/>
                <w:w w:val="95"/>
                <w:szCs w:val="21"/>
                <w:highlight w:val="none"/>
              </w:rPr>
              <w:t>尾</w:t>
            </w:r>
            <w:r>
              <w:rPr>
                <w:rFonts w:hAnsi="宋体"/>
                <w:spacing w:val="1"/>
                <w:w w:val="95"/>
                <w:szCs w:val="21"/>
                <w:highlight w:val="none"/>
              </w:rPr>
              <w:t>矿</w:t>
            </w:r>
            <w:r>
              <w:rPr>
                <w:rFonts w:hAnsi="宋体"/>
                <w:w w:val="95"/>
                <w:szCs w:val="21"/>
                <w:highlight w:val="none"/>
              </w:rPr>
              <w:t>水</w:t>
            </w:r>
            <w:r>
              <w:rPr>
                <w:rFonts w:hAnsi="宋体"/>
                <w:spacing w:val="1"/>
                <w:w w:val="95"/>
                <w:szCs w:val="21"/>
                <w:highlight w:val="none"/>
              </w:rPr>
              <w:t>）</w:t>
            </w:r>
            <w:r>
              <w:rPr>
                <w:rFonts w:hAnsi="宋体"/>
                <w:w w:val="95"/>
                <w:szCs w:val="21"/>
                <w:highlight w:val="none"/>
              </w:rPr>
              <w:t>成</w:t>
            </w:r>
            <w:r>
              <w:rPr>
                <w:rFonts w:hAnsi="宋体"/>
                <w:spacing w:val="1"/>
                <w:w w:val="95"/>
                <w:szCs w:val="21"/>
                <w:highlight w:val="none"/>
              </w:rPr>
              <w:t>分</w:t>
            </w:r>
            <w:r>
              <w:rPr>
                <w:rFonts w:hAnsi="宋体"/>
                <w:w w:val="95"/>
                <w:szCs w:val="21"/>
                <w:highlight w:val="none"/>
              </w:rPr>
              <w:t>类型</w:t>
            </w:r>
          </w:p>
        </w:tc>
        <w:tc>
          <w:tcPr>
            <w:tcW w:w="2124" w:type="dxa"/>
            <w:vAlign w:val="center"/>
          </w:tcPr>
          <w:p>
            <w:pPr>
              <w:pStyle w:val="64"/>
              <w:rPr>
                <w:rFonts w:hAnsi="宋体"/>
                <w:szCs w:val="21"/>
                <w:highlight w:val="none"/>
              </w:rPr>
            </w:pPr>
            <w:r>
              <w:rPr>
                <w:rFonts w:hAnsi="宋体"/>
                <w:szCs w:val="21"/>
                <w:highlight w:val="none"/>
              </w:rPr>
              <w:t>固</w:t>
            </w:r>
            <w:r>
              <w:rPr>
                <w:rFonts w:hAnsi="宋体"/>
                <w:spacing w:val="2"/>
                <w:szCs w:val="21"/>
                <w:highlight w:val="none"/>
              </w:rPr>
              <w:t>体</w:t>
            </w:r>
            <w:r>
              <w:rPr>
                <w:rFonts w:hAnsi="宋体"/>
                <w:szCs w:val="21"/>
                <w:highlight w:val="none"/>
              </w:rPr>
              <w:t>废</w:t>
            </w:r>
            <w:r>
              <w:rPr>
                <w:rFonts w:hAnsi="宋体"/>
                <w:spacing w:val="2"/>
                <w:szCs w:val="21"/>
                <w:highlight w:val="none"/>
              </w:rPr>
              <w:t>物</w:t>
            </w:r>
            <w:r>
              <w:rPr>
                <w:rFonts w:hAnsi="宋体"/>
                <w:szCs w:val="21"/>
                <w:highlight w:val="none"/>
              </w:rPr>
              <w:t>类型</w:t>
            </w:r>
          </w:p>
        </w:tc>
        <w:tc>
          <w:tcPr>
            <w:tcW w:w="1276"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12" w:type="dxa"/>
            <w:vMerge w:val="continue"/>
            <w:vAlign w:val="center"/>
          </w:tcPr>
          <w:p>
            <w:pPr>
              <w:pStyle w:val="64"/>
              <w:rPr>
                <w:rFonts w:hAnsi="宋体"/>
                <w:szCs w:val="21"/>
                <w:highlight w:val="none"/>
              </w:rPr>
            </w:pPr>
          </w:p>
        </w:tc>
        <w:tc>
          <w:tcPr>
            <w:tcW w:w="9280" w:type="dxa"/>
            <w:gridSpan w:val="2"/>
            <w:vAlign w:val="center"/>
          </w:tcPr>
          <w:p>
            <w:pPr>
              <w:pStyle w:val="64"/>
              <w:jc w:val="left"/>
              <w:rPr>
                <w:rFonts w:hAnsi="宋体"/>
                <w:szCs w:val="21"/>
                <w:highlight w:val="none"/>
              </w:rPr>
            </w:pPr>
            <w:r>
              <w:rPr>
                <w:rFonts w:hAnsi="宋体"/>
                <w:szCs w:val="21"/>
                <w:highlight w:val="none"/>
              </w:rPr>
              <w:t>1.□相关的生产过程中使用了列入《重点环境管理危险化学品目录》的危险化学品。</w:t>
            </w:r>
          </w:p>
          <w:p>
            <w:pPr>
              <w:pStyle w:val="64"/>
              <w:jc w:val="left"/>
              <w:rPr>
                <w:rFonts w:hAnsi="宋体"/>
                <w:szCs w:val="21"/>
                <w:highlight w:val="none"/>
              </w:rPr>
            </w:pPr>
            <w:r>
              <w:rPr>
                <w:rFonts w:hAnsi="宋体"/>
                <w:szCs w:val="21"/>
                <w:highlight w:val="none"/>
              </w:rPr>
              <w:t>2.□重金属矿种：铜、镍、铅、锌、锡、锑、钴、汞、镉、铋、砷、铊、钒、铬、锰、钼。</w:t>
            </w:r>
          </w:p>
          <w:p>
            <w:pPr>
              <w:pStyle w:val="64"/>
              <w:jc w:val="left"/>
              <w:rPr>
                <w:rFonts w:hAnsi="宋体"/>
                <w:szCs w:val="21"/>
                <w:highlight w:val="none"/>
              </w:rPr>
            </w:pPr>
            <w:r>
              <w:rPr>
                <w:rFonts w:hAnsi="宋体"/>
                <w:szCs w:val="21"/>
                <w:highlight w:val="none"/>
              </w:rPr>
              <w:t>3.□贵金属矿种：金、银、铂族（铂、钯、铱、铑、锇、钌）。</w:t>
            </w:r>
          </w:p>
          <w:p>
            <w:pPr>
              <w:pStyle w:val="64"/>
              <w:jc w:val="left"/>
              <w:rPr>
                <w:rFonts w:hAnsi="宋体"/>
                <w:szCs w:val="21"/>
                <w:highlight w:val="none"/>
              </w:rPr>
            </w:pPr>
            <w:r>
              <w:rPr>
                <w:rFonts w:hAnsi="宋体"/>
                <w:szCs w:val="21"/>
                <w:highlight w:val="none"/>
              </w:rPr>
              <w:t>4.□轻有色金属矿种：铝（铝土）、镁、锶、钡。</w:t>
            </w:r>
          </w:p>
          <w:p>
            <w:pPr>
              <w:pStyle w:val="64"/>
              <w:jc w:val="left"/>
              <w:rPr>
                <w:rFonts w:hAnsi="宋体"/>
                <w:szCs w:val="21"/>
                <w:highlight w:val="none"/>
              </w:rPr>
            </w:pPr>
            <w:r>
              <w:rPr>
                <w:rFonts w:hAnsi="宋体"/>
                <w:szCs w:val="21"/>
                <w:highlight w:val="none"/>
              </w:rPr>
              <w:t>5.□稀土元素的矿种：钇、镧、铈、镨、钕、钷、钐、铕、钆、铽、镝、钬、铒、铥、镱、镥。</w:t>
            </w:r>
          </w:p>
          <w:p>
            <w:pPr>
              <w:pStyle w:val="64"/>
              <w:jc w:val="left"/>
              <w:rPr>
                <w:rFonts w:hAnsi="宋体"/>
                <w:szCs w:val="21"/>
                <w:highlight w:val="none"/>
              </w:rPr>
            </w:pPr>
            <w:r>
              <w:rPr>
                <w:rFonts w:hAnsi="宋体"/>
                <w:szCs w:val="21"/>
                <w:highlight w:val="none"/>
              </w:rPr>
              <w:t>6.□有色金属矿种：钨、钛。</w:t>
            </w:r>
          </w:p>
          <w:p>
            <w:pPr>
              <w:pStyle w:val="64"/>
              <w:jc w:val="left"/>
              <w:rPr>
                <w:rFonts w:hAnsi="宋体"/>
                <w:szCs w:val="21"/>
                <w:highlight w:val="none"/>
              </w:rPr>
            </w:pPr>
            <w:r>
              <w:rPr>
                <w:rFonts w:hAnsi="宋体"/>
                <w:szCs w:val="21"/>
                <w:highlight w:val="none"/>
              </w:rPr>
              <w:t>7.□非金属矿种：化工原料或化学矿。</w:t>
            </w:r>
          </w:p>
          <w:p>
            <w:pPr>
              <w:pStyle w:val="64"/>
              <w:jc w:val="left"/>
              <w:rPr>
                <w:rFonts w:hAnsi="宋体"/>
                <w:szCs w:val="21"/>
                <w:highlight w:val="none"/>
              </w:rPr>
            </w:pPr>
            <w:r>
              <w:rPr>
                <w:rFonts w:hAnsi="宋体"/>
                <w:szCs w:val="21"/>
                <w:highlight w:val="none"/>
              </w:rPr>
              <w:t>8.□涉及硫（包括主矿、共生矿）、磷（包括主矿、共生矿）。</w:t>
            </w:r>
          </w:p>
          <w:p>
            <w:pPr>
              <w:pStyle w:val="64"/>
              <w:jc w:val="left"/>
              <w:rPr>
                <w:rFonts w:hAnsi="宋体"/>
                <w:szCs w:val="21"/>
                <w:highlight w:val="none"/>
              </w:rPr>
            </w:pPr>
            <w:r>
              <w:rPr>
                <w:rFonts w:hAnsi="宋体"/>
                <w:szCs w:val="21"/>
                <w:highlight w:val="none"/>
              </w:rPr>
              <w:t>9.□涉及酸性岩矿种或产生酸性废液的矿种。</w:t>
            </w:r>
          </w:p>
        </w:tc>
        <w:tc>
          <w:tcPr>
            <w:tcW w:w="2124" w:type="dxa"/>
            <w:vAlign w:val="center"/>
          </w:tcPr>
          <w:p>
            <w:pPr>
              <w:pStyle w:val="64"/>
              <w:jc w:val="left"/>
              <w:rPr>
                <w:rFonts w:hAnsi="宋体"/>
                <w:szCs w:val="21"/>
                <w:highlight w:val="none"/>
              </w:rPr>
            </w:pPr>
            <w:r>
              <w:rPr>
                <w:rFonts w:hAnsi="宋体" w:cs="hakuyoxingshu7000"/>
                <w:w w:val="90"/>
                <w:szCs w:val="21"/>
                <w:highlight w:val="none"/>
              </w:rPr>
              <w:t>10.□</w:t>
            </w:r>
            <w:r>
              <w:rPr>
                <w:rFonts w:hAnsi="宋体"/>
                <w:w w:val="90"/>
                <w:szCs w:val="21"/>
                <w:highlight w:val="none"/>
              </w:rPr>
              <w:t>危</w:t>
            </w:r>
            <w:r>
              <w:rPr>
                <w:rFonts w:hAnsi="宋体"/>
                <w:spacing w:val="1"/>
                <w:w w:val="90"/>
                <w:szCs w:val="21"/>
                <w:highlight w:val="none"/>
              </w:rPr>
              <w:t>险</w:t>
            </w:r>
            <w:r>
              <w:rPr>
                <w:rFonts w:hAnsi="宋体"/>
                <w:w w:val="90"/>
                <w:szCs w:val="21"/>
                <w:highlight w:val="none"/>
              </w:rPr>
              <w:t>废</w:t>
            </w:r>
            <w:r>
              <w:rPr>
                <w:rFonts w:hAnsi="宋体"/>
                <w:spacing w:val="1"/>
                <w:w w:val="90"/>
                <w:szCs w:val="21"/>
                <w:highlight w:val="none"/>
              </w:rPr>
              <w:t>物</w:t>
            </w:r>
            <w:r>
              <w:rPr>
                <w:rFonts w:hAnsi="宋体"/>
                <w:w w:val="90"/>
                <w:szCs w:val="21"/>
                <w:highlight w:val="none"/>
              </w:rPr>
              <w:t>。</w:t>
            </w:r>
          </w:p>
          <w:p>
            <w:pPr>
              <w:pStyle w:val="64"/>
              <w:jc w:val="left"/>
              <w:rPr>
                <w:rFonts w:hAnsi="宋体"/>
                <w:szCs w:val="21"/>
                <w:highlight w:val="none"/>
              </w:rPr>
            </w:pPr>
            <w:r>
              <w:rPr>
                <w:rFonts w:hAnsi="宋体" w:cs="hakuyoxingshu7000"/>
                <w:w w:val="90"/>
                <w:szCs w:val="21"/>
                <w:highlight w:val="none"/>
              </w:rPr>
              <w:t>11.□</w:t>
            </w:r>
            <w:r>
              <w:rPr>
                <w:rFonts w:hAnsi="宋体"/>
                <w:spacing w:val="1"/>
                <w:w w:val="90"/>
                <w:szCs w:val="21"/>
                <w:highlight w:val="none"/>
              </w:rPr>
              <w:t>一</w:t>
            </w:r>
            <w:r>
              <w:rPr>
                <w:rFonts w:hAnsi="宋体"/>
                <w:w w:val="90"/>
                <w:szCs w:val="21"/>
                <w:highlight w:val="none"/>
              </w:rPr>
              <w:t>般</w:t>
            </w:r>
            <w:r>
              <w:rPr>
                <w:rFonts w:hAnsi="宋体"/>
                <w:spacing w:val="1"/>
                <w:w w:val="90"/>
                <w:szCs w:val="21"/>
                <w:highlight w:val="none"/>
              </w:rPr>
              <w:t>工业</w:t>
            </w:r>
            <w:r>
              <w:rPr>
                <w:rFonts w:hAnsi="宋体"/>
                <w:w w:val="90"/>
                <w:szCs w:val="21"/>
                <w:highlight w:val="none"/>
              </w:rPr>
              <w:t>固</w:t>
            </w:r>
            <w:r>
              <w:rPr>
                <w:rFonts w:hAnsi="宋体"/>
                <w:spacing w:val="1"/>
                <w:w w:val="90"/>
                <w:szCs w:val="21"/>
                <w:highlight w:val="none"/>
              </w:rPr>
              <w:t>体</w:t>
            </w:r>
            <w:r>
              <w:rPr>
                <w:rFonts w:hAnsi="宋体"/>
                <w:w w:val="90"/>
                <w:szCs w:val="21"/>
                <w:highlight w:val="none"/>
              </w:rPr>
              <w:t>废物</w:t>
            </w:r>
            <w:r>
              <w:rPr>
                <w:rFonts w:hAnsi="宋体"/>
                <w:spacing w:val="1"/>
                <w:w w:val="90"/>
                <w:szCs w:val="21"/>
                <w:highlight w:val="none"/>
              </w:rPr>
              <w:t>（</w:t>
            </w:r>
            <w:r>
              <w:rPr>
                <w:rFonts w:hAnsi="宋体" w:cs="hakuyoxingshu7000"/>
                <w:spacing w:val="-5"/>
                <w:w w:val="90"/>
                <w:szCs w:val="21"/>
                <w:highlight w:val="none"/>
              </w:rPr>
              <w:t>I</w:t>
            </w:r>
            <w:r>
              <w:rPr>
                <w:rFonts w:hAnsi="宋体" w:cs="hakuyoxingshu7000"/>
                <w:spacing w:val="2"/>
                <w:w w:val="90"/>
                <w:szCs w:val="21"/>
                <w:highlight w:val="none"/>
              </w:rPr>
              <w:t>I</w:t>
            </w:r>
            <w:r>
              <w:rPr>
                <w:rFonts w:hAnsi="宋体"/>
                <w:w w:val="90"/>
                <w:szCs w:val="21"/>
                <w:highlight w:val="none"/>
              </w:rPr>
              <w:t>类</w:t>
            </w:r>
            <w:r>
              <w:rPr>
                <w:rFonts w:hAnsi="宋体"/>
                <w:spacing w:val="1"/>
                <w:w w:val="90"/>
                <w:szCs w:val="21"/>
                <w:highlight w:val="none"/>
              </w:rPr>
              <w:t>）</w:t>
            </w:r>
            <w:r>
              <w:rPr>
                <w:rFonts w:hAnsi="宋体"/>
                <w:w w:val="90"/>
                <w:szCs w:val="21"/>
                <w:highlight w:val="none"/>
              </w:rPr>
              <w:t>。</w:t>
            </w:r>
          </w:p>
        </w:tc>
        <w:tc>
          <w:tcPr>
            <w:tcW w:w="1276" w:type="dxa"/>
            <w:vAlign w:val="center"/>
          </w:tcPr>
          <w:p>
            <w:pPr>
              <w:pStyle w:val="64"/>
              <w:rPr>
                <w:rFonts w:hAnsi="宋体"/>
                <w:szCs w:val="21"/>
                <w:highlight w:val="none"/>
              </w:rPr>
            </w:pPr>
            <w:r>
              <w:rPr>
                <w:rFonts w:hAnsi="宋体"/>
                <w:w w:val="95"/>
                <w:szCs w:val="21"/>
                <w:highlight w:val="none"/>
              </w:rPr>
              <w:t>一</w:t>
            </w:r>
            <w:r>
              <w:rPr>
                <w:rFonts w:hAnsi="宋体"/>
                <w:spacing w:val="1"/>
                <w:w w:val="95"/>
                <w:szCs w:val="21"/>
                <w:highlight w:val="none"/>
              </w:rPr>
              <w:t>般</w:t>
            </w:r>
            <w:r>
              <w:rPr>
                <w:rFonts w:hAnsi="宋体"/>
                <w:w w:val="95"/>
                <w:szCs w:val="21"/>
                <w:highlight w:val="none"/>
              </w:rPr>
              <w:t>工</w:t>
            </w:r>
            <w:r>
              <w:rPr>
                <w:rFonts w:hAnsi="宋体"/>
                <w:spacing w:val="1"/>
                <w:w w:val="95"/>
                <w:szCs w:val="21"/>
                <w:highlight w:val="none"/>
              </w:rPr>
              <w:t>业</w:t>
            </w:r>
            <w:r>
              <w:rPr>
                <w:rFonts w:hAnsi="宋体"/>
                <w:w w:val="95"/>
                <w:szCs w:val="21"/>
                <w:highlight w:val="none"/>
              </w:rPr>
              <w:t>固</w:t>
            </w:r>
            <w:r>
              <w:rPr>
                <w:rFonts w:hAnsi="宋体"/>
                <w:szCs w:val="21"/>
                <w:highlight w:val="none"/>
              </w:rPr>
              <w:t>体</w:t>
            </w:r>
            <w:r>
              <w:rPr>
                <w:rFonts w:hAnsi="宋体"/>
                <w:spacing w:val="2"/>
                <w:szCs w:val="21"/>
                <w:highlight w:val="none"/>
              </w:rPr>
              <w:t>废</w:t>
            </w:r>
            <w:r>
              <w:rPr>
                <w:rFonts w:hAnsi="宋体"/>
                <w:szCs w:val="21"/>
                <w:highlight w:val="none"/>
              </w:rPr>
              <w:t>物</w:t>
            </w:r>
          </w:p>
          <w:p>
            <w:pPr>
              <w:pStyle w:val="64"/>
              <w:rPr>
                <w:rFonts w:hAnsi="宋体"/>
                <w:szCs w:val="21"/>
                <w:highlight w:val="none"/>
              </w:rPr>
            </w:pPr>
            <w:r>
              <w:rPr>
                <w:rFonts w:hAnsi="宋体"/>
                <w:w w:val="95"/>
                <w:szCs w:val="21"/>
                <w:highlight w:val="none"/>
              </w:rPr>
              <w:t>（</w:t>
            </w:r>
            <w:r>
              <w:rPr>
                <w:rFonts w:hAnsi="宋体" w:cs="hakuyoxingshu7000"/>
                <w:w w:val="95"/>
                <w:szCs w:val="21"/>
                <w:highlight w:val="none"/>
              </w:rPr>
              <w:t>I</w:t>
            </w:r>
            <w:r>
              <w:rPr>
                <w:rFonts w:hAnsi="宋体"/>
                <w:w w:val="95"/>
                <w:szCs w:val="21"/>
                <w:highlight w:val="none"/>
              </w:rPr>
              <w:t>类）</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312" w:type="dxa"/>
            <w:vAlign w:val="center"/>
          </w:tcPr>
          <w:p>
            <w:pPr>
              <w:pStyle w:val="64"/>
              <w:rPr>
                <w:rFonts w:hAnsi="宋体"/>
                <w:szCs w:val="21"/>
                <w:highlight w:val="none"/>
              </w:rPr>
            </w:pPr>
            <w:r>
              <w:rPr>
                <w:rFonts w:hAnsi="宋体"/>
                <w:szCs w:val="21"/>
                <w:highlight w:val="none"/>
              </w:rPr>
              <w:t>规模</w:t>
            </w:r>
          </w:p>
        </w:tc>
        <w:tc>
          <w:tcPr>
            <w:tcW w:w="11404" w:type="dxa"/>
            <w:gridSpan w:val="3"/>
            <w:vAlign w:val="center"/>
          </w:tcPr>
          <w:p>
            <w:pPr>
              <w:pStyle w:val="64"/>
              <w:jc w:val="left"/>
              <w:rPr>
                <w:rFonts w:hAnsi="宋体"/>
                <w:szCs w:val="21"/>
                <w:highlight w:val="none"/>
              </w:rPr>
            </w:pPr>
            <w:r>
              <w:rPr>
                <w:rFonts w:hAnsi="宋体"/>
                <w:szCs w:val="21"/>
                <w:highlight w:val="none"/>
              </w:rPr>
              <w:t>12.□尾矿库等别：四等及以上。</w:t>
            </w:r>
          </w:p>
        </w:tc>
        <w:tc>
          <w:tcPr>
            <w:tcW w:w="1276"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12" w:type="dxa"/>
            <w:vAlign w:val="center"/>
          </w:tcPr>
          <w:p>
            <w:pPr>
              <w:pStyle w:val="64"/>
              <w:rPr>
                <w:rFonts w:hAnsi="宋体"/>
                <w:szCs w:val="21"/>
                <w:highlight w:val="none"/>
              </w:rPr>
            </w:pPr>
            <w:r>
              <w:rPr>
                <w:rFonts w:hAnsi="宋体"/>
                <w:w w:val="95"/>
                <w:szCs w:val="21"/>
                <w:highlight w:val="none"/>
              </w:rPr>
              <w:t>周</w:t>
            </w:r>
            <w:r>
              <w:rPr>
                <w:rFonts w:hAnsi="宋体"/>
                <w:spacing w:val="1"/>
                <w:w w:val="95"/>
                <w:szCs w:val="21"/>
                <w:highlight w:val="none"/>
              </w:rPr>
              <w:t>边</w:t>
            </w:r>
            <w:r>
              <w:rPr>
                <w:rFonts w:hAnsi="宋体"/>
                <w:w w:val="95"/>
                <w:szCs w:val="21"/>
                <w:highlight w:val="none"/>
              </w:rPr>
              <w:t>环</w:t>
            </w:r>
            <w:r>
              <w:rPr>
                <w:rFonts w:hAnsi="宋体"/>
                <w:spacing w:val="1"/>
                <w:w w:val="95"/>
                <w:szCs w:val="21"/>
                <w:highlight w:val="none"/>
              </w:rPr>
              <w:t>境</w:t>
            </w:r>
            <w:r>
              <w:rPr>
                <w:rFonts w:hAnsi="宋体"/>
                <w:w w:val="95"/>
                <w:szCs w:val="21"/>
                <w:highlight w:val="none"/>
              </w:rPr>
              <w:t>敏</w:t>
            </w:r>
            <w:r>
              <w:rPr>
                <w:rFonts w:hAnsi="宋体"/>
                <w:szCs w:val="21"/>
                <w:highlight w:val="none"/>
              </w:rPr>
              <w:t>感性</w:t>
            </w:r>
          </w:p>
        </w:tc>
        <w:tc>
          <w:tcPr>
            <w:tcW w:w="1170" w:type="dxa"/>
            <w:vAlign w:val="center"/>
          </w:tcPr>
          <w:p>
            <w:pPr>
              <w:pStyle w:val="64"/>
              <w:rPr>
                <w:rFonts w:hAnsi="宋体"/>
                <w:szCs w:val="21"/>
                <w:highlight w:val="none"/>
              </w:rPr>
            </w:pPr>
            <w:r>
              <w:rPr>
                <w:rFonts w:hAnsi="宋体"/>
                <w:szCs w:val="21"/>
                <w:highlight w:val="none"/>
              </w:rPr>
              <w:t>所处区域尾矿库下游评估范围内或者尾矿库输</w:t>
            </w:r>
            <w:r>
              <w:rPr>
                <w:rFonts w:hAnsi="宋体"/>
                <w:w w:val="95"/>
                <w:szCs w:val="21"/>
                <w:highlight w:val="none"/>
              </w:rPr>
              <w:t>送</w:t>
            </w:r>
            <w:r>
              <w:rPr>
                <w:rFonts w:hAnsi="宋体"/>
                <w:spacing w:val="1"/>
                <w:w w:val="95"/>
                <w:szCs w:val="21"/>
                <w:highlight w:val="none"/>
              </w:rPr>
              <w:t>管</w:t>
            </w:r>
            <w:r>
              <w:rPr>
                <w:rFonts w:hAnsi="宋体"/>
                <w:w w:val="95"/>
                <w:szCs w:val="21"/>
                <w:highlight w:val="none"/>
              </w:rPr>
              <w:t>线</w:t>
            </w:r>
            <w:r>
              <w:rPr>
                <w:rFonts w:hAnsi="宋体"/>
                <w:spacing w:val="-89"/>
                <w:w w:val="95"/>
                <w:szCs w:val="21"/>
                <w:highlight w:val="none"/>
              </w:rPr>
              <w:t>、</w:t>
            </w:r>
            <w:r>
              <w:rPr>
                <w:rFonts w:hAnsi="宋体"/>
                <w:w w:val="95"/>
                <w:szCs w:val="21"/>
                <w:highlight w:val="none"/>
              </w:rPr>
              <w:t>回</w:t>
            </w:r>
            <w:r>
              <w:rPr>
                <w:rFonts w:hAnsi="宋体"/>
                <w:szCs w:val="21"/>
                <w:highlight w:val="none"/>
              </w:rPr>
              <w:t>水管线涉及</w:t>
            </w:r>
            <w:r>
              <w:rPr>
                <w:rFonts w:hAnsi="宋体"/>
                <w:spacing w:val="2"/>
                <w:szCs w:val="21"/>
                <w:highlight w:val="none"/>
              </w:rPr>
              <w:t>穿</w:t>
            </w:r>
            <w:r>
              <w:rPr>
                <w:rFonts w:hAnsi="宋体"/>
                <w:szCs w:val="21"/>
                <w:highlight w:val="none"/>
              </w:rPr>
              <w:t>越</w:t>
            </w:r>
          </w:p>
        </w:tc>
        <w:tc>
          <w:tcPr>
            <w:tcW w:w="10234" w:type="dxa"/>
            <w:gridSpan w:val="2"/>
            <w:vAlign w:val="center"/>
          </w:tcPr>
          <w:p>
            <w:pPr>
              <w:pStyle w:val="64"/>
              <w:jc w:val="left"/>
              <w:rPr>
                <w:rFonts w:hAnsi="宋体"/>
                <w:szCs w:val="21"/>
                <w:highlight w:val="none"/>
              </w:rPr>
            </w:pPr>
            <w:r>
              <w:rPr>
                <w:rFonts w:hAnsi="宋体" w:cs="hakuyoxingshu7000"/>
                <w:w w:val="95"/>
                <w:szCs w:val="21"/>
                <w:highlight w:val="none"/>
              </w:rPr>
              <w:t>13.□</w:t>
            </w:r>
            <w:r>
              <w:rPr>
                <w:rFonts w:hAnsi="宋体"/>
                <w:w w:val="95"/>
                <w:szCs w:val="21"/>
                <w:highlight w:val="none"/>
              </w:rPr>
              <w:t>处</w:t>
            </w:r>
            <w:r>
              <w:rPr>
                <w:rFonts w:hAnsi="宋体"/>
                <w:spacing w:val="1"/>
                <w:w w:val="95"/>
                <w:szCs w:val="21"/>
                <w:highlight w:val="none"/>
              </w:rPr>
              <w:t>于</w:t>
            </w:r>
            <w:r>
              <w:rPr>
                <w:rFonts w:hAnsi="宋体"/>
                <w:w w:val="95"/>
                <w:szCs w:val="21"/>
                <w:highlight w:val="none"/>
              </w:rPr>
              <w:t>国</w:t>
            </w:r>
            <w:r>
              <w:rPr>
                <w:rFonts w:hAnsi="宋体"/>
                <w:spacing w:val="1"/>
                <w:w w:val="95"/>
                <w:szCs w:val="21"/>
                <w:highlight w:val="none"/>
              </w:rPr>
              <w:t>家</w:t>
            </w:r>
            <w:r>
              <w:rPr>
                <w:rFonts w:hAnsi="宋体"/>
                <w:w w:val="95"/>
                <w:szCs w:val="21"/>
                <w:highlight w:val="none"/>
              </w:rPr>
              <w:t>重</w:t>
            </w:r>
            <w:r>
              <w:rPr>
                <w:rFonts w:hAnsi="宋体"/>
                <w:spacing w:val="1"/>
                <w:w w:val="95"/>
                <w:szCs w:val="21"/>
                <w:highlight w:val="none"/>
              </w:rPr>
              <w:t>点</w:t>
            </w:r>
            <w:r>
              <w:rPr>
                <w:rFonts w:hAnsi="宋体"/>
                <w:w w:val="95"/>
                <w:szCs w:val="21"/>
                <w:highlight w:val="none"/>
              </w:rPr>
              <w:t>生</w:t>
            </w:r>
            <w:r>
              <w:rPr>
                <w:rFonts w:hAnsi="宋体"/>
                <w:spacing w:val="1"/>
                <w:w w:val="95"/>
                <w:szCs w:val="21"/>
                <w:highlight w:val="none"/>
              </w:rPr>
              <w:t>态</w:t>
            </w:r>
            <w:r>
              <w:rPr>
                <w:rFonts w:hAnsi="宋体"/>
                <w:w w:val="95"/>
                <w:szCs w:val="21"/>
                <w:highlight w:val="none"/>
              </w:rPr>
              <w:t>功</w:t>
            </w:r>
            <w:r>
              <w:rPr>
                <w:rFonts w:hAnsi="宋体"/>
                <w:spacing w:val="1"/>
                <w:w w:val="95"/>
                <w:szCs w:val="21"/>
                <w:highlight w:val="none"/>
              </w:rPr>
              <w:t>能</w:t>
            </w:r>
            <w:r>
              <w:rPr>
                <w:rFonts w:hAnsi="宋体"/>
                <w:w w:val="95"/>
                <w:szCs w:val="21"/>
                <w:highlight w:val="none"/>
              </w:rPr>
              <w:t>区</w:t>
            </w:r>
            <w:r>
              <w:rPr>
                <w:rFonts w:hAnsi="宋体"/>
                <w:spacing w:val="1"/>
                <w:w w:val="95"/>
                <w:szCs w:val="21"/>
                <w:highlight w:val="none"/>
              </w:rPr>
              <w:t>、</w:t>
            </w:r>
            <w:r>
              <w:rPr>
                <w:rFonts w:hAnsi="宋体"/>
                <w:w w:val="95"/>
                <w:szCs w:val="21"/>
                <w:highlight w:val="none"/>
              </w:rPr>
              <w:t>国</w:t>
            </w:r>
            <w:r>
              <w:rPr>
                <w:rFonts w:hAnsi="宋体"/>
                <w:spacing w:val="1"/>
                <w:w w:val="95"/>
                <w:szCs w:val="21"/>
                <w:highlight w:val="none"/>
              </w:rPr>
              <w:t>家</w:t>
            </w:r>
            <w:r>
              <w:rPr>
                <w:rFonts w:hAnsi="宋体"/>
                <w:w w:val="95"/>
                <w:szCs w:val="21"/>
                <w:highlight w:val="none"/>
              </w:rPr>
              <w:t>禁</w:t>
            </w:r>
            <w:r>
              <w:rPr>
                <w:rFonts w:hAnsi="宋体"/>
                <w:spacing w:val="1"/>
                <w:w w:val="95"/>
                <w:szCs w:val="21"/>
                <w:highlight w:val="none"/>
              </w:rPr>
              <w:t>止</w:t>
            </w:r>
            <w:r>
              <w:rPr>
                <w:rFonts w:hAnsi="宋体"/>
                <w:w w:val="95"/>
                <w:szCs w:val="21"/>
                <w:highlight w:val="none"/>
              </w:rPr>
              <w:t>开</w:t>
            </w:r>
            <w:r>
              <w:rPr>
                <w:rFonts w:hAnsi="宋体"/>
                <w:spacing w:val="1"/>
                <w:w w:val="95"/>
                <w:szCs w:val="21"/>
                <w:highlight w:val="none"/>
              </w:rPr>
              <w:t>发</w:t>
            </w:r>
            <w:r>
              <w:rPr>
                <w:rFonts w:hAnsi="宋体"/>
                <w:w w:val="95"/>
                <w:szCs w:val="21"/>
                <w:highlight w:val="none"/>
              </w:rPr>
              <w:t>区</w:t>
            </w:r>
            <w:r>
              <w:rPr>
                <w:rFonts w:hAnsi="宋体"/>
                <w:spacing w:val="1"/>
                <w:w w:val="95"/>
                <w:szCs w:val="21"/>
                <w:highlight w:val="none"/>
              </w:rPr>
              <w:t>域</w:t>
            </w:r>
            <w:r>
              <w:rPr>
                <w:rFonts w:hAnsi="宋体"/>
                <w:w w:val="95"/>
                <w:szCs w:val="21"/>
                <w:highlight w:val="none"/>
              </w:rPr>
              <w:t>、</w:t>
            </w:r>
            <w:r>
              <w:rPr>
                <w:rFonts w:hAnsi="宋体"/>
                <w:spacing w:val="1"/>
                <w:w w:val="95"/>
                <w:szCs w:val="21"/>
                <w:highlight w:val="none"/>
              </w:rPr>
              <w:t>水</w:t>
            </w:r>
            <w:r>
              <w:rPr>
                <w:rFonts w:hAnsi="宋体"/>
                <w:w w:val="95"/>
                <w:szCs w:val="21"/>
                <w:highlight w:val="none"/>
              </w:rPr>
              <w:t>土</w:t>
            </w:r>
            <w:r>
              <w:rPr>
                <w:rFonts w:hAnsi="宋体"/>
                <w:spacing w:val="1"/>
                <w:w w:val="95"/>
                <w:szCs w:val="21"/>
                <w:highlight w:val="none"/>
              </w:rPr>
              <w:t>流</w:t>
            </w:r>
            <w:r>
              <w:rPr>
                <w:rFonts w:hAnsi="宋体"/>
                <w:w w:val="95"/>
                <w:szCs w:val="21"/>
                <w:highlight w:val="none"/>
              </w:rPr>
              <w:t>失</w:t>
            </w:r>
            <w:r>
              <w:rPr>
                <w:rFonts w:hAnsi="宋体"/>
                <w:spacing w:val="1"/>
                <w:w w:val="95"/>
                <w:szCs w:val="21"/>
                <w:highlight w:val="none"/>
              </w:rPr>
              <w:t>重</w:t>
            </w:r>
            <w:r>
              <w:rPr>
                <w:rFonts w:hAnsi="宋体"/>
                <w:w w:val="95"/>
                <w:szCs w:val="21"/>
                <w:highlight w:val="none"/>
              </w:rPr>
              <w:t>点</w:t>
            </w:r>
            <w:r>
              <w:rPr>
                <w:rFonts w:hAnsi="宋体"/>
                <w:spacing w:val="1"/>
                <w:w w:val="95"/>
                <w:szCs w:val="21"/>
                <w:highlight w:val="none"/>
              </w:rPr>
              <w:t>防</w:t>
            </w:r>
            <w:r>
              <w:rPr>
                <w:rFonts w:hAnsi="宋体"/>
                <w:w w:val="95"/>
                <w:szCs w:val="21"/>
                <w:highlight w:val="none"/>
              </w:rPr>
              <w:t>治</w:t>
            </w:r>
            <w:r>
              <w:rPr>
                <w:rFonts w:hAnsi="宋体"/>
                <w:spacing w:val="1"/>
                <w:w w:val="95"/>
                <w:szCs w:val="21"/>
                <w:highlight w:val="none"/>
              </w:rPr>
              <w:t>区</w:t>
            </w:r>
            <w:r>
              <w:rPr>
                <w:rFonts w:hAnsi="宋体"/>
                <w:w w:val="95"/>
                <w:szCs w:val="21"/>
                <w:highlight w:val="none"/>
              </w:rPr>
              <w:t>、</w:t>
            </w:r>
            <w:r>
              <w:rPr>
                <w:rFonts w:hAnsi="宋体"/>
                <w:spacing w:val="1"/>
                <w:w w:val="95"/>
                <w:szCs w:val="21"/>
                <w:highlight w:val="none"/>
              </w:rPr>
              <w:t>沙</w:t>
            </w:r>
            <w:r>
              <w:rPr>
                <w:rFonts w:hAnsi="宋体"/>
                <w:w w:val="95"/>
                <w:szCs w:val="21"/>
                <w:highlight w:val="none"/>
              </w:rPr>
              <w:t>化</w:t>
            </w:r>
            <w:r>
              <w:rPr>
                <w:rFonts w:hAnsi="宋体"/>
                <w:spacing w:val="1"/>
                <w:w w:val="95"/>
                <w:szCs w:val="21"/>
                <w:highlight w:val="none"/>
              </w:rPr>
              <w:t>土</w:t>
            </w:r>
            <w:r>
              <w:rPr>
                <w:rFonts w:hAnsi="宋体"/>
                <w:w w:val="95"/>
                <w:szCs w:val="21"/>
                <w:highlight w:val="none"/>
              </w:rPr>
              <w:t>地</w:t>
            </w:r>
            <w:r>
              <w:rPr>
                <w:rFonts w:hAnsi="宋体"/>
                <w:spacing w:val="1"/>
                <w:w w:val="95"/>
                <w:szCs w:val="21"/>
                <w:highlight w:val="none"/>
              </w:rPr>
              <w:t>封</w:t>
            </w:r>
            <w:r>
              <w:rPr>
                <w:rFonts w:hAnsi="宋体"/>
                <w:w w:val="95"/>
                <w:szCs w:val="21"/>
                <w:highlight w:val="none"/>
              </w:rPr>
              <w:t>禁</w:t>
            </w:r>
            <w:r>
              <w:rPr>
                <w:rFonts w:hAnsi="宋体"/>
                <w:spacing w:val="1"/>
                <w:w w:val="95"/>
                <w:szCs w:val="21"/>
                <w:highlight w:val="none"/>
              </w:rPr>
              <w:t>保</w:t>
            </w:r>
            <w:r>
              <w:rPr>
                <w:rFonts w:hAnsi="宋体"/>
                <w:w w:val="95"/>
                <w:szCs w:val="21"/>
                <w:highlight w:val="none"/>
              </w:rPr>
              <w:t>护</w:t>
            </w:r>
            <w:r>
              <w:rPr>
                <w:rFonts w:hAnsi="宋体"/>
                <w:spacing w:val="1"/>
                <w:w w:val="95"/>
                <w:szCs w:val="21"/>
                <w:highlight w:val="none"/>
              </w:rPr>
              <w:t>区</w:t>
            </w:r>
            <w:r>
              <w:rPr>
                <w:rFonts w:hAnsi="宋体"/>
                <w:w w:val="95"/>
                <w:szCs w:val="21"/>
                <w:highlight w:val="none"/>
              </w:rPr>
              <w:t>等。</w:t>
            </w:r>
          </w:p>
          <w:p>
            <w:pPr>
              <w:pStyle w:val="64"/>
              <w:jc w:val="left"/>
              <w:rPr>
                <w:rFonts w:hAnsi="宋体"/>
                <w:szCs w:val="21"/>
                <w:highlight w:val="none"/>
              </w:rPr>
            </w:pPr>
            <w:r>
              <w:rPr>
                <w:rFonts w:hAnsi="宋体" w:cs="hakuyoxingshu7000"/>
                <w:w w:val="95"/>
                <w:szCs w:val="21"/>
                <w:highlight w:val="none"/>
              </w:rPr>
              <w:t>14.□</w:t>
            </w:r>
            <w:r>
              <w:rPr>
                <w:rFonts w:hAnsi="宋体"/>
                <w:w w:val="95"/>
                <w:szCs w:val="21"/>
                <w:highlight w:val="none"/>
              </w:rPr>
              <w:t>处</w:t>
            </w:r>
            <w:r>
              <w:rPr>
                <w:rFonts w:hAnsi="宋体"/>
                <w:spacing w:val="1"/>
                <w:w w:val="95"/>
                <w:szCs w:val="21"/>
                <w:highlight w:val="none"/>
              </w:rPr>
              <w:t>于</w:t>
            </w:r>
            <w:r>
              <w:rPr>
                <w:rFonts w:hAnsi="宋体"/>
                <w:w w:val="95"/>
                <w:szCs w:val="21"/>
                <w:highlight w:val="none"/>
              </w:rPr>
              <w:t>江</w:t>
            </w:r>
            <w:r>
              <w:rPr>
                <w:rFonts w:hAnsi="宋体"/>
                <w:spacing w:val="1"/>
                <w:w w:val="95"/>
                <w:szCs w:val="21"/>
                <w:highlight w:val="none"/>
              </w:rPr>
              <w:t>河</w:t>
            </w:r>
            <w:r>
              <w:rPr>
                <w:rFonts w:hAnsi="宋体"/>
                <w:w w:val="95"/>
                <w:szCs w:val="21"/>
                <w:highlight w:val="none"/>
              </w:rPr>
              <w:t>源</w:t>
            </w:r>
            <w:r>
              <w:rPr>
                <w:rFonts w:hAnsi="宋体"/>
                <w:spacing w:val="1"/>
                <w:w w:val="95"/>
                <w:szCs w:val="21"/>
                <w:highlight w:val="none"/>
              </w:rPr>
              <w:t>头</w:t>
            </w:r>
            <w:r>
              <w:rPr>
                <w:rFonts w:hAnsi="宋体"/>
                <w:w w:val="95"/>
                <w:szCs w:val="21"/>
                <w:highlight w:val="none"/>
              </w:rPr>
              <w:t>区</w:t>
            </w:r>
            <w:r>
              <w:rPr>
                <w:rFonts w:hAnsi="宋体"/>
                <w:spacing w:val="1"/>
                <w:w w:val="95"/>
                <w:szCs w:val="21"/>
                <w:highlight w:val="none"/>
              </w:rPr>
              <w:t>和</w:t>
            </w:r>
            <w:r>
              <w:rPr>
                <w:rFonts w:hAnsi="宋体"/>
                <w:w w:val="95"/>
                <w:szCs w:val="21"/>
                <w:highlight w:val="none"/>
              </w:rPr>
              <w:t>重</w:t>
            </w:r>
            <w:r>
              <w:rPr>
                <w:rFonts w:hAnsi="宋体"/>
                <w:spacing w:val="1"/>
                <w:w w:val="95"/>
                <w:szCs w:val="21"/>
                <w:highlight w:val="none"/>
              </w:rPr>
              <w:t>要</w:t>
            </w:r>
            <w:r>
              <w:rPr>
                <w:rFonts w:hAnsi="宋体"/>
                <w:w w:val="95"/>
                <w:szCs w:val="21"/>
                <w:highlight w:val="none"/>
              </w:rPr>
              <w:t>水</w:t>
            </w:r>
            <w:r>
              <w:rPr>
                <w:rFonts w:hAnsi="宋体"/>
                <w:spacing w:val="1"/>
                <w:w w:val="95"/>
                <w:szCs w:val="21"/>
                <w:highlight w:val="none"/>
              </w:rPr>
              <w:t>源</w:t>
            </w:r>
            <w:r>
              <w:rPr>
                <w:rFonts w:hAnsi="宋体"/>
                <w:w w:val="95"/>
                <w:szCs w:val="21"/>
                <w:highlight w:val="none"/>
              </w:rPr>
              <w:t>涵</w:t>
            </w:r>
            <w:r>
              <w:rPr>
                <w:rFonts w:hAnsi="宋体"/>
                <w:spacing w:val="1"/>
                <w:w w:val="95"/>
                <w:szCs w:val="21"/>
                <w:highlight w:val="none"/>
              </w:rPr>
              <w:t>养</w:t>
            </w:r>
            <w:r>
              <w:rPr>
                <w:rFonts w:hAnsi="宋体"/>
                <w:w w:val="95"/>
                <w:szCs w:val="21"/>
                <w:highlight w:val="none"/>
              </w:rPr>
              <w:t>区。</w:t>
            </w:r>
          </w:p>
          <w:p>
            <w:pPr>
              <w:pStyle w:val="64"/>
              <w:jc w:val="left"/>
              <w:rPr>
                <w:rFonts w:hAnsi="宋体"/>
                <w:szCs w:val="21"/>
                <w:highlight w:val="none"/>
              </w:rPr>
            </w:pPr>
            <w:r>
              <w:rPr>
                <w:rFonts w:hAnsi="宋体" w:cs="hakuyoxingshu7000"/>
                <w:w w:val="95"/>
                <w:szCs w:val="21"/>
                <w:highlight w:val="none"/>
              </w:rPr>
              <w:t>15.□</w:t>
            </w:r>
            <w:r>
              <w:rPr>
                <w:rFonts w:hAnsi="宋体"/>
                <w:w w:val="95"/>
                <w:szCs w:val="21"/>
                <w:highlight w:val="none"/>
              </w:rPr>
              <w:t>涉</w:t>
            </w:r>
            <w:r>
              <w:rPr>
                <w:rFonts w:hAnsi="宋体"/>
                <w:spacing w:val="1"/>
                <w:w w:val="95"/>
                <w:szCs w:val="21"/>
                <w:highlight w:val="none"/>
              </w:rPr>
              <w:t>及</w:t>
            </w:r>
            <w:r>
              <w:rPr>
                <w:rFonts w:hAnsi="宋体"/>
                <w:w w:val="95"/>
                <w:szCs w:val="21"/>
                <w:highlight w:val="none"/>
              </w:rPr>
              <w:t>跨</w:t>
            </w:r>
            <w:r>
              <w:rPr>
                <w:rFonts w:hAnsi="宋体"/>
                <w:spacing w:val="1"/>
                <w:w w:val="95"/>
                <w:szCs w:val="21"/>
                <w:highlight w:val="none"/>
              </w:rPr>
              <w:t>省</w:t>
            </w:r>
            <w:r>
              <w:rPr>
                <w:rFonts w:hAnsi="宋体"/>
                <w:w w:val="95"/>
                <w:szCs w:val="21"/>
                <w:highlight w:val="none"/>
              </w:rPr>
              <w:t>级</w:t>
            </w:r>
            <w:r>
              <w:rPr>
                <w:rFonts w:hAnsi="宋体"/>
                <w:spacing w:val="1"/>
                <w:w w:val="95"/>
                <w:szCs w:val="21"/>
                <w:highlight w:val="none"/>
              </w:rPr>
              <w:t>及</w:t>
            </w:r>
            <w:r>
              <w:rPr>
                <w:rFonts w:hAnsi="宋体"/>
                <w:w w:val="95"/>
                <w:szCs w:val="21"/>
                <w:highlight w:val="none"/>
              </w:rPr>
              <w:t>以</w:t>
            </w:r>
            <w:r>
              <w:rPr>
                <w:rFonts w:hAnsi="宋体"/>
                <w:spacing w:val="1"/>
                <w:w w:val="95"/>
                <w:szCs w:val="21"/>
                <w:highlight w:val="none"/>
              </w:rPr>
              <w:t>上</w:t>
            </w:r>
            <w:r>
              <w:rPr>
                <w:rFonts w:hAnsi="宋体"/>
                <w:w w:val="95"/>
                <w:szCs w:val="21"/>
                <w:highlight w:val="none"/>
              </w:rPr>
              <w:t>行</w:t>
            </w:r>
            <w:r>
              <w:rPr>
                <w:rFonts w:hAnsi="宋体"/>
                <w:spacing w:val="1"/>
                <w:w w:val="95"/>
                <w:szCs w:val="21"/>
                <w:highlight w:val="none"/>
              </w:rPr>
              <w:t>政</w:t>
            </w:r>
            <w:r>
              <w:rPr>
                <w:rFonts w:hAnsi="宋体"/>
                <w:w w:val="95"/>
                <w:szCs w:val="21"/>
                <w:highlight w:val="none"/>
              </w:rPr>
              <w:t>区</w:t>
            </w:r>
            <w:r>
              <w:rPr>
                <w:rFonts w:hAnsi="宋体"/>
                <w:spacing w:val="1"/>
                <w:w w:val="95"/>
                <w:szCs w:val="21"/>
                <w:highlight w:val="none"/>
              </w:rPr>
              <w:t>边</w:t>
            </w:r>
            <w:r>
              <w:rPr>
                <w:rFonts w:hAnsi="宋体"/>
                <w:w w:val="95"/>
                <w:szCs w:val="21"/>
                <w:highlight w:val="none"/>
              </w:rPr>
              <w:t>界。</w:t>
            </w:r>
          </w:p>
          <w:p>
            <w:pPr>
              <w:pStyle w:val="64"/>
              <w:jc w:val="left"/>
              <w:rPr>
                <w:rFonts w:hAnsi="宋体"/>
                <w:szCs w:val="21"/>
                <w:highlight w:val="none"/>
              </w:rPr>
            </w:pPr>
            <w:r>
              <w:rPr>
                <w:rFonts w:hAnsi="宋体" w:cs="hakuyoxingshu7000"/>
                <w:w w:val="95"/>
                <w:szCs w:val="21"/>
                <w:highlight w:val="none"/>
              </w:rPr>
              <w:t>16.□</w:t>
            </w:r>
            <w:r>
              <w:rPr>
                <w:rFonts w:hAnsi="宋体"/>
                <w:w w:val="95"/>
                <w:szCs w:val="21"/>
                <w:highlight w:val="none"/>
              </w:rPr>
              <w:t>饮</w:t>
            </w:r>
            <w:r>
              <w:rPr>
                <w:rFonts w:hAnsi="宋体"/>
                <w:spacing w:val="1"/>
                <w:w w:val="95"/>
                <w:szCs w:val="21"/>
                <w:highlight w:val="none"/>
              </w:rPr>
              <w:t>用</w:t>
            </w:r>
            <w:r>
              <w:rPr>
                <w:rFonts w:hAnsi="宋体"/>
                <w:w w:val="95"/>
                <w:szCs w:val="21"/>
                <w:highlight w:val="none"/>
              </w:rPr>
              <w:t>水</w:t>
            </w:r>
            <w:r>
              <w:rPr>
                <w:rFonts w:hAnsi="宋体"/>
                <w:spacing w:val="1"/>
                <w:w w:val="95"/>
                <w:szCs w:val="21"/>
                <w:highlight w:val="none"/>
              </w:rPr>
              <w:t>水</w:t>
            </w:r>
            <w:r>
              <w:rPr>
                <w:rFonts w:hAnsi="宋体"/>
                <w:w w:val="95"/>
                <w:szCs w:val="21"/>
                <w:highlight w:val="none"/>
              </w:rPr>
              <w:t>源</w:t>
            </w:r>
            <w:r>
              <w:rPr>
                <w:rFonts w:hAnsi="宋体"/>
                <w:spacing w:val="1"/>
                <w:w w:val="95"/>
                <w:szCs w:val="21"/>
                <w:highlight w:val="none"/>
              </w:rPr>
              <w:t>保</w:t>
            </w:r>
            <w:r>
              <w:rPr>
                <w:rFonts w:hAnsi="宋体"/>
                <w:w w:val="95"/>
                <w:szCs w:val="21"/>
                <w:highlight w:val="none"/>
              </w:rPr>
              <w:t>护</w:t>
            </w:r>
            <w:r>
              <w:rPr>
                <w:rFonts w:hAnsi="宋体"/>
                <w:spacing w:val="1"/>
                <w:w w:val="95"/>
                <w:szCs w:val="21"/>
                <w:highlight w:val="none"/>
              </w:rPr>
              <w:t>区</w:t>
            </w:r>
            <w:r>
              <w:rPr>
                <w:rFonts w:hAnsi="宋体"/>
                <w:w w:val="95"/>
                <w:szCs w:val="21"/>
                <w:highlight w:val="none"/>
              </w:rPr>
              <w:t>、</w:t>
            </w:r>
            <w:r>
              <w:rPr>
                <w:rFonts w:hint="eastAsia" w:hAnsi="宋体"/>
                <w:w w:val="95"/>
                <w:szCs w:val="21"/>
                <w:highlight w:val="none"/>
              </w:rPr>
              <w:t>自来水厂</w:t>
            </w:r>
            <w:r>
              <w:rPr>
                <w:rFonts w:hAnsi="宋体"/>
                <w:spacing w:val="1"/>
                <w:w w:val="95"/>
                <w:szCs w:val="21"/>
                <w:highlight w:val="none"/>
              </w:rPr>
              <w:t>取</w:t>
            </w:r>
            <w:r>
              <w:rPr>
                <w:rFonts w:hAnsi="宋体"/>
                <w:w w:val="95"/>
                <w:szCs w:val="21"/>
                <w:highlight w:val="none"/>
              </w:rPr>
              <w:t>水</w:t>
            </w:r>
            <w:r>
              <w:rPr>
                <w:rFonts w:hAnsi="宋体"/>
                <w:spacing w:val="1"/>
                <w:w w:val="95"/>
                <w:szCs w:val="21"/>
                <w:highlight w:val="none"/>
              </w:rPr>
              <w:t>口</w:t>
            </w:r>
            <w:r>
              <w:rPr>
                <w:rFonts w:hAnsi="宋体"/>
                <w:w w:val="95"/>
                <w:szCs w:val="21"/>
                <w:highlight w:val="none"/>
              </w:rPr>
              <w:t>。</w:t>
            </w:r>
          </w:p>
          <w:p>
            <w:pPr>
              <w:pStyle w:val="64"/>
              <w:jc w:val="left"/>
              <w:rPr>
                <w:rFonts w:hAnsi="宋体"/>
                <w:szCs w:val="21"/>
                <w:highlight w:val="none"/>
              </w:rPr>
            </w:pPr>
            <w:r>
              <w:rPr>
                <w:rFonts w:hAnsi="宋体" w:cs="hakuyoxingshu7000"/>
                <w:w w:val="95"/>
                <w:szCs w:val="21"/>
                <w:highlight w:val="none"/>
              </w:rPr>
              <w:t>17.□</w:t>
            </w:r>
            <w:r>
              <w:rPr>
                <w:rFonts w:hAnsi="宋体"/>
                <w:w w:val="95"/>
                <w:szCs w:val="21"/>
                <w:highlight w:val="none"/>
              </w:rPr>
              <w:t>重</w:t>
            </w:r>
            <w:r>
              <w:rPr>
                <w:rFonts w:hAnsi="宋体"/>
                <w:spacing w:val="1"/>
                <w:w w:val="95"/>
                <w:szCs w:val="21"/>
                <w:highlight w:val="none"/>
              </w:rPr>
              <w:t>要</w:t>
            </w:r>
            <w:r>
              <w:rPr>
                <w:rFonts w:hAnsi="宋体"/>
                <w:w w:val="95"/>
                <w:szCs w:val="21"/>
                <w:highlight w:val="none"/>
              </w:rPr>
              <w:t>江</w:t>
            </w:r>
            <w:r>
              <w:rPr>
                <w:rFonts w:hAnsi="宋体"/>
                <w:spacing w:val="1"/>
                <w:w w:val="95"/>
                <w:szCs w:val="21"/>
                <w:highlight w:val="none"/>
              </w:rPr>
              <w:t>、</w:t>
            </w:r>
            <w:r>
              <w:rPr>
                <w:rFonts w:hAnsi="宋体"/>
                <w:w w:val="95"/>
                <w:szCs w:val="21"/>
                <w:highlight w:val="none"/>
              </w:rPr>
              <w:t>河</w:t>
            </w:r>
            <w:r>
              <w:rPr>
                <w:rFonts w:hAnsi="宋体"/>
                <w:spacing w:val="1"/>
                <w:w w:val="95"/>
                <w:szCs w:val="21"/>
                <w:highlight w:val="none"/>
              </w:rPr>
              <w:t>、</w:t>
            </w:r>
            <w:r>
              <w:rPr>
                <w:rFonts w:hAnsi="宋体"/>
                <w:w w:val="95"/>
                <w:szCs w:val="21"/>
                <w:highlight w:val="none"/>
              </w:rPr>
              <w:t>湖</w:t>
            </w:r>
            <w:r>
              <w:rPr>
                <w:rFonts w:hAnsi="宋体"/>
                <w:spacing w:val="1"/>
                <w:w w:val="95"/>
                <w:szCs w:val="21"/>
                <w:highlight w:val="none"/>
              </w:rPr>
              <w:t>、</w:t>
            </w:r>
            <w:r>
              <w:rPr>
                <w:rFonts w:hAnsi="宋体"/>
                <w:w w:val="95"/>
                <w:szCs w:val="21"/>
                <w:highlight w:val="none"/>
              </w:rPr>
              <w:t>库</w:t>
            </w:r>
            <w:r>
              <w:rPr>
                <w:rFonts w:hAnsi="宋体"/>
                <w:spacing w:val="1"/>
                <w:w w:val="95"/>
                <w:szCs w:val="21"/>
                <w:highlight w:val="none"/>
              </w:rPr>
              <w:t>等</w:t>
            </w:r>
            <w:r>
              <w:rPr>
                <w:rFonts w:hAnsi="宋体"/>
                <w:w w:val="95"/>
                <w:szCs w:val="21"/>
                <w:highlight w:val="none"/>
              </w:rPr>
              <w:t>大</w:t>
            </w:r>
            <w:r>
              <w:rPr>
                <w:rFonts w:hAnsi="宋体"/>
                <w:spacing w:val="1"/>
                <w:w w:val="95"/>
                <w:szCs w:val="21"/>
                <w:highlight w:val="none"/>
              </w:rPr>
              <w:t>型</w:t>
            </w:r>
            <w:r>
              <w:rPr>
                <w:rFonts w:hAnsi="宋体"/>
                <w:w w:val="95"/>
                <w:szCs w:val="21"/>
                <w:highlight w:val="none"/>
              </w:rPr>
              <w:t>水</w:t>
            </w:r>
            <w:r>
              <w:rPr>
                <w:rFonts w:hAnsi="宋体"/>
                <w:spacing w:val="1"/>
                <w:w w:val="95"/>
                <w:szCs w:val="21"/>
                <w:highlight w:val="none"/>
              </w:rPr>
              <w:t>体</w:t>
            </w:r>
            <w:r>
              <w:rPr>
                <w:rFonts w:hAnsi="宋体"/>
                <w:w w:val="95"/>
                <w:szCs w:val="21"/>
                <w:highlight w:val="none"/>
              </w:rPr>
              <w:t>。</w:t>
            </w:r>
          </w:p>
          <w:p>
            <w:pPr>
              <w:pStyle w:val="64"/>
              <w:jc w:val="left"/>
              <w:rPr>
                <w:rFonts w:hAnsi="宋体"/>
                <w:szCs w:val="21"/>
                <w:highlight w:val="none"/>
              </w:rPr>
            </w:pPr>
            <w:r>
              <w:rPr>
                <w:rFonts w:hAnsi="宋体" w:cs="hakuyoxingshu7000"/>
                <w:w w:val="95"/>
                <w:szCs w:val="21"/>
                <w:highlight w:val="none"/>
              </w:rPr>
              <w:t>18.□</w:t>
            </w:r>
            <w:r>
              <w:rPr>
                <w:rFonts w:hAnsi="宋体"/>
                <w:spacing w:val="1"/>
                <w:w w:val="95"/>
                <w:szCs w:val="21"/>
                <w:highlight w:val="none"/>
              </w:rPr>
              <w:t>重</w:t>
            </w:r>
            <w:r>
              <w:rPr>
                <w:rFonts w:hAnsi="宋体"/>
                <w:w w:val="95"/>
                <w:szCs w:val="21"/>
                <w:highlight w:val="none"/>
              </w:rPr>
              <w:t>要</w:t>
            </w:r>
            <w:r>
              <w:rPr>
                <w:rFonts w:hAnsi="宋体"/>
                <w:spacing w:val="1"/>
                <w:w w:val="95"/>
                <w:szCs w:val="21"/>
                <w:highlight w:val="none"/>
              </w:rPr>
              <w:t>湿</w:t>
            </w:r>
            <w:r>
              <w:rPr>
                <w:rFonts w:hAnsi="宋体"/>
                <w:w w:val="95"/>
                <w:szCs w:val="21"/>
                <w:highlight w:val="none"/>
              </w:rPr>
              <w:t>地</w:t>
            </w:r>
            <w:r>
              <w:rPr>
                <w:rFonts w:hAnsi="宋体"/>
                <w:spacing w:val="-13"/>
                <w:w w:val="95"/>
                <w:szCs w:val="21"/>
                <w:highlight w:val="none"/>
              </w:rPr>
              <w:t>、</w:t>
            </w:r>
            <w:r>
              <w:rPr>
                <w:rFonts w:hAnsi="宋体"/>
                <w:spacing w:val="1"/>
                <w:w w:val="95"/>
                <w:szCs w:val="21"/>
                <w:highlight w:val="none"/>
              </w:rPr>
              <w:t>天</w:t>
            </w:r>
            <w:r>
              <w:rPr>
                <w:rFonts w:hAnsi="宋体"/>
                <w:w w:val="95"/>
                <w:szCs w:val="21"/>
                <w:highlight w:val="none"/>
              </w:rPr>
              <w:t>然</w:t>
            </w:r>
            <w:r>
              <w:rPr>
                <w:rFonts w:hAnsi="宋体"/>
                <w:spacing w:val="1"/>
                <w:w w:val="95"/>
                <w:szCs w:val="21"/>
                <w:highlight w:val="none"/>
              </w:rPr>
              <w:t>林</w:t>
            </w:r>
            <w:r>
              <w:rPr>
                <w:rFonts w:hAnsi="宋体"/>
                <w:spacing w:val="-13"/>
                <w:w w:val="95"/>
                <w:szCs w:val="21"/>
                <w:highlight w:val="none"/>
              </w:rPr>
              <w:t>、</w:t>
            </w:r>
            <w:r>
              <w:rPr>
                <w:rFonts w:hAnsi="宋体"/>
                <w:spacing w:val="1"/>
                <w:w w:val="95"/>
                <w:szCs w:val="21"/>
                <w:highlight w:val="none"/>
              </w:rPr>
              <w:t>珍</w:t>
            </w:r>
            <w:r>
              <w:rPr>
                <w:rFonts w:hAnsi="宋体"/>
                <w:w w:val="95"/>
                <w:szCs w:val="21"/>
                <w:highlight w:val="none"/>
              </w:rPr>
              <w:t>稀</w:t>
            </w:r>
            <w:r>
              <w:rPr>
                <w:rFonts w:hAnsi="宋体"/>
                <w:spacing w:val="1"/>
                <w:w w:val="95"/>
                <w:szCs w:val="21"/>
                <w:highlight w:val="none"/>
              </w:rPr>
              <w:t>濒</w:t>
            </w:r>
            <w:r>
              <w:rPr>
                <w:rFonts w:hAnsi="宋体"/>
                <w:w w:val="95"/>
                <w:szCs w:val="21"/>
                <w:highlight w:val="none"/>
              </w:rPr>
              <w:t>危</w:t>
            </w:r>
            <w:r>
              <w:rPr>
                <w:rFonts w:hAnsi="宋体"/>
                <w:spacing w:val="1"/>
                <w:w w:val="95"/>
                <w:szCs w:val="21"/>
                <w:highlight w:val="none"/>
              </w:rPr>
              <w:t>野</w:t>
            </w:r>
            <w:r>
              <w:rPr>
                <w:rFonts w:hAnsi="宋体"/>
                <w:w w:val="95"/>
                <w:szCs w:val="21"/>
                <w:highlight w:val="none"/>
              </w:rPr>
              <w:t>生</w:t>
            </w:r>
            <w:r>
              <w:rPr>
                <w:rFonts w:hAnsi="宋体"/>
                <w:spacing w:val="1"/>
                <w:w w:val="95"/>
                <w:szCs w:val="21"/>
                <w:highlight w:val="none"/>
              </w:rPr>
              <w:t>动</w:t>
            </w:r>
            <w:r>
              <w:rPr>
                <w:rFonts w:hAnsi="宋体"/>
                <w:w w:val="95"/>
                <w:szCs w:val="21"/>
                <w:highlight w:val="none"/>
              </w:rPr>
              <w:t>植</w:t>
            </w:r>
            <w:r>
              <w:rPr>
                <w:rFonts w:hAnsi="宋体"/>
                <w:spacing w:val="1"/>
                <w:w w:val="95"/>
                <w:szCs w:val="21"/>
                <w:highlight w:val="none"/>
              </w:rPr>
              <w:t>物</w:t>
            </w:r>
            <w:r>
              <w:rPr>
                <w:rFonts w:hAnsi="宋体"/>
                <w:w w:val="95"/>
                <w:szCs w:val="21"/>
                <w:highlight w:val="none"/>
              </w:rPr>
              <w:t>天</w:t>
            </w:r>
            <w:r>
              <w:rPr>
                <w:rFonts w:hAnsi="宋体"/>
                <w:spacing w:val="1"/>
                <w:w w:val="95"/>
                <w:szCs w:val="21"/>
                <w:highlight w:val="none"/>
              </w:rPr>
              <w:t>然</w:t>
            </w:r>
            <w:r>
              <w:rPr>
                <w:rFonts w:hAnsi="宋体"/>
                <w:w w:val="95"/>
                <w:szCs w:val="21"/>
                <w:highlight w:val="none"/>
              </w:rPr>
              <w:t>集</w:t>
            </w:r>
            <w:r>
              <w:rPr>
                <w:rFonts w:hAnsi="宋体"/>
                <w:spacing w:val="1"/>
                <w:w w:val="95"/>
                <w:szCs w:val="21"/>
                <w:highlight w:val="none"/>
              </w:rPr>
              <w:t>中</w:t>
            </w:r>
            <w:r>
              <w:rPr>
                <w:rFonts w:hAnsi="宋体"/>
                <w:w w:val="95"/>
                <w:szCs w:val="21"/>
                <w:highlight w:val="none"/>
              </w:rPr>
              <w:t>分</w:t>
            </w:r>
            <w:r>
              <w:rPr>
                <w:rFonts w:hAnsi="宋体"/>
                <w:spacing w:val="1"/>
                <w:w w:val="95"/>
                <w:szCs w:val="21"/>
                <w:highlight w:val="none"/>
              </w:rPr>
              <w:t>布</w:t>
            </w:r>
            <w:r>
              <w:rPr>
                <w:rFonts w:hAnsi="宋体"/>
                <w:w w:val="95"/>
                <w:szCs w:val="21"/>
                <w:highlight w:val="none"/>
              </w:rPr>
              <w:t>区</w:t>
            </w:r>
            <w:r>
              <w:rPr>
                <w:rFonts w:hAnsi="宋体"/>
                <w:spacing w:val="-13"/>
                <w:w w:val="95"/>
                <w:szCs w:val="21"/>
                <w:highlight w:val="none"/>
              </w:rPr>
              <w:t>、</w:t>
            </w:r>
            <w:r>
              <w:rPr>
                <w:rFonts w:hAnsi="宋体"/>
                <w:spacing w:val="1"/>
                <w:w w:val="95"/>
                <w:szCs w:val="21"/>
                <w:highlight w:val="none"/>
              </w:rPr>
              <w:t>重</w:t>
            </w:r>
            <w:r>
              <w:rPr>
                <w:rFonts w:hAnsi="宋体"/>
                <w:w w:val="95"/>
                <w:szCs w:val="21"/>
                <w:highlight w:val="none"/>
              </w:rPr>
              <w:t>要</w:t>
            </w:r>
            <w:r>
              <w:rPr>
                <w:rFonts w:hAnsi="宋体"/>
                <w:spacing w:val="1"/>
                <w:w w:val="95"/>
                <w:szCs w:val="21"/>
                <w:highlight w:val="none"/>
              </w:rPr>
              <w:t>水</w:t>
            </w:r>
            <w:r>
              <w:rPr>
                <w:rFonts w:hAnsi="宋体"/>
                <w:w w:val="95"/>
                <w:szCs w:val="21"/>
                <w:highlight w:val="none"/>
              </w:rPr>
              <w:t>生</w:t>
            </w:r>
            <w:r>
              <w:rPr>
                <w:rFonts w:hAnsi="宋体"/>
                <w:spacing w:val="1"/>
                <w:w w:val="95"/>
                <w:szCs w:val="21"/>
                <w:highlight w:val="none"/>
              </w:rPr>
              <w:t>生</w:t>
            </w:r>
            <w:r>
              <w:rPr>
                <w:rFonts w:hAnsi="宋体"/>
                <w:w w:val="95"/>
                <w:szCs w:val="21"/>
                <w:highlight w:val="none"/>
              </w:rPr>
              <w:t>物</w:t>
            </w:r>
            <w:r>
              <w:rPr>
                <w:rFonts w:hAnsi="宋体"/>
                <w:spacing w:val="1"/>
                <w:w w:val="95"/>
                <w:szCs w:val="21"/>
                <w:highlight w:val="none"/>
              </w:rPr>
              <w:t>的</w:t>
            </w:r>
            <w:r>
              <w:rPr>
                <w:rFonts w:hAnsi="宋体"/>
                <w:w w:val="95"/>
                <w:szCs w:val="21"/>
                <w:highlight w:val="none"/>
              </w:rPr>
              <w:t>自</w:t>
            </w:r>
            <w:r>
              <w:rPr>
                <w:rFonts w:hAnsi="宋体"/>
                <w:spacing w:val="1"/>
                <w:w w:val="95"/>
                <w:szCs w:val="21"/>
                <w:highlight w:val="none"/>
              </w:rPr>
              <w:t>然</w:t>
            </w:r>
            <w:r>
              <w:rPr>
                <w:rFonts w:hAnsi="宋体"/>
                <w:w w:val="95"/>
                <w:szCs w:val="21"/>
                <w:highlight w:val="none"/>
              </w:rPr>
              <w:t>产</w:t>
            </w:r>
            <w:r>
              <w:rPr>
                <w:rFonts w:hAnsi="宋体"/>
                <w:spacing w:val="1"/>
                <w:w w:val="95"/>
                <w:szCs w:val="21"/>
                <w:highlight w:val="none"/>
              </w:rPr>
              <w:t>卵</w:t>
            </w:r>
            <w:r>
              <w:rPr>
                <w:rFonts w:hAnsi="宋体"/>
                <w:w w:val="95"/>
                <w:szCs w:val="21"/>
                <w:highlight w:val="none"/>
              </w:rPr>
              <w:t>场</w:t>
            </w:r>
            <w:r>
              <w:rPr>
                <w:rFonts w:hAnsi="宋体"/>
                <w:spacing w:val="1"/>
                <w:w w:val="95"/>
                <w:szCs w:val="21"/>
                <w:highlight w:val="none"/>
              </w:rPr>
              <w:t>及</w:t>
            </w:r>
            <w:r>
              <w:rPr>
                <w:rFonts w:hAnsi="宋体"/>
                <w:w w:val="95"/>
                <w:szCs w:val="21"/>
                <w:highlight w:val="none"/>
              </w:rPr>
              <w:t>索</w:t>
            </w:r>
            <w:r>
              <w:rPr>
                <w:rFonts w:hAnsi="宋体"/>
                <w:spacing w:val="1"/>
                <w:w w:val="95"/>
                <w:szCs w:val="21"/>
                <w:highlight w:val="none"/>
              </w:rPr>
              <w:t>饵场</w:t>
            </w:r>
            <w:r>
              <w:rPr>
                <w:rFonts w:hAnsi="宋体"/>
                <w:spacing w:val="-13"/>
                <w:w w:val="95"/>
                <w:szCs w:val="21"/>
                <w:highlight w:val="none"/>
              </w:rPr>
              <w:t>、</w:t>
            </w:r>
            <w:r>
              <w:rPr>
                <w:rFonts w:hAnsi="宋体"/>
                <w:spacing w:val="1"/>
                <w:w w:val="95"/>
                <w:szCs w:val="21"/>
                <w:highlight w:val="none"/>
              </w:rPr>
              <w:t>越</w:t>
            </w:r>
            <w:r>
              <w:rPr>
                <w:rFonts w:hAnsi="宋体"/>
                <w:w w:val="95"/>
                <w:szCs w:val="21"/>
                <w:highlight w:val="none"/>
              </w:rPr>
              <w:t>冬场和</w:t>
            </w:r>
            <w:r>
              <w:rPr>
                <w:rFonts w:hAnsi="宋体"/>
                <w:spacing w:val="1"/>
                <w:w w:val="95"/>
                <w:szCs w:val="21"/>
                <w:highlight w:val="none"/>
              </w:rPr>
              <w:t>洄</w:t>
            </w:r>
            <w:r>
              <w:rPr>
                <w:rFonts w:hAnsi="宋体"/>
                <w:w w:val="95"/>
                <w:szCs w:val="21"/>
                <w:highlight w:val="none"/>
              </w:rPr>
              <w:t>游</w:t>
            </w:r>
            <w:r>
              <w:rPr>
                <w:rFonts w:hAnsi="宋体"/>
                <w:spacing w:val="1"/>
                <w:w w:val="95"/>
                <w:szCs w:val="21"/>
                <w:highlight w:val="none"/>
              </w:rPr>
              <w:t>通</w:t>
            </w:r>
            <w:r>
              <w:rPr>
                <w:rFonts w:hAnsi="宋体"/>
                <w:w w:val="95"/>
                <w:szCs w:val="21"/>
                <w:highlight w:val="none"/>
              </w:rPr>
              <w:t>道</w:t>
            </w:r>
            <w:r>
              <w:rPr>
                <w:rFonts w:hAnsi="宋体"/>
                <w:spacing w:val="1"/>
                <w:w w:val="95"/>
                <w:szCs w:val="21"/>
                <w:highlight w:val="none"/>
              </w:rPr>
              <w:t>、</w:t>
            </w:r>
            <w:r>
              <w:rPr>
                <w:rFonts w:hAnsi="宋体"/>
                <w:w w:val="95"/>
                <w:szCs w:val="21"/>
                <w:highlight w:val="none"/>
              </w:rPr>
              <w:t>天</w:t>
            </w:r>
            <w:r>
              <w:rPr>
                <w:rFonts w:hAnsi="宋体"/>
                <w:spacing w:val="1"/>
                <w:w w:val="95"/>
                <w:szCs w:val="21"/>
                <w:highlight w:val="none"/>
              </w:rPr>
              <w:t>然</w:t>
            </w:r>
            <w:r>
              <w:rPr>
                <w:rFonts w:hAnsi="宋体"/>
                <w:w w:val="95"/>
                <w:szCs w:val="21"/>
                <w:highlight w:val="none"/>
              </w:rPr>
              <w:t>渔</w:t>
            </w:r>
            <w:r>
              <w:rPr>
                <w:rFonts w:hAnsi="宋体"/>
                <w:spacing w:val="1"/>
                <w:w w:val="95"/>
                <w:szCs w:val="21"/>
                <w:highlight w:val="none"/>
              </w:rPr>
              <w:t>场</w:t>
            </w:r>
            <w:r>
              <w:rPr>
                <w:rFonts w:hAnsi="宋体"/>
                <w:w w:val="95"/>
                <w:szCs w:val="21"/>
                <w:highlight w:val="none"/>
              </w:rPr>
              <w:t>、</w:t>
            </w:r>
            <w:r>
              <w:rPr>
                <w:rFonts w:hAnsi="宋体"/>
                <w:spacing w:val="1"/>
                <w:w w:val="95"/>
                <w:szCs w:val="21"/>
                <w:highlight w:val="none"/>
              </w:rPr>
              <w:t>资</w:t>
            </w:r>
            <w:r>
              <w:rPr>
                <w:rFonts w:hAnsi="宋体"/>
                <w:w w:val="95"/>
                <w:szCs w:val="21"/>
                <w:highlight w:val="none"/>
              </w:rPr>
              <w:t>源</w:t>
            </w:r>
            <w:r>
              <w:rPr>
                <w:rFonts w:hAnsi="宋体"/>
                <w:spacing w:val="1"/>
                <w:w w:val="95"/>
                <w:szCs w:val="21"/>
                <w:highlight w:val="none"/>
              </w:rPr>
              <w:t>性</w:t>
            </w:r>
            <w:r>
              <w:rPr>
                <w:rFonts w:hAnsi="宋体"/>
                <w:w w:val="95"/>
                <w:szCs w:val="21"/>
                <w:highlight w:val="none"/>
              </w:rPr>
              <w:t>缺</w:t>
            </w:r>
            <w:r>
              <w:rPr>
                <w:rFonts w:hAnsi="宋体"/>
                <w:spacing w:val="1"/>
                <w:w w:val="95"/>
                <w:szCs w:val="21"/>
                <w:highlight w:val="none"/>
              </w:rPr>
              <w:t>水</w:t>
            </w:r>
            <w:r>
              <w:rPr>
                <w:rFonts w:hAnsi="宋体"/>
                <w:w w:val="95"/>
                <w:szCs w:val="21"/>
                <w:highlight w:val="none"/>
              </w:rPr>
              <w:t>地</w:t>
            </w:r>
            <w:r>
              <w:rPr>
                <w:rFonts w:hAnsi="宋体"/>
                <w:spacing w:val="1"/>
                <w:w w:val="95"/>
                <w:szCs w:val="21"/>
                <w:highlight w:val="none"/>
              </w:rPr>
              <w:t>区</w:t>
            </w:r>
            <w:r>
              <w:rPr>
                <w:rFonts w:hAnsi="宋体"/>
                <w:w w:val="95"/>
                <w:szCs w:val="21"/>
                <w:highlight w:val="none"/>
              </w:rPr>
              <w:t>、</w:t>
            </w:r>
            <w:r>
              <w:rPr>
                <w:rFonts w:hAnsi="宋体"/>
                <w:spacing w:val="1"/>
                <w:w w:val="95"/>
                <w:szCs w:val="21"/>
                <w:highlight w:val="none"/>
              </w:rPr>
              <w:t>封</w:t>
            </w:r>
            <w:r>
              <w:rPr>
                <w:rFonts w:hAnsi="宋体"/>
                <w:w w:val="95"/>
                <w:szCs w:val="21"/>
                <w:highlight w:val="none"/>
              </w:rPr>
              <w:t>闭</w:t>
            </w:r>
            <w:r>
              <w:rPr>
                <w:rFonts w:hAnsi="宋体"/>
                <w:spacing w:val="1"/>
                <w:w w:val="95"/>
                <w:szCs w:val="21"/>
                <w:highlight w:val="none"/>
              </w:rPr>
              <w:t>及</w:t>
            </w:r>
            <w:r>
              <w:rPr>
                <w:rFonts w:hAnsi="宋体"/>
                <w:w w:val="95"/>
                <w:szCs w:val="21"/>
                <w:highlight w:val="none"/>
              </w:rPr>
              <w:t>半</w:t>
            </w:r>
            <w:r>
              <w:rPr>
                <w:rFonts w:hAnsi="宋体"/>
                <w:spacing w:val="1"/>
                <w:w w:val="95"/>
                <w:szCs w:val="21"/>
                <w:highlight w:val="none"/>
              </w:rPr>
              <w:t>封</w:t>
            </w:r>
            <w:r>
              <w:rPr>
                <w:rFonts w:hAnsi="宋体"/>
                <w:w w:val="95"/>
                <w:szCs w:val="21"/>
                <w:highlight w:val="none"/>
              </w:rPr>
              <w:t>闭</w:t>
            </w:r>
            <w:r>
              <w:rPr>
                <w:rFonts w:hAnsi="宋体"/>
                <w:spacing w:val="1"/>
                <w:w w:val="95"/>
                <w:szCs w:val="21"/>
                <w:highlight w:val="none"/>
              </w:rPr>
              <w:t>海</w:t>
            </w:r>
            <w:r>
              <w:rPr>
                <w:rFonts w:hAnsi="宋体"/>
                <w:w w:val="95"/>
                <w:szCs w:val="21"/>
                <w:highlight w:val="none"/>
              </w:rPr>
              <w:t>域</w:t>
            </w:r>
            <w:r>
              <w:rPr>
                <w:rFonts w:hAnsi="宋体"/>
                <w:spacing w:val="1"/>
                <w:w w:val="95"/>
                <w:szCs w:val="21"/>
                <w:highlight w:val="none"/>
              </w:rPr>
              <w:t>、</w:t>
            </w:r>
            <w:r>
              <w:rPr>
                <w:rFonts w:hAnsi="宋体"/>
                <w:w w:val="95"/>
                <w:szCs w:val="21"/>
                <w:highlight w:val="none"/>
              </w:rPr>
              <w:t>富</w:t>
            </w:r>
            <w:r>
              <w:rPr>
                <w:rFonts w:hAnsi="宋体"/>
                <w:spacing w:val="1"/>
                <w:w w:val="95"/>
                <w:szCs w:val="21"/>
                <w:highlight w:val="none"/>
              </w:rPr>
              <w:t>营</w:t>
            </w:r>
            <w:r>
              <w:rPr>
                <w:rFonts w:hAnsi="宋体"/>
                <w:w w:val="95"/>
                <w:szCs w:val="21"/>
                <w:highlight w:val="none"/>
              </w:rPr>
              <w:t>养</w:t>
            </w:r>
            <w:r>
              <w:rPr>
                <w:rFonts w:hAnsi="宋体"/>
                <w:spacing w:val="1"/>
                <w:w w:val="95"/>
                <w:szCs w:val="21"/>
                <w:highlight w:val="none"/>
              </w:rPr>
              <w:t>化</w:t>
            </w:r>
            <w:r>
              <w:rPr>
                <w:rFonts w:hAnsi="宋体"/>
                <w:w w:val="95"/>
                <w:szCs w:val="21"/>
                <w:highlight w:val="none"/>
              </w:rPr>
              <w:t>水</w:t>
            </w:r>
            <w:r>
              <w:rPr>
                <w:rFonts w:hAnsi="宋体"/>
                <w:spacing w:val="1"/>
                <w:w w:val="95"/>
                <w:szCs w:val="21"/>
                <w:highlight w:val="none"/>
              </w:rPr>
              <w:t>域</w:t>
            </w:r>
            <w:r>
              <w:rPr>
                <w:rFonts w:hAnsi="宋体"/>
                <w:w w:val="95"/>
                <w:szCs w:val="21"/>
                <w:highlight w:val="none"/>
              </w:rPr>
              <w:t>等。</w:t>
            </w:r>
          </w:p>
          <w:p>
            <w:pPr>
              <w:pStyle w:val="64"/>
              <w:jc w:val="left"/>
              <w:rPr>
                <w:rFonts w:hAnsi="宋体"/>
                <w:szCs w:val="21"/>
                <w:highlight w:val="none"/>
              </w:rPr>
            </w:pPr>
            <w:r>
              <w:rPr>
                <w:rFonts w:hAnsi="宋体" w:cs="hakuyoxingshu7000"/>
                <w:w w:val="95"/>
                <w:szCs w:val="21"/>
                <w:highlight w:val="none"/>
              </w:rPr>
              <w:t>19.□</w:t>
            </w:r>
            <w:r>
              <w:rPr>
                <w:rFonts w:hAnsi="宋体"/>
                <w:w w:val="95"/>
                <w:szCs w:val="21"/>
                <w:highlight w:val="none"/>
              </w:rPr>
              <w:t>水</w:t>
            </w:r>
            <w:r>
              <w:rPr>
                <w:rFonts w:hAnsi="宋体"/>
                <w:spacing w:val="1"/>
                <w:w w:val="95"/>
                <w:szCs w:val="21"/>
                <w:highlight w:val="none"/>
              </w:rPr>
              <w:t>产</w:t>
            </w:r>
            <w:r>
              <w:rPr>
                <w:rFonts w:hAnsi="宋体"/>
                <w:w w:val="95"/>
                <w:szCs w:val="21"/>
                <w:highlight w:val="none"/>
              </w:rPr>
              <w:t>养</w:t>
            </w:r>
            <w:r>
              <w:rPr>
                <w:rFonts w:hAnsi="宋体"/>
                <w:spacing w:val="1"/>
                <w:w w:val="95"/>
                <w:szCs w:val="21"/>
                <w:highlight w:val="none"/>
              </w:rPr>
              <w:t>殖</w:t>
            </w:r>
            <w:r>
              <w:rPr>
                <w:rFonts w:hAnsi="宋体"/>
                <w:w w:val="95"/>
                <w:szCs w:val="21"/>
                <w:highlight w:val="none"/>
              </w:rPr>
              <w:t>区</w:t>
            </w:r>
            <w:r>
              <w:rPr>
                <w:rFonts w:hAnsi="宋体"/>
                <w:spacing w:val="1"/>
                <w:w w:val="95"/>
                <w:szCs w:val="21"/>
                <w:highlight w:val="none"/>
              </w:rPr>
              <w:t>，</w:t>
            </w:r>
            <w:r>
              <w:rPr>
                <w:rFonts w:hAnsi="宋体"/>
                <w:w w:val="95"/>
                <w:szCs w:val="21"/>
                <w:highlight w:val="none"/>
              </w:rPr>
              <w:t>且</w:t>
            </w:r>
            <w:r>
              <w:rPr>
                <w:rFonts w:hAnsi="宋体"/>
                <w:spacing w:val="1"/>
                <w:w w:val="95"/>
                <w:szCs w:val="21"/>
                <w:highlight w:val="none"/>
              </w:rPr>
              <w:t>规</w:t>
            </w:r>
            <w:r>
              <w:rPr>
                <w:rFonts w:hAnsi="宋体"/>
                <w:w w:val="95"/>
                <w:szCs w:val="21"/>
                <w:highlight w:val="none"/>
              </w:rPr>
              <w:t>模在</w:t>
            </w:r>
            <w:r>
              <w:rPr>
                <w:rFonts w:hAnsi="宋体" w:cs="hakuyoxingshu7000"/>
                <w:w w:val="95"/>
                <w:szCs w:val="21"/>
                <w:highlight w:val="none"/>
              </w:rPr>
              <w:t>20</w:t>
            </w:r>
            <w:r>
              <w:rPr>
                <w:rFonts w:hAnsi="宋体"/>
                <w:w w:val="95"/>
                <w:szCs w:val="21"/>
                <w:highlight w:val="none"/>
              </w:rPr>
              <w:t>亩</w:t>
            </w:r>
            <w:r>
              <w:rPr>
                <w:rFonts w:hAnsi="宋体"/>
                <w:spacing w:val="1"/>
                <w:w w:val="95"/>
                <w:szCs w:val="21"/>
                <w:highlight w:val="none"/>
              </w:rPr>
              <w:t>及</w:t>
            </w:r>
            <w:r>
              <w:rPr>
                <w:rFonts w:hAnsi="宋体"/>
                <w:w w:val="95"/>
                <w:szCs w:val="21"/>
                <w:highlight w:val="none"/>
              </w:rPr>
              <w:t>以</w:t>
            </w:r>
            <w:r>
              <w:rPr>
                <w:rFonts w:hAnsi="宋体"/>
                <w:spacing w:val="1"/>
                <w:w w:val="95"/>
                <w:szCs w:val="21"/>
                <w:highlight w:val="none"/>
              </w:rPr>
              <w:t>上</w:t>
            </w:r>
            <w:r>
              <w:rPr>
                <w:rFonts w:hAnsi="宋体"/>
                <w:w w:val="95"/>
                <w:szCs w:val="21"/>
                <w:highlight w:val="none"/>
              </w:rPr>
              <w:t>。</w:t>
            </w:r>
          </w:p>
          <w:p>
            <w:pPr>
              <w:pStyle w:val="64"/>
              <w:jc w:val="left"/>
              <w:rPr>
                <w:rFonts w:hAnsi="宋体"/>
                <w:szCs w:val="21"/>
                <w:highlight w:val="none"/>
              </w:rPr>
            </w:pPr>
            <w:r>
              <w:rPr>
                <w:rFonts w:hAnsi="宋体" w:cs="hakuyoxingshu7000"/>
                <w:spacing w:val="1"/>
                <w:szCs w:val="21"/>
                <w:highlight w:val="none"/>
              </w:rPr>
              <w:t>20</w:t>
            </w:r>
            <w:r>
              <w:rPr>
                <w:rFonts w:hAnsi="宋体" w:cs="hakuyoxingshu7000"/>
                <w:szCs w:val="21"/>
                <w:highlight w:val="none"/>
              </w:rPr>
              <w:t>.</w:t>
            </w:r>
            <w:r>
              <w:rPr>
                <w:rFonts w:hAnsi="宋体"/>
                <w:szCs w:val="21"/>
                <w:highlight w:val="none"/>
              </w:rPr>
              <w:t>下</w:t>
            </w:r>
            <w:r>
              <w:rPr>
                <w:rFonts w:hAnsi="宋体"/>
                <w:spacing w:val="2"/>
                <w:szCs w:val="21"/>
                <w:highlight w:val="none"/>
              </w:rPr>
              <w:t>游</w:t>
            </w:r>
            <w:r>
              <w:rPr>
                <w:rFonts w:hAnsi="宋体"/>
                <w:szCs w:val="21"/>
                <w:highlight w:val="none"/>
              </w:rPr>
              <w:t>涉</w:t>
            </w:r>
            <w:r>
              <w:rPr>
                <w:rFonts w:hAnsi="宋体"/>
                <w:spacing w:val="2"/>
                <w:szCs w:val="21"/>
                <w:highlight w:val="none"/>
              </w:rPr>
              <w:t>及</w:t>
            </w:r>
            <w:r>
              <w:rPr>
                <w:rFonts w:hAnsi="宋体"/>
                <w:szCs w:val="21"/>
                <w:highlight w:val="none"/>
              </w:rPr>
              <w:t>人</w:t>
            </w:r>
            <w:r>
              <w:rPr>
                <w:rFonts w:hAnsi="宋体"/>
                <w:spacing w:val="2"/>
                <w:szCs w:val="21"/>
                <w:highlight w:val="none"/>
              </w:rPr>
              <w:t>口</w:t>
            </w:r>
            <w:r>
              <w:rPr>
                <w:rFonts w:hAnsi="宋体"/>
                <w:szCs w:val="21"/>
                <w:highlight w:val="none"/>
              </w:rPr>
              <w:t>聚</w:t>
            </w:r>
            <w:r>
              <w:rPr>
                <w:rFonts w:hAnsi="宋体"/>
                <w:spacing w:val="2"/>
                <w:szCs w:val="21"/>
                <w:highlight w:val="none"/>
              </w:rPr>
              <w:t>集</w:t>
            </w:r>
            <w:r>
              <w:rPr>
                <w:rFonts w:hAnsi="宋体"/>
                <w:szCs w:val="21"/>
                <w:highlight w:val="none"/>
              </w:rPr>
              <w:t>区</w:t>
            </w:r>
            <w:r>
              <w:rPr>
                <w:rFonts w:hAnsi="宋体"/>
                <w:spacing w:val="2"/>
                <w:szCs w:val="21"/>
                <w:highlight w:val="none"/>
              </w:rPr>
              <w:t>，</w:t>
            </w:r>
            <w:r>
              <w:rPr>
                <w:rFonts w:hAnsi="宋体"/>
                <w:szCs w:val="21"/>
                <w:highlight w:val="none"/>
              </w:rPr>
              <w:t>且</w:t>
            </w:r>
            <w:r>
              <w:rPr>
                <w:rFonts w:hAnsi="宋体"/>
                <w:spacing w:val="2"/>
                <w:szCs w:val="21"/>
                <w:highlight w:val="none"/>
              </w:rPr>
              <w:t>人</w:t>
            </w:r>
            <w:r>
              <w:rPr>
                <w:rFonts w:hAnsi="宋体"/>
                <w:szCs w:val="21"/>
                <w:highlight w:val="none"/>
              </w:rPr>
              <w:t>口</w:t>
            </w:r>
            <w:r>
              <w:rPr>
                <w:rFonts w:hAnsi="宋体"/>
                <w:spacing w:val="2"/>
                <w:szCs w:val="21"/>
                <w:highlight w:val="none"/>
              </w:rPr>
              <w:t>规</w:t>
            </w:r>
            <w:r>
              <w:rPr>
                <w:rFonts w:hAnsi="宋体"/>
                <w:szCs w:val="21"/>
                <w:highlight w:val="none"/>
              </w:rPr>
              <w:t>模在</w:t>
            </w:r>
            <w:r>
              <w:rPr>
                <w:rFonts w:hAnsi="宋体" w:cs="hakuyoxingshu7000"/>
                <w:spacing w:val="1"/>
                <w:szCs w:val="21"/>
                <w:highlight w:val="none"/>
              </w:rPr>
              <w:t>10</w:t>
            </w:r>
            <w:r>
              <w:rPr>
                <w:rFonts w:hAnsi="宋体" w:cs="hakuyoxingshu7000"/>
                <w:szCs w:val="21"/>
                <w:highlight w:val="none"/>
              </w:rPr>
              <w:t>0</w:t>
            </w:r>
            <w:r>
              <w:rPr>
                <w:rFonts w:hAnsi="宋体"/>
                <w:szCs w:val="21"/>
                <w:highlight w:val="none"/>
              </w:rPr>
              <w:t>人</w:t>
            </w:r>
            <w:r>
              <w:rPr>
                <w:rFonts w:hAnsi="宋体"/>
                <w:spacing w:val="2"/>
                <w:szCs w:val="21"/>
                <w:highlight w:val="none"/>
              </w:rPr>
              <w:t>及</w:t>
            </w:r>
            <w:r>
              <w:rPr>
                <w:rFonts w:hAnsi="宋体"/>
                <w:szCs w:val="21"/>
                <w:highlight w:val="none"/>
              </w:rPr>
              <w:t>以</w:t>
            </w:r>
            <w:r>
              <w:rPr>
                <w:rFonts w:hAnsi="宋体"/>
                <w:spacing w:val="2"/>
                <w:szCs w:val="21"/>
                <w:highlight w:val="none"/>
              </w:rPr>
              <w:t>上</w:t>
            </w:r>
            <w:r>
              <w:rPr>
                <w:rFonts w:hAnsi="宋体"/>
                <w:szCs w:val="21"/>
                <w:highlight w:val="none"/>
              </w:rPr>
              <w:t>。</w:t>
            </w:r>
          </w:p>
          <w:p>
            <w:pPr>
              <w:pStyle w:val="64"/>
              <w:jc w:val="left"/>
              <w:rPr>
                <w:rFonts w:hAnsi="宋体"/>
                <w:szCs w:val="21"/>
                <w:highlight w:val="none"/>
              </w:rPr>
            </w:pPr>
            <w:r>
              <w:rPr>
                <w:rFonts w:hAnsi="宋体" w:cs="hakuyoxingshu7000"/>
                <w:w w:val="95"/>
                <w:szCs w:val="21"/>
                <w:highlight w:val="none"/>
              </w:rPr>
              <w:t>21.□</w:t>
            </w:r>
            <w:r>
              <w:rPr>
                <w:rFonts w:hAnsi="宋体"/>
                <w:spacing w:val="1"/>
                <w:w w:val="95"/>
                <w:szCs w:val="21"/>
                <w:highlight w:val="none"/>
              </w:rPr>
              <w:t>下</w:t>
            </w:r>
            <w:r>
              <w:rPr>
                <w:rFonts w:hAnsi="宋体"/>
                <w:w w:val="95"/>
                <w:szCs w:val="21"/>
                <w:highlight w:val="none"/>
              </w:rPr>
              <w:t>游</w:t>
            </w:r>
            <w:r>
              <w:rPr>
                <w:rFonts w:hAnsi="宋体"/>
                <w:spacing w:val="1"/>
                <w:w w:val="95"/>
                <w:szCs w:val="21"/>
                <w:highlight w:val="none"/>
              </w:rPr>
              <w:t>涉</w:t>
            </w:r>
            <w:r>
              <w:rPr>
                <w:rFonts w:hAnsi="宋体"/>
                <w:w w:val="95"/>
                <w:szCs w:val="21"/>
                <w:highlight w:val="none"/>
              </w:rPr>
              <w:t>及</w:t>
            </w:r>
            <w:r>
              <w:rPr>
                <w:rFonts w:hAnsi="宋体"/>
                <w:spacing w:val="1"/>
                <w:w w:val="95"/>
                <w:szCs w:val="21"/>
                <w:highlight w:val="none"/>
              </w:rPr>
              <w:t>自</w:t>
            </w:r>
            <w:r>
              <w:rPr>
                <w:rFonts w:hAnsi="宋体"/>
                <w:w w:val="95"/>
                <w:szCs w:val="21"/>
                <w:highlight w:val="none"/>
              </w:rPr>
              <w:t>然</w:t>
            </w:r>
            <w:r>
              <w:rPr>
                <w:rFonts w:hAnsi="宋体"/>
                <w:spacing w:val="1"/>
                <w:w w:val="95"/>
                <w:szCs w:val="21"/>
                <w:highlight w:val="none"/>
              </w:rPr>
              <w:t>保</w:t>
            </w:r>
            <w:r>
              <w:rPr>
                <w:rFonts w:hAnsi="宋体"/>
                <w:w w:val="95"/>
                <w:szCs w:val="21"/>
                <w:highlight w:val="none"/>
              </w:rPr>
              <w:t>护</w:t>
            </w:r>
            <w:r>
              <w:rPr>
                <w:rFonts w:hAnsi="宋体"/>
                <w:spacing w:val="1"/>
                <w:w w:val="95"/>
                <w:szCs w:val="21"/>
                <w:highlight w:val="none"/>
              </w:rPr>
              <w:t>区</w:t>
            </w:r>
            <w:r>
              <w:rPr>
                <w:rFonts w:hAnsi="宋体"/>
                <w:w w:val="95"/>
                <w:szCs w:val="21"/>
                <w:highlight w:val="none"/>
              </w:rPr>
              <w:t>、</w:t>
            </w:r>
            <w:r>
              <w:rPr>
                <w:rFonts w:hAnsi="宋体"/>
                <w:spacing w:val="1"/>
                <w:w w:val="95"/>
                <w:szCs w:val="21"/>
                <w:highlight w:val="none"/>
              </w:rPr>
              <w:t>风</w:t>
            </w:r>
            <w:r>
              <w:rPr>
                <w:rFonts w:hAnsi="宋体"/>
                <w:w w:val="95"/>
                <w:szCs w:val="21"/>
                <w:highlight w:val="none"/>
              </w:rPr>
              <w:t>景</w:t>
            </w:r>
            <w:r>
              <w:rPr>
                <w:rFonts w:hAnsi="宋体"/>
                <w:spacing w:val="1"/>
                <w:w w:val="95"/>
                <w:szCs w:val="21"/>
                <w:highlight w:val="none"/>
              </w:rPr>
              <w:t>名</w:t>
            </w:r>
            <w:r>
              <w:rPr>
                <w:rFonts w:hAnsi="宋体"/>
                <w:w w:val="95"/>
                <w:szCs w:val="21"/>
                <w:highlight w:val="none"/>
              </w:rPr>
              <w:t>胜</w:t>
            </w:r>
            <w:r>
              <w:rPr>
                <w:rFonts w:hAnsi="宋体"/>
                <w:spacing w:val="1"/>
                <w:w w:val="95"/>
                <w:szCs w:val="21"/>
                <w:highlight w:val="none"/>
              </w:rPr>
              <w:t>区</w:t>
            </w:r>
            <w:r>
              <w:rPr>
                <w:rFonts w:hAnsi="宋体"/>
                <w:w w:val="95"/>
                <w:szCs w:val="21"/>
                <w:highlight w:val="none"/>
              </w:rPr>
              <w:t>、</w:t>
            </w:r>
            <w:r>
              <w:rPr>
                <w:rFonts w:hAnsi="宋体"/>
                <w:spacing w:val="1"/>
                <w:w w:val="95"/>
                <w:szCs w:val="21"/>
                <w:highlight w:val="none"/>
              </w:rPr>
              <w:t>森</w:t>
            </w:r>
            <w:r>
              <w:rPr>
                <w:rFonts w:hAnsi="宋体"/>
                <w:w w:val="95"/>
                <w:szCs w:val="21"/>
                <w:highlight w:val="none"/>
              </w:rPr>
              <w:t>林</w:t>
            </w:r>
            <w:r>
              <w:rPr>
                <w:rFonts w:hAnsi="宋体"/>
                <w:spacing w:val="1"/>
                <w:w w:val="95"/>
                <w:szCs w:val="21"/>
                <w:highlight w:val="none"/>
              </w:rPr>
              <w:t>公</w:t>
            </w:r>
            <w:r>
              <w:rPr>
                <w:rFonts w:hAnsi="宋体"/>
                <w:w w:val="95"/>
                <w:szCs w:val="21"/>
                <w:highlight w:val="none"/>
              </w:rPr>
              <w:t>园</w:t>
            </w:r>
            <w:r>
              <w:rPr>
                <w:rFonts w:hAnsi="宋体"/>
                <w:spacing w:val="1"/>
                <w:w w:val="95"/>
                <w:szCs w:val="21"/>
                <w:highlight w:val="none"/>
              </w:rPr>
              <w:t>、</w:t>
            </w:r>
            <w:r>
              <w:rPr>
                <w:rFonts w:hAnsi="宋体"/>
                <w:w w:val="95"/>
                <w:szCs w:val="21"/>
                <w:highlight w:val="none"/>
              </w:rPr>
              <w:t>地</w:t>
            </w:r>
            <w:r>
              <w:rPr>
                <w:rFonts w:hAnsi="宋体"/>
                <w:spacing w:val="1"/>
                <w:w w:val="95"/>
                <w:szCs w:val="21"/>
                <w:highlight w:val="none"/>
              </w:rPr>
              <w:t>质</w:t>
            </w:r>
            <w:r>
              <w:rPr>
                <w:rFonts w:hAnsi="宋体"/>
                <w:w w:val="95"/>
                <w:szCs w:val="21"/>
                <w:highlight w:val="none"/>
              </w:rPr>
              <w:t>公</w:t>
            </w:r>
            <w:r>
              <w:rPr>
                <w:rFonts w:hAnsi="宋体"/>
                <w:spacing w:val="1"/>
                <w:w w:val="95"/>
                <w:szCs w:val="21"/>
                <w:highlight w:val="none"/>
              </w:rPr>
              <w:t>园</w:t>
            </w:r>
            <w:r>
              <w:rPr>
                <w:rFonts w:hAnsi="宋体"/>
                <w:w w:val="95"/>
                <w:szCs w:val="21"/>
                <w:highlight w:val="none"/>
              </w:rPr>
              <w:t>、</w:t>
            </w:r>
            <w:r>
              <w:rPr>
                <w:rFonts w:hAnsi="宋体"/>
                <w:spacing w:val="1"/>
                <w:w w:val="95"/>
                <w:szCs w:val="21"/>
                <w:highlight w:val="none"/>
              </w:rPr>
              <w:t>世</w:t>
            </w:r>
            <w:r>
              <w:rPr>
                <w:rFonts w:hAnsi="宋体"/>
                <w:w w:val="95"/>
                <w:szCs w:val="21"/>
                <w:highlight w:val="none"/>
              </w:rPr>
              <w:t>界</w:t>
            </w:r>
            <w:r>
              <w:rPr>
                <w:rFonts w:hAnsi="宋体"/>
                <w:spacing w:val="1"/>
                <w:w w:val="95"/>
                <w:szCs w:val="21"/>
                <w:highlight w:val="none"/>
              </w:rPr>
              <w:t>文化</w:t>
            </w:r>
            <w:r>
              <w:rPr>
                <w:rFonts w:hAnsi="宋体"/>
                <w:w w:val="95"/>
                <w:szCs w:val="21"/>
                <w:highlight w:val="none"/>
              </w:rPr>
              <w:t>或</w:t>
            </w:r>
            <w:r>
              <w:rPr>
                <w:rFonts w:hAnsi="宋体"/>
                <w:spacing w:val="1"/>
                <w:w w:val="95"/>
                <w:szCs w:val="21"/>
                <w:highlight w:val="none"/>
              </w:rPr>
              <w:t>自</w:t>
            </w:r>
            <w:r>
              <w:rPr>
                <w:rFonts w:hAnsi="宋体"/>
                <w:w w:val="95"/>
                <w:szCs w:val="21"/>
                <w:highlight w:val="none"/>
              </w:rPr>
              <w:t>然</w:t>
            </w:r>
            <w:r>
              <w:rPr>
                <w:rFonts w:hAnsi="宋体"/>
                <w:spacing w:val="1"/>
                <w:w w:val="95"/>
                <w:szCs w:val="21"/>
                <w:highlight w:val="none"/>
              </w:rPr>
              <w:t>遗</w:t>
            </w:r>
            <w:r>
              <w:rPr>
                <w:rFonts w:hAnsi="宋体"/>
                <w:w w:val="95"/>
                <w:szCs w:val="21"/>
                <w:highlight w:val="none"/>
              </w:rPr>
              <w:t>产</w:t>
            </w:r>
            <w:r>
              <w:rPr>
                <w:rFonts w:hAnsi="宋体"/>
                <w:spacing w:val="1"/>
                <w:w w:val="95"/>
                <w:szCs w:val="21"/>
                <w:highlight w:val="none"/>
              </w:rPr>
              <w:t>地</w:t>
            </w:r>
            <w:r>
              <w:rPr>
                <w:rFonts w:hAnsi="宋体"/>
                <w:w w:val="95"/>
                <w:szCs w:val="21"/>
                <w:highlight w:val="none"/>
              </w:rPr>
              <w:t>，</w:t>
            </w:r>
            <w:r>
              <w:rPr>
                <w:rFonts w:hAnsi="宋体"/>
                <w:spacing w:val="1"/>
                <w:w w:val="95"/>
                <w:szCs w:val="21"/>
                <w:highlight w:val="none"/>
              </w:rPr>
              <w:t>重</w:t>
            </w:r>
            <w:r>
              <w:rPr>
                <w:rFonts w:hAnsi="宋体"/>
                <w:w w:val="95"/>
                <w:szCs w:val="21"/>
                <w:highlight w:val="none"/>
              </w:rPr>
              <w:t>点</w:t>
            </w:r>
            <w:r>
              <w:rPr>
                <w:rFonts w:hAnsi="宋体"/>
                <w:spacing w:val="1"/>
                <w:w w:val="95"/>
                <w:szCs w:val="21"/>
                <w:highlight w:val="none"/>
              </w:rPr>
              <w:t>文</w:t>
            </w:r>
            <w:r>
              <w:rPr>
                <w:rFonts w:hAnsi="宋体"/>
                <w:w w:val="95"/>
                <w:szCs w:val="21"/>
                <w:highlight w:val="none"/>
              </w:rPr>
              <w:t>物</w:t>
            </w:r>
            <w:r>
              <w:rPr>
                <w:rFonts w:hAnsi="宋体"/>
                <w:spacing w:val="1"/>
                <w:w w:val="95"/>
                <w:szCs w:val="21"/>
                <w:highlight w:val="none"/>
              </w:rPr>
              <w:t>保</w:t>
            </w:r>
            <w:r>
              <w:rPr>
                <w:rFonts w:hAnsi="宋体"/>
                <w:w w:val="95"/>
                <w:szCs w:val="21"/>
                <w:highlight w:val="none"/>
              </w:rPr>
              <w:t>护</w:t>
            </w:r>
            <w:r>
              <w:rPr>
                <w:rFonts w:hAnsi="宋体"/>
                <w:spacing w:val="1"/>
                <w:w w:val="95"/>
                <w:szCs w:val="21"/>
                <w:highlight w:val="none"/>
              </w:rPr>
              <w:t>单</w:t>
            </w:r>
            <w:r>
              <w:rPr>
                <w:rFonts w:hAnsi="宋体"/>
                <w:w w:val="95"/>
                <w:szCs w:val="21"/>
                <w:highlight w:val="none"/>
              </w:rPr>
              <w:t>位、以</w:t>
            </w:r>
            <w:r>
              <w:rPr>
                <w:rFonts w:hAnsi="宋体"/>
                <w:spacing w:val="1"/>
                <w:w w:val="95"/>
                <w:szCs w:val="21"/>
                <w:highlight w:val="none"/>
              </w:rPr>
              <w:t>及</w:t>
            </w:r>
            <w:r>
              <w:rPr>
                <w:rFonts w:hAnsi="宋体"/>
                <w:w w:val="95"/>
                <w:szCs w:val="21"/>
                <w:highlight w:val="none"/>
              </w:rPr>
              <w:t>其</w:t>
            </w:r>
            <w:r>
              <w:rPr>
                <w:rFonts w:hAnsi="宋体"/>
                <w:spacing w:val="1"/>
                <w:w w:val="95"/>
                <w:szCs w:val="21"/>
                <w:highlight w:val="none"/>
              </w:rPr>
              <w:t>他</w:t>
            </w:r>
            <w:r>
              <w:rPr>
                <w:rFonts w:hAnsi="宋体"/>
                <w:w w:val="95"/>
                <w:szCs w:val="21"/>
                <w:highlight w:val="none"/>
              </w:rPr>
              <w:t>具有</w:t>
            </w:r>
          </w:p>
          <w:p>
            <w:pPr>
              <w:pStyle w:val="64"/>
              <w:jc w:val="left"/>
              <w:rPr>
                <w:rFonts w:hAnsi="宋体"/>
                <w:szCs w:val="21"/>
                <w:highlight w:val="none"/>
              </w:rPr>
            </w:pPr>
            <w:r>
              <w:rPr>
                <w:rFonts w:hAnsi="宋体"/>
                <w:szCs w:val="21"/>
                <w:highlight w:val="none"/>
              </w:rPr>
              <w:t>特</w:t>
            </w:r>
            <w:r>
              <w:rPr>
                <w:rFonts w:hAnsi="宋体"/>
                <w:spacing w:val="2"/>
                <w:szCs w:val="21"/>
                <w:highlight w:val="none"/>
              </w:rPr>
              <w:t>殊</w:t>
            </w:r>
            <w:r>
              <w:rPr>
                <w:rFonts w:hAnsi="宋体"/>
                <w:szCs w:val="21"/>
                <w:highlight w:val="none"/>
              </w:rPr>
              <w:t>历</w:t>
            </w:r>
            <w:r>
              <w:rPr>
                <w:rFonts w:hAnsi="宋体"/>
                <w:spacing w:val="2"/>
                <w:szCs w:val="21"/>
                <w:highlight w:val="none"/>
              </w:rPr>
              <w:t>史</w:t>
            </w:r>
            <w:r>
              <w:rPr>
                <w:rFonts w:hAnsi="宋体"/>
                <w:szCs w:val="21"/>
                <w:highlight w:val="none"/>
              </w:rPr>
              <w:t>、</w:t>
            </w:r>
            <w:r>
              <w:rPr>
                <w:rFonts w:hAnsi="宋体"/>
                <w:spacing w:val="2"/>
                <w:szCs w:val="21"/>
                <w:highlight w:val="none"/>
              </w:rPr>
              <w:t>文</w:t>
            </w:r>
            <w:r>
              <w:rPr>
                <w:rFonts w:hAnsi="宋体"/>
                <w:szCs w:val="21"/>
                <w:highlight w:val="none"/>
              </w:rPr>
              <w:t>化</w:t>
            </w:r>
            <w:r>
              <w:rPr>
                <w:rFonts w:hAnsi="宋体"/>
                <w:spacing w:val="2"/>
                <w:szCs w:val="21"/>
                <w:highlight w:val="none"/>
              </w:rPr>
              <w:t>、</w:t>
            </w:r>
            <w:r>
              <w:rPr>
                <w:rFonts w:hAnsi="宋体"/>
                <w:szCs w:val="21"/>
                <w:highlight w:val="none"/>
              </w:rPr>
              <w:t>科</w:t>
            </w:r>
            <w:r>
              <w:rPr>
                <w:rFonts w:hAnsi="宋体"/>
                <w:spacing w:val="2"/>
                <w:szCs w:val="21"/>
                <w:highlight w:val="none"/>
              </w:rPr>
              <w:t>学</w:t>
            </w:r>
            <w:r>
              <w:rPr>
                <w:rFonts w:hAnsi="宋体"/>
                <w:szCs w:val="21"/>
                <w:highlight w:val="none"/>
              </w:rPr>
              <w:t>、</w:t>
            </w:r>
            <w:r>
              <w:rPr>
                <w:rFonts w:hAnsi="宋体"/>
                <w:spacing w:val="2"/>
                <w:szCs w:val="21"/>
                <w:highlight w:val="none"/>
              </w:rPr>
              <w:t>民</w:t>
            </w:r>
            <w:r>
              <w:rPr>
                <w:rFonts w:hAnsi="宋体"/>
                <w:szCs w:val="21"/>
                <w:highlight w:val="none"/>
              </w:rPr>
              <w:t>族</w:t>
            </w:r>
            <w:r>
              <w:rPr>
                <w:rFonts w:hAnsi="宋体"/>
                <w:spacing w:val="2"/>
                <w:szCs w:val="21"/>
                <w:highlight w:val="none"/>
              </w:rPr>
              <w:t>意</w:t>
            </w:r>
            <w:r>
              <w:rPr>
                <w:rFonts w:hAnsi="宋体"/>
                <w:szCs w:val="21"/>
                <w:highlight w:val="none"/>
              </w:rPr>
              <w:t>义</w:t>
            </w:r>
            <w:r>
              <w:rPr>
                <w:rFonts w:hAnsi="宋体"/>
                <w:spacing w:val="2"/>
                <w:szCs w:val="21"/>
                <w:highlight w:val="none"/>
              </w:rPr>
              <w:t>的</w:t>
            </w:r>
            <w:r>
              <w:rPr>
                <w:rFonts w:hAnsi="宋体"/>
                <w:szCs w:val="21"/>
                <w:highlight w:val="none"/>
              </w:rPr>
              <w:t>保</w:t>
            </w:r>
            <w:r>
              <w:rPr>
                <w:rFonts w:hAnsi="宋体"/>
                <w:spacing w:val="2"/>
                <w:szCs w:val="21"/>
                <w:highlight w:val="none"/>
              </w:rPr>
              <w:t>护</w:t>
            </w:r>
            <w:r>
              <w:rPr>
                <w:rFonts w:hAnsi="宋体"/>
                <w:szCs w:val="21"/>
                <w:highlight w:val="none"/>
              </w:rPr>
              <w:t>地</w:t>
            </w:r>
            <w:r>
              <w:rPr>
                <w:rFonts w:hAnsi="宋体"/>
                <w:spacing w:val="2"/>
                <w:szCs w:val="21"/>
                <w:highlight w:val="none"/>
              </w:rPr>
              <w:t>等</w:t>
            </w:r>
            <w:r>
              <w:rPr>
                <w:rFonts w:hAnsi="宋体"/>
                <w:szCs w:val="21"/>
                <w:highlight w:val="none"/>
              </w:rPr>
              <w:t>。</w:t>
            </w:r>
          </w:p>
          <w:p>
            <w:pPr>
              <w:pStyle w:val="64"/>
              <w:jc w:val="left"/>
              <w:rPr>
                <w:rFonts w:hAnsi="宋体"/>
                <w:szCs w:val="21"/>
                <w:highlight w:val="none"/>
              </w:rPr>
            </w:pPr>
            <w:r>
              <w:rPr>
                <w:rFonts w:hAnsi="宋体" w:cs="hakuyoxingshu7000"/>
                <w:w w:val="95"/>
                <w:szCs w:val="21"/>
                <w:highlight w:val="none"/>
              </w:rPr>
              <w:t>22.□</w:t>
            </w:r>
            <w:r>
              <w:rPr>
                <w:rFonts w:hAnsi="宋体"/>
                <w:w w:val="95"/>
                <w:szCs w:val="21"/>
                <w:highlight w:val="none"/>
              </w:rPr>
              <w:t>涉</w:t>
            </w:r>
            <w:r>
              <w:rPr>
                <w:rFonts w:hAnsi="宋体"/>
                <w:spacing w:val="1"/>
                <w:w w:val="95"/>
                <w:szCs w:val="21"/>
                <w:highlight w:val="none"/>
              </w:rPr>
              <w:t>及</w:t>
            </w:r>
            <w:r>
              <w:rPr>
                <w:rFonts w:hAnsi="宋体"/>
                <w:w w:val="95"/>
                <w:szCs w:val="21"/>
                <w:highlight w:val="none"/>
              </w:rPr>
              <w:t>基</w:t>
            </w:r>
            <w:r>
              <w:rPr>
                <w:rFonts w:hAnsi="宋体"/>
                <w:spacing w:val="1"/>
                <w:w w:val="95"/>
                <w:szCs w:val="21"/>
                <w:highlight w:val="none"/>
              </w:rPr>
              <w:t>本</w:t>
            </w:r>
            <w:r>
              <w:rPr>
                <w:rFonts w:hAnsi="宋体"/>
                <w:w w:val="95"/>
                <w:szCs w:val="21"/>
                <w:highlight w:val="none"/>
              </w:rPr>
              <w:t>农</w:t>
            </w:r>
            <w:r>
              <w:rPr>
                <w:rFonts w:hAnsi="宋体"/>
                <w:spacing w:val="1"/>
                <w:w w:val="95"/>
                <w:szCs w:val="21"/>
                <w:highlight w:val="none"/>
              </w:rPr>
              <w:t>田</w:t>
            </w:r>
            <w:r>
              <w:rPr>
                <w:rFonts w:hAnsi="宋体"/>
                <w:w w:val="95"/>
                <w:szCs w:val="21"/>
                <w:highlight w:val="none"/>
              </w:rPr>
              <w:t>保</w:t>
            </w:r>
            <w:r>
              <w:rPr>
                <w:rFonts w:hAnsi="宋体"/>
                <w:spacing w:val="1"/>
                <w:w w:val="95"/>
                <w:szCs w:val="21"/>
                <w:highlight w:val="none"/>
              </w:rPr>
              <w:t>护</w:t>
            </w:r>
            <w:r>
              <w:rPr>
                <w:rFonts w:hAnsi="宋体"/>
                <w:w w:val="95"/>
                <w:szCs w:val="21"/>
                <w:highlight w:val="none"/>
              </w:rPr>
              <w:t>区</w:t>
            </w:r>
            <w:r>
              <w:rPr>
                <w:rFonts w:hAnsi="宋体"/>
                <w:spacing w:val="1"/>
                <w:w w:val="95"/>
                <w:szCs w:val="21"/>
                <w:highlight w:val="none"/>
              </w:rPr>
              <w:t>、</w:t>
            </w:r>
            <w:r>
              <w:rPr>
                <w:rFonts w:hAnsi="宋体"/>
                <w:w w:val="95"/>
                <w:szCs w:val="21"/>
                <w:highlight w:val="none"/>
              </w:rPr>
              <w:t>基</w:t>
            </w:r>
            <w:r>
              <w:rPr>
                <w:rFonts w:hAnsi="宋体"/>
                <w:spacing w:val="1"/>
                <w:w w:val="95"/>
                <w:szCs w:val="21"/>
                <w:highlight w:val="none"/>
              </w:rPr>
              <w:t>本</w:t>
            </w:r>
            <w:r>
              <w:rPr>
                <w:rFonts w:hAnsi="宋体"/>
                <w:w w:val="95"/>
                <w:szCs w:val="21"/>
                <w:highlight w:val="none"/>
              </w:rPr>
              <w:t>草</w:t>
            </w:r>
            <w:r>
              <w:rPr>
                <w:rFonts w:hAnsi="宋体"/>
                <w:spacing w:val="1"/>
                <w:w w:val="95"/>
                <w:szCs w:val="21"/>
                <w:highlight w:val="none"/>
              </w:rPr>
              <w:t>原</w:t>
            </w:r>
            <w:r>
              <w:rPr>
                <w:rFonts w:hAnsi="宋体"/>
                <w:w w:val="95"/>
                <w:szCs w:val="21"/>
                <w:highlight w:val="none"/>
              </w:rPr>
              <w:t>、</w:t>
            </w:r>
            <w:r>
              <w:rPr>
                <w:rFonts w:hAnsi="宋体"/>
                <w:spacing w:val="1"/>
                <w:w w:val="95"/>
                <w:szCs w:val="21"/>
                <w:highlight w:val="none"/>
              </w:rPr>
              <w:t>种</w:t>
            </w:r>
            <w:r>
              <w:rPr>
                <w:rFonts w:hAnsi="宋体"/>
                <w:w w:val="95"/>
                <w:szCs w:val="21"/>
                <w:highlight w:val="none"/>
              </w:rPr>
              <w:t>植</w:t>
            </w:r>
            <w:r>
              <w:rPr>
                <w:rFonts w:hAnsi="宋体"/>
                <w:spacing w:val="1"/>
                <w:w w:val="95"/>
                <w:szCs w:val="21"/>
                <w:highlight w:val="none"/>
              </w:rPr>
              <w:t>大</w:t>
            </w:r>
            <w:r>
              <w:rPr>
                <w:rFonts w:hAnsi="宋体"/>
                <w:w w:val="95"/>
                <w:szCs w:val="21"/>
                <w:highlight w:val="none"/>
              </w:rPr>
              <w:t>棚</w:t>
            </w:r>
            <w:r>
              <w:rPr>
                <w:rFonts w:hAnsi="宋体"/>
                <w:spacing w:val="1"/>
                <w:w w:val="95"/>
                <w:szCs w:val="21"/>
                <w:highlight w:val="none"/>
              </w:rPr>
              <w:t>，</w:t>
            </w:r>
            <w:r>
              <w:rPr>
                <w:rFonts w:hAnsi="宋体"/>
                <w:w w:val="95"/>
                <w:szCs w:val="21"/>
                <w:highlight w:val="none"/>
              </w:rPr>
              <w:t>农</w:t>
            </w:r>
            <w:r>
              <w:rPr>
                <w:rFonts w:hAnsi="宋体"/>
                <w:spacing w:val="1"/>
                <w:w w:val="95"/>
                <w:szCs w:val="21"/>
                <w:highlight w:val="none"/>
              </w:rPr>
              <w:t>产</w:t>
            </w:r>
            <w:r>
              <w:rPr>
                <w:rFonts w:hAnsi="宋体"/>
                <w:w w:val="95"/>
                <w:szCs w:val="21"/>
                <w:highlight w:val="none"/>
              </w:rPr>
              <w:t>品</w:t>
            </w:r>
            <w:r>
              <w:rPr>
                <w:rFonts w:hAnsi="宋体"/>
                <w:spacing w:val="1"/>
                <w:w w:val="95"/>
                <w:szCs w:val="21"/>
                <w:highlight w:val="none"/>
              </w:rPr>
              <w:t>基</w:t>
            </w:r>
            <w:r>
              <w:rPr>
                <w:rFonts w:hAnsi="宋体"/>
                <w:w w:val="95"/>
                <w:szCs w:val="21"/>
                <w:highlight w:val="none"/>
              </w:rPr>
              <w:t>地</w:t>
            </w:r>
            <w:r>
              <w:rPr>
                <w:rFonts w:hAnsi="宋体"/>
                <w:spacing w:val="1"/>
                <w:w w:val="95"/>
                <w:szCs w:val="21"/>
                <w:highlight w:val="none"/>
              </w:rPr>
              <w:t>等</w:t>
            </w:r>
            <w:r>
              <w:rPr>
                <w:rFonts w:hAnsi="宋体"/>
                <w:w w:val="95"/>
                <w:szCs w:val="21"/>
                <w:highlight w:val="none"/>
              </w:rPr>
              <w:t>，</w:t>
            </w:r>
            <w:r>
              <w:rPr>
                <w:rFonts w:hAnsi="宋体"/>
                <w:spacing w:val="1"/>
                <w:w w:val="95"/>
                <w:szCs w:val="21"/>
                <w:highlight w:val="none"/>
              </w:rPr>
              <w:t>且</w:t>
            </w:r>
            <w:r>
              <w:rPr>
                <w:rFonts w:hAnsi="宋体"/>
                <w:w w:val="95"/>
                <w:szCs w:val="21"/>
                <w:highlight w:val="none"/>
              </w:rPr>
              <w:t>规</w:t>
            </w:r>
            <w:r>
              <w:rPr>
                <w:rFonts w:hAnsi="宋体"/>
                <w:spacing w:val="1"/>
                <w:w w:val="95"/>
                <w:szCs w:val="21"/>
                <w:highlight w:val="none"/>
              </w:rPr>
              <w:t>模</w:t>
            </w:r>
            <w:r>
              <w:rPr>
                <w:rFonts w:hAnsi="宋体"/>
                <w:w w:val="95"/>
                <w:szCs w:val="21"/>
                <w:highlight w:val="none"/>
              </w:rPr>
              <w:t>在</w:t>
            </w:r>
            <w:r>
              <w:rPr>
                <w:rFonts w:hAnsi="宋体" w:cs="hakuyoxingshu7000"/>
                <w:w w:val="95"/>
                <w:szCs w:val="21"/>
                <w:highlight w:val="none"/>
              </w:rPr>
              <w:t>20</w:t>
            </w:r>
            <w:r>
              <w:rPr>
                <w:rFonts w:hAnsi="宋体"/>
                <w:w w:val="95"/>
                <w:szCs w:val="21"/>
                <w:highlight w:val="none"/>
              </w:rPr>
              <w:t>亩</w:t>
            </w:r>
            <w:r>
              <w:rPr>
                <w:rFonts w:hAnsi="宋体"/>
                <w:spacing w:val="1"/>
                <w:w w:val="95"/>
                <w:szCs w:val="21"/>
                <w:highlight w:val="none"/>
              </w:rPr>
              <w:t>及</w:t>
            </w:r>
            <w:r>
              <w:rPr>
                <w:rFonts w:hAnsi="宋体"/>
                <w:w w:val="95"/>
                <w:szCs w:val="21"/>
                <w:highlight w:val="none"/>
              </w:rPr>
              <w:t>以</w:t>
            </w:r>
            <w:r>
              <w:rPr>
                <w:rFonts w:hAnsi="宋体"/>
                <w:spacing w:val="1"/>
                <w:w w:val="95"/>
                <w:szCs w:val="21"/>
                <w:highlight w:val="none"/>
              </w:rPr>
              <w:t>上</w:t>
            </w:r>
            <w:r>
              <w:rPr>
                <w:rFonts w:hAnsi="宋体"/>
                <w:w w:val="95"/>
                <w:szCs w:val="21"/>
                <w:highlight w:val="none"/>
              </w:rPr>
              <w:t>。</w:t>
            </w:r>
          </w:p>
          <w:p>
            <w:pPr>
              <w:pStyle w:val="64"/>
              <w:jc w:val="left"/>
              <w:rPr>
                <w:rFonts w:hAnsi="宋体"/>
                <w:szCs w:val="21"/>
                <w:highlight w:val="none"/>
              </w:rPr>
            </w:pPr>
            <w:r>
              <w:rPr>
                <w:rFonts w:hAnsi="宋体" w:cs="hakuyoxingshu7000"/>
                <w:w w:val="95"/>
                <w:szCs w:val="21"/>
                <w:highlight w:val="none"/>
              </w:rPr>
              <w:t>23.□</w:t>
            </w:r>
            <w:r>
              <w:rPr>
                <w:rFonts w:hAnsi="宋体"/>
                <w:w w:val="95"/>
                <w:szCs w:val="21"/>
                <w:highlight w:val="none"/>
              </w:rPr>
              <w:t>涉</w:t>
            </w:r>
            <w:r>
              <w:rPr>
                <w:rFonts w:hAnsi="宋体"/>
                <w:spacing w:val="1"/>
                <w:w w:val="95"/>
                <w:szCs w:val="21"/>
                <w:highlight w:val="none"/>
              </w:rPr>
              <w:t>及</w:t>
            </w:r>
            <w:r>
              <w:rPr>
                <w:rFonts w:hAnsi="宋体"/>
                <w:w w:val="95"/>
                <w:szCs w:val="21"/>
                <w:highlight w:val="none"/>
              </w:rPr>
              <w:t>环</w:t>
            </w:r>
            <w:r>
              <w:rPr>
                <w:rFonts w:hAnsi="宋体"/>
                <w:spacing w:val="1"/>
                <w:w w:val="95"/>
                <w:szCs w:val="21"/>
                <w:highlight w:val="none"/>
              </w:rPr>
              <w:t>境</w:t>
            </w:r>
            <w:r>
              <w:rPr>
                <w:rFonts w:hAnsi="宋体"/>
                <w:w w:val="95"/>
                <w:szCs w:val="21"/>
                <w:highlight w:val="none"/>
              </w:rPr>
              <w:t>风</w:t>
            </w:r>
            <w:r>
              <w:rPr>
                <w:rFonts w:hAnsi="宋体"/>
                <w:spacing w:val="1"/>
                <w:w w:val="95"/>
                <w:szCs w:val="21"/>
                <w:highlight w:val="none"/>
              </w:rPr>
              <w:t>险</w:t>
            </w:r>
            <w:r>
              <w:rPr>
                <w:rFonts w:hAnsi="宋体"/>
                <w:w w:val="95"/>
                <w:szCs w:val="21"/>
                <w:highlight w:val="none"/>
              </w:rPr>
              <w:t>企</w:t>
            </w:r>
            <w:r>
              <w:rPr>
                <w:rFonts w:hAnsi="宋体"/>
                <w:spacing w:val="1"/>
                <w:w w:val="95"/>
                <w:szCs w:val="21"/>
                <w:highlight w:val="none"/>
              </w:rPr>
              <w:t>业</w:t>
            </w:r>
            <w:r>
              <w:rPr>
                <w:rFonts w:hAnsi="宋体"/>
                <w:w w:val="95"/>
                <w:szCs w:val="21"/>
                <w:highlight w:val="none"/>
              </w:rPr>
              <w:t>、</w:t>
            </w:r>
            <w:r>
              <w:rPr>
                <w:rFonts w:hAnsi="宋体"/>
                <w:spacing w:val="1"/>
                <w:w w:val="95"/>
                <w:szCs w:val="21"/>
                <w:highlight w:val="none"/>
              </w:rPr>
              <w:t>二</w:t>
            </w:r>
            <w:r>
              <w:rPr>
                <w:rFonts w:hAnsi="宋体"/>
                <w:w w:val="95"/>
                <w:szCs w:val="21"/>
                <w:highlight w:val="none"/>
              </w:rPr>
              <w:t>次</w:t>
            </w:r>
            <w:r>
              <w:rPr>
                <w:rFonts w:hAnsi="宋体"/>
                <w:spacing w:val="1"/>
                <w:w w:val="95"/>
                <w:szCs w:val="21"/>
                <w:highlight w:val="none"/>
              </w:rPr>
              <w:t>环</w:t>
            </w:r>
            <w:r>
              <w:rPr>
                <w:rFonts w:hAnsi="宋体"/>
                <w:w w:val="95"/>
                <w:szCs w:val="21"/>
                <w:highlight w:val="none"/>
              </w:rPr>
              <w:t>境</w:t>
            </w:r>
            <w:r>
              <w:rPr>
                <w:rFonts w:hAnsi="宋体"/>
                <w:spacing w:val="1"/>
                <w:w w:val="95"/>
                <w:szCs w:val="21"/>
                <w:highlight w:val="none"/>
              </w:rPr>
              <w:t>污</w:t>
            </w:r>
            <w:r>
              <w:rPr>
                <w:rFonts w:hAnsi="宋体"/>
                <w:w w:val="95"/>
                <w:szCs w:val="21"/>
                <w:highlight w:val="none"/>
              </w:rPr>
              <w:t>染</w:t>
            </w:r>
            <w:r>
              <w:rPr>
                <w:rFonts w:hAnsi="宋体"/>
                <w:spacing w:val="1"/>
                <w:w w:val="95"/>
                <w:szCs w:val="21"/>
                <w:highlight w:val="none"/>
              </w:rPr>
              <w:t>源</w:t>
            </w:r>
            <w:r>
              <w:rPr>
                <w:rFonts w:hAnsi="宋体"/>
                <w:w w:val="95"/>
                <w:szCs w:val="21"/>
                <w:highlight w:val="none"/>
              </w:rPr>
              <w:t>或</w:t>
            </w:r>
            <w:r>
              <w:rPr>
                <w:rFonts w:hAnsi="宋体"/>
                <w:spacing w:val="1"/>
                <w:w w:val="95"/>
                <w:szCs w:val="21"/>
                <w:highlight w:val="none"/>
              </w:rPr>
              <w:t>风</w:t>
            </w:r>
            <w:r>
              <w:rPr>
                <w:rFonts w:hAnsi="宋体"/>
                <w:w w:val="95"/>
                <w:szCs w:val="21"/>
                <w:highlight w:val="none"/>
              </w:rPr>
              <w:t>险</w:t>
            </w:r>
            <w:r>
              <w:rPr>
                <w:rFonts w:hAnsi="宋体"/>
                <w:spacing w:val="1"/>
                <w:w w:val="95"/>
                <w:szCs w:val="21"/>
                <w:highlight w:val="none"/>
              </w:rPr>
              <w:t>源</w:t>
            </w:r>
            <w:r>
              <w:rPr>
                <w:rFonts w:hAnsi="宋体"/>
                <w:w w:val="95"/>
                <w:szCs w:val="21"/>
                <w:highlight w:val="none"/>
              </w:rPr>
              <w:t>。</w:t>
            </w:r>
          </w:p>
        </w:tc>
        <w:tc>
          <w:tcPr>
            <w:tcW w:w="1276" w:type="dxa"/>
            <w:vAlign w:val="center"/>
          </w:tcPr>
          <w:p>
            <w:pPr>
              <w:pStyle w:val="64"/>
              <w:rPr>
                <w:rFonts w:hAnsi="宋体"/>
                <w:szCs w:val="21"/>
                <w:highlight w:val="none"/>
              </w:rPr>
            </w:pPr>
            <w:r>
              <w:rPr>
                <w:rFonts w:hAnsi="宋体"/>
                <w:spacing w:val="3"/>
                <w:w w:val="95"/>
                <w:szCs w:val="21"/>
                <w:highlight w:val="none"/>
              </w:rPr>
              <w:t>本项目不</w:t>
            </w:r>
            <w:r>
              <w:rPr>
                <w:rFonts w:hAnsi="宋体"/>
                <w:w w:val="95"/>
                <w:szCs w:val="21"/>
                <w:highlight w:val="none"/>
              </w:rPr>
              <w:t>涉</w:t>
            </w:r>
            <w:r>
              <w:rPr>
                <w:rFonts w:hAnsi="宋体"/>
                <w:spacing w:val="3"/>
                <w:w w:val="95"/>
                <w:szCs w:val="21"/>
                <w:highlight w:val="none"/>
              </w:rPr>
              <w:t>及上述各</w:t>
            </w:r>
            <w:r>
              <w:rPr>
                <w:rFonts w:hAnsi="宋体"/>
                <w:w w:val="95"/>
                <w:szCs w:val="21"/>
                <w:highlight w:val="none"/>
              </w:rPr>
              <w:t>类</w:t>
            </w:r>
            <w:r>
              <w:rPr>
                <w:rFonts w:hAnsi="宋体"/>
                <w:spacing w:val="3"/>
                <w:w w:val="95"/>
                <w:szCs w:val="21"/>
                <w:highlight w:val="none"/>
              </w:rPr>
              <w:t>保护目标</w:t>
            </w:r>
            <w:r>
              <w:rPr>
                <w:rFonts w:hAnsi="宋体"/>
                <w:w w:val="95"/>
                <w:szCs w:val="21"/>
                <w:highlight w:val="none"/>
              </w:rPr>
              <w:t>，</w:t>
            </w:r>
            <w:r>
              <w:rPr>
                <w:rFonts w:hAnsi="宋体"/>
                <w:szCs w:val="21"/>
                <w:highlight w:val="none"/>
              </w:rPr>
              <w:t>下游</w:t>
            </w:r>
            <w:r>
              <w:rPr>
                <w:rFonts w:hint="eastAsia" w:hAnsi="宋体" w:cs="hakuyoxingshu7000"/>
                <w:spacing w:val="1"/>
                <w:szCs w:val="21"/>
                <w:highlight w:val="none"/>
              </w:rPr>
              <w:t>36</w:t>
            </w:r>
            <w:r>
              <w:rPr>
                <w:rFonts w:hAnsi="宋体" w:cs="hakuyoxingshu7000"/>
                <w:spacing w:val="1"/>
                <w:szCs w:val="21"/>
                <w:highlight w:val="none"/>
              </w:rPr>
              <w:t>0</w:t>
            </w:r>
            <w:r>
              <w:rPr>
                <w:rFonts w:hAnsi="宋体" w:cs="hakuyoxingshu7000"/>
                <w:szCs w:val="21"/>
                <w:highlight w:val="none"/>
              </w:rPr>
              <w:t>m</w:t>
            </w:r>
            <w:r>
              <w:rPr>
                <w:rFonts w:hAnsi="宋体"/>
                <w:spacing w:val="3"/>
                <w:w w:val="95"/>
                <w:szCs w:val="21"/>
                <w:highlight w:val="none"/>
              </w:rPr>
              <w:t>范围内无</w:t>
            </w:r>
            <w:r>
              <w:rPr>
                <w:rFonts w:hAnsi="宋体"/>
                <w:w w:val="95"/>
                <w:szCs w:val="21"/>
                <w:highlight w:val="none"/>
              </w:rPr>
              <w:t>人</w:t>
            </w:r>
            <w:r>
              <w:rPr>
                <w:rFonts w:hAnsi="宋体"/>
                <w:szCs w:val="21"/>
                <w:highlight w:val="none"/>
              </w:rPr>
              <w:t>口</w:t>
            </w:r>
            <w:r>
              <w:rPr>
                <w:rFonts w:hAnsi="宋体"/>
                <w:spacing w:val="2"/>
                <w:szCs w:val="21"/>
                <w:highlight w:val="none"/>
              </w:rPr>
              <w:t>聚</w:t>
            </w:r>
            <w:r>
              <w:rPr>
                <w:rFonts w:hAnsi="宋体"/>
                <w:szCs w:val="21"/>
                <w:highlight w:val="none"/>
              </w:rPr>
              <w:t>集区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605" w:hRule="atLeast"/>
        </w:trPr>
        <w:tc>
          <w:tcPr>
            <w:tcW w:w="1312" w:type="dxa"/>
            <w:vAlign w:val="center"/>
          </w:tcPr>
          <w:p>
            <w:pPr>
              <w:pStyle w:val="64"/>
              <w:rPr>
                <w:rFonts w:hAnsi="宋体"/>
                <w:szCs w:val="21"/>
                <w:highlight w:val="none"/>
              </w:rPr>
            </w:pPr>
            <w:r>
              <w:rPr>
                <w:rFonts w:hAnsi="宋体"/>
                <w:szCs w:val="21"/>
                <w:highlight w:val="none"/>
              </w:rPr>
              <w:t>安</w:t>
            </w:r>
            <w:r>
              <w:rPr>
                <w:rFonts w:hAnsi="宋体"/>
                <w:spacing w:val="2"/>
                <w:szCs w:val="21"/>
                <w:highlight w:val="none"/>
              </w:rPr>
              <w:t>全</w:t>
            </w:r>
            <w:r>
              <w:rPr>
                <w:rFonts w:hAnsi="宋体"/>
                <w:szCs w:val="21"/>
                <w:highlight w:val="none"/>
              </w:rPr>
              <w:t>性</w:t>
            </w:r>
          </w:p>
        </w:tc>
        <w:tc>
          <w:tcPr>
            <w:tcW w:w="11404" w:type="dxa"/>
            <w:gridSpan w:val="3"/>
            <w:vAlign w:val="center"/>
          </w:tcPr>
          <w:p>
            <w:pPr>
              <w:pStyle w:val="64"/>
              <w:jc w:val="left"/>
              <w:rPr>
                <w:rFonts w:hAnsi="宋体"/>
                <w:szCs w:val="21"/>
                <w:highlight w:val="none"/>
              </w:rPr>
            </w:pPr>
            <w:r>
              <w:rPr>
                <w:rFonts w:hAnsi="宋体" w:cs="hakuyoxingshu7000"/>
                <w:w w:val="90"/>
                <w:szCs w:val="21"/>
                <w:highlight w:val="none"/>
              </w:rPr>
              <w:t>24.□</w:t>
            </w:r>
            <w:r>
              <w:rPr>
                <w:rFonts w:hAnsi="宋体"/>
                <w:w w:val="90"/>
                <w:szCs w:val="21"/>
                <w:highlight w:val="none"/>
              </w:rPr>
              <w:t>属</w:t>
            </w:r>
            <w:r>
              <w:rPr>
                <w:rFonts w:hAnsi="宋体"/>
                <w:spacing w:val="1"/>
                <w:w w:val="90"/>
                <w:szCs w:val="21"/>
                <w:highlight w:val="none"/>
              </w:rPr>
              <w:t>于</w:t>
            </w:r>
            <w:r>
              <w:rPr>
                <w:rFonts w:hAnsi="宋体"/>
                <w:w w:val="90"/>
                <w:szCs w:val="21"/>
                <w:highlight w:val="none"/>
              </w:rPr>
              <w:t>危</w:t>
            </w:r>
            <w:r>
              <w:rPr>
                <w:rFonts w:hAnsi="宋体"/>
                <w:spacing w:val="1"/>
                <w:w w:val="90"/>
                <w:szCs w:val="21"/>
                <w:highlight w:val="none"/>
              </w:rPr>
              <w:t>库</w:t>
            </w:r>
            <w:r>
              <w:rPr>
                <w:rFonts w:hAnsi="宋体" w:cs="hakuyoxingshu7000"/>
                <w:spacing w:val="-2"/>
                <w:w w:val="90"/>
                <w:szCs w:val="21"/>
                <w:highlight w:val="none"/>
              </w:rPr>
              <w:t>\</w:t>
            </w:r>
            <w:r>
              <w:rPr>
                <w:rFonts w:hAnsi="宋体"/>
                <w:w w:val="90"/>
                <w:szCs w:val="21"/>
                <w:highlight w:val="none"/>
              </w:rPr>
              <w:t>险</w:t>
            </w:r>
            <w:r>
              <w:rPr>
                <w:rFonts w:hAnsi="宋体"/>
                <w:spacing w:val="1"/>
                <w:w w:val="90"/>
                <w:szCs w:val="21"/>
                <w:highlight w:val="none"/>
              </w:rPr>
              <w:t>库</w:t>
            </w:r>
            <w:r>
              <w:rPr>
                <w:rFonts w:hAnsi="宋体" w:cs="hakuyoxingshu7000"/>
                <w:spacing w:val="-2"/>
                <w:w w:val="90"/>
                <w:szCs w:val="21"/>
                <w:highlight w:val="none"/>
              </w:rPr>
              <w:t>\</w:t>
            </w:r>
            <w:r>
              <w:rPr>
                <w:rFonts w:hAnsi="宋体"/>
                <w:w w:val="90"/>
                <w:szCs w:val="21"/>
                <w:highlight w:val="none"/>
              </w:rPr>
              <w:t>病</w:t>
            </w:r>
            <w:r>
              <w:rPr>
                <w:rFonts w:hAnsi="宋体"/>
                <w:spacing w:val="1"/>
                <w:w w:val="90"/>
                <w:szCs w:val="21"/>
                <w:highlight w:val="none"/>
              </w:rPr>
              <w:t>库</w:t>
            </w:r>
            <w:r>
              <w:rPr>
                <w:rFonts w:hAnsi="宋体"/>
                <w:w w:val="90"/>
                <w:szCs w:val="21"/>
                <w:highlight w:val="none"/>
              </w:rPr>
              <w:t>。</w:t>
            </w:r>
          </w:p>
          <w:p>
            <w:pPr>
              <w:pStyle w:val="64"/>
              <w:jc w:val="left"/>
              <w:rPr>
                <w:rFonts w:hAnsi="宋体" w:cs="宋体"/>
                <w:szCs w:val="21"/>
                <w:highlight w:val="none"/>
              </w:rPr>
            </w:pPr>
            <w:r>
              <w:rPr>
                <w:rFonts w:hAnsi="宋体" w:cs="hakuyoxingshu7000"/>
                <w:w w:val="90"/>
                <w:szCs w:val="21"/>
                <w:highlight w:val="none"/>
              </w:rPr>
              <w:t>25.□</w:t>
            </w:r>
            <w:r>
              <w:rPr>
                <w:rFonts w:hAnsi="宋体" w:cs="宋体"/>
                <w:spacing w:val="-1"/>
                <w:w w:val="90"/>
                <w:szCs w:val="21"/>
                <w:highlight w:val="none"/>
              </w:rPr>
              <w:t>处</w:t>
            </w:r>
            <w:r>
              <w:rPr>
                <w:rFonts w:hAnsi="宋体" w:cs="宋体"/>
                <w:spacing w:val="1"/>
                <w:w w:val="90"/>
                <w:szCs w:val="21"/>
                <w:highlight w:val="none"/>
              </w:rPr>
              <w:t>于</w:t>
            </w:r>
            <w:r>
              <w:rPr>
                <w:rFonts w:hAnsi="宋体" w:cs="宋体"/>
                <w:spacing w:val="-1"/>
                <w:w w:val="90"/>
                <w:szCs w:val="21"/>
                <w:highlight w:val="none"/>
              </w:rPr>
              <w:t>按</w:t>
            </w:r>
            <w:r>
              <w:rPr>
                <w:rFonts w:hAnsi="宋体" w:cs="宋体"/>
                <w:spacing w:val="1"/>
                <w:w w:val="90"/>
                <w:szCs w:val="21"/>
                <w:highlight w:val="none"/>
              </w:rPr>
              <w:t>《</w:t>
            </w:r>
            <w:r>
              <w:rPr>
                <w:rFonts w:hAnsi="宋体" w:cs="宋体"/>
                <w:spacing w:val="-1"/>
                <w:w w:val="90"/>
                <w:szCs w:val="21"/>
                <w:highlight w:val="none"/>
              </w:rPr>
              <w:t>地</w:t>
            </w:r>
            <w:r>
              <w:rPr>
                <w:rFonts w:hAnsi="宋体" w:cs="宋体"/>
                <w:spacing w:val="1"/>
                <w:w w:val="90"/>
                <w:szCs w:val="21"/>
                <w:highlight w:val="none"/>
              </w:rPr>
              <w:t>质</w:t>
            </w:r>
            <w:r>
              <w:rPr>
                <w:rFonts w:hAnsi="宋体" w:cs="宋体"/>
                <w:spacing w:val="-1"/>
                <w:w w:val="90"/>
                <w:szCs w:val="21"/>
                <w:highlight w:val="none"/>
              </w:rPr>
              <w:t>灾</w:t>
            </w:r>
            <w:r>
              <w:rPr>
                <w:rFonts w:hAnsi="宋体" w:cs="宋体"/>
                <w:spacing w:val="1"/>
                <w:w w:val="90"/>
                <w:szCs w:val="21"/>
                <w:highlight w:val="none"/>
              </w:rPr>
              <w:t>害</w:t>
            </w:r>
            <w:r>
              <w:rPr>
                <w:rFonts w:hAnsi="宋体" w:cs="宋体"/>
                <w:spacing w:val="-1"/>
                <w:w w:val="90"/>
                <w:szCs w:val="21"/>
                <w:highlight w:val="none"/>
              </w:rPr>
              <w:t>危</w:t>
            </w:r>
            <w:r>
              <w:rPr>
                <w:rFonts w:hAnsi="宋体" w:cs="宋体"/>
                <w:spacing w:val="1"/>
                <w:w w:val="90"/>
                <w:szCs w:val="21"/>
                <w:highlight w:val="none"/>
              </w:rPr>
              <w:t>险</w:t>
            </w:r>
            <w:r>
              <w:rPr>
                <w:rFonts w:hAnsi="宋体" w:cs="宋体"/>
                <w:spacing w:val="-1"/>
                <w:w w:val="90"/>
                <w:szCs w:val="21"/>
                <w:highlight w:val="none"/>
              </w:rPr>
              <w:t>性</w:t>
            </w:r>
            <w:r>
              <w:rPr>
                <w:rFonts w:hAnsi="宋体" w:cs="宋体"/>
                <w:spacing w:val="1"/>
                <w:w w:val="90"/>
                <w:szCs w:val="21"/>
                <w:highlight w:val="none"/>
              </w:rPr>
              <w:t>评</w:t>
            </w:r>
            <w:r>
              <w:rPr>
                <w:rFonts w:hAnsi="宋体" w:cs="宋体"/>
                <w:spacing w:val="-1"/>
                <w:w w:val="90"/>
                <w:szCs w:val="21"/>
                <w:highlight w:val="none"/>
              </w:rPr>
              <w:t>估</w:t>
            </w:r>
            <w:r>
              <w:rPr>
                <w:rFonts w:hAnsi="宋体" w:cs="宋体"/>
                <w:spacing w:val="1"/>
                <w:w w:val="90"/>
                <w:szCs w:val="21"/>
                <w:highlight w:val="none"/>
              </w:rPr>
              <w:t>技</w:t>
            </w:r>
            <w:r>
              <w:rPr>
                <w:rFonts w:hAnsi="宋体" w:cs="宋体"/>
                <w:spacing w:val="-1"/>
                <w:w w:val="90"/>
                <w:szCs w:val="21"/>
                <w:highlight w:val="none"/>
              </w:rPr>
              <w:t>术</w:t>
            </w:r>
            <w:r>
              <w:rPr>
                <w:rFonts w:hAnsi="宋体" w:cs="宋体"/>
                <w:spacing w:val="1"/>
                <w:w w:val="90"/>
                <w:szCs w:val="21"/>
                <w:highlight w:val="none"/>
              </w:rPr>
              <w:t>要</w:t>
            </w:r>
            <w:r>
              <w:rPr>
                <w:rFonts w:hAnsi="宋体" w:cs="宋体"/>
                <w:spacing w:val="-1"/>
                <w:w w:val="90"/>
                <w:szCs w:val="21"/>
                <w:highlight w:val="none"/>
              </w:rPr>
              <w:t>求</w:t>
            </w:r>
            <w:r>
              <w:rPr>
                <w:rFonts w:hAnsi="宋体" w:cs="宋体"/>
                <w:spacing w:val="1"/>
                <w:w w:val="90"/>
                <w:szCs w:val="21"/>
                <w:highlight w:val="none"/>
              </w:rPr>
              <w:t>（</w:t>
            </w:r>
            <w:r>
              <w:rPr>
                <w:rFonts w:hAnsi="宋体" w:cs="宋体"/>
                <w:spacing w:val="-1"/>
                <w:w w:val="90"/>
                <w:szCs w:val="21"/>
                <w:highlight w:val="none"/>
              </w:rPr>
              <w:t>试</w:t>
            </w:r>
            <w:r>
              <w:rPr>
                <w:rFonts w:hAnsi="宋体" w:cs="宋体"/>
                <w:spacing w:val="1"/>
                <w:w w:val="90"/>
                <w:szCs w:val="21"/>
                <w:highlight w:val="none"/>
              </w:rPr>
              <w:t>行</w:t>
            </w:r>
            <w:r>
              <w:rPr>
                <w:rFonts w:hAnsi="宋体" w:cs="宋体"/>
                <w:spacing w:val="-1"/>
                <w:w w:val="90"/>
                <w:szCs w:val="21"/>
                <w:highlight w:val="none"/>
              </w:rPr>
              <w:t>）</w:t>
            </w:r>
            <w:r>
              <w:rPr>
                <w:rFonts w:hAnsi="宋体" w:cs="宋体"/>
                <w:spacing w:val="1"/>
                <w:w w:val="90"/>
                <w:szCs w:val="21"/>
                <w:highlight w:val="none"/>
              </w:rPr>
              <w:t>》</w:t>
            </w:r>
            <w:r>
              <w:rPr>
                <w:rFonts w:hAnsi="宋体" w:cs="宋体"/>
                <w:spacing w:val="-1"/>
                <w:w w:val="90"/>
                <w:szCs w:val="21"/>
                <w:highlight w:val="none"/>
              </w:rPr>
              <w:t>评</w:t>
            </w:r>
            <w:r>
              <w:rPr>
                <w:rFonts w:hAnsi="宋体" w:cs="宋体"/>
                <w:spacing w:val="1"/>
                <w:w w:val="90"/>
                <w:szCs w:val="21"/>
                <w:highlight w:val="none"/>
              </w:rPr>
              <w:t>定</w:t>
            </w:r>
            <w:r>
              <w:rPr>
                <w:rFonts w:hAnsi="宋体" w:cs="宋体"/>
                <w:spacing w:val="-1"/>
                <w:w w:val="90"/>
                <w:szCs w:val="21"/>
                <w:highlight w:val="none"/>
              </w:rPr>
              <w:t>为</w:t>
            </w:r>
            <w:r>
              <w:rPr>
                <w:rFonts w:hAnsi="宋体" w:cs="hakuyoxingshu7000"/>
                <w:spacing w:val="2"/>
                <w:w w:val="90"/>
                <w:szCs w:val="21"/>
                <w:highlight w:val="none"/>
              </w:rPr>
              <w:t>“</w:t>
            </w:r>
            <w:r>
              <w:rPr>
                <w:rFonts w:hAnsi="宋体" w:cs="宋体"/>
                <w:spacing w:val="-1"/>
                <w:w w:val="90"/>
                <w:szCs w:val="21"/>
                <w:highlight w:val="none"/>
              </w:rPr>
              <w:t>危</w:t>
            </w:r>
            <w:r>
              <w:rPr>
                <w:rFonts w:hAnsi="宋体" w:cs="宋体"/>
                <w:spacing w:val="1"/>
                <w:w w:val="90"/>
                <w:szCs w:val="21"/>
                <w:highlight w:val="none"/>
              </w:rPr>
              <w:t>害</w:t>
            </w:r>
            <w:r>
              <w:rPr>
                <w:rFonts w:hAnsi="宋体" w:cs="宋体"/>
                <w:spacing w:val="-1"/>
                <w:w w:val="90"/>
                <w:szCs w:val="21"/>
                <w:highlight w:val="none"/>
              </w:rPr>
              <w:t>性</w:t>
            </w:r>
            <w:r>
              <w:rPr>
                <w:rFonts w:hAnsi="宋体" w:cs="宋体"/>
                <w:spacing w:val="1"/>
                <w:w w:val="90"/>
                <w:szCs w:val="21"/>
                <w:highlight w:val="none"/>
              </w:rPr>
              <w:t>中等</w:t>
            </w:r>
            <w:r>
              <w:rPr>
                <w:rFonts w:hAnsi="宋体" w:cs="hakuyoxingshu7000"/>
                <w:spacing w:val="2"/>
                <w:w w:val="90"/>
                <w:szCs w:val="21"/>
                <w:highlight w:val="none"/>
              </w:rPr>
              <w:t>”</w:t>
            </w:r>
            <w:r>
              <w:rPr>
                <w:rFonts w:hAnsi="宋体" w:cs="宋体"/>
                <w:spacing w:val="-1"/>
                <w:w w:val="90"/>
                <w:szCs w:val="21"/>
                <w:highlight w:val="none"/>
              </w:rPr>
              <w:t>或</w:t>
            </w:r>
            <w:r>
              <w:rPr>
                <w:rFonts w:hAnsi="宋体" w:cs="hakuyoxingshu7000"/>
                <w:spacing w:val="2"/>
                <w:w w:val="90"/>
                <w:szCs w:val="21"/>
                <w:highlight w:val="none"/>
              </w:rPr>
              <w:t>“</w:t>
            </w:r>
            <w:r>
              <w:rPr>
                <w:rFonts w:hAnsi="宋体" w:cs="宋体"/>
                <w:spacing w:val="-1"/>
                <w:w w:val="90"/>
                <w:szCs w:val="21"/>
                <w:highlight w:val="none"/>
              </w:rPr>
              <w:t>危</w:t>
            </w:r>
            <w:r>
              <w:rPr>
                <w:rFonts w:hAnsi="宋体" w:cs="宋体"/>
                <w:spacing w:val="1"/>
                <w:w w:val="90"/>
                <w:szCs w:val="21"/>
                <w:highlight w:val="none"/>
              </w:rPr>
              <w:t>害</w:t>
            </w:r>
            <w:r>
              <w:rPr>
                <w:rFonts w:hAnsi="宋体" w:cs="宋体"/>
                <w:spacing w:val="-1"/>
                <w:w w:val="90"/>
                <w:szCs w:val="21"/>
                <w:highlight w:val="none"/>
              </w:rPr>
              <w:t>性</w:t>
            </w:r>
            <w:r>
              <w:rPr>
                <w:rFonts w:hAnsi="宋体" w:cs="宋体"/>
                <w:spacing w:val="1"/>
                <w:w w:val="90"/>
                <w:szCs w:val="21"/>
                <w:highlight w:val="none"/>
              </w:rPr>
              <w:t>大</w:t>
            </w:r>
            <w:r>
              <w:rPr>
                <w:rFonts w:hAnsi="宋体" w:cs="hakuyoxingshu7000"/>
                <w:spacing w:val="2"/>
                <w:w w:val="90"/>
                <w:szCs w:val="21"/>
                <w:highlight w:val="none"/>
              </w:rPr>
              <w:t>”</w:t>
            </w:r>
            <w:r>
              <w:rPr>
                <w:rFonts w:hAnsi="宋体" w:cs="宋体"/>
                <w:spacing w:val="-1"/>
                <w:w w:val="90"/>
                <w:szCs w:val="21"/>
                <w:highlight w:val="none"/>
              </w:rPr>
              <w:t>的</w:t>
            </w:r>
            <w:r>
              <w:rPr>
                <w:rFonts w:hAnsi="宋体" w:cs="宋体"/>
                <w:spacing w:val="1"/>
                <w:w w:val="90"/>
                <w:szCs w:val="21"/>
                <w:highlight w:val="none"/>
              </w:rPr>
              <w:t>区</w:t>
            </w:r>
            <w:r>
              <w:rPr>
                <w:rFonts w:hAnsi="宋体" w:cs="宋体"/>
                <w:spacing w:val="-1"/>
                <w:w w:val="90"/>
                <w:szCs w:val="21"/>
                <w:highlight w:val="none"/>
              </w:rPr>
              <w:t>域</w:t>
            </w:r>
            <w:r>
              <w:rPr>
                <w:rFonts w:hAnsi="宋体" w:cs="宋体"/>
                <w:w w:val="90"/>
                <w:szCs w:val="21"/>
                <w:highlight w:val="none"/>
              </w:rPr>
              <w:t>。</w:t>
            </w:r>
          </w:p>
          <w:p>
            <w:pPr>
              <w:pStyle w:val="64"/>
              <w:jc w:val="left"/>
              <w:rPr>
                <w:rFonts w:hAnsi="宋体" w:cs="宋体"/>
                <w:szCs w:val="21"/>
                <w:highlight w:val="none"/>
              </w:rPr>
            </w:pPr>
            <w:r>
              <w:rPr>
                <w:rFonts w:hAnsi="宋体" w:cs="hakuyoxingshu7000"/>
                <w:w w:val="90"/>
                <w:szCs w:val="21"/>
                <w:highlight w:val="none"/>
              </w:rPr>
              <w:t>26.□</w:t>
            </w:r>
            <w:r>
              <w:rPr>
                <w:rFonts w:hAnsi="宋体" w:cs="宋体"/>
                <w:spacing w:val="-1"/>
                <w:w w:val="90"/>
                <w:szCs w:val="21"/>
                <w:highlight w:val="none"/>
              </w:rPr>
              <w:t>处</w:t>
            </w:r>
            <w:r>
              <w:rPr>
                <w:rFonts w:hAnsi="宋体" w:cs="宋体"/>
                <w:spacing w:val="1"/>
                <w:w w:val="90"/>
                <w:szCs w:val="21"/>
                <w:highlight w:val="none"/>
              </w:rPr>
              <w:t>于</w:t>
            </w:r>
            <w:r>
              <w:rPr>
                <w:rFonts w:hAnsi="宋体" w:cs="宋体"/>
                <w:spacing w:val="-1"/>
                <w:w w:val="90"/>
                <w:szCs w:val="21"/>
                <w:highlight w:val="none"/>
              </w:rPr>
              <w:t>地</w:t>
            </w:r>
            <w:r>
              <w:rPr>
                <w:rFonts w:hAnsi="宋体" w:cs="宋体"/>
                <w:spacing w:val="1"/>
                <w:w w:val="90"/>
                <w:szCs w:val="21"/>
                <w:highlight w:val="none"/>
              </w:rPr>
              <w:t>质</w:t>
            </w:r>
            <w:r>
              <w:rPr>
                <w:rFonts w:hAnsi="宋体" w:cs="宋体"/>
                <w:spacing w:val="-1"/>
                <w:w w:val="90"/>
                <w:szCs w:val="21"/>
                <w:highlight w:val="none"/>
              </w:rPr>
              <w:t>灾</w:t>
            </w:r>
            <w:r>
              <w:rPr>
                <w:rFonts w:hAnsi="宋体" w:cs="宋体"/>
                <w:spacing w:val="1"/>
                <w:w w:val="90"/>
                <w:szCs w:val="21"/>
                <w:highlight w:val="none"/>
              </w:rPr>
              <w:t>害</w:t>
            </w:r>
            <w:r>
              <w:rPr>
                <w:rFonts w:hint="eastAsia" w:hAnsi="宋体" w:cs="宋体"/>
                <w:spacing w:val="1"/>
                <w:w w:val="90"/>
                <w:szCs w:val="21"/>
                <w:highlight w:val="none"/>
              </w:rPr>
              <w:t>易发</w:t>
            </w:r>
            <w:r>
              <w:rPr>
                <w:rFonts w:hAnsi="宋体" w:cs="宋体"/>
                <w:spacing w:val="1"/>
                <w:w w:val="90"/>
                <w:szCs w:val="21"/>
                <w:highlight w:val="none"/>
              </w:rPr>
              <w:t>灾</w:t>
            </w:r>
            <w:r>
              <w:rPr>
                <w:rFonts w:hAnsi="宋体" w:cs="宋体"/>
                <w:spacing w:val="-1"/>
                <w:w w:val="90"/>
                <w:szCs w:val="21"/>
                <w:highlight w:val="none"/>
              </w:rPr>
              <w:t>区</w:t>
            </w:r>
            <w:r>
              <w:rPr>
                <w:rFonts w:hAnsi="宋体" w:cs="宋体"/>
                <w:w w:val="90"/>
                <w:szCs w:val="21"/>
                <w:highlight w:val="none"/>
              </w:rPr>
              <w:t>。</w:t>
            </w:r>
          </w:p>
          <w:p>
            <w:pPr>
              <w:pStyle w:val="64"/>
              <w:jc w:val="left"/>
              <w:rPr>
                <w:rFonts w:hAnsi="宋体" w:cs="宋体"/>
                <w:szCs w:val="21"/>
                <w:highlight w:val="none"/>
              </w:rPr>
            </w:pPr>
            <w:r>
              <w:rPr>
                <w:rFonts w:hAnsi="宋体" w:cs="hakuyoxingshu7000"/>
                <w:w w:val="95"/>
                <w:szCs w:val="21"/>
                <w:highlight w:val="none"/>
              </w:rPr>
              <w:t>27.□</w:t>
            </w:r>
            <w:r>
              <w:rPr>
                <w:rFonts w:hAnsi="宋体" w:cs="宋体"/>
                <w:spacing w:val="-1"/>
                <w:w w:val="95"/>
                <w:szCs w:val="21"/>
                <w:highlight w:val="none"/>
              </w:rPr>
              <w:t>处</w:t>
            </w:r>
            <w:r>
              <w:rPr>
                <w:rFonts w:hAnsi="宋体" w:cs="宋体"/>
                <w:spacing w:val="1"/>
                <w:w w:val="95"/>
                <w:szCs w:val="21"/>
                <w:highlight w:val="none"/>
              </w:rPr>
              <w:t>于</w:t>
            </w:r>
            <w:r>
              <w:rPr>
                <w:rFonts w:hAnsi="宋体" w:cs="宋体"/>
                <w:spacing w:val="-1"/>
                <w:w w:val="95"/>
                <w:szCs w:val="21"/>
                <w:highlight w:val="none"/>
              </w:rPr>
              <w:t>岩</w:t>
            </w:r>
            <w:r>
              <w:rPr>
                <w:rFonts w:hAnsi="宋体" w:cs="宋体"/>
                <w:spacing w:val="1"/>
                <w:w w:val="95"/>
                <w:szCs w:val="21"/>
                <w:highlight w:val="none"/>
              </w:rPr>
              <w:t>溶</w:t>
            </w:r>
            <w:r>
              <w:rPr>
                <w:rFonts w:hAnsi="宋体" w:cs="宋体"/>
                <w:spacing w:val="-1"/>
                <w:w w:val="95"/>
                <w:szCs w:val="21"/>
                <w:highlight w:val="none"/>
              </w:rPr>
              <w:t>（</w:t>
            </w:r>
            <w:r>
              <w:rPr>
                <w:rFonts w:hAnsi="宋体" w:cs="宋体"/>
                <w:spacing w:val="1"/>
                <w:w w:val="95"/>
                <w:szCs w:val="21"/>
                <w:highlight w:val="none"/>
              </w:rPr>
              <w:t>喀</w:t>
            </w:r>
            <w:r>
              <w:rPr>
                <w:rFonts w:hAnsi="宋体" w:cs="宋体"/>
                <w:spacing w:val="-1"/>
                <w:w w:val="95"/>
                <w:szCs w:val="21"/>
                <w:highlight w:val="none"/>
              </w:rPr>
              <w:t>斯</w:t>
            </w:r>
            <w:r>
              <w:rPr>
                <w:rFonts w:hAnsi="宋体" w:cs="宋体"/>
                <w:spacing w:val="1"/>
                <w:w w:val="95"/>
                <w:szCs w:val="21"/>
                <w:highlight w:val="none"/>
              </w:rPr>
              <w:t>特</w:t>
            </w:r>
            <w:r>
              <w:rPr>
                <w:rFonts w:hAnsi="宋体" w:cs="宋体"/>
                <w:spacing w:val="-1"/>
                <w:w w:val="95"/>
                <w:szCs w:val="21"/>
                <w:highlight w:val="none"/>
              </w:rPr>
              <w:t>）</w:t>
            </w:r>
            <w:r>
              <w:rPr>
                <w:rFonts w:hAnsi="宋体" w:cs="宋体"/>
                <w:spacing w:val="1"/>
                <w:w w:val="95"/>
                <w:szCs w:val="21"/>
                <w:highlight w:val="none"/>
              </w:rPr>
              <w:t>地</w:t>
            </w:r>
            <w:r>
              <w:rPr>
                <w:rFonts w:hAnsi="宋体" w:cs="宋体"/>
                <w:spacing w:val="-1"/>
                <w:w w:val="95"/>
                <w:szCs w:val="21"/>
                <w:highlight w:val="none"/>
              </w:rPr>
              <w:t>貌</w:t>
            </w:r>
            <w:r>
              <w:rPr>
                <w:rFonts w:hAnsi="宋体" w:cs="宋体"/>
                <w:spacing w:val="1"/>
                <w:w w:val="95"/>
                <w:szCs w:val="21"/>
                <w:highlight w:val="none"/>
              </w:rPr>
              <w:t>区</w:t>
            </w:r>
            <w:r>
              <w:rPr>
                <w:rFonts w:hAnsi="宋体" w:cs="宋体"/>
                <w:w w:val="95"/>
                <w:szCs w:val="21"/>
                <w:highlight w:val="none"/>
              </w:rPr>
              <w:t>。</w:t>
            </w:r>
          </w:p>
          <w:p>
            <w:pPr>
              <w:pStyle w:val="64"/>
              <w:jc w:val="left"/>
              <w:rPr>
                <w:rFonts w:hAnsi="宋体"/>
                <w:szCs w:val="21"/>
                <w:highlight w:val="none"/>
              </w:rPr>
            </w:pPr>
            <w:r>
              <w:rPr>
                <w:rFonts w:hAnsi="宋体" w:cs="hakuyoxingshu7000"/>
                <w:w w:val="85"/>
                <w:szCs w:val="21"/>
                <w:highlight w:val="none"/>
              </w:rPr>
              <w:t>28.□</w:t>
            </w:r>
            <w:r>
              <w:rPr>
                <w:rFonts w:hAnsi="宋体" w:cs="宋体"/>
                <w:spacing w:val="-1"/>
                <w:w w:val="85"/>
                <w:szCs w:val="21"/>
                <w:highlight w:val="none"/>
              </w:rPr>
              <w:t>已</w:t>
            </w:r>
            <w:r>
              <w:rPr>
                <w:rFonts w:hAnsi="宋体" w:cs="宋体"/>
                <w:spacing w:val="1"/>
                <w:w w:val="85"/>
                <w:szCs w:val="21"/>
                <w:highlight w:val="none"/>
              </w:rPr>
              <w:t>被</w:t>
            </w:r>
            <w:r>
              <w:rPr>
                <w:rFonts w:hAnsi="宋体" w:cs="宋体"/>
                <w:spacing w:val="-1"/>
                <w:w w:val="85"/>
                <w:szCs w:val="21"/>
                <w:highlight w:val="none"/>
              </w:rPr>
              <w:t>相</w:t>
            </w:r>
            <w:r>
              <w:rPr>
                <w:rFonts w:hAnsi="宋体" w:cs="宋体"/>
                <w:spacing w:val="1"/>
                <w:w w:val="85"/>
                <w:szCs w:val="21"/>
                <w:highlight w:val="none"/>
              </w:rPr>
              <w:t>关</w:t>
            </w:r>
            <w:r>
              <w:rPr>
                <w:rFonts w:hAnsi="宋体" w:cs="宋体"/>
                <w:spacing w:val="-1"/>
                <w:w w:val="85"/>
                <w:szCs w:val="21"/>
                <w:highlight w:val="none"/>
              </w:rPr>
              <w:t>部</w:t>
            </w:r>
            <w:r>
              <w:rPr>
                <w:rFonts w:hAnsi="宋体" w:cs="宋体"/>
                <w:spacing w:val="1"/>
                <w:w w:val="85"/>
                <w:szCs w:val="21"/>
                <w:highlight w:val="none"/>
              </w:rPr>
              <w:t>门</w:t>
            </w:r>
            <w:r>
              <w:rPr>
                <w:rFonts w:hAnsi="宋体" w:cs="宋体"/>
                <w:spacing w:val="-1"/>
                <w:w w:val="85"/>
                <w:szCs w:val="21"/>
                <w:highlight w:val="none"/>
              </w:rPr>
              <w:t>鉴</w:t>
            </w:r>
            <w:r>
              <w:rPr>
                <w:rFonts w:hAnsi="宋体" w:cs="宋体"/>
                <w:spacing w:val="1"/>
                <w:w w:val="85"/>
                <w:szCs w:val="21"/>
                <w:highlight w:val="none"/>
              </w:rPr>
              <w:t>定</w:t>
            </w:r>
            <w:r>
              <w:rPr>
                <w:rFonts w:hAnsi="宋体" w:cs="宋体"/>
                <w:spacing w:val="-1"/>
                <w:w w:val="85"/>
                <w:szCs w:val="21"/>
                <w:highlight w:val="none"/>
              </w:rPr>
              <w:t>为</w:t>
            </w:r>
            <w:r>
              <w:rPr>
                <w:rFonts w:hAnsi="宋体" w:cs="hakuyoxingshu7000"/>
                <w:spacing w:val="1"/>
                <w:w w:val="85"/>
                <w:szCs w:val="21"/>
                <w:highlight w:val="none"/>
              </w:rPr>
              <w:t>“</w:t>
            </w:r>
            <w:r>
              <w:rPr>
                <w:rFonts w:hAnsi="宋体" w:cs="宋体"/>
                <w:spacing w:val="-1"/>
                <w:w w:val="85"/>
                <w:szCs w:val="21"/>
                <w:highlight w:val="none"/>
              </w:rPr>
              <w:t>三</w:t>
            </w:r>
            <w:r>
              <w:rPr>
                <w:rFonts w:hAnsi="宋体" w:cs="宋体"/>
                <w:spacing w:val="1"/>
                <w:w w:val="85"/>
                <w:szCs w:val="21"/>
                <w:highlight w:val="none"/>
              </w:rPr>
              <w:t>边库</w:t>
            </w:r>
            <w:r>
              <w:rPr>
                <w:rFonts w:hAnsi="宋体" w:cs="hakuyoxingshu7000"/>
                <w:spacing w:val="1"/>
                <w:w w:val="85"/>
                <w:szCs w:val="21"/>
                <w:highlight w:val="none"/>
              </w:rPr>
              <w:t>”</w:t>
            </w:r>
            <w:r>
              <w:rPr>
                <w:rFonts w:hAnsi="宋体" w:cs="宋体"/>
                <w:spacing w:val="-1"/>
                <w:w w:val="85"/>
                <w:szCs w:val="21"/>
                <w:highlight w:val="none"/>
              </w:rPr>
              <w:t>、</w:t>
            </w:r>
            <w:r>
              <w:rPr>
                <w:rFonts w:hAnsi="宋体" w:cs="hakuyoxingshu7000"/>
                <w:spacing w:val="1"/>
                <w:w w:val="85"/>
                <w:szCs w:val="21"/>
                <w:highlight w:val="none"/>
              </w:rPr>
              <w:t>“</w:t>
            </w:r>
            <w:r>
              <w:rPr>
                <w:rFonts w:hAnsi="宋体" w:cs="宋体"/>
                <w:spacing w:val="-1"/>
                <w:w w:val="85"/>
                <w:szCs w:val="21"/>
                <w:highlight w:val="none"/>
              </w:rPr>
              <w:t>头</w:t>
            </w:r>
            <w:r>
              <w:rPr>
                <w:rFonts w:hAnsi="宋体" w:cs="宋体"/>
                <w:spacing w:val="1"/>
                <w:w w:val="85"/>
                <w:szCs w:val="21"/>
                <w:highlight w:val="none"/>
              </w:rPr>
              <w:t>顶</w:t>
            </w:r>
            <w:r>
              <w:rPr>
                <w:rFonts w:hAnsi="宋体" w:cs="宋体"/>
                <w:spacing w:val="-1"/>
                <w:w w:val="85"/>
                <w:szCs w:val="21"/>
                <w:highlight w:val="none"/>
              </w:rPr>
              <w:t>库</w:t>
            </w:r>
            <w:r>
              <w:rPr>
                <w:rFonts w:hAnsi="宋体" w:cs="hakuyoxingshu7000"/>
                <w:spacing w:val="1"/>
                <w:w w:val="85"/>
                <w:szCs w:val="21"/>
                <w:highlight w:val="none"/>
              </w:rPr>
              <w:t>”</w:t>
            </w:r>
            <w:r>
              <w:rPr>
                <w:rFonts w:hAnsi="宋体" w:cs="宋体"/>
                <w:spacing w:val="-1"/>
                <w:w w:val="85"/>
                <w:szCs w:val="21"/>
                <w:highlight w:val="none"/>
              </w:rPr>
              <w:t>的</w:t>
            </w:r>
            <w:r>
              <w:rPr>
                <w:rFonts w:hAnsi="宋体" w:cs="宋体"/>
                <w:spacing w:val="1"/>
                <w:w w:val="85"/>
                <w:szCs w:val="21"/>
                <w:highlight w:val="none"/>
              </w:rPr>
              <w:t>尾</w:t>
            </w:r>
            <w:r>
              <w:rPr>
                <w:rFonts w:hAnsi="宋体" w:cs="宋体"/>
                <w:spacing w:val="-1"/>
                <w:w w:val="85"/>
                <w:szCs w:val="21"/>
                <w:highlight w:val="none"/>
              </w:rPr>
              <w:t>矿</w:t>
            </w:r>
            <w:r>
              <w:rPr>
                <w:rFonts w:hAnsi="宋体" w:cs="宋体"/>
                <w:spacing w:val="1"/>
                <w:w w:val="85"/>
                <w:szCs w:val="21"/>
                <w:highlight w:val="none"/>
              </w:rPr>
              <w:t>库</w:t>
            </w:r>
            <w:r>
              <w:rPr>
                <w:rFonts w:hAnsi="宋体" w:cs="宋体"/>
                <w:w w:val="85"/>
                <w:szCs w:val="21"/>
                <w:highlight w:val="none"/>
              </w:rPr>
              <w:t>。</w:t>
            </w:r>
          </w:p>
        </w:tc>
        <w:tc>
          <w:tcPr>
            <w:tcW w:w="1276" w:type="dxa"/>
            <w:vAlign w:val="center"/>
          </w:tcPr>
          <w:p>
            <w:pPr>
              <w:pStyle w:val="64"/>
              <w:rPr>
                <w:rFonts w:hAnsi="宋体"/>
                <w:szCs w:val="21"/>
                <w:highlight w:val="none"/>
              </w:rPr>
            </w:pPr>
            <w:r>
              <w:rPr>
                <w:rFonts w:hAnsi="宋体"/>
                <w:szCs w:val="21"/>
                <w:highlight w:val="none"/>
              </w:rPr>
              <w:t>正</w:t>
            </w:r>
            <w:r>
              <w:rPr>
                <w:rFonts w:hAnsi="宋体"/>
                <w:spacing w:val="2"/>
                <w:szCs w:val="21"/>
                <w:highlight w:val="none"/>
              </w:rPr>
              <w:t>常</w:t>
            </w:r>
            <w:r>
              <w:rPr>
                <w:rFonts w:hAnsi="宋体"/>
                <w:szCs w:val="21"/>
                <w:highlight w:val="none"/>
              </w:rPr>
              <w:t>库</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12" w:type="dxa"/>
            <w:vAlign w:val="center"/>
          </w:tcPr>
          <w:p>
            <w:pPr>
              <w:pStyle w:val="64"/>
              <w:rPr>
                <w:rFonts w:hAnsi="宋体" w:cs="宋体"/>
                <w:szCs w:val="21"/>
                <w:highlight w:val="none"/>
              </w:rPr>
            </w:pPr>
            <w:r>
              <w:rPr>
                <w:rFonts w:hAnsi="宋体" w:cs="宋体"/>
                <w:spacing w:val="14"/>
                <w:szCs w:val="21"/>
                <w:highlight w:val="none"/>
              </w:rPr>
              <w:t>历史</w:t>
            </w:r>
            <w:r>
              <w:rPr>
                <w:rFonts w:hAnsi="宋体" w:cs="宋体"/>
                <w:spacing w:val="11"/>
                <w:szCs w:val="21"/>
                <w:highlight w:val="none"/>
              </w:rPr>
              <w:t>事</w:t>
            </w:r>
            <w:r>
              <w:rPr>
                <w:rFonts w:hAnsi="宋体" w:cs="宋体"/>
                <w:spacing w:val="14"/>
                <w:szCs w:val="21"/>
                <w:highlight w:val="none"/>
              </w:rPr>
              <w:t>件</w:t>
            </w:r>
            <w:r>
              <w:rPr>
                <w:rFonts w:hAnsi="宋体" w:cs="宋体"/>
                <w:szCs w:val="21"/>
                <w:highlight w:val="none"/>
              </w:rPr>
              <w:t>与</w:t>
            </w:r>
            <w:r>
              <w:rPr>
                <w:rFonts w:hAnsi="宋体" w:cs="宋体"/>
                <w:spacing w:val="13"/>
                <w:w w:val="95"/>
                <w:szCs w:val="21"/>
                <w:highlight w:val="none"/>
              </w:rPr>
              <w:t>环境</w:t>
            </w:r>
            <w:r>
              <w:rPr>
                <w:rFonts w:hAnsi="宋体" w:cs="宋体"/>
                <w:spacing w:val="10"/>
                <w:w w:val="95"/>
                <w:szCs w:val="21"/>
                <w:highlight w:val="none"/>
              </w:rPr>
              <w:t>违</w:t>
            </w:r>
            <w:r>
              <w:rPr>
                <w:rFonts w:hAnsi="宋体" w:cs="宋体"/>
                <w:spacing w:val="13"/>
                <w:w w:val="95"/>
                <w:szCs w:val="21"/>
                <w:highlight w:val="none"/>
              </w:rPr>
              <w:t>法</w:t>
            </w:r>
            <w:r>
              <w:rPr>
                <w:rFonts w:hAnsi="宋体" w:cs="宋体"/>
                <w:w w:val="95"/>
                <w:szCs w:val="21"/>
                <w:highlight w:val="none"/>
              </w:rPr>
              <w:t>情</w:t>
            </w:r>
            <w:r>
              <w:rPr>
                <w:rFonts w:hAnsi="宋体" w:cs="宋体"/>
                <w:szCs w:val="21"/>
                <w:highlight w:val="none"/>
              </w:rPr>
              <w:t>况</w:t>
            </w:r>
          </w:p>
        </w:tc>
        <w:tc>
          <w:tcPr>
            <w:tcW w:w="11404" w:type="dxa"/>
            <w:gridSpan w:val="3"/>
            <w:vAlign w:val="center"/>
          </w:tcPr>
          <w:p>
            <w:pPr>
              <w:pStyle w:val="64"/>
              <w:jc w:val="left"/>
              <w:rPr>
                <w:rFonts w:hAnsi="宋体" w:cs="宋体"/>
                <w:szCs w:val="21"/>
                <w:highlight w:val="none"/>
              </w:rPr>
            </w:pPr>
            <w:r>
              <w:rPr>
                <w:rFonts w:hAnsi="宋体" w:cs="hakuyoxingshu7000"/>
                <w:w w:val="95"/>
                <w:szCs w:val="21"/>
                <w:highlight w:val="none"/>
              </w:rPr>
              <w:t>29.□</w:t>
            </w:r>
            <w:r>
              <w:rPr>
                <w:rFonts w:hAnsi="宋体" w:cs="宋体"/>
                <w:w w:val="95"/>
                <w:szCs w:val="21"/>
                <w:highlight w:val="none"/>
              </w:rPr>
              <w:t>近</w:t>
            </w:r>
            <w:r>
              <w:rPr>
                <w:rFonts w:hAnsi="宋体" w:cs="hakuyoxingshu7000"/>
                <w:w w:val="95"/>
                <w:szCs w:val="21"/>
                <w:highlight w:val="none"/>
              </w:rPr>
              <w:t>3</w:t>
            </w:r>
            <w:r>
              <w:rPr>
                <w:rFonts w:hAnsi="宋体" w:cs="宋体"/>
                <w:spacing w:val="-1"/>
                <w:w w:val="95"/>
                <w:szCs w:val="21"/>
                <w:highlight w:val="none"/>
              </w:rPr>
              <w:t>年</w:t>
            </w:r>
            <w:r>
              <w:rPr>
                <w:rFonts w:hAnsi="宋体" w:cs="宋体"/>
                <w:spacing w:val="1"/>
                <w:w w:val="95"/>
                <w:szCs w:val="21"/>
                <w:highlight w:val="none"/>
              </w:rPr>
              <w:t>内</w:t>
            </w:r>
            <w:r>
              <w:rPr>
                <w:rFonts w:hAnsi="宋体" w:cs="宋体"/>
                <w:spacing w:val="-1"/>
                <w:w w:val="95"/>
                <w:szCs w:val="21"/>
                <w:highlight w:val="none"/>
              </w:rPr>
              <w:t>发</w:t>
            </w:r>
            <w:r>
              <w:rPr>
                <w:rFonts w:hAnsi="宋体" w:cs="宋体"/>
                <w:spacing w:val="1"/>
                <w:w w:val="95"/>
                <w:szCs w:val="21"/>
                <w:highlight w:val="none"/>
              </w:rPr>
              <w:t>生</w:t>
            </w:r>
            <w:r>
              <w:rPr>
                <w:rFonts w:hAnsi="宋体" w:cs="宋体"/>
                <w:spacing w:val="-1"/>
                <w:w w:val="95"/>
                <w:szCs w:val="21"/>
                <w:highlight w:val="none"/>
              </w:rPr>
              <w:t>过</w:t>
            </w:r>
            <w:r>
              <w:rPr>
                <w:rFonts w:hAnsi="宋体" w:cs="宋体"/>
                <w:spacing w:val="1"/>
                <w:w w:val="95"/>
                <w:szCs w:val="21"/>
                <w:highlight w:val="none"/>
              </w:rPr>
              <w:t>较</w:t>
            </w:r>
            <w:r>
              <w:rPr>
                <w:rFonts w:hAnsi="宋体" w:cs="宋体"/>
                <w:spacing w:val="-1"/>
                <w:w w:val="95"/>
                <w:szCs w:val="21"/>
                <w:highlight w:val="none"/>
              </w:rPr>
              <w:t>大</w:t>
            </w:r>
            <w:r>
              <w:rPr>
                <w:rFonts w:hAnsi="宋体" w:cs="宋体"/>
                <w:spacing w:val="1"/>
                <w:w w:val="95"/>
                <w:szCs w:val="21"/>
                <w:highlight w:val="none"/>
              </w:rPr>
              <w:t>及</w:t>
            </w:r>
            <w:r>
              <w:rPr>
                <w:rFonts w:hAnsi="宋体" w:cs="宋体"/>
                <w:spacing w:val="-1"/>
                <w:w w:val="95"/>
                <w:szCs w:val="21"/>
                <w:highlight w:val="none"/>
              </w:rPr>
              <w:t>以</w:t>
            </w:r>
            <w:r>
              <w:rPr>
                <w:rFonts w:hAnsi="宋体" w:cs="宋体"/>
                <w:spacing w:val="1"/>
                <w:w w:val="95"/>
                <w:szCs w:val="21"/>
                <w:highlight w:val="none"/>
              </w:rPr>
              <w:t>上</w:t>
            </w:r>
            <w:r>
              <w:rPr>
                <w:rFonts w:hAnsi="宋体" w:cs="宋体"/>
                <w:spacing w:val="-1"/>
                <w:w w:val="95"/>
                <w:szCs w:val="21"/>
                <w:highlight w:val="none"/>
              </w:rPr>
              <w:t>等</w:t>
            </w:r>
            <w:r>
              <w:rPr>
                <w:rFonts w:hAnsi="宋体" w:cs="宋体"/>
                <w:spacing w:val="1"/>
                <w:w w:val="95"/>
                <w:szCs w:val="21"/>
                <w:highlight w:val="none"/>
              </w:rPr>
              <w:t>级</w:t>
            </w:r>
            <w:r>
              <w:rPr>
                <w:rFonts w:hAnsi="宋体" w:cs="宋体"/>
                <w:spacing w:val="-1"/>
                <w:w w:val="95"/>
                <w:szCs w:val="21"/>
                <w:highlight w:val="none"/>
              </w:rPr>
              <w:t>的</w:t>
            </w:r>
            <w:r>
              <w:rPr>
                <w:rFonts w:hAnsi="宋体" w:cs="宋体"/>
                <w:spacing w:val="1"/>
                <w:w w:val="95"/>
                <w:szCs w:val="21"/>
                <w:highlight w:val="none"/>
              </w:rPr>
              <w:t>生</w:t>
            </w:r>
            <w:r>
              <w:rPr>
                <w:rFonts w:hAnsi="宋体" w:cs="宋体"/>
                <w:spacing w:val="-1"/>
                <w:w w:val="95"/>
                <w:szCs w:val="21"/>
                <w:highlight w:val="none"/>
              </w:rPr>
              <w:t>产</w:t>
            </w:r>
            <w:r>
              <w:rPr>
                <w:rFonts w:hAnsi="宋体" w:cs="宋体"/>
                <w:spacing w:val="1"/>
                <w:w w:val="95"/>
                <w:szCs w:val="21"/>
                <w:highlight w:val="none"/>
              </w:rPr>
              <w:t>安</w:t>
            </w:r>
            <w:r>
              <w:rPr>
                <w:rFonts w:hAnsi="宋体" w:cs="宋体"/>
                <w:spacing w:val="-1"/>
                <w:w w:val="95"/>
                <w:szCs w:val="21"/>
                <w:highlight w:val="none"/>
              </w:rPr>
              <w:t>全</w:t>
            </w:r>
            <w:r>
              <w:rPr>
                <w:rFonts w:hAnsi="宋体" w:cs="宋体"/>
                <w:spacing w:val="1"/>
                <w:w w:val="95"/>
                <w:szCs w:val="21"/>
                <w:highlight w:val="none"/>
              </w:rPr>
              <w:t>事</w:t>
            </w:r>
            <w:r>
              <w:rPr>
                <w:rFonts w:hAnsi="宋体" w:cs="宋体"/>
                <w:spacing w:val="-1"/>
                <w:w w:val="95"/>
                <w:szCs w:val="21"/>
                <w:highlight w:val="none"/>
              </w:rPr>
              <w:t>故</w:t>
            </w:r>
            <w:r>
              <w:rPr>
                <w:rFonts w:hAnsi="宋体" w:cs="宋体"/>
                <w:spacing w:val="1"/>
                <w:w w:val="95"/>
                <w:szCs w:val="21"/>
                <w:highlight w:val="none"/>
              </w:rPr>
              <w:t>或</w:t>
            </w:r>
            <w:r>
              <w:rPr>
                <w:rFonts w:hAnsi="宋体" w:cs="宋体"/>
                <w:spacing w:val="-1"/>
                <w:w w:val="95"/>
                <w:szCs w:val="21"/>
                <w:highlight w:val="none"/>
              </w:rPr>
              <w:t>突</w:t>
            </w:r>
            <w:r>
              <w:rPr>
                <w:rFonts w:hAnsi="宋体" w:cs="宋体"/>
                <w:spacing w:val="1"/>
                <w:w w:val="95"/>
                <w:szCs w:val="21"/>
                <w:highlight w:val="none"/>
              </w:rPr>
              <w:t>发</w:t>
            </w:r>
            <w:r>
              <w:rPr>
                <w:rFonts w:hAnsi="宋体" w:cs="宋体"/>
                <w:spacing w:val="-1"/>
                <w:w w:val="95"/>
                <w:szCs w:val="21"/>
                <w:highlight w:val="none"/>
              </w:rPr>
              <w:t>环</w:t>
            </w:r>
            <w:r>
              <w:rPr>
                <w:rFonts w:hAnsi="宋体" w:cs="宋体"/>
                <w:spacing w:val="1"/>
                <w:w w:val="95"/>
                <w:szCs w:val="21"/>
                <w:highlight w:val="none"/>
              </w:rPr>
              <w:t>境</w:t>
            </w:r>
            <w:r>
              <w:rPr>
                <w:rFonts w:hAnsi="宋体" w:cs="宋体"/>
                <w:spacing w:val="-1"/>
                <w:w w:val="95"/>
                <w:szCs w:val="21"/>
                <w:highlight w:val="none"/>
              </w:rPr>
              <w:t>事</w:t>
            </w:r>
            <w:r>
              <w:rPr>
                <w:rFonts w:hAnsi="宋体" w:cs="宋体"/>
                <w:spacing w:val="1"/>
                <w:w w:val="95"/>
                <w:szCs w:val="21"/>
                <w:highlight w:val="none"/>
              </w:rPr>
              <w:t>件</w:t>
            </w:r>
            <w:r>
              <w:rPr>
                <w:rFonts w:hAnsi="宋体" w:cs="宋体"/>
                <w:w w:val="95"/>
                <w:szCs w:val="21"/>
                <w:highlight w:val="none"/>
              </w:rPr>
              <w:t>。</w:t>
            </w:r>
          </w:p>
          <w:p>
            <w:pPr>
              <w:pStyle w:val="64"/>
              <w:jc w:val="left"/>
              <w:rPr>
                <w:rFonts w:hAnsi="宋体" w:cs="宋体"/>
                <w:szCs w:val="21"/>
                <w:highlight w:val="none"/>
              </w:rPr>
            </w:pPr>
            <w:r>
              <w:rPr>
                <w:rFonts w:hAnsi="宋体" w:cs="hakuyoxingshu7000"/>
                <w:w w:val="95"/>
                <w:szCs w:val="21"/>
                <w:highlight w:val="none"/>
              </w:rPr>
              <w:t>30.□</w:t>
            </w:r>
            <w:r>
              <w:rPr>
                <w:rFonts w:hAnsi="宋体" w:cs="宋体"/>
                <w:w w:val="95"/>
                <w:szCs w:val="21"/>
                <w:highlight w:val="none"/>
              </w:rPr>
              <w:t>近</w:t>
            </w:r>
            <w:r>
              <w:rPr>
                <w:rFonts w:hAnsi="宋体" w:cs="hakuyoxingshu7000"/>
                <w:w w:val="95"/>
                <w:szCs w:val="21"/>
                <w:highlight w:val="none"/>
              </w:rPr>
              <w:t>3</w:t>
            </w:r>
            <w:r>
              <w:rPr>
                <w:rFonts w:hAnsi="宋体" w:cs="宋体"/>
                <w:spacing w:val="-1"/>
                <w:w w:val="95"/>
                <w:szCs w:val="21"/>
                <w:highlight w:val="none"/>
              </w:rPr>
              <w:t>年</w:t>
            </w:r>
            <w:r>
              <w:rPr>
                <w:rFonts w:hAnsi="宋体" w:cs="宋体"/>
                <w:spacing w:val="1"/>
                <w:w w:val="95"/>
                <w:szCs w:val="21"/>
                <w:highlight w:val="none"/>
              </w:rPr>
              <w:t>内</w:t>
            </w:r>
            <w:r>
              <w:rPr>
                <w:rFonts w:hAnsi="宋体" w:cs="宋体"/>
                <w:spacing w:val="-1"/>
                <w:w w:val="95"/>
                <w:szCs w:val="21"/>
                <w:highlight w:val="none"/>
              </w:rPr>
              <w:t>存</w:t>
            </w:r>
            <w:r>
              <w:rPr>
                <w:rFonts w:hAnsi="宋体" w:cs="宋体"/>
                <w:spacing w:val="1"/>
                <w:w w:val="95"/>
                <w:szCs w:val="21"/>
                <w:highlight w:val="none"/>
              </w:rPr>
              <w:t>在</w:t>
            </w:r>
            <w:r>
              <w:rPr>
                <w:rFonts w:hAnsi="宋体" w:cs="宋体"/>
                <w:spacing w:val="-1"/>
                <w:w w:val="95"/>
                <w:szCs w:val="21"/>
                <w:highlight w:val="none"/>
              </w:rPr>
              <w:t>恶</w:t>
            </w:r>
            <w:r>
              <w:rPr>
                <w:rFonts w:hAnsi="宋体" w:cs="宋体"/>
                <w:spacing w:val="1"/>
                <w:w w:val="95"/>
                <w:szCs w:val="21"/>
                <w:highlight w:val="none"/>
              </w:rPr>
              <w:t>意</w:t>
            </w:r>
            <w:r>
              <w:rPr>
                <w:rFonts w:hAnsi="宋体" w:cs="宋体"/>
                <w:spacing w:val="-1"/>
                <w:w w:val="95"/>
                <w:szCs w:val="21"/>
                <w:highlight w:val="none"/>
              </w:rPr>
              <w:t>环</w:t>
            </w:r>
            <w:r>
              <w:rPr>
                <w:rFonts w:hAnsi="宋体" w:cs="宋体"/>
                <w:spacing w:val="1"/>
                <w:w w:val="95"/>
                <w:szCs w:val="21"/>
                <w:highlight w:val="none"/>
              </w:rPr>
              <w:t>境</w:t>
            </w:r>
            <w:r>
              <w:rPr>
                <w:rFonts w:hAnsi="宋体" w:cs="宋体"/>
                <w:spacing w:val="-1"/>
                <w:w w:val="95"/>
                <w:szCs w:val="21"/>
                <w:highlight w:val="none"/>
              </w:rPr>
              <w:t>违</w:t>
            </w:r>
            <w:r>
              <w:rPr>
                <w:rFonts w:hAnsi="宋体" w:cs="宋体"/>
                <w:spacing w:val="1"/>
                <w:w w:val="95"/>
                <w:szCs w:val="21"/>
                <w:highlight w:val="none"/>
              </w:rPr>
              <w:t>法</w:t>
            </w:r>
            <w:r>
              <w:rPr>
                <w:rFonts w:hAnsi="宋体" w:cs="宋体"/>
                <w:spacing w:val="-1"/>
                <w:w w:val="95"/>
                <w:szCs w:val="21"/>
                <w:highlight w:val="none"/>
              </w:rPr>
              <w:t>行</w:t>
            </w:r>
            <w:r>
              <w:rPr>
                <w:rFonts w:hAnsi="宋体" w:cs="宋体"/>
                <w:spacing w:val="1"/>
                <w:w w:val="95"/>
                <w:szCs w:val="21"/>
                <w:highlight w:val="none"/>
              </w:rPr>
              <w:t>为</w:t>
            </w:r>
            <w:r>
              <w:rPr>
                <w:rFonts w:hAnsi="宋体" w:cs="宋体"/>
                <w:spacing w:val="-1"/>
                <w:w w:val="95"/>
                <w:szCs w:val="21"/>
                <w:highlight w:val="none"/>
              </w:rPr>
              <w:t>或</w:t>
            </w:r>
            <w:r>
              <w:rPr>
                <w:rFonts w:hAnsi="宋体" w:cs="宋体"/>
                <w:spacing w:val="1"/>
                <w:w w:val="95"/>
                <w:szCs w:val="21"/>
                <w:highlight w:val="none"/>
              </w:rPr>
              <w:t>因</w:t>
            </w:r>
            <w:r>
              <w:rPr>
                <w:rFonts w:hAnsi="宋体" w:cs="宋体"/>
                <w:spacing w:val="-1"/>
                <w:w w:val="95"/>
                <w:szCs w:val="21"/>
                <w:highlight w:val="none"/>
              </w:rPr>
              <w:t>环</w:t>
            </w:r>
            <w:r>
              <w:rPr>
                <w:rFonts w:hAnsi="宋体" w:cs="宋体"/>
                <w:spacing w:val="1"/>
                <w:w w:val="95"/>
                <w:szCs w:val="21"/>
                <w:highlight w:val="none"/>
              </w:rPr>
              <w:t>境</w:t>
            </w:r>
            <w:r>
              <w:rPr>
                <w:rFonts w:hAnsi="宋体" w:cs="宋体"/>
                <w:spacing w:val="-1"/>
                <w:w w:val="95"/>
                <w:szCs w:val="21"/>
                <w:highlight w:val="none"/>
              </w:rPr>
              <w:t>问</w:t>
            </w:r>
            <w:r>
              <w:rPr>
                <w:rFonts w:hAnsi="宋体" w:cs="宋体"/>
                <w:spacing w:val="1"/>
                <w:w w:val="95"/>
                <w:szCs w:val="21"/>
                <w:highlight w:val="none"/>
              </w:rPr>
              <w:t>题</w:t>
            </w:r>
            <w:r>
              <w:rPr>
                <w:rFonts w:hAnsi="宋体" w:cs="宋体"/>
                <w:spacing w:val="-1"/>
                <w:w w:val="95"/>
                <w:szCs w:val="21"/>
                <w:highlight w:val="none"/>
              </w:rPr>
              <w:t>与</w:t>
            </w:r>
            <w:r>
              <w:rPr>
                <w:rFonts w:hAnsi="宋体" w:cs="宋体"/>
                <w:spacing w:val="1"/>
                <w:w w:val="95"/>
                <w:szCs w:val="21"/>
                <w:highlight w:val="none"/>
              </w:rPr>
              <w:t>周</w:t>
            </w:r>
            <w:r>
              <w:rPr>
                <w:rFonts w:hAnsi="宋体" w:cs="宋体"/>
                <w:spacing w:val="-1"/>
                <w:w w:val="95"/>
                <w:szCs w:val="21"/>
                <w:highlight w:val="none"/>
              </w:rPr>
              <w:t>边</w:t>
            </w:r>
            <w:r>
              <w:rPr>
                <w:rFonts w:hAnsi="宋体" w:cs="宋体"/>
                <w:spacing w:val="1"/>
                <w:w w:val="95"/>
                <w:szCs w:val="21"/>
                <w:highlight w:val="none"/>
              </w:rPr>
              <w:t>存</w:t>
            </w:r>
            <w:r>
              <w:rPr>
                <w:rFonts w:hAnsi="宋体" w:cs="宋体"/>
                <w:spacing w:val="-1"/>
                <w:w w:val="95"/>
                <w:szCs w:val="21"/>
                <w:highlight w:val="none"/>
              </w:rPr>
              <w:t>在</w:t>
            </w:r>
            <w:r>
              <w:rPr>
                <w:rFonts w:hAnsi="宋体" w:cs="宋体"/>
                <w:spacing w:val="1"/>
                <w:w w:val="95"/>
                <w:szCs w:val="21"/>
                <w:highlight w:val="none"/>
              </w:rPr>
              <w:t>纠</w:t>
            </w:r>
            <w:r>
              <w:rPr>
                <w:rFonts w:hAnsi="宋体" w:cs="宋体"/>
                <w:w w:val="95"/>
                <w:szCs w:val="21"/>
                <w:highlight w:val="none"/>
              </w:rPr>
              <w:t>纷</w:t>
            </w:r>
          </w:p>
        </w:tc>
        <w:tc>
          <w:tcPr>
            <w:tcW w:w="1276" w:type="dxa"/>
            <w:vAlign w:val="center"/>
          </w:tcPr>
          <w:p>
            <w:pPr>
              <w:pStyle w:val="64"/>
              <w:rPr>
                <w:rFonts w:hAnsi="宋体" w:cs="宋体"/>
                <w:szCs w:val="21"/>
                <w:highlight w:val="none"/>
              </w:rPr>
            </w:pPr>
            <w:r>
              <w:rPr>
                <w:rFonts w:hAnsi="宋体" w:cs="宋体"/>
                <w:szCs w:val="21"/>
                <w:highlight w:val="none"/>
              </w:rPr>
              <w:t>无</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992" w:type="dxa"/>
            <w:gridSpan w:val="5"/>
            <w:vAlign w:val="center"/>
          </w:tcPr>
          <w:p>
            <w:pPr>
              <w:pStyle w:val="64"/>
              <w:jc w:val="left"/>
              <w:rPr>
                <w:rFonts w:hAnsi="宋体" w:cs="宋体"/>
                <w:szCs w:val="21"/>
                <w:highlight w:val="none"/>
              </w:rPr>
            </w:pPr>
            <w:r>
              <w:rPr>
                <w:rFonts w:hAnsi="宋体" w:cs="宋体"/>
                <w:spacing w:val="-1"/>
                <w:szCs w:val="21"/>
                <w:highlight w:val="none"/>
              </w:rPr>
              <w:t>注</w:t>
            </w:r>
            <w:r>
              <w:rPr>
                <w:rFonts w:hAnsi="宋体" w:cs="宋体"/>
                <w:szCs w:val="21"/>
                <w:highlight w:val="none"/>
              </w:rPr>
              <w:t>：</w:t>
            </w:r>
          </w:p>
          <w:p>
            <w:pPr>
              <w:pStyle w:val="64"/>
              <w:jc w:val="left"/>
              <w:rPr>
                <w:rFonts w:hAnsi="宋体" w:cs="宋体"/>
                <w:szCs w:val="21"/>
                <w:highlight w:val="none"/>
              </w:rPr>
            </w:pPr>
            <w:r>
              <w:rPr>
                <w:rFonts w:hAnsi="宋体" w:cs="宋体"/>
                <w:spacing w:val="1"/>
                <w:w w:val="95"/>
                <w:szCs w:val="21"/>
                <w:highlight w:val="none"/>
              </w:rPr>
              <w:t>（</w:t>
            </w:r>
            <w:r>
              <w:rPr>
                <w:rFonts w:hAnsi="宋体" w:cs="hakuyoxingshu7000"/>
                <w:spacing w:val="-2"/>
                <w:w w:val="95"/>
                <w:szCs w:val="21"/>
                <w:highlight w:val="none"/>
              </w:rPr>
              <w:t>1</w:t>
            </w:r>
            <w:r>
              <w:rPr>
                <w:rFonts w:hAnsi="宋体" w:cs="宋体"/>
                <w:w w:val="95"/>
                <w:szCs w:val="21"/>
                <w:highlight w:val="none"/>
              </w:rPr>
              <w:t>）</w:t>
            </w:r>
            <w:r>
              <w:rPr>
                <w:rFonts w:hAnsi="宋体" w:cs="宋体"/>
                <w:spacing w:val="-1"/>
                <w:w w:val="95"/>
                <w:szCs w:val="21"/>
                <w:highlight w:val="none"/>
              </w:rPr>
              <w:t>类</w:t>
            </w:r>
            <w:r>
              <w:rPr>
                <w:rFonts w:hAnsi="宋体" w:cs="宋体"/>
                <w:spacing w:val="1"/>
                <w:w w:val="95"/>
                <w:szCs w:val="21"/>
                <w:highlight w:val="none"/>
              </w:rPr>
              <w:t>型</w:t>
            </w:r>
            <w:r>
              <w:rPr>
                <w:rFonts w:hAnsi="宋体" w:cs="宋体"/>
                <w:spacing w:val="-1"/>
                <w:w w:val="95"/>
                <w:szCs w:val="21"/>
                <w:highlight w:val="none"/>
              </w:rPr>
              <w:t>：</w:t>
            </w:r>
            <w:r>
              <w:rPr>
                <w:rFonts w:hAnsi="宋体" w:cs="宋体"/>
                <w:spacing w:val="1"/>
                <w:w w:val="95"/>
                <w:szCs w:val="21"/>
                <w:highlight w:val="none"/>
              </w:rPr>
              <w:t>指</w:t>
            </w:r>
            <w:r>
              <w:rPr>
                <w:rFonts w:hAnsi="宋体" w:cs="宋体"/>
                <w:spacing w:val="-1"/>
                <w:w w:val="95"/>
                <w:szCs w:val="21"/>
                <w:highlight w:val="none"/>
              </w:rPr>
              <w:t>矿</w:t>
            </w:r>
            <w:r>
              <w:rPr>
                <w:rFonts w:hAnsi="宋体" w:cs="宋体"/>
                <w:spacing w:val="1"/>
                <w:w w:val="95"/>
                <w:szCs w:val="21"/>
                <w:highlight w:val="none"/>
              </w:rPr>
              <w:t>种</w:t>
            </w:r>
            <w:r>
              <w:rPr>
                <w:rFonts w:hAnsi="宋体" w:cs="宋体"/>
                <w:spacing w:val="-1"/>
                <w:w w:val="95"/>
                <w:szCs w:val="21"/>
                <w:highlight w:val="none"/>
              </w:rPr>
              <w:t>类</w:t>
            </w:r>
            <w:r>
              <w:rPr>
                <w:rFonts w:hAnsi="宋体" w:cs="宋体"/>
                <w:spacing w:val="1"/>
                <w:w w:val="95"/>
                <w:szCs w:val="21"/>
                <w:highlight w:val="none"/>
              </w:rPr>
              <w:t>型</w:t>
            </w:r>
            <w:r>
              <w:rPr>
                <w:rFonts w:hAnsi="宋体" w:cs="宋体"/>
                <w:spacing w:val="-1"/>
                <w:w w:val="95"/>
                <w:szCs w:val="21"/>
                <w:highlight w:val="none"/>
              </w:rPr>
              <w:t>（</w:t>
            </w:r>
            <w:r>
              <w:rPr>
                <w:rFonts w:hAnsi="宋体" w:cs="宋体"/>
                <w:spacing w:val="1"/>
                <w:w w:val="95"/>
                <w:szCs w:val="21"/>
                <w:highlight w:val="none"/>
              </w:rPr>
              <w:t>包</w:t>
            </w:r>
            <w:r>
              <w:rPr>
                <w:rFonts w:hAnsi="宋体" w:cs="宋体"/>
                <w:spacing w:val="-1"/>
                <w:w w:val="95"/>
                <w:szCs w:val="21"/>
                <w:highlight w:val="none"/>
              </w:rPr>
              <w:t>括</w:t>
            </w:r>
            <w:r>
              <w:rPr>
                <w:rFonts w:hAnsi="宋体" w:cs="宋体"/>
                <w:spacing w:val="1"/>
                <w:w w:val="95"/>
                <w:szCs w:val="21"/>
                <w:highlight w:val="none"/>
              </w:rPr>
              <w:t>主</w:t>
            </w:r>
            <w:r>
              <w:rPr>
                <w:rFonts w:hAnsi="宋体" w:cs="宋体"/>
                <w:spacing w:val="-1"/>
                <w:w w:val="95"/>
                <w:szCs w:val="21"/>
                <w:highlight w:val="none"/>
              </w:rPr>
              <w:t>矿</w:t>
            </w:r>
            <w:r>
              <w:rPr>
                <w:rFonts w:hAnsi="宋体" w:cs="宋体"/>
                <w:spacing w:val="1"/>
                <w:w w:val="95"/>
                <w:szCs w:val="21"/>
                <w:highlight w:val="none"/>
              </w:rPr>
              <w:t>种</w:t>
            </w:r>
            <w:r>
              <w:rPr>
                <w:rFonts w:hAnsi="宋体" w:cs="宋体"/>
                <w:spacing w:val="-1"/>
                <w:w w:val="95"/>
                <w:szCs w:val="21"/>
                <w:highlight w:val="none"/>
              </w:rPr>
              <w:t>、</w:t>
            </w:r>
            <w:r>
              <w:rPr>
                <w:rFonts w:hAnsi="宋体" w:cs="宋体"/>
                <w:spacing w:val="1"/>
                <w:w w:val="95"/>
                <w:szCs w:val="21"/>
                <w:highlight w:val="none"/>
              </w:rPr>
              <w:t>附</w:t>
            </w:r>
            <w:r>
              <w:rPr>
                <w:rFonts w:hAnsi="宋体" w:cs="宋体"/>
                <w:spacing w:val="-1"/>
                <w:w w:val="95"/>
                <w:szCs w:val="21"/>
                <w:highlight w:val="none"/>
              </w:rPr>
              <w:t>属</w:t>
            </w:r>
            <w:r>
              <w:rPr>
                <w:rFonts w:hAnsi="宋体" w:cs="宋体"/>
                <w:spacing w:val="1"/>
                <w:w w:val="95"/>
                <w:szCs w:val="21"/>
                <w:highlight w:val="none"/>
              </w:rPr>
              <w:t>矿</w:t>
            </w:r>
            <w:r>
              <w:rPr>
                <w:rFonts w:hAnsi="宋体" w:cs="宋体"/>
                <w:spacing w:val="-1"/>
                <w:w w:val="95"/>
                <w:szCs w:val="21"/>
                <w:highlight w:val="none"/>
              </w:rPr>
              <w:t>种</w:t>
            </w:r>
            <w:r>
              <w:rPr>
                <w:rFonts w:hAnsi="宋体" w:cs="宋体"/>
                <w:spacing w:val="1"/>
                <w:w w:val="95"/>
                <w:szCs w:val="21"/>
                <w:highlight w:val="none"/>
              </w:rPr>
              <w:t>）</w:t>
            </w:r>
            <w:r>
              <w:rPr>
                <w:rFonts w:hAnsi="宋体" w:cs="hakuyoxingshu7000"/>
                <w:spacing w:val="-2"/>
                <w:w w:val="95"/>
                <w:szCs w:val="21"/>
                <w:highlight w:val="none"/>
              </w:rPr>
              <w:t>/</w:t>
            </w:r>
            <w:r>
              <w:rPr>
                <w:rFonts w:hAnsi="宋体" w:cs="宋体"/>
                <w:spacing w:val="-1"/>
                <w:w w:val="95"/>
                <w:szCs w:val="21"/>
                <w:highlight w:val="none"/>
              </w:rPr>
              <w:t>固</w:t>
            </w:r>
            <w:r>
              <w:rPr>
                <w:rFonts w:hAnsi="宋体" w:cs="宋体"/>
                <w:spacing w:val="1"/>
                <w:w w:val="95"/>
                <w:szCs w:val="21"/>
                <w:highlight w:val="none"/>
              </w:rPr>
              <w:t>体</w:t>
            </w:r>
            <w:r>
              <w:rPr>
                <w:rFonts w:hAnsi="宋体" w:cs="宋体"/>
                <w:spacing w:val="-1"/>
                <w:w w:val="95"/>
                <w:szCs w:val="21"/>
                <w:highlight w:val="none"/>
              </w:rPr>
              <w:t>废</w:t>
            </w:r>
            <w:r>
              <w:rPr>
                <w:rFonts w:hAnsi="宋体" w:cs="宋体"/>
                <w:spacing w:val="1"/>
                <w:w w:val="95"/>
                <w:szCs w:val="21"/>
                <w:highlight w:val="none"/>
              </w:rPr>
              <w:t>物</w:t>
            </w:r>
            <w:r>
              <w:rPr>
                <w:rFonts w:hAnsi="宋体" w:cs="宋体"/>
                <w:spacing w:val="-1"/>
                <w:w w:val="95"/>
                <w:szCs w:val="21"/>
                <w:highlight w:val="none"/>
              </w:rPr>
              <w:t>类</w:t>
            </w:r>
            <w:r>
              <w:rPr>
                <w:rFonts w:hAnsi="宋体" w:cs="宋体"/>
                <w:spacing w:val="1"/>
                <w:w w:val="95"/>
                <w:szCs w:val="21"/>
                <w:highlight w:val="none"/>
              </w:rPr>
              <w:t>型</w:t>
            </w:r>
            <w:r>
              <w:rPr>
                <w:rFonts w:hAnsi="宋体" w:cs="hakuyoxingshu7000"/>
                <w:spacing w:val="-2"/>
                <w:w w:val="95"/>
                <w:szCs w:val="21"/>
                <w:highlight w:val="none"/>
              </w:rPr>
              <w:t>/</w:t>
            </w:r>
            <w:r>
              <w:rPr>
                <w:rFonts w:hAnsi="宋体" w:cs="宋体"/>
                <w:spacing w:val="-1"/>
                <w:w w:val="95"/>
                <w:szCs w:val="21"/>
                <w:highlight w:val="none"/>
              </w:rPr>
              <w:t>尾</w:t>
            </w:r>
            <w:r>
              <w:rPr>
                <w:rFonts w:hAnsi="宋体" w:cs="宋体"/>
                <w:spacing w:val="1"/>
                <w:w w:val="95"/>
                <w:szCs w:val="21"/>
                <w:highlight w:val="none"/>
              </w:rPr>
              <w:t>矿</w:t>
            </w:r>
            <w:r>
              <w:rPr>
                <w:rFonts w:hAnsi="宋体" w:cs="宋体"/>
                <w:spacing w:val="-1"/>
                <w:w w:val="95"/>
                <w:szCs w:val="21"/>
                <w:highlight w:val="none"/>
              </w:rPr>
              <w:t>（</w:t>
            </w:r>
            <w:r>
              <w:rPr>
                <w:rFonts w:hAnsi="宋体" w:cs="宋体"/>
                <w:spacing w:val="1"/>
                <w:w w:val="95"/>
                <w:szCs w:val="21"/>
                <w:highlight w:val="none"/>
              </w:rPr>
              <w:t>或</w:t>
            </w:r>
            <w:r>
              <w:rPr>
                <w:rFonts w:hAnsi="宋体" w:cs="宋体"/>
                <w:spacing w:val="-1"/>
                <w:w w:val="95"/>
                <w:szCs w:val="21"/>
                <w:highlight w:val="none"/>
              </w:rPr>
              <w:t>尾</w:t>
            </w:r>
            <w:r>
              <w:rPr>
                <w:rFonts w:hAnsi="宋体" w:cs="宋体"/>
                <w:spacing w:val="1"/>
                <w:w w:val="95"/>
                <w:szCs w:val="21"/>
                <w:highlight w:val="none"/>
              </w:rPr>
              <w:t>矿</w:t>
            </w:r>
            <w:r>
              <w:rPr>
                <w:rFonts w:hAnsi="宋体" w:cs="宋体"/>
                <w:spacing w:val="-1"/>
                <w:w w:val="95"/>
                <w:szCs w:val="21"/>
                <w:highlight w:val="none"/>
              </w:rPr>
              <w:t>水</w:t>
            </w:r>
            <w:r>
              <w:rPr>
                <w:rFonts w:hAnsi="宋体" w:cs="宋体"/>
                <w:spacing w:val="1"/>
                <w:w w:val="95"/>
                <w:szCs w:val="21"/>
                <w:highlight w:val="none"/>
              </w:rPr>
              <w:t>）</w:t>
            </w:r>
            <w:r>
              <w:rPr>
                <w:rFonts w:hAnsi="宋体" w:cs="宋体"/>
                <w:spacing w:val="-1"/>
                <w:w w:val="95"/>
                <w:szCs w:val="21"/>
                <w:highlight w:val="none"/>
              </w:rPr>
              <w:t>成</w:t>
            </w:r>
            <w:r>
              <w:rPr>
                <w:rFonts w:hAnsi="宋体" w:cs="宋体"/>
                <w:spacing w:val="1"/>
                <w:w w:val="95"/>
                <w:szCs w:val="21"/>
                <w:highlight w:val="none"/>
              </w:rPr>
              <w:t>分</w:t>
            </w:r>
            <w:r>
              <w:rPr>
                <w:rFonts w:hAnsi="宋体" w:cs="宋体"/>
                <w:spacing w:val="-1"/>
                <w:w w:val="95"/>
                <w:szCs w:val="21"/>
                <w:highlight w:val="none"/>
              </w:rPr>
              <w:t>类</w:t>
            </w:r>
            <w:r>
              <w:rPr>
                <w:rFonts w:hAnsi="宋体" w:cs="宋体"/>
                <w:spacing w:val="1"/>
                <w:w w:val="95"/>
                <w:szCs w:val="21"/>
                <w:highlight w:val="none"/>
              </w:rPr>
              <w:t>型</w:t>
            </w:r>
            <w:r>
              <w:rPr>
                <w:rFonts w:hAnsi="宋体" w:cs="宋体"/>
                <w:spacing w:val="-1"/>
                <w:w w:val="95"/>
                <w:szCs w:val="21"/>
                <w:highlight w:val="none"/>
              </w:rPr>
              <w:t>，</w:t>
            </w:r>
            <w:r>
              <w:rPr>
                <w:rFonts w:hAnsi="宋体" w:cs="宋体"/>
                <w:spacing w:val="1"/>
                <w:w w:val="95"/>
                <w:szCs w:val="21"/>
                <w:highlight w:val="none"/>
              </w:rPr>
              <w:t>以</w:t>
            </w:r>
            <w:r>
              <w:rPr>
                <w:rFonts w:hAnsi="宋体" w:cs="宋体"/>
                <w:spacing w:val="-1"/>
                <w:w w:val="95"/>
                <w:szCs w:val="21"/>
                <w:highlight w:val="none"/>
              </w:rPr>
              <w:t>环</w:t>
            </w:r>
            <w:r>
              <w:rPr>
                <w:rFonts w:hAnsi="宋体" w:cs="宋体"/>
                <w:spacing w:val="1"/>
                <w:w w:val="95"/>
                <w:szCs w:val="21"/>
                <w:highlight w:val="none"/>
              </w:rPr>
              <w:t>境</w:t>
            </w:r>
            <w:r>
              <w:rPr>
                <w:rFonts w:hAnsi="宋体" w:cs="宋体"/>
                <w:spacing w:val="-1"/>
                <w:w w:val="95"/>
                <w:szCs w:val="21"/>
                <w:highlight w:val="none"/>
              </w:rPr>
              <w:t>危</w:t>
            </w:r>
            <w:r>
              <w:rPr>
                <w:rFonts w:hAnsi="宋体" w:cs="宋体"/>
                <w:spacing w:val="1"/>
                <w:w w:val="95"/>
                <w:szCs w:val="21"/>
                <w:highlight w:val="none"/>
              </w:rPr>
              <w:t>害</w:t>
            </w:r>
            <w:r>
              <w:rPr>
                <w:rFonts w:hAnsi="宋体" w:cs="宋体"/>
                <w:spacing w:val="-1"/>
                <w:w w:val="95"/>
                <w:szCs w:val="21"/>
                <w:highlight w:val="none"/>
              </w:rPr>
              <w:t>大</w:t>
            </w:r>
            <w:r>
              <w:rPr>
                <w:rFonts w:hAnsi="宋体" w:cs="宋体"/>
                <w:spacing w:val="1"/>
                <w:w w:val="95"/>
                <w:szCs w:val="21"/>
                <w:highlight w:val="none"/>
              </w:rPr>
              <w:t>的</w:t>
            </w:r>
            <w:r>
              <w:rPr>
                <w:rFonts w:hAnsi="宋体" w:cs="宋体"/>
                <w:spacing w:val="-1"/>
                <w:w w:val="95"/>
                <w:szCs w:val="21"/>
                <w:highlight w:val="none"/>
              </w:rPr>
              <w:t>计</w:t>
            </w:r>
            <w:r>
              <w:rPr>
                <w:rFonts w:hAnsi="宋体" w:cs="宋体"/>
                <w:spacing w:val="1"/>
                <w:w w:val="95"/>
                <w:szCs w:val="21"/>
                <w:highlight w:val="none"/>
              </w:rPr>
              <w:t>算</w:t>
            </w:r>
            <w:r>
              <w:rPr>
                <w:rFonts w:hAnsi="宋体" w:cs="宋体"/>
                <w:w w:val="95"/>
                <w:szCs w:val="21"/>
                <w:highlight w:val="none"/>
              </w:rPr>
              <w:t>。</w:t>
            </w:r>
          </w:p>
          <w:p>
            <w:pPr>
              <w:pStyle w:val="64"/>
              <w:jc w:val="left"/>
              <w:rPr>
                <w:rFonts w:hAnsi="宋体" w:cs="宋体"/>
                <w:szCs w:val="21"/>
                <w:highlight w:val="none"/>
              </w:rPr>
            </w:pPr>
            <w:r>
              <w:rPr>
                <w:rFonts w:hAnsi="宋体" w:cs="宋体"/>
                <w:spacing w:val="1"/>
                <w:w w:val="90"/>
                <w:szCs w:val="21"/>
                <w:highlight w:val="none"/>
              </w:rPr>
              <w:t>（</w:t>
            </w:r>
            <w:r>
              <w:rPr>
                <w:rFonts w:hAnsi="宋体" w:cs="hakuyoxingshu7000"/>
                <w:spacing w:val="-2"/>
                <w:w w:val="90"/>
                <w:szCs w:val="21"/>
                <w:highlight w:val="none"/>
              </w:rPr>
              <w:t>2</w:t>
            </w:r>
            <w:r>
              <w:rPr>
                <w:rFonts w:hAnsi="宋体" w:cs="宋体"/>
                <w:w w:val="90"/>
                <w:szCs w:val="21"/>
                <w:highlight w:val="none"/>
              </w:rPr>
              <w:t>）</w:t>
            </w:r>
            <w:r>
              <w:rPr>
                <w:rFonts w:hAnsi="宋体" w:cs="宋体"/>
                <w:spacing w:val="-1"/>
                <w:w w:val="90"/>
                <w:szCs w:val="21"/>
                <w:highlight w:val="none"/>
              </w:rPr>
              <w:t>表</w:t>
            </w:r>
            <w:r>
              <w:rPr>
                <w:rFonts w:hAnsi="宋体" w:cs="宋体"/>
                <w:spacing w:val="1"/>
                <w:w w:val="90"/>
                <w:szCs w:val="21"/>
                <w:highlight w:val="none"/>
              </w:rPr>
              <w:t>中</w:t>
            </w:r>
            <w:r>
              <w:rPr>
                <w:rFonts w:hAnsi="宋体" w:cs="宋体"/>
                <w:spacing w:val="-1"/>
                <w:w w:val="90"/>
                <w:szCs w:val="21"/>
                <w:highlight w:val="none"/>
              </w:rPr>
              <w:t>复</w:t>
            </w:r>
            <w:r>
              <w:rPr>
                <w:rFonts w:hAnsi="宋体" w:cs="宋体"/>
                <w:spacing w:val="1"/>
                <w:w w:val="90"/>
                <w:szCs w:val="21"/>
                <w:highlight w:val="none"/>
              </w:rPr>
              <w:t>选</w:t>
            </w:r>
            <w:r>
              <w:rPr>
                <w:rFonts w:hAnsi="宋体" w:cs="宋体"/>
                <w:spacing w:val="-1"/>
                <w:w w:val="90"/>
                <w:szCs w:val="21"/>
                <w:highlight w:val="none"/>
              </w:rPr>
              <w:t>框</w:t>
            </w:r>
            <w:r>
              <w:rPr>
                <w:rFonts w:hAnsi="宋体" w:cs="hakuyoxingshu7000"/>
                <w:spacing w:val="2"/>
                <w:w w:val="90"/>
                <w:szCs w:val="21"/>
                <w:highlight w:val="none"/>
              </w:rPr>
              <w:t>“</w:t>
            </w:r>
            <w:r>
              <w:rPr>
                <w:rFonts w:hAnsi="宋体" w:cs="hakuyoxingshu7000"/>
                <w:w w:val="90"/>
                <w:szCs w:val="21"/>
                <w:highlight w:val="none"/>
              </w:rPr>
              <w:t>□</w:t>
            </w:r>
            <w:r>
              <w:rPr>
                <w:rFonts w:hAnsi="宋体" w:cs="hakuyoxingshu7000"/>
                <w:spacing w:val="2"/>
                <w:w w:val="90"/>
                <w:szCs w:val="21"/>
                <w:highlight w:val="none"/>
              </w:rPr>
              <w:t>”</w:t>
            </w:r>
            <w:r>
              <w:rPr>
                <w:rFonts w:hAnsi="宋体" w:cs="宋体"/>
                <w:spacing w:val="-1"/>
                <w:w w:val="90"/>
                <w:szCs w:val="21"/>
                <w:highlight w:val="none"/>
              </w:rPr>
              <w:t>表</w:t>
            </w:r>
            <w:r>
              <w:rPr>
                <w:rFonts w:hAnsi="宋体" w:cs="宋体"/>
                <w:spacing w:val="1"/>
                <w:w w:val="90"/>
                <w:szCs w:val="21"/>
                <w:highlight w:val="none"/>
              </w:rPr>
              <w:t>示</w:t>
            </w:r>
            <w:r>
              <w:rPr>
                <w:rFonts w:hAnsi="宋体" w:cs="宋体"/>
                <w:spacing w:val="-1"/>
                <w:w w:val="90"/>
                <w:szCs w:val="21"/>
                <w:highlight w:val="none"/>
              </w:rPr>
              <w:t>可</w:t>
            </w:r>
            <w:r>
              <w:rPr>
                <w:rFonts w:hAnsi="宋体" w:cs="宋体"/>
                <w:spacing w:val="1"/>
                <w:w w:val="90"/>
                <w:szCs w:val="21"/>
                <w:highlight w:val="none"/>
              </w:rPr>
              <w:t>以</w:t>
            </w:r>
            <w:r>
              <w:rPr>
                <w:rFonts w:hAnsi="宋体" w:cs="宋体"/>
                <w:spacing w:val="-1"/>
                <w:w w:val="90"/>
                <w:szCs w:val="21"/>
                <w:highlight w:val="none"/>
              </w:rPr>
              <w:t>多</w:t>
            </w:r>
            <w:r>
              <w:rPr>
                <w:rFonts w:hAnsi="宋体" w:cs="宋体"/>
                <w:spacing w:val="1"/>
                <w:w w:val="90"/>
                <w:szCs w:val="21"/>
                <w:highlight w:val="none"/>
              </w:rPr>
              <w:t>选</w:t>
            </w:r>
            <w:r>
              <w:rPr>
                <w:rFonts w:hAnsi="宋体" w:cs="宋体"/>
                <w:w w:val="90"/>
                <w:szCs w:val="21"/>
                <w:highlight w:val="none"/>
              </w:rPr>
              <w:t>。</w:t>
            </w:r>
          </w:p>
        </w:tc>
      </w:tr>
    </w:tbl>
    <w:p>
      <w:pPr>
        <w:spacing w:line="274" w:lineRule="exact"/>
        <w:ind w:firstLine="0" w:firstLineChars="0"/>
        <w:jc w:val="left"/>
        <w:rPr>
          <w:rFonts w:ascii="宋体" w:hAnsi="宋体" w:cs="宋体"/>
          <w:kern w:val="0"/>
          <w:sz w:val="21"/>
          <w:szCs w:val="21"/>
          <w:highlight w:val="none"/>
        </w:rPr>
        <w:sectPr>
          <w:pgSz w:w="16838" w:h="11920" w:orient="landscape"/>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2"/>
        <w:ind w:firstLine="480"/>
        <w:rPr>
          <w:rFonts w:hAnsi="宋体"/>
          <w:highlight w:val="none"/>
        </w:rPr>
      </w:pPr>
      <w:r>
        <w:rPr>
          <w:rFonts w:hAnsi="宋体"/>
          <w:highlight w:val="none"/>
        </w:rPr>
        <w:t>根据环境风险预判表，本项目固体废物类型为I类一般工业固废，评价范围内不涉及判据中各类敏感目标，项目不属于危库、险库、病库及地质灾害</w:t>
      </w:r>
      <w:r>
        <w:rPr>
          <w:rFonts w:hint="eastAsia" w:hAnsi="宋体"/>
          <w:highlight w:val="none"/>
        </w:rPr>
        <w:t>易发</w:t>
      </w:r>
      <w:r>
        <w:rPr>
          <w:rFonts w:hAnsi="宋体"/>
          <w:highlight w:val="none"/>
        </w:rPr>
        <w:t>灾区等，近三年内未发生过环境违法事件及安全生产事故等。</w:t>
      </w:r>
    </w:p>
    <w:p>
      <w:pPr>
        <w:pStyle w:val="62"/>
        <w:ind w:firstLine="480"/>
        <w:rPr>
          <w:rFonts w:hAnsi="宋体"/>
          <w:highlight w:val="none"/>
        </w:rPr>
      </w:pPr>
      <w:r>
        <w:rPr>
          <w:rFonts w:hAnsi="宋体"/>
          <w:highlight w:val="none"/>
        </w:rPr>
        <w:t>综上所述，本项目尾矿库不属于重点环境监管干尾矿库。</w:t>
      </w:r>
    </w:p>
    <w:p>
      <w:pPr>
        <w:keepNext/>
        <w:keepLines/>
        <w:ind w:firstLine="480"/>
        <w:outlineLvl w:val="3"/>
        <w:rPr>
          <w:rFonts w:ascii="宋体" w:hAnsi="宋体"/>
          <w:bCs/>
          <w:szCs w:val="28"/>
          <w:highlight w:val="none"/>
        </w:rPr>
      </w:pPr>
      <w:r>
        <w:rPr>
          <w:rFonts w:ascii="宋体" w:hAnsi="宋体"/>
          <w:bCs/>
          <w:szCs w:val="28"/>
          <w:highlight w:val="none"/>
        </w:rPr>
        <w:t>5.7.5.3风险等级划分</w:t>
      </w:r>
    </w:p>
    <w:p>
      <w:pPr>
        <w:pStyle w:val="62"/>
        <w:ind w:firstLine="480"/>
        <w:rPr>
          <w:rFonts w:hAnsi="宋体"/>
          <w:highlight w:val="none"/>
        </w:rPr>
      </w:pPr>
      <w:r>
        <w:rPr>
          <w:rFonts w:hAnsi="宋体"/>
          <w:highlight w:val="none"/>
        </w:rPr>
        <w:t>根据《尾矿库环境风险评估技术导则》（HJ740-2015），本项目从尾矿库的环境危害性（H）、周边环境敏感性（S）、控制机制可靠性（R）三方面对尾矿库环境风险等级进行划分。</w:t>
      </w:r>
    </w:p>
    <w:p>
      <w:pPr>
        <w:pStyle w:val="62"/>
        <w:ind w:firstLine="480"/>
        <w:rPr>
          <w:rFonts w:hAnsi="宋体"/>
          <w:highlight w:val="none"/>
        </w:rPr>
      </w:pPr>
      <w:r>
        <w:rPr>
          <w:rFonts w:hint="eastAsia" w:hAnsi="宋体"/>
          <w:highlight w:val="none"/>
        </w:rPr>
        <w:t>1、</w:t>
      </w:r>
      <w:r>
        <w:rPr>
          <w:rFonts w:hAnsi="宋体"/>
          <w:highlight w:val="none"/>
        </w:rPr>
        <w:t>环境危害性</w:t>
      </w:r>
    </w:p>
    <w:p>
      <w:pPr>
        <w:pStyle w:val="62"/>
        <w:ind w:firstLine="480"/>
        <w:rPr>
          <w:rFonts w:hAnsi="宋体"/>
          <w:highlight w:val="none"/>
        </w:rPr>
      </w:pPr>
      <w:r>
        <w:rPr>
          <w:rFonts w:hAnsi="宋体"/>
          <w:highlight w:val="none"/>
        </w:rPr>
        <w:t>本项目采用评分方法，对类型、性质和规模三方面指标进行评分与累加求和，评估尾矿库环境危害性（H）。</w:t>
      </w:r>
    </w:p>
    <w:p>
      <w:pPr>
        <w:pStyle w:val="62"/>
        <w:ind w:firstLine="480"/>
        <w:rPr>
          <w:rFonts w:hAnsi="宋体"/>
          <w:highlight w:val="none"/>
        </w:rPr>
      </w:pPr>
      <w:r>
        <w:rPr>
          <w:rFonts w:hAnsi="宋体"/>
          <w:highlight w:val="none"/>
        </w:rPr>
        <w:t>尾矿库环境危害性评分表见表5</w:t>
      </w:r>
      <w:r>
        <w:rPr>
          <w:rFonts w:hint="eastAsia" w:hAnsi="宋体"/>
          <w:highlight w:val="none"/>
        </w:rPr>
        <w:t>.7</w:t>
      </w:r>
      <w:r>
        <w:rPr>
          <w:rFonts w:hAnsi="宋体"/>
          <w:highlight w:val="none"/>
        </w:rPr>
        <w:t>-</w:t>
      </w:r>
      <w:r>
        <w:rPr>
          <w:rFonts w:hint="eastAsia" w:hAnsi="宋体"/>
          <w:highlight w:val="none"/>
        </w:rPr>
        <w:t>3</w:t>
      </w:r>
      <w:r>
        <w:rPr>
          <w:rFonts w:hAnsi="宋体"/>
          <w:highlight w:val="none"/>
        </w:rPr>
        <w:t>。</w:t>
      </w:r>
    </w:p>
    <w:p>
      <w:pPr>
        <w:pStyle w:val="62"/>
        <w:ind w:firstLine="360"/>
        <w:rPr>
          <w:rFonts w:hAnsi="宋体" w:cs="宋体"/>
          <w:kern w:val="0"/>
          <w:sz w:val="18"/>
          <w:szCs w:val="18"/>
          <w:highlight w:val="none"/>
        </w:rPr>
      </w:pPr>
    </w:p>
    <w:p>
      <w:pPr>
        <w:spacing w:line="240" w:lineRule="auto"/>
        <w:ind w:firstLine="0" w:firstLineChars="0"/>
        <w:jc w:val="center"/>
        <w:rPr>
          <w:rFonts w:ascii="宋体" w:hAnsi="宋体" w:cs="宋体"/>
          <w:kern w:val="0"/>
          <w:sz w:val="18"/>
          <w:szCs w:val="18"/>
          <w:highlight w:val="none"/>
        </w:rPr>
        <w:sectPr>
          <w:pgSz w:w="11906" w:h="16840"/>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spacing w:line="340" w:lineRule="exact"/>
        <w:ind w:left="489" w:firstLine="0" w:firstLineChars="0"/>
        <w:jc w:val="center"/>
        <w:rPr>
          <w:rFonts w:ascii="宋体" w:hAnsi="宋体"/>
          <w:kern w:val="0"/>
          <w:highlight w:val="none"/>
        </w:rPr>
      </w:pPr>
      <w:r>
        <w:rPr>
          <w:rFonts w:ascii="宋体" w:hAnsi="宋体"/>
          <w:kern w:val="0"/>
          <w:highlight w:val="none"/>
        </w:rPr>
        <w:t>表</w:t>
      </w:r>
      <w:r>
        <w:rPr>
          <w:rFonts w:ascii="宋体" w:hAnsi="宋体"/>
          <w:spacing w:val="2"/>
          <w:kern w:val="0"/>
          <w:highlight w:val="none"/>
        </w:rPr>
        <w:t>5</w:t>
      </w:r>
      <w:r>
        <w:rPr>
          <w:rFonts w:hint="eastAsia" w:ascii="宋体" w:hAnsi="宋体"/>
          <w:spacing w:val="2"/>
          <w:kern w:val="0"/>
          <w:highlight w:val="none"/>
        </w:rPr>
        <w:t>.7</w:t>
      </w:r>
      <w:r>
        <w:rPr>
          <w:rFonts w:ascii="宋体" w:hAnsi="宋体"/>
          <w:kern w:val="0"/>
          <w:highlight w:val="none"/>
        </w:rPr>
        <w:t>-</w:t>
      </w:r>
      <w:r>
        <w:rPr>
          <w:rFonts w:hint="eastAsia" w:ascii="宋体" w:hAnsi="宋体"/>
          <w:kern w:val="0"/>
          <w:highlight w:val="none"/>
        </w:rPr>
        <w:t xml:space="preserve">3  </w:t>
      </w:r>
      <w:r>
        <w:rPr>
          <w:rFonts w:ascii="宋体" w:hAnsi="宋体"/>
          <w:kern w:val="0"/>
          <w:highlight w:val="none"/>
        </w:rPr>
        <w:t>环</w:t>
      </w:r>
      <w:r>
        <w:rPr>
          <w:rFonts w:ascii="宋体" w:hAnsi="宋体"/>
          <w:spacing w:val="2"/>
          <w:kern w:val="0"/>
          <w:highlight w:val="none"/>
        </w:rPr>
        <w:t>境</w:t>
      </w:r>
      <w:r>
        <w:rPr>
          <w:rFonts w:ascii="宋体" w:hAnsi="宋体"/>
          <w:kern w:val="0"/>
          <w:highlight w:val="none"/>
        </w:rPr>
        <w:t>危</w:t>
      </w:r>
      <w:r>
        <w:rPr>
          <w:rFonts w:ascii="宋体" w:hAnsi="宋体"/>
          <w:spacing w:val="2"/>
          <w:kern w:val="0"/>
          <w:highlight w:val="none"/>
        </w:rPr>
        <w:t>害</w:t>
      </w:r>
      <w:r>
        <w:rPr>
          <w:rFonts w:ascii="宋体" w:hAnsi="宋体"/>
          <w:kern w:val="0"/>
          <w:highlight w:val="none"/>
        </w:rPr>
        <w:t>性评</w:t>
      </w:r>
      <w:r>
        <w:rPr>
          <w:rFonts w:ascii="宋体" w:hAnsi="宋体"/>
          <w:spacing w:val="2"/>
          <w:kern w:val="0"/>
          <w:highlight w:val="none"/>
        </w:rPr>
        <w:t>分</w:t>
      </w:r>
      <w:r>
        <w:rPr>
          <w:rFonts w:ascii="宋体" w:hAnsi="宋体"/>
          <w:kern w:val="0"/>
          <w:highlight w:val="none"/>
        </w:rPr>
        <w:t>表</w:t>
      </w:r>
    </w:p>
    <w:p>
      <w:pPr>
        <w:spacing w:before="6" w:line="30" w:lineRule="exact"/>
        <w:ind w:firstLine="0" w:firstLineChars="0"/>
        <w:jc w:val="left"/>
        <w:rPr>
          <w:rFonts w:ascii="宋体" w:hAnsi="宋体"/>
          <w:kern w:val="0"/>
          <w:sz w:val="4"/>
          <w:szCs w:val="4"/>
          <w:highlight w:val="none"/>
        </w:rPr>
      </w:pPr>
    </w:p>
    <w:tbl>
      <w:tblPr>
        <w:tblStyle w:val="44"/>
        <w:tblW w:w="1399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95"/>
        <w:gridCol w:w="828"/>
        <w:gridCol w:w="834"/>
        <w:gridCol w:w="1178"/>
        <w:gridCol w:w="7396"/>
        <w:gridCol w:w="761"/>
        <w:gridCol w:w="1055"/>
        <w:gridCol w:w="124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535" w:type="dxa"/>
            <w:gridSpan w:val="4"/>
            <w:vAlign w:val="center"/>
          </w:tcPr>
          <w:p>
            <w:pPr>
              <w:pStyle w:val="64"/>
              <w:rPr>
                <w:rFonts w:hAnsi="宋体"/>
                <w:szCs w:val="21"/>
                <w:highlight w:val="none"/>
              </w:rPr>
            </w:pPr>
            <w:r>
              <w:rPr>
                <w:rFonts w:hAnsi="宋体"/>
                <w:szCs w:val="21"/>
                <w:highlight w:val="none"/>
              </w:rPr>
              <w:t>指标因子</w:t>
            </w:r>
          </w:p>
        </w:tc>
        <w:tc>
          <w:tcPr>
            <w:tcW w:w="7396" w:type="dxa"/>
            <w:vAlign w:val="center"/>
          </w:tcPr>
          <w:p>
            <w:pPr>
              <w:pStyle w:val="64"/>
              <w:rPr>
                <w:rFonts w:hAnsi="宋体"/>
                <w:szCs w:val="21"/>
                <w:highlight w:val="none"/>
              </w:rPr>
            </w:pPr>
            <w:r>
              <w:rPr>
                <w:rFonts w:hAnsi="宋体"/>
                <w:szCs w:val="21"/>
                <w:highlight w:val="none"/>
              </w:rPr>
              <w:t>评分依据</w:t>
            </w:r>
          </w:p>
        </w:tc>
        <w:tc>
          <w:tcPr>
            <w:tcW w:w="761" w:type="dxa"/>
            <w:vAlign w:val="center"/>
          </w:tcPr>
          <w:p>
            <w:pPr>
              <w:pStyle w:val="64"/>
              <w:rPr>
                <w:rFonts w:hAnsi="宋体"/>
                <w:szCs w:val="21"/>
                <w:highlight w:val="none"/>
              </w:rPr>
            </w:pPr>
            <w:r>
              <w:rPr>
                <w:rFonts w:hAnsi="宋体"/>
                <w:szCs w:val="21"/>
                <w:highlight w:val="none"/>
              </w:rPr>
              <w:t>评分</w:t>
            </w:r>
          </w:p>
        </w:tc>
        <w:tc>
          <w:tcPr>
            <w:tcW w:w="1055" w:type="dxa"/>
            <w:vAlign w:val="center"/>
          </w:tcPr>
          <w:p>
            <w:pPr>
              <w:pStyle w:val="64"/>
              <w:rPr>
                <w:rFonts w:hAnsi="宋体"/>
                <w:szCs w:val="21"/>
                <w:highlight w:val="none"/>
              </w:rPr>
            </w:pPr>
            <w:r>
              <w:rPr>
                <w:rFonts w:hAnsi="宋体"/>
                <w:szCs w:val="21"/>
                <w:highlight w:val="none"/>
              </w:rPr>
              <w:t>自评分</w:t>
            </w:r>
          </w:p>
        </w:tc>
        <w:tc>
          <w:tcPr>
            <w:tcW w:w="1245" w:type="dxa"/>
            <w:vAlign w:val="center"/>
          </w:tcPr>
          <w:p>
            <w:pPr>
              <w:pStyle w:val="64"/>
              <w:rPr>
                <w:rFonts w:hAnsi="宋体"/>
                <w:szCs w:val="21"/>
                <w:highlight w:val="none"/>
              </w:rPr>
            </w:pPr>
            <w:r>
              <w:rPr>
                <w:rFonts w:hAnsi="宋体"/>
                <w:szCs w:val="21"/>
                <w:highlight w:val="none"/>
              </w:rPr>
              <w:t>相关说明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535" w:type="dxa"/>
            <w:gridSpan w:val="4"/>
            <w:vMerge w:val="restart"/>
            <w:vAlign w:val="center"/>
          </w:tcPr>
          <w:p>
            <w:pPr>
              <w:pStyle w:val="64"/>
              <w:rPr>
                <w:rFonts w:hAnsi="宋体"/>
                <w:szCs w:val="21"/>
                <w:highlight w:val="none"/>
              </w:rPr>
            </w:pPr>
            <w:r>
              <w:rPr>
                <w:rFonts w:hAnsi="宋体"/>
                <w:szCs w:val="21"/>
                <w:highlight w:val="none"/>
              </w:rPr>
              <w:t>类型</w:t>
            </w:r>
          </w:p>
          <w:p>
            <w:pPr>
              <w:pStyle w:val="64"/>
              <w:rPr>
                <w:rFonts w:hAnsi="宋体"/>
                <w:szCs w:val="21"/>
                <w:highlight w:val="none"/>
              </w:rPr>
            </w:pPr>
            <w:r>
              <w:rPr>
                <w:rFonts w:hAnsi="宋体"/>
                <w:szCs w:val="21"/>
                <w:highlight w:val="none"/>
              </w:rPr>
              <w:t>（</w:t>
            </w:r>
            <w:r>
              <w:rPr>
                <w:rFonts w:hAnsi="宋体"/>
                <w:spacing w:val="1"/>
                <w:szCs w:val="21"/>
                <w:highlight w:val="none"/>
              </w:rPr>
              <w:t>4</w:t>
            </w:r>
            <w:r>
              <w:rPr>
                <w:rFonts w:hAnsi="宋体"/>
                <w:szCs w:val="21"/>
                <w:highlight w:val="none"/>
              </w:rPr>
              <w:t>8分）</w:t>
            </w:r>
          </w:p>
        </w:tc>
        <w:tc>
          <w:tcPr>
            <w:tcW w:w="7396" w:type="dxa"/>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.□相关的生产过程中使用了列入《重点环境管理危险化学品目录》的危险化学品。</w:t>
            </w:r>
          </w:p>
          <w:p>
            <w:pPr>
              <w:pStyle w:val="64"/>
              <w:jc w:val="left"/>
              <w:rPr>
                <w:rFonts w:hAnsi="宋体"/>
                <w:szCs w:val="21"/>
                <w:highlight w:val="none"/>
              </w:rPr>
            </w:pPr>
            <w:r>
              <w:rPr>
                <w:rFonts w:hAnsi="宋体"/>
                <w:spacing w:val="1"/>
                <w:szCs w:val="21"/>
                <w:highlight w:val="none"/>
              </w:rPr>
              <w:t>2</w:t>
            </w:r>
            <w:r>
              <w:rPr>
                <w:rFonts w:hAnsi="宋体"/>
                <w:szCs w:val="21"/>
                <w:highlight w:val="none"/>
              </w:rPr>
              <w:t>.□危险废物。</w:t>
            </w:r>
          </w:p>
          <w:p>
            <w:pPr>
              <w:pStyle w:val="64"/>
              <w:jc w:val="left"/>
              <w:rPr>
                <w:rFonts w:hAnsi="宋体"/>
                <w:szCs w:val="21"/>
                <w:highlight w:val="none"/>
              </w:rPr>
            </w:pPr>
            <w:r>
              <w:rPr>
                <w:rFonts w:hAnsi="宋体"/>
                <w:spacing w:val="1"/>
                <w:szCs w:val="21"/>
                <w:highlight w:val="none"/>
              </w:rPr>
              <w:t>3</w:t>
            </w:r>
            <w:r>
              <w:rPr>
                <w:rFonts w:hAnsi="宋体"/>
                <w:szCs w:val="21"/>
                <w:highlight w:val="none"/>
              </w:rPr>
              <w:t>.□重金属矿种：铜、镍、铅、锌、锡、锑、钴、汞、镉、铋、砷、铊、钒、铬、锰、钼。</w:t>
            </w:r>
          </w:p>
          <w:p>
            <w:pPr>
              <w:pStyle w:val="64"/>
              <w:jc w:val="left"/>
              <w:rPr>
                <w:rFonts w:hAnsi="宋体"/>
                <w:szCs w:val="21"/>
                <w:highlight w:val="none"/>
              </w:rPr>
            </w:pPr>
            <w:r>
              <w:rPr>
                <w:rFonts w:hAnsi="宋体"/>
                <w:spacing w:val="1"/>
                <w:szCs w:val="21"/>
                <w:highlight w:val="none"/>
              </w:rPr>
              <w:t>4</w:t>
            </w:r>
            <w:r>
              <w:rPr>
                <w:rFonts w:hAnsi="宋体"/>
                <w:szCs w:val="21"/>
                <w:highlight w:val="none"/>
              </w:rPr>
              <w:t>.□贵金属矿种（采用氰化物采选工艺）：金、银、铂族（铂、钯、铱、铑、锇、钌）。</w:t>
            </w:r>
          </w:p>
          <w:p>
            <w:pPr>
              <w:pStyle w:val="64"/>
              <w:jc w:val="left"/>
              <w:rPr>
                <w:rFonts w:hAnsi="宋体"/>
                <w:szCs w:val="21"/>
                <w:highlight w:val="none"/>
              </w:rPr>
            </w:pPr>
            <w:r>
              <w:rPr>
                <w:rFonts w:hAnsi="宋体"/>
                <w:spacing w:val="1"/>
                <w:szCs w:val="21"/>
                <w:highlight w:val="none"/>
              </w:rPr>
              <w:t>5</w:t>
            </w:r>
            <w:r>
              <w:rPr>
                <w:rFonts w:hAnsi="宋体"/>
                <w:szCs w:val="21"/>
                <w:highlight w:val="none"/>
              </w:rPr>
              <w:t>.□有色金属矿种：钨。</w:t>
            </w:r>
          </w:p>
        </w:tc>
        <w:tc>
          <w:tcPr>
            <w:tcW w:w="761" w:type="dxa"/>
            <w:vAlign w:val="center"/>
          </w:tcPr>
          <w:p>
            <w:pPr>
              <w:pStyle w:val="64"/>
              <w:rPr>
                <w:rFonts w:hAnsi="宋体"/>
                <w:szCs w:val="21"/>
                <w:highlight w:val="none"/>
              </w:rPr>
            </w:pPr>
            <w:r>
              <w:rPr>
                <w:rFonts w:hAnsi="宋体"/>
                <w:spacing w:val="1"/>
                <w:szCs w:val="21"/>
                <w:highlight w:val="none"/>
              </w:rPr>
              <w:t>4</w:t>
            </w:r>
            <w:r>
              <w:rPr>
                <w:rFonts w:hAnsi="宋体"/>
                <w:szCs w:val="21"/>
                <w:highlight w:val="none"/>
              </w:rPr>
              <w:t>8</w:t>
            </w:r>
          </w:p>
        </w:tc>
        <w:tc>
          <w:tcPr>
            <w:tcW w:w="1055" w:type="dxa"/>
            <w:vMerge w:val="restart"/>
            <w:vAlign w:val="center"/>
          </w:tcPr>
          <w:p>
            <w:pPr>
              <w:pStyle w:val="64"/>
              <w:rPr>
                <w:rFonts w:hAnsi="宋体"/>
                <w:szCs w:val="21"/>
                <w:highlight w:val="none"/>
              </w:rPr>
            </w:pPr>
            <w:r>
              <w:rPr>
                <w:rFonts w:hAnsi="宋体"/>
                <w:szCs w:val="21"/>
                <w:highlight w:val="none"/>
              </w:rPr>
              <w:t>0</w:t>
            </w:r>
          </w:p>
        </w:tc>
        <w:tc>
          <w:tcPr>
            <w:tcW w:w="1245" w:type="dxa"/>
            <w:vMerge w:val="restart"/>
            <w:vAlign w:val="center"/>
          </w:tcPr>
          <w:p>
            <w:pPr>
              <w:pStyle w:val="64"/>
              <w:rPr>
                <w:rFonts w:hAnsi="宋体"/>
                <w:szCs w:val="21"/>
                <w:highlight w:val="none"/>
              </w:rPr>
            </w:pPr>
            <w:r>
              <w:rPr>
                <w:rFonts w:hAnsi="宋体"/>
                <w:spacing w:val="-2"/>
                <w:szCs w:val="21"/>
                <w:highlight w:val="none"/>
              </w:rPr>
              <w:t>I</w:t>
            </w:r>
            <w:r>
              <w:rPr>
                <w:rFonts w:hAnsi="宋体"/>
                <w:szCs w:val="21"/>
                <w:highlight w:val="none"/>
              </w:rPr>
              <w:t>类一般工业固废</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535" w:type="dxa"/>
            <w:gridSpan w:val="4"/>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6</w:t>
            </w:r>
            <w:r>
              <w:rPr>
                <w:rFonts w:hAnsi="宋体"/>
                <w:szCs w:val="21"/>
                <w:highlight w:val="none"/>
              </w:rPr>
              <w:t>.□一般工业固体废物（</w:t>
            </w:r>
            <w:r>
              <w:rPr>
                <w:rFonts w:hAnsi="宋体"/>
                <w:spacing w:val="1"/>
                <w:szCs w:val="21"/>
                <w:highlight w:val="none"/>
              </w:rPr>
              <w:t>I</w:t>
            </w:r>
            <w:r>
              <w:rPr>
                <w:rFonts w:hAnsi="宋体"/>
                <w:szCs w:val="21"/>
                <w:highlight w:val="none"/>
              </w:rPr>
              <w:t>I类）。</w:t>
            </w:r>
          </w:p>
          <w:p>
            <w:pPr>
              <w:pStyle w:val="64"/>
              <w:jc w:val="left"/>
              <w:rPr>
                <w:rFonts w:hAnsi="宋体"/>
                <w:szCs w:val="21"/>
                <w:highlight w:val="none"/>
              </w:rPr>
            </w:pPr>
            <w:r>
              <w:rPr>
                <w:rFonts w:hAnsi="宋体"/>
                <w:spacing w:val="1"/>
                <w:szCs w:val="21"/>
                <w:highlight w:val="none"/>
              </w:rPr>
              <w:t>7</w:t>
            </w:r>
            <w:r>
              <w:rPr>
                <w:rFonts w:hAnsi="宋体"/>
                <w:szCs w:val="21"/>
                <w:highlight w:val="none"/>
              </w:rPr>
              <w:t>.□贵金属矿种（采用无氰化物采选工艺）：金、银、铂族（铂、钯、铱、铑、锇、钌）。</w:t>
            </w:r>
          </w:p>
          <w:p>
            <w:pPr>
              <w:pStyle w:val="64"/>
              <w:jc w:val="left"/>
              <w:rPr>
                <w:rFonts w:hAnsi="宋体"/>
                <w:szCs w:val="21"/>
                <w:highlight w:val="none"/>
              </w:rPr>
            </w:pPr>
            <w:r>
              <w:rPr>
                <w:rFonts w:hAnsi="宋体"/>
                <w:spacing w:val="1"/>
                <w:szCs w:val="21"/>
                <w:highlight w:val="none"/>
              </w:rPr>
              <w:t>8</w:t>
            </w:r>
            <w:r>
              <w:rPr>
                <w:rFonts w:hAnsi="宋体"/>
                <w:szCs w:val="21"/>
                <w:highlight w:val="none"/>
              </w:rPr>
              <w:t>.□轻有色金属矿种：铝（铝土）、镁、锶、钡。</w:t>
            </w:r>
          </w:p>
          <w:p>
            <w:pPr>
              <w:pStyle w:val="64"/>
              <w:jc w:val="left"/>
              <w:rPr>
                <w:rFonts w:hAnsi="宋体"/>
                <w:szCs w:val="21"/>
                <w:highlight w:val="none"/>
              </w:rPr>
            </w:pPr>
            <w:r>
              <w:rPr>
                <w:rFonts w:hAnsi="宋体"/>
                <w:spacing w:val="1"/>
                <w:szCs w:val="21"/>
                <w:highlight w:val="none"/>
              </w:rPr>
              <w:t>9</w:t>
            </w:r>
            <w:r>
              <w:rPr>
                <w:rFonts w:hAnsi="宋体"/>
                <w:szCs w:val="21"/>
                <w:highlight w:val="none"/>
              </w:rPr>
              <w:t>.□稀土元素的矿种：钇、镧、铈、镨、钕、钷、钐、铕、钆、铽、镝、钬、铒、铥、镱、镥。</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0.</w:t>
            </w:r>
            <w:r>
              <w:rPr>
                <w:rFonts w:hAnsi="宋体"/>
                <w:szCs w:val="21"/>
                <w:highlight w:val="none"/>
              </w:rPr>
              <w:t>□稀有金属矿种：铌、钽、铍、锆、锶、铷、锂、铯。</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1.</w:t>
            </w:r>
            <w:r>
              <w:rPr>
                <w:rFonts w:hAnsi="宋体"/>
                <w:szCs w:val="21"/>
                <w:highlight w:val="none"/>
              </w:rPr>
              <w:t>□稀散元素矿种：锗、镓、铟、铪、铼、钪、硒、碲。</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2.</w:t>
            </w:r>
            <w:r>
              <w:rPr>
                <w:rFonts w:hAnsi="宋体"/>
                <w:szCs w:val="21"/>
                <w:highlight w:val="none"/>
              </w:rPr>
              <w:t>□有色金属矿种：钛。</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3.</w:t>
            </w:r>
            <w:r>
              <w:rPr>
                <w:rFonts w:hAnsi="宋体"/>
                <w:szCs w:val="21"/>
                <w:highlight w:val="none"/>
              </w:rPr>
              <w:t>□非金属矿种：化工原料或化学矿。</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4.</w:t>
            </w:r>
            <w:r>
              <w:rPr>
                <w:rFonts w:hAnsi="宋体"/>
                <w:szCs w:val="21"/>
                <w:highlight w:val="none"/>
              </w:rPr>
              <w:t>□涉及硫（包括主矿、共生矿）、磷（包括主矿、共生矿）。</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5.</w:t>
            </w:r>
            <w:r>
              <w:rPr>
                <w:rFonts w:hAnsi="宋体"/>
                <w:szCs w:val="21"/>
                <w:highlight w:val="none"/>
              </w:rPr>
              <w:t>□涉及酸性岩矿种或产生酸性废液的矿种。</w:t>
            </w:r>
          </w:p>
        </w:tc>
        <w:tc>
          <w:tcPr>
            <w:tcW w:w="761" w:type="dxa"/>
            <w:vAlign w:val="center"/>
          </w:tcPr>
          <w:p>
            <w:pPr>
              <w:pStyle w:val="64"/>
              <w:rPr>
                <w:rFonts w:hAnsi="宋体"/>
                <w:szCs w:val="21"/>
                <w:highlight w:val="none"/>
              </w:rPr>
            </w:pPr>
            <w:r>
              <w:rPr>
                <w:rFonts w:hAnsi="宋体"/>
                <w:spacing w:val="1"/>
                <w:szCs w:val="21"/>
                <w:highlight w:val="none"/>
              </w:rPr>
              <w:t>2</w:t>
            </w:r>
            <w:r>
              <w:rPr>
                <w:rFonts w:hAnsi="宋体"/>
                <w:szCs w:val="21"/>
                <w:highlight w:val="none"/>
              </w:rPr>
              <w:t>4</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3535" w:type="dxa"/>
            <w:gridSpan w:val="4"/>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6</w:t>
            </w:r>
            <w:r>
              <w:rPr>
                <w:rFonts w:hAnsi="宋体"/>
                <w:szCs w:val="21"/>
                <w:highlight w:val="none"/>
              </w:rPr>
              <w:t>.</w:t>
            </w:r>
            <w:r>
              <w:rPr>
                <w:rFonts w:hint="eastAsia" w:ascii="MS Mincho" w:hAnsi="MS Mincho" w:eastAsia="MS Mincho" w:cs="MS Mincho"/>
                <w:szCs w:val="21"/>
                <w:highlight w:val="none"/>
              </w:rPr>
              <w:t>☑</w:t>
            </w:r>
            <w:r>
              <w:rPr>
                <w:rFonts w:hAnsi="宋体"/>
                <w:szCs w:val="21"/>
                <w:highlight w:val="none"/>
              </w:rPr>
              <w:t>一般工业固体废物（I类）。</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7.</w:t>
            </w:r>
            <w:r>
              <w:rPr>
                <w:rFonts w:hAnsi="宋体"/>
                <w:szCs w:val="21"/>
                <w:highlight w:val="none"/>
              </w:rPr>
              <w:t>□黑色金属矿种：铁。</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8.</w:t>
            </w:r>
            <w:r>
              <w:rPr>
                <w:rFonts w:hAnsi="宋体"/>
                <w:szCs w:val="21"/>
                <w:highlight w:val="none"/>
              </w:rPr>
              <w:t>□轻有色金属矿种：钠、钾、钙。</w:t>
            </w:r>
          </w:p>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9.</w:t>
            </w:r>
            <w:r>
              <w:rPr>
                <w:rFonts w:hAnsi="宋体"/>
                <w:szCs w:val="21"/>
                <w:highlight w:val="none"/>
              </w:rPr>
              <w:t>□非金属矿种：冶金辅助原料矿。</w:t>
            </w:r>
          </w:p>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0.</w:t>
            </w:r>
            <w:r>
              <w:rPr>
                <w:rFonts w:hAnsi="宋体"/>
                <w:szCs w:val="21"/>
                <w:highlight w:val="none"/>
              </w:rPr>
              <w:t>□非金属矿种：建材原料矿。</w:t>
            </w:r>
          </w:p>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1</w:t>
            </w:r>
            <w:r>
              <w:rPr>
                <w:rFonts w:hAnsi="宋体"/>
                <w:szCs w:val="21"/>
                <w:highlight w:val="none"/>
              </w:rPr>
              <w:t>.□非金属矿种：粘土、轻质材料、耐火材料非金属矿。</w:t>
            </w:r>
          </w:p>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2</w:t>
            </w:r>
            <w:r>
              <w:rPr>
                <w:rFonts w:hAnsi="宋体"/>
                <w:szCs w:val="21"/>
                <w:highlight w:val="none"/>
              </w:rPr>
              <w:t>.□非金属矿种：特种非金属矿。</w:t>
            </w:r>
          </w:p>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3</w:t>
            </w:r>
            <w:r>
              <w:rPr>
                <w:rFonts w:hAnsi="宋体"/>
                <w:szCs w:val="21"/>
                <w:highlight w:val="none"/>
              </w:rPr>
              <w:t>.□非金属矿种：能源矿种。</w:t>
            </w:r>
          </w:p>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4</w:t>
            </w:r>
            <w:r>
              <w:rPr>
                <w:rFonts w:hAnsi="宋体"/>
                <w:szCs w:val="21"/>
                <w:highlight w:val="none"/>
              </w:rPr>
              <w:t>.□非金属矿种：其他非金属矿种。</w:t>
            </w:r>
          </w:p>
        </w:tc>
        <w:tc>
          <w:tcPr>
            <w:tcW w:w="761" w:type="dxa"/>
            <w:vAlign w:val="center"/>
          </w:tcPr>
          <w:p>
            <w:pPr>
              <w:pStyle w:val="64"/>
              <w:rPr>
                <w:rFonts w:hAnsi="宋体"/>
                <w:szCs w:val="21"/>
                <w:highlight w:val="none"/>
              </w:rPr>
            </w:pPr>
            <w:r>
              <w:rPr>
                <w:rFonts w:hAnsi="宋体"/>
                <w:szCs w:val="21"/>
                <w:highlight w:val="none"/>
              </w:rPr>
              <w:t>0</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restart"/>
            <w:vAlign w:val="center"/>
          </w:tcPr>
          <w:p>
            <w:pPr>
              <w:pStyle w:val="64"/>
              <w:rPr>
                <w:rFonts w:hAnsi="宋体"/>
                <w:szCs w:val="21"/>
                <w:highlight w:val="none"/>
              </w:rPr>
            </w:pPr>
            <w:r>
              <w:rPr>
                <w:rFonts w:hAnsi="宋体"/>
                <w:szCs w:val="21"/>
                <w:highlight w:val="none"/>
              </w:rPr>
              <w:t>性质（</w:t>
            </w:r>
            <w:r>
              <w:rPr>
                <w:rFonts w:hAnsi="宋体"/>
                <w:spacing w:val="1"/>
                <w:szCs w:val="21"/>
                <w:highlight w:val="none"/>
              </w:rPr>
              <w:t>2</w:t>
            </w:r>
            <w:r>
              <w:rPr>
                <w:rFonts w:hAnsi="宋体"/>
                <w:szCs w:val="21"/>
                <w:highlight w:val="none"/>
              </w:rPr>
              <w:t>8分）</w:t>
            </w:r>
          </w:p>
        </w:tc>
        <w:tc>
          <w:tcPr>
            <w:tcW w:w="828" w:type="dxa"/>
            <w:vMerge w:val="restart"/>
            <w:vAlign w:val="center"/>
          </w:tcPr>
          <w:p>
            <w:pPr>
              <w:pStyle w:val="64"/>
              <w:rPr>
                <w:rFonts w:hAnsi="宋体"/>
                <w:szCs w:val="21"/>
                <w:highlight w:val="none"/>
              </w:rPr>
            </w:pPr>
            <w:r>
              <w:rPr>
                <w:rFonts w:hAnsi="宋体"/>
                <w:szCs w:val="21"/>
                <w:highlight w:val="none"/>
              </w:rPr>
              <w:t>特征污染物指标浓度情况（</w:t>
            </w:r>
            <w:r>
              <w:rPr>
                <w:rFonts w:hAnsi="宋体"/>
                <w:spacing w:val="1"/>
                <w:szCs w:val="21"/>
                <w:highlight w:val="none"/>
              </w:rPr>
              <w:t>2</w:t>
            </w:r>
            <w:r>
              <w:rPr>
                <w:rFonts w:hAnsi="宋体"/>
                <w:spacing w:val="-2"/>
                <w:szCs w:val="21"/>
                <w:highlight w:val="none"/>
              </w:rPr>
              <w:t>8</w:t>
            </w:r>
            <w:r>
              <w:rPr>
                <w:rFonts w:hAnsi="宋体"/>
                <w:szCs w:val="21"/>
                <w:highlight w:val="none"/>
              </w:rPr>
              <w:t>分）</w:t>
            </w:r>
          </w:p>
        </w:tc>
        <w:tc>
          <w:tcPr>
            <w:tcW w:w="834" w:type="dxa"/>
            <w:vMerge w:val="restart"/>
            <w:vAlign w:val="center"/>
          </w:tcPr>
          <w:p>
            <w:pPr>
              <w:pStyle w:val="64"/>
              <w:rPr>
                <w:rFonts w:hAnsi="宋体"/>
                <w:szCs w:val="21"/>
                <w:highlight w:val="none"/>
              </w:rPr>
            </w:pPr>
            <w:r>
              <w:rPr>
                <w:rFonts w:hAnsi="宋体"/>
                <w:szCs w:val="21"/>
                <w:highlight w:val="none"/>
              </w:rPr>
              <w:t>浓度倍数情况（</w:t>
            </w:r>
            <w:r>
              <w:rPr>
                <w:rFonts w:hAnsi="宋体"/>
                <w:spacing w:val="1"/>
                <w:szCs w:val="21"/>
                <w:highlight w:val="none"/>
              </w:rPr>
              <w:t>2</w:t>
            </w:r>
            <w:r>
              <w:rPr>
                <w:rFonts w:hAnsi="宋体"/>
                <w:spacing w:val="-2"/>
                <w:szCs w:val="21"/>
                <w:highlight w:val="none"/>
              </w:rPr>
              <w:t>2</w:t>
            </w:r>
            <w:r>
              <w:rPr>
                <w:rFonts w:hAnsi="宋体"/>
                <w:szCs w:val="21"/>
                <w:highlight w:val="none"/>
              </w:rPr>
              <w:t>分）</w:t>
            </w:r>
          </w:p>
        </w:tc>
        <w:tc>
          <w:tcPr>
            <w:tcW w:w="1178" w:type="dxa"/>
            <w:vMerge w:val="restart"/>
            <w:vAlign w:val="center"/>
          </w:tcPr>
          <w:p>
            <w:pPr>
              <w:pStyle w:val="64"/>
              <w:rPr>
                <w:rFonts w:hAnsi="宋体"/>
                <w:szCs w:val="21"/>
                <w:highlight w:val="none"/>
              </w:rPr>
            </w:pPr>
            <w:r>
              <w:rPr>
                <w:rFonts w:hAnsi="宋体"/>
                <w:spacing w:val="1"/>
                <w:szCs w:val="21"/>
                <w:highlight w:val="none"/>
              </w:rPr>
              <w:t>p</w:t>
            </w:r>
            <w:r>
              <w:rPr>
                <w:rFonts w:hAnsi="宋体"/>
                <w:szCs w:val="21"/>
                <w:highlight w:val="none"/>
              </w:rPr>
              <w:t>H值</w:t>
            </w:r>
          </w:p>
          <w:p>
            <w:pPr>
              <w:pStyle w:val="64"/>
              <w:rPr>
                <w:rFonts w:hAnsi="宋体"/>
                <w:szCs w:val="21"/>
                <w:highlight w:val="none"/>
              </w:rPr>
            </w:pPr>
            <w:r>
              <w:rPr>
                <w:rFonts w:hAnsi="宋体"/>
                <w:szCs w:val="21"/>
                <w:highlight w:val="none"/>
              </w:rPr>
              <w:t>（</w:t>
            </w:r>
            <w:r>
              <w:rPr>
                <w:rFonts w:hAnsi="宋体"/>
                <w:spacing w:val="-2"/>
                <w:szCs w:val="21"/>
                <w:highlight w:val="none"/>
              </w:rPr>
              <w:t>8</w:t>
            </w:r>
            <w:r>
              <w:rPr>
                <w:rFonts w:hAnsi="宋体"/>
                <w:szCs w:val="21"/>
                <w:highlight w:val="none"/>
              </w:rPr>
              <w:t>分）</w:t>
            </w:r>
          </w:p>
        </w:tc>
        <w:tc>
          <w:tcPr>
            <w:tcW w:w="7396" w:type="dxa"/>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w:t>
            </w:r>
            <w:r>
              <w:rPr>
                <w:rFonts w:hAnsi="宋体"/>
                <w:spacing w:val="1"/>
                <w:szCs w:val="21"/>
                <w:highlight w:val="none"/>
              </w:rPr>
              <w:t>[</w:t>
            </w:r>
            <w:r>
              <w:rPr>
                <w:rFonts w:hAnsi="宋体"/>
                <w:spacing w:val="-2"/>
                <w:szCs w:val="21"/>
                <w:highlight w:val="none"/>
              </w:rPr>
              <w:t>0</w:t>
            </w:r>
            <w:r>
              <w:rPr>
                <w:rFonts w:hAnsi="宋体"/>
                <w:szCs w:val="21"/>
                <w:highlight w:val="none"/>
              </w:rPr>
              <w:t>，</w:t>
            </w:r>
            <w:r>
              <w:rPr>
                <w:rFonts w:hAnsi="宋体"/>
                <w:spacing w:val="-2"/>
                <w:szCs w:val="21"/>
                <w:highlight w:val="none"/>
              </w:rPr>
              <w:t>4</w:t>
            </w:r>
            <w:r>
              <w:rPr>
                <w:rFonts w:hAnsi="宋体"/>
                <w:szCs w:val="21"/>
                <w:highlight w:val="none"/>
              </w:rPr>
              <w:t>）。</w:t>
            </w:r>
          </w:p>
        </w:tc>
        <w:tc>
          <w:tcPr>
            <w:tcW w:w="761" w:type="dxa"/>
            <w:vAlign w:val="center"/>
          </w:tcPr>
          <w:p>
            <w:pPr>
              <w:pStyle w:val="64"/>
              <w:rPr>
                <w:rFonts w:hAnsi="宋体"/>
                <w:szCs w:val="21"/>
                <w:highlight w:val="none"/>
              </w:rPr>
            </w:pPr>
            <w:r>
              <w:rPr>
                <w:rFonts w:hAnsi="宋体"/>
                <w:szCs w:val="21"/>
                <w:highlight w:val="none"/>
              </w:rPr>
              <w:t>8</w:t>
            </w:r>
          </w:p>
        </w:tc>
        <w:tc>
          <w:tcPr>
            <w:tcW w:w="1055" w:type="dxa"/>
            <w:vMerge w:val="restart"/>
            <w:vAlign w:val="center"/>
          </w:tcPr>
          <w:p>
            <w:pPr>
              <w:pStyle w:val="64"/>
              <w:rPr>
                <w:rFonts w:hAnsi="宋体"/>
                <w:szCs w:val="21"/>
                <w:highlight w:val="none"/>
              </w:rPr>
            </w:pPr>
            <w:r>
              <w:rPr>
                <w:rFonts w:hAnsi="宋体"/>
                <w:szCs w:val="21"/>
                <w:highlight w:val="none"/>
              </w:rPr>
              <w:t>0</w:t>
            </w:r>
          </w:p>
        </w:tc>
        <w:tc>
          <w:tcPr>
            <w:tcW w:w="1245" w:type="dxa"/>
            <w:vMerge w:val="restart"/>
            <w:vAlign w:val="center"/>
          </w:tcPr>
          <w:p>
            <w:pPr>
              <w:pStyle w:val="64"/>
              <w:rPr>
                <w:rFonts w:hAnsi="宋体"/>
                <w:szCs w:val="21"/>
                <w:highlight w:val="none"/>
              </w:rPr>
            </w:pPr>
            <w:r>
              <w:rPr>
                <w:rFonts w:hAnsi="宋体"/>
                <w:spacing w:val="1"/>
                <w:szCs w:val="21"/>
                <w:highlight w:val="none"/>
              </w:rPr>
              <w:t>6</w:t>
            </w:r>
            <w:r>
              <w:rPr>
                <w:rFonts w:hAnsi="宋体"/>
                <w:spacing w:val="-2"/>
                <w:szCs w:val="21"/>
                <w:highlight w:val="none"/>
              </w:rPr>
              <w:t>-</w:t>
            </w:r>
            <w:r>
              <w:rPr>
                <w:rFonts w:hAnsi="宋体"/>
                <w:szCs w:val="21"/>
                <w:highlight w:val="none"/>
              </w:rPr>
              <w:t>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pacing w:val="1"/>
                <w:szCs w:val="21"/>
                <w:highlight w:val="none"/>
              </w:rPr>
              <w:t>[</w:t>
            </w:r>
            <w:r>
              <w:rPr>
                <w:rFonts w:hAnsi="宋体"/>
                <w:spacing w:val="-2"/>
                <w:szCs w:val="21"/>
                <w:highlight w:val="none"/>
              </w:rPr>
              <w:t>4</w:t>
            </w:r>
            <w:r>
              <w:rPr>
                <w:rFonts w:hAnsi="宋体"/>
                <w:szCs w:val="21"/>
                <w:highlight w:val="none"/>
              </w:rPr>
              <w:t>，</w:t>
            </w:r>
            <w:r>
              <w:rPr>
                <w:rFonts w:hAnsi="宋体"/>
                <w:spacing w:val="-2"/>
                <w:szCs w:val="21"/>
                <w:highlight w:val="none"/>
              </w:rPr>
              <w:t>6</w:t>
            </w:r>
            <w:r>
              <w:rPr>
                <w:rFonts w:hAnsi="宋体"/>
                <w:szCs w:val="21"/>
                <w:highlight w:val="none"/>
              </w:rPr>
              <w:t>）。</w:t>
            </w:r>
          </w:p>
        </w:tc>
        <w:tc>
          <w:tcPr>
            <w:tcW w:w="761" w:type="dxa"/>
            <w:vAlign w:val="center"/>
          </w:tcPr>
          <w:p>
            <w:pPr>
              <w:pStyle w:val="64"/>
              <w:rPr>
                <w:rFonts w:hAnsi="宋体"/>
                <w:szCs w:val="21"/>
                <w:highlight w:val="none"/>
              </w:rPr>
            </w:pPr>
            <w:r>
              <w:rPr>
                <w:rFonts w:hAnsi="宋体"/>
                <w:szCs w:val="21"/>
                <w:highlight w:val="none"/>
              </w:rPr>
              <w:t>6</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w:t>
            </w:r>
            <w:r>
              <w:rPr>
                <w:rFonts w:hAnsi="宋体"/>
                <w:spacing w:val="1"/>
                <w:szCs w:val="21"/>
                <w:highlight w:val="none"/>
              </w:rPr>
              <w:t>[</w:t>
            </w:r>
            <w:r>
              <w:rPr>
                <w:rFonts w:hAnsi="宋体"/>
                <w:spacing w:val="-2"/>
                <w:szCs w:val="21"/>
                <w:highlight w:val="none"/>
              </w:rPr>
              <w:t>6</w:t>
            </w:r>
            <w:r>
              <w:rPr>
                <w:rFonts w:hAnsi="宋体"/>
                <w:szCs w:val="21"/>
                <w:highlight w:val="none"/>
              </w:rPr>
              <w:t>，</w:t>
            </w:r>
            <w:r>
              <w:rPr>
                <w:rFonts w:hAnsi="宋体"/>
                <w:spacing w:val="1"/>
                <w:szCs w:val="21"/>
                <w:highlight w:val="none"/>
              </w:rPr>
              <w:t>9</w:t>
            </w:r>
            <w:r>
              <w:rPr>
                <w:rFonts w:hAnsi="宋体"/>
                <w:spacing w:val="-2"/>
                <w:szCs w:val="21"/>
                <w:highlight w:val="none"/>
              </w:rPr>
              <w:t>]</w:t>
            </w:r>
            <w:r>
              <w:rPr>
                <w:rFonts w:hAnsi="宋体"/>
                <w:szCs w:val="21"/>
                <w:highlight w:val="none"/>
              </w:rPr>
              <w:t>。</w:t>
            </w:r>
          </w:p>
        </w:tc>
        <w:tc>
          <w:tcPr>
            <w:tcW w:w="761" w:type="dxa"/>
            <w:vAlign w:val="center"/>
          </w:tcPr>
          <w:p>
            <w:pPr>
              <w:pStyle w:val="64"/>
              <w:rPr>
                <w:rFonts w:hAnsi="宋体"/>
                <w:szCs w:val="21"/>
                <w:highlight w:val="none"/>
              </w:rPr>
            </w:pPr>
            <w:r>
              <w:rPr>
                <w:rFonts w:hAnsi="宋体"/>
                <w:szCs w:val="21"/>
                <w:highlight w:val="none"/>
              </w:rPr>
              <w:t>0</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4</w:t>
            </w:r>
            <w:r>
              <w:rPr>
                <w:rFonts w:hAnsi="宋体"/>
                <w:szCs w:val="21"/>
                <w:highlight w:val="none"/>
              </w:rPr>
              <w:t>.○（</w:t>
            </w:r>
            <w:r>
              <w:rPr>
                <w:rFonts w:hAnsi="宋体"/>
                <w:spacing w:val="1"/>
                <w:szCs w:val="21"/>
                <w:highlight w:val="none"/>
              </w:rPr>
              <w:t>9</w:t>
            </w:r>
            <w:r>
              <w:rPr>
                <w:rFonts w:hAnsi="宋体"/>
                <w:szCs w:val="21"/>
                <w:highlight w:val="none"/>
              </w:rPr>
              <w:t>，</w:t>
            </w:r>
            <w:r>
              <w:rPr>
                <w:rFonts w:hAnsi="宋体"/>
                <w:spacing w:val="1"/>
                <w:szCs w:val="21"/>
                <w:highlight w:val="none"/>
              </w:rPr>
              <w:t>1</w:t>
            </w:r>
            <w:r>
              <w:rPr>
                <w:rFonts w:hAnsi="宋体"/>
                <w:spacing w:val="-2"/>
                <w:szCs w:val="21"/>
                <w:highlight w:val="none"/>
              </w:rPr>
              <w:t>1]</w:t>
            </w:r>
            <w:r>
              <w:rPr>
                <w:rFonts w:hAnsi="宋体"/>
                <w:szCs w:val="21"/>
                <w:highlight w:val="none"/>
              </w:rPr>
              <w:t>。</w:t>
            </w:r>
          </w:p>
        </w:tc>
        <w:tc>
          <w:tcPr>
            <w:tcW w:w="761" w:type="dxa"/>
            <w:vAlign w:val="center"/>
          </w:tcPr>
          <w:p>
            <w:pPr>
              <w:pStyle w:val="64"/>
              <w:rPr>
                <w:rFonts w:hAnsi="宋体"/>
                <w:szCs w:val="21"/>
                <w:highlight w:val="none"/>
              </w:rPr>
            </w:pPr>
            <w:r>
              <w:rPr>
                <w:rFonts w:hAnsi="宋体"/>
                <w:szCs w:val="21"/>
                <w:highlight w:val="none"/>
              </w:rPr>
              <w:t>5</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5</w:t>
            </w:r>
            <w:r>
              <w:rPr>
                <w:rFonts w:hAnsi="宋体"/>
                <w:szCs w:val="21"/>
                <w:highlight w:val="none"/>
              </w:rPr>
              <w:t>.○（</w:t>
            </w:r>
            <w:r>
              <w:rPr>
                <w:rFonts w:hAnsi="宋体"/>
                <w:spacing w:val="1"/>
                <w:szCs w:val="21"/>
                <w:highlight w:val="none"/>
              </w:rPr>
              <w:t>1</w:t>
            </w:r>
            <w:r>
              <w:rPr>
                <w:rFonts w:hAnsi="宋体"/>
                <w:spacing w:val="-2"/>
                <w:szCs w:val="21"/>
                <w:highlight w:val="none"/>
              </w:rPr>
              <w:t>1</w:t>
            </w:r>
            <w:r>
              <w:rPr>
                <w:rFonts w:hAnsi="宋体"/>
                <w:szCs w:val="21"/>
                <w:highlight w:val="none"/>
              </w:rPr>
              <w:t>，</w:t>
            </w:r>
            <w:r>
              <w:rPr>
                <w:rFonts w:hAnsi="宋体"/>
                <w:spacing w:val="1"/>
                <w:szCs w:val="21"/>
                <w:highlight w:val="none"/>
              </w:rPr>
              <w:t>1</w:t>
            </w:r>
            <w:r>
              <w:rPr>
                <w:rFonts w:hAnsi="宋体"/>
                <w:spacing w:val="-2"/>
                <w:szCs w:val="21"/>
                <w:highlight w:val="none"/>
              </w:rPr>
              <w:t>4</w:t>
            </w:r>
            <w:r>
              <w:rPr>
                <w:rFonts w:hAnsi="宋体"/>
                <w:spacing w:val="1"/>
                <w:szCs w:val="21"/>
                <w:highlight w:val="none"/>
              </w:rPr>
              <w:t>]</w:t>
            </w:r>
            <w:r>
              <w:rPr>
                <w:rFonts w:hAnsi="宋体"/>
                <w:szCs w:val="21"/>
                <w:highlight w:val="none"/>
              </w:rPr>
              <w:t>。</w:t>
            </w:r>
          </w:p>
        </w:tc>
        <w:tc>
          <w:tcPr>
            <w:tcW w:w="761" w:type="dxa"/>
            <w:vAlign w:val="center"/>
          </w:tcPr>
          <w:p>
            <w:pPr>
              <w:pStyle w:val="64"/>
              <w:rPr>
                <w:rFonts w:hAnsi="宋体"/>
                <w:szCs w:val="21"/>
                <w:highlight w:val="none"/>
              </w:rPr>
            </w:pPr>
            <w:r>
              <w:rPr>
                <w:rFonts w:hAnsi="宋体"/>
                <w:szCs w:val="21"/>
                <w:highlight w:val="none"/>
              </w:rPr>
              <w:t>7</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restart"/>
            <w:vAlign w:val="center"/>
          </w:tcPr>
          <w:p>
            <w:pPr>
              <w:pStyle w:val="64"/>
              <w:rPr>
                <w:rFonts w:hAnsi="宋体"/>
                <w:szCs w:val="21"/>
                <w:highlight w:val="none"/>
              </w:rPr>
            </w:pPr>
            <w:r>
              <w:rPr>
                <w:rFonts w:hAnsi="宋体"/>
                <w:szCs w:val="21"/>
                <w:highlight w:val="none"/>
              </w:rPr>
              <w:t>指标最高浓度倍数（</w:t>
            </w:r>
            <w:r>
              <w:rPr>
                <w:rFonts w:hAnsi="宋体"/>
                <w:spacing w:val="1"/>
                <w:szCs w:val="21"/>
                <w:highlight w:val="none"/>
              </w:rPr>
              <w:t>1</w:t>
            </w:r>
            <w:r>
              <w:rPr>
                <w:rFonts w:hAnsi="宋体"/>
                <w:spacing w:val="-2"/>
                <w:szCs w:val="21"/>
                <w:highlight w:val="none"/>
              </w:rPr>
              <w:t>4</w:t>
            </w:r>
            <w:r>
              <w:rPr>
                <w:rFonts w:hAnsi="宋体"/>
                <w:szCs w:val="21"/>
                <w:highlight w:val="none"/>
              </w:rPr>
              <w:t>分）</w:t>
            </w:r>
          </w:p>
        </w:tc>
        <w:tc>
          <w:tcPr>
            <w:tcW w:w="7396" w:type="dxa"/>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.○有指标浓度倍数为</w:t>
            </w:r>
            <w:r>
              <w:rPr>
                <w:rFonts w:hAnsi="宋体"/>
                <w:spacing w:val="1"/>
                <w:szCs w:val="21"/>
                <w:highlight w:val="none"/>
              </w:rPr>
              <w:t>1</w:t>
            </w:r>
            <w:r>
              <w:rPr>
                <w:rFonts w:hAnsi="宋体"/>
                <w:spacing w:val="-2"/>
                <w:szCs w:val="21"/>
                <w:highlight w:val="none"/>
              </w:rPr>
              <w:t>0</w:t>
            </w:r>
            <w:r>
              <w:rPr>
                <w:rFonts w:hAnsi="宋体"/>
                <w:szCs w:val="21"/>
                <w:highlight w:val="none"/>
              </w:rPr>
              <w:t>倍及以上。</w:t>
            </w:r>
          </w:p>
        </w:tc>
        <w:tc>
          <w:tcPr>
            <w:tcW w:w="761" w:type="dxa"/>
            <w:vAlign w:val="center"/>
          </w:tcPr>
          <w:p>
            <w:pPr>
              <w:pStyle w:val="64"/>
              <w:rPr>
                <w:rFonts w:hAnsi="宋体"/>
                <w:szCs w:val="21"/>
                <w:highlight w:val="none"/>
              </w:rPr>
            </w:pPr>
            <w:r>
              <w:rPr>
                <w:rFonts w:hAnsi="宋体"/>
                <w:spacing w:val="1"/>
                <w:szCs w:val="21"/>
                <w:highlight w:val="none"/>
              </w:rPr>
              <w:t>1</w:t>
            </w:r>
            <w:r>
              <w:rPr>
                <w:rFonts w:hAnsi="宋体"/>
                <w:szCs w:val="21"/>
                <w:highlight w:val="none"/>
              </w:rPr>
              <w:t>4</w:t>
            </w:r>
          </w:p>
        </w:tc>
        <w:tc>
          <w:tcPr>
            <w:tcW w:w="1055" w:type="dxa"/>
            <w:vMerge w:val="restart"/>
            <w:vAlign w:val="center"/>
          </w:tcPr>
          <w:p>
            <w:pPr>
              <w:pStyle w:val="64"/>
              <w:rPr>
                <w:rFonts w:hAnsi="宋体"/>
                <w:szCs w:val="21"/>
                <w:highlight w:val="none"/>
              </w:rPr>
            </w:pPr>
            <w:r>
              <w:rPr>
                <w:rFonts w:hAnsi="宋体"/>
                <w:szCs w:val="21"/>
                <w:highlight w:val="none"/>
              </w:rPr>
              <w:t>0</w:t>
            </w:r>
          </w:p>
        </w:tc>
        <w:tc>
          <w:tcPr>
            <w:tcW w:w="1245" w:type="dxa"/>
            <w:vMerge w:val="restart"/>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.○有指标浓度倍数</w:t>
            </w:r>
            <w:r>
              <w:rPr>
                <w:rFonts w:hAnsi="宋体"/>
                <w:spacing w:val="1"/>
                <w:szCs w:val="21"/>
                <w:highlight w:val="none"/>
              </w:rPr>
              <w:t>3</w:t>
            </w:r>
            <w:r>
              <w:rPr>
                <w:rFonts w:hAnsi="宋体"/>
                <w:szCs w:val="21"/>
                <w:highlight w:val="none"/>
              </w:rPr>
              <w:t>倍及以上，且所有指标浓度倍数均在</w:t>
            </w:r>
            <w:r>
              <w:rPr>
                <w:rFonts w:hAnsi="宋体"/>
                <w:spacing w:val="1"/>
                <w:szCs w:val="21"/>
                <w:highlight w:val="none"/>
              </w:rPr>
              <w:t>1</w:t>
            </w:r>
            <w:r>
              <w:rPr>
                <w:rFonts w:hAnsi="宋体"/>
                <w:szCs w:val="21"/>
                <w:highlight w:val="none"/>
              </w:rPr>
              <w:t>0倍以下。</w:t>
            </w:r>
          </w:p>
        </w:tc>
        <w:tc>
          <w:tcPr>
            <w:tcW w:w="761" w:type="dxa"/>
            <w:vAlign w:val="center"/>
          </w:tcPr>
          <w:p>
            <w:pPr>
              <w:pStyle w:val="64"/>
              <w:rPr>
                <w:rFonts w:hAnsi="宋体"/>
                <w:szCs w:val="21"/>
                <w:highlight w:val="none"/>
              </w:rPr>
            </w:pPr>
            <w:r>
              <w:rPr>
                <w:rFonts w:hAnsi="宋体"/>
                <w:szCs w:val="21"/>
                <w:highlight w:val="none"/>
              </w:rPr>
              <w:t>7</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834" w:type="dxa"/>
            <w:vMerge w:val="continue"/>
            <w:vAlign w:val="center"/>
          </w:tcPr>
          <w:p>
            <w:pPr>
              <w:pStyle w:val="64"/>
              <w:rPr>
                <w:rFonts w:hAnsi="宋体"/>
                <w:szCs w:val="21"/>
                <w:highlight w:val="none"/>
              </w:rPr>
            </w:pPr>
          </w:p>
        </w:tc>
        <w:tc>
          <w:tcPr>
            <w:tcW w:w="1178" w:type="dxa"/>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√所有指标浓度倍数均在</w:t>
            </w:r>
            <w:r>
              <w:rPr>
                <w:rFonts w:hAnsi="宋体"/>
                <w:spacing w:val="-2"/>
                <w:szCs w:val="21"/>
                <w:highlight w:val="none"/>
              </w:rPr>
              <w:t>3</w:t>
            </w:r>
            <w:r>
              <w:rPr>
                <w:rFonts w:hAnsi="宋体"/>
                <w:szCs w:val="21"/>
                <w:highlight w:val="none"/>
              </w:rPr>
              <w:t>倍以下。</w:t>
            </w:r>
          </w:p>
        </w:tc>
        <w:tc>
          <w:tcPr>
            <w:tcW w:w="761" w:type="dxa"/>
            <w:vAlign w:val="center"/>
          </w:tcPr>
          <w:p>
            <w:pPr>
              <w:pStyle w:val="64"/>
              <w:rPr>
                <w:rFonts w:hAnsi="宋体"/>
                <w:szCs w:val="21"/>
                <w:highlight w:val="none"/>
              </w:rPr>
            </w:pPr>
            <w:r>
              <w:rPr>
                <w:rFonts w:hAnsi="宋体"/>
                <w:szCs w:val="21"/>
                <w:highlight w:val="none"/>
              </w:rPr>
              <w:t>0</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2012" w:type="dxa"/>
            <w:gridSpan w:val="2"/>
            <w:vMerge w:val="restart"/>
            <w:vAlign w:val="center"/>
          </w:tcPr>
          <w:p>
            <w:pPr>
              <w:pStyle w:val="64"/>
              <w:rPr>
                <w:rFonts w:hAnsi="宋体"/>
                <w:szCs w:val="21"/>
                <w:highlight w:val="none"/>
              </w:rPr>
            </w:pPr>
            <w:r>
              <w:rPr>
                <w:rFonts w:hAnsi="宋体"/>
                <w:szCs w:val="21"/>
                <w:highlight w:val="none"/>
              </w:rPr>
              <w:t>浓度倍数3倍及以上的指标项数（</w:t>
            </w:r>
            <w:r>
              <w:rPr>
                <w:rFonts w:hAnsi="宋体"/>
                <w:spacing w:val="1"/>
                <w:szCs w:val="21"/>
                <w:highlight w:val="none"/>
              </w:rPr>
              <w:t>6</w:t>
            </w:r>
            <w:r>
              <w:rPr>
                <w:rFonts w:hAnsi="宋体"/>
                <w:szCs w:val="21"/>
                <w:highlight w:val="none"/>
              </w:rPr>
              <w:t>分）</w:t>
            </w:r>
          </w:p>
        </w:tc>
        <w:tc>
          <w:tcPr>
            <w:tcW w:w="7396" w:type="dxa"/>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w:t>
            </w:r>
            <w:r>
              <w:rPr>
                <w:rFonts w:hAnsi="宋体"/>
                <w:spacing w:val="1"/>
                <w:szCs w:val="21"/>
                <w:highlight w:val="none"/>
              </w:rPr>
              <w:t>5</w:t>
            </w:r>
            <w:r>
              <w:rPr>
                <w:rFonts w:hAnsi="宋体"/>
                <w:szCs w:val="21"/>
                <w:highlight w:val="none"/>
              </w:rPr>
              <w:t>项及以上。</w:t>
            </w:r>
          </w:p>
        </w:tc>
        <w:tc>
          <w:tcPr>
            <w:tcW w:w="761" w:type="dxa"/>
            <w:vAlign w:val="center"/>
          </w:tcPr>
          <w:p>
            <w:pPr>
              <w:pStyle w:val="64"/>
              <w:rPr>
                <w:rFonts w:hAnsi="宋体"/>
                <w:szCs w:val="21"/>
                <w:highlight w:val="none"/>
              </w:rPr>
            </w:pPr>
            <w:r>
              <w:rPr>
                <w:rFonts w:hAnsi="宋体"/>
                <w:szCs w:val="21"/>
                <w:highlight w:val="none"/>
              </w:rPr>
              <w:t>6</w:t>
            </w:r>
          </w:p>
        </w:tc>
        <w:tc>
          <w:tcPr>
            <w:tcW w:w="1055" w:type="dxa"/>
            <w:vMerge w:val="restart"/>
            <w:vAlign w:val="center"/>
          </w:tcPr>
          <w:p>
            <w:pPr>
              <w:pStyle w:val="64"/>
              <w:rPr>
                <w:rFonts w:hAnsi="宋体"/>
                <w:szCs w:val="21"/>
                <w:highlight w:val="none"/>
              </w:rPr>
            </w:pPr>
            <w:r>
              <w:rPr>
                <w:rFonts w:hAnsi="宋体"/>
                <w:szCs w:val="21"/>
                <w:highlight w:val="none"/>
              </w:rPr>
              <w:t>0</w:t>
            </w:r>
          </w:p>
        </w:tc>
        <w:tc>
          <w:tcPr>
            <w:tcW w:w="1245" w:type="dxa"/>
            <w:vMerge w:val="restart"/>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2012" w:type="dxa"/>
            <w:gridSpan w:val="2"/>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pacing w:val="1"/>
                <w:szCs w:val="21"/>
                <w:highlight w:val="none"/>
              </w:rPr>
              <w:t>2</w:t>
            </w:r>
            <w:r>
              <w:rPr>
                <w:rFonts w:hAnsi="宋体"/>
                <w:szCs w:val="21"/>
                <w:highlight w:val="none"/>
              </w:rPr>
              <w:t>至</w:t>
            </w:r>
            <w:r>
              <w:rPr>
                <w:rFonts w:hAnsi="宋体"/>
                <w:spacing w:val="-2"/>
                <w:szCs w:val="21"/>
                <w:highlight w:val="none"/>
              </w:rPr>
              <w:t>4</w:t>
            </w:r>
            <w:r>
              <w:rPr>
                <w:rFonts w:hAnsi="宋体"/>
                <w:szCs w:val="21"/>
                <w:highlight w:val="none"/>
              </w:rPr>
              <w:t>项。</w:t>
            </w:r>
          </w:p>
        </w:tc>
        <w:tc>
          <w:tcPr>
            <w:tcW w:w="761" w:type="dxa"/>
            <w:vAlign w:val="center"/>
          </w:tcPr>
          <w:p>
            <w:pPr>
              <w:pStyle w:val="64"/>
              <w:rPr>
                <w:rFonts w:hAnsi="宋体"/>
                <w:szCs w:val="21"/>
                <w:highlight w:val="none"/>
              </w:rPr>
            </w:pPr>
            <w:r>
              <w:rPr>
                <w:rFonts w:hAnsi="宋体"/>
                <w:szCs w:val="21"/>
                <w:highlight w:val="none"/>
              </w:rPr>
              <w:t>4</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2012" w:type="dxa"/>
            <w:gridSpan w:val="2"/>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1"/>
                <w:szCs w:val="21"/>
                <w:highlight w:val="none"/>
              </w:rPr>
              <w:t>1</w:t>
            </w:r>
            <w:r>
              <w:rPr>
                <w:rFonts w:hAnsi="宋体"/>
                <w:szCs w:val="21"/>
                <w:highlight w:val="none"/>
              </w:rPr>
              <w:t>项。</w:t>
            </w:r>
          </w:p>
        </w:tc>
        <w:tc>
          <w:tcPr>
            <w:tcW w:w="761" w:type="dxa"/>
            <w:vAlign w:val="center"/>
          </w:tcPr>
          <w:p>
            <w:pPr>
              <w:pStyle w:val="64"/>
              <w:rPr>
                <w:rFonts w:hAnsi="宋体"/>
                <w:szCs w:val="21"/>
                <w:highlight w:val="none"/>
              </w:rPr>
            </w:pPr>
            <w:r>
              <w:rPr>
                <w:rFonts w:hAnsi="宋体"/>
                <w:szCs w:val="21"/>
                <w:highlight w:val="none"/>
              </w:rPr>
              <w:t>2</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95" w:type="dxa"/>
            <w:vMerge w:val="continue"/>
            <w:vAlign w:val="center"/>
          </w:tcPr>
          <w:p>
            <w:pPr>
              <w:pStyle w:val="64"/>
              <w:rPr>
                <w:rFonts w:hAnsi="宋体"/>
                <w:szCs w:val="21"/>
                <w:highlight w:val="none"/>
              </w:rPr>
            </w:pPr>
          </w:p>
        </w:tc>
        <w:tc>
          <w:tcPr>
            <w:tcW w:w="828" w:type="dxa"/>
            <w:vMerge w:val="continue"/>
            <w:vAlign w:val="center"/>
          </w:tcPr>
          <w:p>
            <w:pPr>
              <w:pStyle w:val="64"/>
              <w:rPr>
                <w:rFonts w:hAnsi="宋体"/>
                <w:szCs w:val="21"/>
                <w:highlight w:val="none"/>
              </w:rPr>
            </w:pPr>
          </w:p>
        </w:tc>
        <w:tc>
          <w:tcPr>
            <w:tcW w:w="2012" w:type="dxa"/>
            <w:gridSpan w:val="2"/>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4</w:t>
            </w:r>
            <w:r>
              <w:rPr>
                <w:rFonts w:hAnsi="宋体"/>
                <w:szCs w:val="21"/>
                <w:highlight w:val="none"/>
              </w:rPr>
              <w:t>.</w:t>
            </w:r>
            <w:r>
              <w:rPr>
                <w:rFonts w:hAnsi="宋体"/>
                <w:spacing w:val="-227"/>
                <w:position w:val="-2"/>
                <w:szCs w:val="21"/>
                <w:highlight w:val="none"/>
              </w:rPr>
              <w:t>○</w:t>
            </w:r>
            <w:r>
              <w:rPr>
                <w:rFonts w:hAnsi="宋体"/>
                <w:szCs w:val="21"/>
                <w:highlight w:val="none"/>
              </w:rPr>
              <w:t>√无。</w:t>
            </w:r>
          </w:p>
        </w:tc>
        <w:tc>
          <w:tcPr>
            <w:tcW w:w="761" w:type="dxa"/>
            <w:vAlign w:val="center"/>
          </w:tcPr>
          <w:p>
            <w:pPr>
              <w:pStyle w:val="64"/>
              <w:rPr>
                <w:rFonts w:hAnsi="宋体"/>
                <w:szCs w:val="21"/>
                <w:highlight w:val="none"/>
              </w:rPr>
            </w:pPr>
            <w:r>
              <w:rPr>
                <w:rFonts w:hAnsi="宋体"/>
                <w:szCs w:val="21"/>
                <w:highlight w:val="none"/>
              </w:rPr>
              <w:t>0</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restart"/>
            <w:vAlign w:val="center"/>
          </w:tcPr>
          <w:p>
            <w:pPr>
              <w:pStyle w:val="64"/>
              <w:rPr>
                <w:rFonts w:hAnsi="宋体"/>
                <w:szCs w:val="21"/>
                <w:highlight w:val="none"/>
              </w:rPr>
            </w:pPr>
            <w:r>
              <w:rPr>
                <w:rFonts w:hAnsi="宋体"/>
                <w:szCs w:val="21"/>
                <w:highlight w:val="none"/>
              </w:rPr>
              <w:t>规模（</w:t>
            </w:r>
            <w:r>
              <w:rPr>
                <w:rFonts w:hAnsi="宋体"/>
                <w:spacing w:val="1"/>
                <w:szCs w:val="21"/>
                <w:highlight w:val="none"/>
              </w:rPr>
              <w:t>2</w:t>
            </w:r>
            <w:r>
              <w:rPr>
                <w:rFonts w:hAnsi="宋体"/>
                <w:szCs w:val="21"/>
                <w:highlight w:val="none"/>
              </w:rPr>
              <w:t>4分</w:t>
            </w:r>
          </w:p>
        </w:tc>
        <w:tc>
          <w:tcPr>
            <w:tcW w:w="2840" w:type="dxa"/>
            <w:gridSpan w:val="3"/>
            <w:vMerge w:val="restart"/>
            <w:vAlign w:val="center"/>
          </w:tcPr>
          <w:p>
            <w:pPr>
              <w:pStyle w:val="64"/>
              <w:rPr>
                <w:rFonts w:hAnsi="宋体"/>
                <w:szCs w:val="21"/>
                <w:highlight w:val="none"/>
              </w:rPr>
            </w:pPr>
            <w:r>
              <w:rPr>
                <w:rFonts w:hAnsi="宋体"/>
                <w:szCs w:val="21"/>
                <w:highlight w:val="none"/>
              </w:rPr>
              <w:t>现状库容</w:t>
            </w:r>
          </w:p>
          <w:p>
            <w:pPr>
              <w:pStyle w:val="64"/>
              <w:rPr>
                <w:rFonts w:hAnsi="宋体"/>
                <w:szCs w:val="21"/>
                <w:highlight w:val="none"/>
              </w:rPr>
            </w:pPr>
            <w:r>
              <w:rPr>
                <w:rFonts w:hAnsi="宋体"/>
                <w:szCs w:val="21"/>
                <w:highlight w:val="none"/>
              </w:rPr>
              <w:t>（</w:t>
            </w:r>
            <w:r>
              <w:rPr>
                <w:rFonts w:hAnsi="宋体"/>
                <w:spacing w:val="1"/>
                <w:szCs w:val="21"/>
                <w:highlight w:val="none"/>
              </w:rPr>
              <w:t>2</w:t>
            </w:r>
            <w:r>
              <w:rPr>
                <w:rFonts w:hAnsi="宋体"/>
                <w:szCs w:val="21"/>
                <w:highlight w:val="none"/>
              </w:rPr>
              <w:t>4分）</w:t>
            </w:r>
          </w:p>
        </w:tc>
        <w:tc>
          <w:tcPr>
            <w:tcW w:w="7396" w:type="dxa"/>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.○大于等于</w:t>
            </w:r>
            <w:r>
              <w:rPr>
                <w:rFonts w:hAnsi="宋体"/>
                <w:spacing w:val="1"/>
                <w:szCs w:val="21"/>
                <w:highlight w:val="none"/>
              </w:rPr>
              <w:t>3</w:t>
            </w:r>
            <w:r>
              <w:rPr>
                <w:rFonts w:hAnsi="宋体"/>
                <w:spacing w:val="-2"/>
                <w:szCs w:val="21"/>
                <w:highlight w:val="none"/>
              </w:rPr>
              <w:t>0</w:t>
            </w:r>
            <w:r>
              <w:rPr>
                <w:rFonts w:hAnsi="宋体"/>
                <w:spacing w:val="1"/>
                <w:szCs w:val="21"/>
                <w:highlight w:val="none"/>
              </w:rPr>
              <w:t>0</w:t>
            </w:r>
            <w:r>
              <w:rPr>
                <w:rFonts w:hAnsi="宋体"/>
                <w:szCs w:val="21"/>
                <w:highlight w:val="none"/>
              </w:rPr>
              <w:t>0万方。</w:t>
            </w:r>
          </w:p>
        </w:tc>
        <w:tc>
          <w:tcPr>
            <w:tcW w:w="761" w:type="dxa"/>
            <w:vAlign w:val="center"/>
          </w:tcPr>
          <w:p>
            <w:pPr>
              <w:pStyle w:val="64"/>
              <w:rPr>
                <w:rFonts w:hAnsi="宋体"/>
                <w:szCs w:val="21"/>
                <w:highlight w:val="none"/>
              </w:rPr>
            </w:pPr>
            <w:r>
              <w:rPr>
                <w:rFonts w:hAnsi="宋体"/>
                <w:spacing w:val="1"/>
                <w:szCs w:val="21"/>
                <w:highlight w:val="none"/>
              </w:rPr>
              <w:t>2</w:t>
            </w:r>
            <w:r>
              <w:rPr>
                <w:rFonts w:hAnsi="宋体"/>
                <w:szCs w:val="21"/>
                <w:highlight w:val="none"/>
              </w:rPr>
              <w:t>4</w:t>
            </w:r>
          </w:p>
        </w:tc>
        <w:tc>
          <w:tcPr>
            <w:tcW w:w="1055" w:type="dxa"/>
            <w:vMerge w:val="restart"/>
            <w:vAlign w:val="center"/>
          </w:tcPr>
          <w:p>
            <w:pPr>
              <w:pStyle w:val="64"/>
              <w:rPr>
                <w:rFonts w:hAnsi="宋体"/>
                <w:szCs w:val="21"/>
                <w:highlight w:val="none"/>
              </w:rPr>
            </w:pPr>
            <w:r>
              <w:rPr>
                <w:rFonts w:hAnsi="宋体"/>
                <w:szCs w:val="21"/>
                <w:highlight w:val="none"/>
              </w:rPr>
              <w:t>0</w:t>
            </w:r>
          </w:p>
        </w:tc>
        <w:tc>
          <w:tcPr>
            <w:tcW w:w="1245" w:type="dxa"/>
            <w:vMerge w:val="restart"/>
            <w:vAlign w:val="center"/>
          </w:tcPr>
          <w:p>
            <w:pPr>
              <w:pStyle w:val="64"/>
              <w:rPr>
                <w:rFonts w:hAnsi="宋体"/>
                <w:szCs w:val="21"/>
                <w:highlight w:val="none"/>
              </w:rPr>
            </w:pPr>
            <w:r>
              <w:rPr>
                <w:rFonts w:hAnsi="宋体"/>
                <w:szCs w:val="21"/>
                <w:highlight w:val="none"/>
              </w:rPr>
              <w:t>库容</w:t>
            </w:r>
            <w:r>
              <w:rPr>
                <w:rFonts w:hint="eastAsia" w:hAnsi="宋体"/>
                <w:spacing w:val="1"/>
                <w:szCs w:val="21"/>
                <w:highlight w:val="none"/>
              </w:rPr>
              <w:t>10.74</w:t>
            </w:r>
            <w:r>
              <w:rPr>
                <w:rFonts w:hAnsi="宋体"/>
                <w:szCs w:val="21"/>
                <w:highlight w:val="none"/>
              </w:rPr>
              <w:t>万方</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2840" w:type="dxa"/>
            <w:gridSpan w:val="3"/>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zCs w:val="21"/>
                <w:highlight w:val="none"/>
              </w:rPr>
              <w:t>0万方，小于</w:t>
            </w:r>
            <w:r>
              <w:rPr>
                <w:rFonts w:hAnsi="宋体"/>
                <w:spacing w:val="1"/>
                <w:szCs w:val="21"/>
                <w:highlight w:val="none"/>
              </w:rPr>
              <w:t>3</w:t>
            </w:r>
            <w:r>
              <w:rPr>
                <w:rFonts w:hAnsi="宋体"/>
                <w:spacing w:val="-2"/>
                <w:szCs w:val="21"/>
                <w:highlight w:val="none"/>
              </w:rPr>
              <w:t>0</w:t>
            </w:r>
            <w:r>
              <w:rPr>
                <w:rFonts w:hAnsi="宋体"/>
                <w:spacing w:val="1"/>
                <w:szCs w:val="21"/>
                <w:highlight w:val="none"/>
              </w:rPr>
              <w:t>0</w:t>
            </w:r>
            <w:r>
              <w:rPr>
                <w:rFonts w:hAnsi="宋体"/>
                <w:szCs w:val="21"/>
                <w:highlight w:val="none"/>
              </w:rPr>
              <w:t>0万方。</w:t>
            </w:r>
          </w:p>
        </w:tc>
        <w:tc>
          <w:tcPr>
            <w:tcW w:w="761" w:type="dxa"/>
            <w:vAlign w:val="center"/>
          </w:tcPr>
          <w:p>
            <w:pPr>
              <w:pStyle w:val="64"/>
              <w:rPr>
                <w:rFonts w:hAnsi="宋体"/>
                <w:szCs w:val="21"/>
                <w:highlight w:val="none"/>
              </w:rPr>
            </w:pPr>
            <w:r>
              <w:rPr>
                <w:rFonts w:hAnsi="宋体"/>
                <w:spacing w:val="1"/>
                <w:szCs w:val="21"/>
                <w:highlight w:val="none"/>
              </w:rPr>
              <w:t>1</w:t>
            </w:r>
            <w:r>
              <w:rPr>
                <w:rFonts w:hAnsi="宋体"/>
                <w:szCs w:val="21"/>
                <w:highlight w:val="none"/>
              </w:rPr>
              <w:t>8</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2840" w:type="dxa"/>
            <w:gridSpan w:val="3"/>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zCs w:val="21"/>
                <w:highlight w:val="none"/>
              </w:rPr>
              <w:t>0万方，小于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zCs w:val="21"/>
                <w:highlight w:val="none"/>
              </w:rPr>
              <w:t>0万方。</w:t>
            </w:r>
          </w:p>
        </w:tc>
        <w:tc>
          <w:tcPr>
            <w:tcW w:w="761" w:type="dxa"/>
            <w:vAlign w:val="center"/>
          </w:tcPr>
          <w:p>
            <w:pPr>
              <w:pStyle w:val="64"/>
              <w:rPr>
                <w:rFonts w:hAnsi="宋体"/>
                <w:szCs w:val="21"/>
                <w:highlight w:val="none"/>
              </w:rPr>
            </w:pPr>
            <w:r>
              <w:rPr>
                <w:rFonts w:hAnsi="宋体"/>
                <w:spacing w:val="1"/>
                <w:szCs w:val="21"/>
                <w:highlight w:val="none"/>
              </w:rPr>
              <w:t>1</w:t>
            </w:r>
            <w:r>
              <w:rPr>
                <w:rFonts w:hAnsi="宋体"/>
                <w:szCs w:val="21"/>
                <w:highlight w:val="none"/>
              </w:rPr>
              <w:t>2</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695" w:type="dxa"/>
            <w:vMerge w:val="continue"/>
            <w:vAlign w:val="center"/>
          </w:tcPr>
          <w:p>
            <w:pPr>
              <w:pStyle w:val="64"/>
              <w:rPr>
                <w:rFonts w:hAnsi="宋体"/>
                <w:szCs w:val="21"/>
                <w:highlight w:val="none"/>
              </w:rPr>
            </w:pPr>
          </w:p>
        </w:tc>
        <w:tc>
          <w:tcPr>
            <w:tcW w:w="2840" w:type="dxa"/>
            <w:gridSpan w:val="3"/>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4</w:t>
            </w:r>
            <w:r>
              <w:rPr>
                <w:rFonts w:hAnsi="宋体"/>
                <w:szCs w:val="21"/>
                <w:highlight w:val="none"/>
              </w:rPr>
              <w:t>.○大于等于</w:t>
            </w:r>
            <w:r>
              <w:rPr>
                <w:rFonts w:hAnsi="宋体"/>
                <w:spacing w:val="1"/>
                <w:szCs w:val="21"/>
                <w:highlight w:val="none"/>
              </w:rPr>
              <w:t>2</w:t>
            </w:r>
            <w:r>
              <w:rPr>
                <w:rFonts w:hAnsi="宋体"/>
                <w:szCs w:val="21"/>
                <w:highlight w:val="none"/>
              </w:rPr>
              <w:t>0万方，小于</w:t>
            </w:r>
            <w:r>
              <w:rPr>
                <w:rFonts w:hAnsi="宋体"/>
                <w:spacing w:val="1"/>
                <w:szCs w:val="21"/>
                <w:highlight w:val="none"/>
              </w:rPr>
              <w:t>1</w:t>
            </w:r>
            <w:r>
              <w:rPr>
                <w:rFonts w:hAnsi="宋体"/>
                <w:spacing w:val="-2"/>
                <w:szCs w:val="21"/>
                <w:highlight w:val="none"/>
              </w:rPr>
              <w:t>0</w:t>
            </w:r>
            <w:r>
              <w:rPr>
                <w:rFonts w:hAnsi="宋体"/>
                <w:szCs w:val="21"/>
                <w:highlight w:val="none"/>
              </w:rPr>
              <w:t>0万方。</w:t>
            </w:r>
          </w:p>
        </w:tc>
        <w:tc>
          <w:tcPr>
            <w:tcW w:w="761" w:type="dxa"/>
            <w:vAlign w:val="center"/>
          </w:tcPr>
          <w:p>
            <w:pPr>
              <w:pStyle w:val="64"/>
              <w:rPr>
                <w:rFonts w:hAnsi="宋体"/>
                <w:szCs w:val="21"/>
                <w:highlight w:val="none"/>
              </w:rPr>
            </w:pPr>
            <w:r>
              <w:rPr>
                <w:rFonts w:hAnsi="宋体"/>
                <w:szCs w:val="21"/>
                <w:highlight w:val="none"/>
              </w:rPr>
              <w:t>6</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Merge w:val="continue"/>
            <w:vAlign w:val="center"/>
          </w:tcPr>
          <w:p>
            <w:pPr>
              <w:pStyle w:val="64"/>
              <w:rPr>
                <w:rFonts w:hAnsi="宋体"/>
                <w:szCs w:val="21"/>
                <w:highlight w:val="none"/>
              </w:rPr>
            </w:pPr>
          </w:p>
        </w:tc>
        <w:tc>
          <w:tcPr>
            <w:tcW w:w="2840" w:type="dxa"/>
            <w:gridSpan w:val="3"/>
            <w:vMerge w:val="continue"/>
            <w:vAlign w:val="center"/>
          </w:tcPr>
          <w:p>
            <w:pPr>
              <w:pStyle w:val="64"/>
              <w:rPr>
                <w:rFonts w:hAnsi="宋体"/>
                <w:szCs w:val="21"/>
                <w:highlight w:val="none"/>
              </w:rPr>
            </w:pPr>
          </w:p>
        </w:tc>
        <w:tc>
          <w:tcPr>
            <w:tcW w:w="7396" w:type="dxa"/>
            <w:vAlign w:val="center"/>
          </w:tcPr>
          <w:p>
            <w:pPr>
              <w:pStyle w:val="64"/>
              <w:jc w:val="left"/>
              <w:rPr>
                <w:rFonts w:hAnsi="宋体"/>
                <w:szCs w:val="21"/>
                <w:highlight w:val="none"/>
              </w:rPr>
            </w:pPr>
            <w:r>
              <w:rPr>
                <w:rFonts w:hAnsi="宋体"/>
                <w:spacing w:val="1"/>
                <w:szCs w:val="21"/>
                <w:highlight w:val="none"/>
              </w:rPr>
              <w:t>5</w:t>
            </w:r>
            <w:r>
              <w:rPr>
                <w:rFonts w:hAnsi="宋体"/>
                <w:szCs w:val="21"/>
                <w:highlight w:val="none"/>
              </w:rPr>
              <w:t>.</w:t>
            </w:r>
            <w:r>
              <w:rPr>
                <w:rFonts w:hAnsi="宋体"/>
                <w:spacing w:val="-227"/>
                <w:position w:val="-2"/>
                <w:szCs w:val="21"/>
                <w:highlight w:val="none"/>
              </w:rPr>
              <w:t>○</w:t>
            </w:r>
            <w:r>
              <w:rPr>
                <w:rFonts w:hAnsi="宋体"/>
                <w:szCs w:val="21"/>
                <w:highlight w:val="none"/>
              </w:rPr>
              <w:t>√小于</w:t>
            </w:r>
            <w:r>
              <w:rPr>
                <w:rFonts w:hAnsi="宋体"/>
                <w:spacing w:val="1"/>
                <w:szCs w:val="21"/>
                <w:highlight w:val="none"/>
              </w:rPr>
              <w:t>2</w:t>
            </w:r>
            <w:r>
              <w:rPr>
                <w:rFonts w:hAnsi="宋体"/>
                <w:szCs w:val="21"/>
                <w:highlight w:val="none"/>
              </w:rPr>
              <w:t>0万方。</w:t>
            </w:r>
          </w:p>
        </w:tc>
        <w:tc>
          <w:tcPr>
            <w:tcW w:w="761" w:type="dxa"/>
            <w:vAlign w:val="center"/>
          </w:tcPr>
          <w:p>
            <w:pPr>
              <w:pStyle w:val="64"/>
              <w:rPr>
                <w:rFonts w:hAnsi="宋体"/>
                <w:szCs w:val="21"/>
                <w:highlight w:val="none"/>
              </w:rPr>
            </w:pPr>
            <w:r>
              <w:rPr>
                <w:rFonts w:hAnsi="宋体"/>
                <w:szCs w:val="21"/>
                <w:highlight w:val="none"/>
              </w:rPr>
              <w:t>0</w:t>
            </w:r>
          </w:p>
        </w:tc>
        <w:tc>
          <w:tcPr>
            <w:tcW w:w="1055" w:type="dxa"/>
            <w:vMerge w:val="continue"/>
            <w:vAlign w:val="center"/>
          </w:tcPr>
          <w:p>
            <w:pPr>
              <w:pStyle w:val="64"/>
              <w:rPr>
                <w:rFonts w:hAnsi="宋体"/>
                <w:szCs w:val="21"/>
                <w:highlight w:val="none"/>
              </w:rPr>
            </w:pPr>
          </w:p>
        </w:tc>
        <w:tc>
          <w:tcPr>
            <w:tcW w:w="1245"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95" w:type="dxa"/>
            <w:vAlign w:val="center"/>
          </w:tcPr>
          <w:p>
            <w:pPr>
              <w:pStyle w:val="64"/>
              <w:rPr>
                <w:rFonts w:hAnsi="宋体"/>
                <w:szCs w:val="21"/>
                <w:highlight w:val="none"/>
              </w:rPr>
            </w:pPr>
            <w:r>
              <w:rPr>
                <w:rFonts w:hint="eastAsia" w:hAnsi="宋体"/>
                <w:szCs w:val="21"/>
                <w:highlight w:val="none"/>
              </w:rPr>
              <w:t>备注</w:t>
            </w:r>
          </w:p>
        </w:tc>
        <w:tc>
          <w:tcPr>
            <w:tcW w:w="13297" w:type="dxa"/>
            <w:gridSpan w:val="7"/>
            <w:vAlign w:val="center"/>
          </w:tcPr>
          <w:p>
            <w:pPr>
              <w:pStyle w:val="64"/>
              <w:jc w:val="left"/>
              <w:rPr>
                <w:rFonts w:hAnsi="宋体"/>
                <w:szCs w:val="21"/>
                <w:highlight w:val="none"/>
              </w:rPr>
            </w:pPr>
            <w:r>
              <w:rPr>
                <w:rFonts w:hAnsi="宋体"/>
                <w:szCs w:val="21"/>
                <w:highlight w:val="none"/>
              </w:rPr>
              <w:t>注：（</w:t>
            </w:r>
            <w:r>
              <w:rPr>
                <w:rFonts w:hAnsi="宋体"/>
                <w:spacing w:val="1"/>
                <w:szCs w:val="21"/>
                <w:highlight w:val="none"/>
              </w:rPr>
              <w:t>1</w:t>
            </w:r>
            <w:r>
              <w:rPr>
                <w:rFonts w:hAnsi="宋体"/>
                <w:szCs w:val="21"/>
                <w:highlight w:val="none"/>
              </w:rPr>
              <w:t>）类型：指矿种类型（包括主矿种、附属矿种）</w:t>
            </w:r>
            <w:r>
              <w:rPr>
                <w:rFonts w:hAnsi="宋体"/>
                <w:spacing w:val="-2"/>
                <w:szCs w:val="21"/>
                <w:highlight w:val="none"/>
              </w:rPr>
              <w:t>/</w:t>
            </w:r>
            <w:r>
              <w:rPr>
                <w:rFonts w:hAnsi="宋体"/>
                <w:szCs w:val="21"/>
                <w:highlight w:val="none"/>
              </w:rPr>
              <w:t>固体废物类型</w:t>
            </w:r>
            <w:r>
              <w:rPr>
                <w:rFonts w:hAnsi="宋体"/>
                <w:spacing w:val="1"/>
                <w:szCs w:val="21"/>
                <w:highlight w:val="none"/>
              </w:rPr>
              <w:t>/</w:t>
            </w:r>
            <w:r>
              <w:rPr>
                <w:rFonts w:hAnsi="宋体"/>
                <w:szCs w:val="21"/>
                <w:highlight w:val="none"/>
              </w:rPr>
              <w:t>尾矿（或尾矿水）成分类型，以环境危害大的计算。</w:t>
            </w:r>
          </w:p>
          <w:p>
            <w:pPr>
              <w:pStyle w:val="64"/>
              <w:jc w:val="left"/>
              <w:rPr>
                <w:rFonts w:hAnsi="宋体"/>
                <w:szCs w:val="21"/>
                <w:highlight w:val="none"/>
              </w:rPr>
            </w:pPr>
            <w:r>
              <w:rPr>
                <w:rFonts w:hAnsi="宋体"/>
                <w:szCs w:val="21"/>
                <w:highlight w:val="none"/>
              </w:rPr>
              <w:t>（</w:t>
            </w:r>
            <w:r>
              <w:rPr>
                <w:rFonts w:hAnsi="宋体"/>
                <w:spacing w:val="1"/>
                <w:szCs w:val="21"/>
                <w:highlight w:val="none"/>
              </w:rPr>
              <w:t>2</w:t>
            </w:r>
            <w:r>
              <w:rPr>
                <w:rFonts w:hAnsi="宋体"/>
                <w:spacing w:val="-10"/>
                <w:szCs w:val="21"/>
                <w:highlight w:val="none"/>
              </w:rPr>
              <w:t>）</w:t>
            </w:r>
            <w:r>
              <w:rPr>
                <w:rFonts w:hAnsi="宋体"/>
                <w:szCs w:val="21"/>
                <w:highlight w:val="none"/>
              </w:rPr>
              <w:t>特征污染物浓度倍数</w:t>
            </w:r>
            <w:r>
              <w:rPr>
                <w:rFonts w:hAnsi="宋体"/>
                <w:spacing w:val="-8"/>
                <w:szCs w:val="21"/>
                <w:highlight w:val="none"/>
              </w:rPr>
              <w:t>：</w:t>
            </w:r>
            <w:r>
              <w:rPr>
                <w:rFonts w:hAnsi="宋体"/>
                <w:szCs w:val="21"/>
                <w:highlight w:val="none"/>
              </w:rPr>
              <w:t>指特征污染物的实测浓度与该特征污染物的排放标准或质量标</w:t>
            </w:r>
            <w:r>
              <w:rPr>
                <w:rFonts w:hAnsi="宋体"/>
                <w:spacing w:val="-8"/>
                <w:szCs w:val="21"/>
                <w:highlight w:val="none"/>
              </w:rPr>
              <w:t>准</w:t>
            </w:r>
            <w:r>
              <w:rPr>
                <w:rFonts w:hAnsi="宋体"/>
                <w:szCs w:val="21"/>
                <w:highlight w:val="none"/>
              </w:rPr>
              <w:t>（排放标准优先</w:t>
            </w:r>
            <w:r>
              <w:rPr>
                <w:rFonts w:hAnsi="宋体"/>
                <w:spacing w:val="-8"/>
                <w:szCs w:val="21"/>
                <w:highlight w:val="none"/>
              </w:rPr>
              <w:t>）</w:t>
            </w:r>
            <w:r>
              <w:rPr>
                <w:rFonts w:hAnsi="宋体"/>
                <w:szCs w:val="21"/>
                <w:highlight w:val="none"/>
              </w:rPr>
              <w:t>的比值</w:t>
            </w:r>
            <w:r>
              <w:rPr>
                <w:rFonts w:hAnsi="宋体"/>
                <w:spacing w:val="-10"/>
                <w:szCs w:val="21"/>
                <w:highlight w:val="none"/>
              </w:rPr>
              <w:t>。</w:t>
            </w:r>
            <w:r>
              <w:rPr>
                <w:rFonts w:hAnsi="宋体"/>
                <w:szCs w:val="21"/>
                <w:highlight w:val="none"/>
              </w:rPr>
              <w:t>取样于尾矿库库区积液</w:t>
            </w:r>
            <w:r>
              <w:rPr>
                <w:rFonts w:hAnsi="宋体"/>
                <w:spacing w:val="-8"/>
                <w:szCs w:val="21"/>
                <w:highlight w:val="none"/>
              </w:rPr>
              <w:t>、</w:t>
            </w:r>
            <w:r>
              <w:rPr>
                <w:rFonts w:hAnsi="宋体"/>
                <w:szCs w:val="21"/>
                <w:highlight w:val="none"/>
              </w:rPr>
              <w:t>库区渗滤液或输送管中的水样品，以排在前面的优先。</w:t>
            </w:r>
          </w:p>
          <w:p>
            <w:pPr>
              <w:pStyle w:val="64"/>
              <w:jc w:val="left"/>
              <w:rPr>
                <w:rFonts w:hAnsi="宋体"/>
                <w:szCs w:val="21"/>
                <w:highlight w:val="none"/>
              </w:rPr>
            </w:pPr>
            <w:r>
              <w:rPr>
                <w:rFonts w:hAnsi="宋体"/>
                <w:szCs w:val="21"/>
                <w:highlight w:val="none"/>
              </w:rPr>
              <w:t>（</w:t>
            </w:r>
            <w:r>
              <w:rPr>
                <w:rFonts w:hAnsi="宋体"/>
                <w:spacing w:val="1"/>
                <w:szCs w:val="21"/>
                <w:highlight w:val="none"/>
              </w:rPr>
              <w:t>3</w:t>
            </w:r>
            <w:r>
              <w:rPr>
                <w:rFonts w:hAnsi="宋体"/>
                <w:szCs w:val="21"/>
                <w:highlight w:val="none"/>
              </w:rPr>
              <w:t>）指标最高浓度倍数：指所有特征污染物指标浓度倍数的最大值。</w:t>
            </w:r>
          </w:p>
          <w:p>
            <w:pPr>
              <w:pStyle w:val="64"/>
              <w:jc w:val="left"/>
              <w:rPr>
                <w:rFonts w:hAnsi="宋体"/>
                <w:szCs w:val="21"/>
                <w:highlight w:val="none"/>
              </w:rPr>
            </w:pPr>
            <w:r>
              <w:rPr>
                <w:rFonts w:hAnsi="宋体"/>
                <w:szCs w:val="21"/>
                <w:highlight w:val="none"/>
              </w:rPr>
              <w:t>（</w:t>
            </w:r>
            <w:r>
              <w:rPr>
                <w:rFonts w:hAnsi="宋体"/>
                <w:spacing w:val="1"/>
                <w:szCs w:val="21"/>
                <w:highlight w:val="none"/>
              </w:rPr>
              <w:t>4</w:t>
            </w:r>
            <w:r>
              <w:rPr>
                <w:rFonts w:hAnsi="宋体"/>
                <w:szCs w:val="21"/>
                <w:highlight w:val="none"/>
              </w:rPr>
              <w:t>）表中复选框“□”表示可以多选，按其中最高得分计算；单选框“○”表示只能单选。</w:t>
            </w:r>
          </w:p>
        </w:tc>
      </w:tr>
    </w:tbl>
    <w:p>
      <w:pPr>
        <w:spacing w:line="233" w:lineRule="exact"/>
        <w:ind w:firstLine="0" w:firstLineChars="0"/>
        <w:jc w:val="left"/>
        <w:rPr>
          <w:rFonts w:ascii="宋体" w:hAnsi="宋体" w:cs="宋体"/>
          <w:kern w:val="0"/>
          <w:sz w:val="18"/>
          <w:szCs w:val="18"/>
          <w:highlight w:val="none"/>
        </w:rPr>
        <w:sectPr>
          <w:pgSz w:w="16838" w:h="11920" w:orient="landscape"/>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2"/>
        <w:ind w:firstLine="480"/>
        <w:rPr>
          <w:rFonts w:hAnsi="宋体"/>
          <w:highlight w:val="none"/>
        </w:rPr>
      </w:pPr>
      <w:r>
        <w:rPr>
          <w:rFonts w:hAnsi="宋体"/>
          <w:highlight w:val="none"/>
        </w:rPr>
        <w:t>根据尾矿库环境危害性评分表可知，本项目尾矿库危害性评分为0分。</w:t>
      </w:r>
    </w:p>
    <w:p>
      <w:pPr>
        <w:pStyle w:val="65"/>
        <w:rPr>
          <w:rFonts w:hAnsi="宋体"/>
          <w:highlight w:val="none"/>
        </w:rPr>
      </w:pPr>
      <w:r>
        <w:rPr>
          <w:rFonts w:hAnsi="宋体"/>
          <w:highlight w:val="none"/>
        </w:rPr>
        <w:t>表</w:t>
      </w:r>
      <w:r>
        <w:rPr>
          <w:rFonts w:hAnsi="宋体"/>
          <w:spacing w:val="2"/>
          <w:highlight w:val="none"/>
        </w:rPr>
        <w:t>5</w:t>
      </w:r>
      <w:r>
        <w:rPr>
          <w:rFonts w:hint="eastAsia" w:hAnsi="宋体"/>
          <w:spacing w:val="2"/>
          <w:highlight w:val="none"/>
        </w:rPr>
        <w:t>.7</w:t>
      </w:r>
      <w:r>
        <w:rPr>
          <w:rFonts w:hAnsi="宋体"/>
          <w:highlight w:val="none"/>
        </w:rPr>
        <w:t>-</w:t>
      </w:r>
      <w:r>
        <w:rPr>
          <w:rFonts w:hint="eastAsia" w:hAnsi="宋体"/>
          <w:spacing w:val="2"/>
          <w:highlight w:val="none"/>
        </w:rPr>
        <w:t xml:space="preserve">4  </w:t>
      </w:r>
      <w:r>
        <w:rPr>
          <w:rFonts w:hAnsi="宋体"/>
          <w:highlight w:val="none"/>
        </w:rPr>
        <w:t>尾矿库</w:t>
      </w:r>
      <w:r>
        <w:rPr>
          <w:rFonts w:hAnsi="宋体"/>
          <w:spacing w:val="2"/>
          <w:highlight w:val="none"/>
        </w:rPr>
        <w:t>环</w:t>
      </w:r>
      <w:r>
        <w:rPr>
          <w:rFonts w:hAnsi="宋体"/>
          <w:highlight w:val="none"/>
        </w:rPr>
        <w:t>境</w:t>
      </w:r>
      <w:r>
        <w:rPr>
          <w:rFonts w:hAnsi="宋体"/>
          <w:spacing w:val="2"/>
          <w:highlight w:val="none"/>
        </w:rPr>
        <w:t>危</w:t>
      </w:r>
      <w:r>
        <w:rPr>
          <w:rFonts w:hAnsi="宋体"/>
          <w:highlight w:val="none"/>
        </w:rPr>
        <w:t>害性</w:t>
      </w:r>
      <w:r>
        <w:rPr>
          <w:rFonts w:hAnsi="宋体"/>
          <w:spacing w:val="2"/>
          <w:highlight w:val="none"/>
        </w:rPr>
        <w:t>（</w:t>
      </w:r>
      <w:r>
        <w:rPr>
          <w:rFonts w:hAnsi="宋体"/>
          <w:highlight w:val="none"/>
        </w:rPr>
        <w:t>H）</w:t>
      </w:r>
      <w:r>
        <w:rPr>
          <w:rFonts w:hAnsi="宋体"/>
          <w:spacing w:val="2"/>
          <w:highlight w:val="none"/>
        </w:rPr>
        <w:t>等</w:t>
      </w:r>
      <w:r>
        <w:rPr>
          <w:rFonts w:hAnsi="宋体"/>
          <w:highlight w:val="none"/>
        </w:rPr>
        <w:t>别</w:t>
      </w:r>
      <w:r>
        <w:rPr>
          <w:rFonts w:hAnsi="宋体"/>
          <w:spacing w:val="2"/>
          <w:highlight w:val="none"/>
        </w:rPr>
        <w:t>划</w:t>
      </w:r>
      <w:r>
        <w:rPr>
          <w:rFonts w:hAnsi="宋体"/>
          <w:highlight w:val="none"/>
        </w:rPr>
        <w:t>分表</w:t>
      </w:r>
    </w:p>
    <w:p>
      <w:pPr>
        <w:spacing w:before="6" w:line="20" w:lineRule="exact"/>
        <w:ind w:firstLine="0" w:firstLineChars="0"/>
        <w:jc w:val="left"/>
        <w:rPr>
          <w:rFonts w:ascii="宋体" w:hAnsi="宋体"/>
          <w:kern w:val="0"/>
          <w:sz w:val="4"/>
          <w:szCs w:val="4"/>
          <w:highlight w:val="none"/>
        </w:rPr>
      </w:pPr>
    </w:p>
    <w:tbl>
      <w:tblPr>
        <w:tblStyle w:val="44"/>
        <w:tblW w:w="906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530"/>
        <w:gridCol w:w="453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30" w:type="dxa"/>
            <w:vAlign w:val="center"/>
          </w:tcPr>
          <w:p>
            <w:pPr>
              <w:pStyle w:val="64"/>
              <w:rPr>
                <w:rFonts w:hAnsi="宋体"/>
                <w:highlight w:val="none"/>
              </w:rPr>
            </w:pPr>
            <w:r>
              <w:rPr>
                <w:rFonts w:hAnsi="宋体"/>
                <w:highlight w:val="none"/>
              </w:rPr>
              <w:t>尾矿库环境危害性得分（H）</w:t>
            </w:r>
          </w:p>
        </w:tc>
        <w:tc>
          <w:tcPr>
            <w:tcW w:w="4530" w:type="dxa"/>
            <w:vAlign w:val="center"/>
          </w:tcPr>
          <w:p>
            <w:pPr>
              <w:pStyle w:val="64"/>
              <w:rPr>
                <w:rFonts w:hAnsi="宋体"/>
                <w:highlight w:val="none"/>
              </w:rPr>
            </w:pPr>
            <w:r>
              <w:rPr>
                <w:rFonts w:hAnsi="宋体"/>
                <w:highlight w:val="none"/>
              </w:rPr>
              <w:t>尾矿库环境危害性等别代码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30" w:type="dxa"/>
            <w:vAlign w:val="center"/>
          </w:tcPr>
          <w:p>
            <w:pPr>
              <w:pStyle w:val="64"/>
              <w:rPr>
                <w:rFonts w:hAnsi="宋体"/>
                <w:highlight w:val="none"/>
              </w:rPr>
            </w:pPr>
            <w:r>
              <w:rPr>
                <w:rFonts w:hAnsi="宋体"/>
                <w:highlight w:val="none"/>
              </w:rPr>
              <w:t>DH&gt;60</w:t>
            </w:r>
          </w:p>
        </w:tc>
        <w:tc>
          <w:tcPr>
            <w:tcW w:w="4530" w:type="dxa"/>
            <w:vAlign w:val="center"/>
          </w:tcPr>
          <w:p>
            <w:pPr>
              <w:pStyle w:val="64"/>
              <w:rPr>
                <w:rFonts w:hAnsi="宋体"/>
                <w:highlight w:val="none"/>
              </w:rPr>
            </w:pPr>
            <w:r>
              <w:rPr>
                <w:rFonts w:hAnsi="宋体"/>
                <w:highlight w:val="none"/>
              </w:rPr>
              <w:t>H1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30" w:type="dxa"/>
            <w:vAlign w:val="center"/>
          </w:tcPr>
          <w:p>
            <w:pPr>
              <w:pStyle w:val="64"/>
              <w:rPr>
                <w:rFonts w:hAnsi="宋体"/>
                <w:highlight w:val="none"/>
              </w:rPr>
            </w:pPr>
            <w:r>
              <w:rPr>
                <w:rFonts w:hAnsi="宋体"/>
                <w:highlight w:val="none"/>
              </w:rPr>
              <w:t>30&lt;DH≤60</w:t>
            </w:r>
          </w:p>
        </w:tc>
        <w:tc>
          <w:tcPr>
            <w:tcW w:w="4530" w:type="dxa"/>
            <w:vAlign w:val="center"/>
          </w:tcPr>
          <w:p>
            <w:pPr>
              <w:pStyle w:val="64"/>
              <w:rPr>
                <w:rFonts w:hAnsi="宋体"/>
                <w:highlight w:val="none"/>
              </w:rPr>
            </w:pPr>
            <w:r>
              <w:rPr>
                <w:rFonts w:hAnsi="宋体"/>
                <w:highlight w:val="none"/>
              </w:rPr>
              <w:t>H2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530" w:type="dxa"/>
            <w:vAlign w:val="center"/>
          </w:tcPr>
          <w:p>
            <w:pPr>
              <w:pStyle w:val="64"/>
              <w:rPr>
                <w:rFonts w:hAnsi="宋体"/>
                <w:highlight w:val="none"/>
              </w:rPr>
            </w:pPr>
            <w:r>
              <w:rPr>
                <w:rFonts w:hAnsi="宋体"/>
                <w:highlight w:val="none"/>
              </w:rPr>
              <w:t>DH≤30</w:t>
            </w:r>
          </w:p>
        </w:tc>
        <w:tc>
          <w:tcPr>
            <w:tcW w:w="4530" w:type="dxa"/>
            <w:vAlign w:val="center"/>
          </w:tcPr>
          <w:p>
            <w:pPr>
              <w:pStyle w:val="64"/>
              <w:rPr>
                <w:rFonts w:hAnsi="宋体"/>
                <w:highlight w:val="none"/>
              </w:rPr>
            </w:pPr>
            <w:r>
              <w:rPr>
                <w:rFonts w:hAnsi="宋体"/>
                <w:highlight w:val="none"/>
              </w:rPr>
              <w:t>H3</w:t>
            </w:r>
          </w:p>
        </w:tc>
      </w:tr>
    </w:tbl>
    <w:p>
      <w:pPr>
        <w:pStyle w:val="62"/>
        <w:ind w:firstLine="480"/>
        <w:rPr>
          <w:rFonts w:hAnsi="宋体"/>
          <w:highlight w:val="none"/>
        </w:rPr>
      </w:pPr>
      <w:r>
        <w:rPr>
          <w:rFonts w:hAnsi="宋体"/>
          <w:highlight w:val="none"/>
        </w:rPr>
        <w:t>根据尾矿库环境危废害性等别划分表，表5</w:t>
      </w:r>
      <w:r>
        <w:rPr>
          <w:rFonts w:hint="eastAsia" w:hAnsi="宋体"/>
          <w:highlight w:val="none"/>
        </w:rPr>
        <w:t>.7</w:t>
      </w:r>
      <w:r>
        <w:rPr>
          <w:rFonts w:hAnsi="宋体"/>
          <w:highlight w:val="none"/>
        </w:rPr>
        <w:t>-</w:t>
      </w:r>
      <w:r>
        <w:rPr>
          <w:rFonts w:hint="eastAsia" w:hAnsi="宋体"/>
          <w:highlight w:val="none"/>
        </w:rPr>
        <w:t>4</w:t>
      </w:r>
      <w:r>
        <w:rPr>
          <w:rFonts w:hAnsi="宋体"/>
          <w:highlight w:val="none"/>
        </w:rPr>
        <w:t>所示，本项目尾矿库危害性等别为H3。</w:t>
      </w:r>
    </w:p>
    <w:p>
      <w:pPr>
        <w:pStyle w:val="62"/>
        <w:ind w:firstLine="480"/>
        <w:rPr>
          <w:rFonts w:hAnsi="宋体"/>
          <w:highlight w:val="none"/>
        </w:rPr>
      </w:pPr>
      <w:r>
        <w:rPr>
          <w:rFonts w:hint="eastAsia" w:hAnsi="宋体"/>
          <w:highlight w:val="none"/>
        </w:rPr>
        <w:t>2、</w:t>
      </w:r>
      <w:r>
        <w:rPr>
          <w:rFonts w:hAnsi="宋体"/>
          <w:highlight w:val="none"/>
        </w:rPr>
        <w:t>周边敏感性</w:t>
      </w:r>
    </w:p>
    <w:p>
      <w:pPr>
        <w:pStyle w:val="62"/>
        <w:ind w:firstLine="480"/>
        <w:rPr>
          <w:rFonts w:hAnsi="宋体"/>
          <w:highlight w:val="none"/>
        </w:rPr>
      </w:pPr>
      <w:r>
        <w:rPr>
          <w:rFonts w:hAnsi="宋体"/>
          <w:highlight w:val="none"/>
        </w:rPr>
        <w:t>本项目采用评分方法，对尾矿库下游涉及的跨界情况、周边环境风险受体情况、周边环境功能类别情况三方面指标进行评分与累加求和，评估尾矿库周边环境敏感性（S）。</w:t>
      </w:r>
    </w:p>
    <w:p>
      <w:pPr>
        <w:pStyle w:val="62"/>
        <w:ind w:firstLine="480"/>
        <w:rPr>
          <w:rFonts w:hAnsi="宋体"/>
          <w:highlight w:val="none"/>
        </w:rPr>
      </w:pPr>
      <w:r>
        <w:rPr>
          <w:rFonts w:hAnsi="宋体"/>
          <w:highlight w:val="none"/>
        </w:rPr>
        <w:t>尾矿库周边敏感性评分表见表5</w:t>
      </w:r>
      <w:r>
        <w:rPr>
          <w:rFonts w:hint="eastAsia" w:hAnsi="宋体"/>
          <w:highlight w:val="none"/>
        </w:rPr>
        <w:t>.7</w:t>
      </w:r>
      <w:r>
        <w:rPr>
          <w:rFonts w:hAnsi="宋体"/>
          <w:highlight w:val="none"/>
        </w:rPr>
        <w:t>-</w:t>
      </w:r>
      <w:r>
        <w:rPr>
          <w:rFonts w:hint="eastAsia" w:hAnsi="宋体"/>
          <w:highlight w:val="none"/>
        </w:rPr>
        <w:t>5</w:t>
      </w:r>
      <w:r>
        <w:rPr>
          <w:rFonts w:hAnsi="宋体"/>
          <w:highlight w:val="none"/>
        </w:rPr>
        <w:t>。</w:t>
      </w:r>
    </w:p>
    <w:p>
      <w:pPr>
        <w:pStyle w:val="62"/>
        <w:ind w:firstLine="480"/>
        <w:rPr>
          <w:rFonts w:hAnsi="宋体"/>
          <w:highlight w:val="none"/>
        </w:rPr>
      </w:pPr>
    </w:p>
    <w:p>
      <w:pPr>
        <w:pStyle w:val="62"/>
        <w:ind w:firstLine="360"/>
        <w:rPr>
          <w:rFonts w:hAnsi="宋体" w:cs="宋体"/>
          <w:sz w:val="18"/>
          <w:szCs w:val="18"/>
          <w:highlight w:val="none"/>
        </w:rPr>
        <w:sectPr>
          <w:pgSz w:w="11906" w:h="16840"/>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5"/>
        <w:rPr>
          <w:rFonts w:hAnsi="宋体"/>
          <w:highlight w:val="none"/>
        </w:rPr>
      </w:pPr>
      <w:r>
        <w:rPr>
          <w:rFonts w:hAnsi="宋体"/>
          <w:highlight w:val="none"/>
        </w:rPr>
        <w:t>表5</w:t>
      </w:r>
      <w:r>
        <w:rPr>
          <w:rFonts w:hint="eastAsia" w:hAnsi="宋体"/>
          <w:highlight w:val="none"/>
        </w:rPr>
        <w:t>.7</w:t>
      </w:r>
      <w:r>
        <w:rPr>
          <w:rFonts w:hAnsi="宋体"/>
          <w:highlight w:val="none"/>
        </w:rPr>
        <w:t>-</w:t>
      </w:r>
      <w:r>
        <w:rPr>
          <w:rFonts w:hint="eastAsia" w:hAnsi="宋体"/>
          <w:highlight w:val="none"/>
        </w:rPr>
        <w:t xml:space="preserve">5  </w:t>
      </w:r>
      <w:r>
        <w:rPr>
          <w:rFonts w:hAnsi="宋体"/>
          <w:highlight w:val="none"/>
        </w:rPr>
        <w:t>周边环境敏感性指标评分表</w:t>
      </w:r>
    </w:p>
    <w:p>
      <w:pPr>
        <w:spacing w:before="8" w:line="10" w:lineRule="exact"/>
        <w:ind w:firstLine="0" w:firstLineChars="0"/>
        <w:jc w:val="left"/>
        <w:rPr>
          <w:rFonts w:ascii="宋体" w:hAnsi="宋体"/>
          <w:kern w:val="0"/>
          <w:sz w:val="4"/>
          <w:szCs w:val="4"/>
          <w:highlight w:val="none"/>
        </w:rPr>
      </w:pPr>
    </w:p>
    <w:tbl>
      <w:tblPr>
        <w:tblStyle w:val="44"/>
        <w:tblW w:w="1399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86"/>
        <w:gridCol w:w="327"/>
        <w:gridCol w:w="837"/>
        <w:gridCol w:w="708"/>
        <w:gridCol w:w="851"/>
        <w:gridCol w:w="5448"/>
        <w:gridCol w:w="507"/>
        <w:gridCol w:w="708"/>
        <w:gridCol w:w="382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Align w:val="center"/>
          </w:tcPr>
          <w:p>
            <w:pPr>
              <w:pStyle w:val="64"/>
              <w:rPr>
                <w:rFonts w:hAnsi="宋体"/>
                <w:highlight w:val="none"/>
              </w:rPr>
            </w:pPr>
            <w:r>
              <w:rPr>
                <w:rFonts w:hAnsi="宋体"/>
                <w:highlight w:val="none"/>
              </w:rPr>
              <w:t>指</w:t>
            </w:r>
            <w:r>
              <w:rPr>
                <w:rFonts w:hAnsi="宋体"/>
                <w:spacing w:val="2"/>
                <w:highlight w:val="none"/>
              </w:rPr>
              <w:t>标</w:t>
            </w:r>
            <w:r>
              <w:rPr>
                <w:rFonts w:hAnsi="宋体"/>
                <w:highlight w:val="none"/>
              </w:rPr>
              <w:t>因子</w:t>
            </w:r>
          </w:p>
        </w:tc>
        <w:tc>
          <w:tcPr>
            <w:tcW w:w="7007" w:type="dxa"/>
            <w:gridSpan w:val="3"/>
            <w:vAlign w:val="center"/>
          </w:tcPr>
          <w:p>
            <w:pPr>
              <w:pStyle w:val="64"/>
              <w:rPr>
                <w:rFonts w:hAnsi="宋体"/>
                <w:highlight w:val="none"/>
              </w:rPr>
            </w:pPr>
            <w:r>
              <w:rPr>
                <w:rFonts w:hAnsi="宋体"/>
                <w:highlight w:val="none"/>
              </w:rPr>
              <w:t>评</w:t>
            </w:r>
            <w:r>
              <w:rPr>
                <w:rFonts w:hAnsi="宋体"/>
                <w:spacing w:val="2"/>
                <w:highlight w:val="none"/>
              </w:rPr>
              <w:t>分</w:t>
            </w:r>
            <w:r>
              <w:rPr>
                <w:rFonts w:hAnsi="宋体"/>
                <w:highlight w:val="none"/>
              </w:rPr>
              <w:t>依据</w:t>
            </w:r>
          </w:p>
        </w:tc>
        <w:tc>
          <w:tcPr>
            <w:tcW w:w="507" w:type="dxa"/>
            <w:vAlign w:val="center"/>
          </w:tcPr>
          <w:p>
            <w:pPr>
              <w:pStyle w:val="64"/>
              <w:rPr>
                <w:rFonts w:hAnsi="宋体"/>
                <w:highlight w:val="none"/>
              </w:rPr>
            </w:pPr>
            <w:r>
              <w:rPr>
                <w:rFonts w:hAnsi="宋体"/>
                <w:highlight w:val="none"/>
              </w:rPr>
              <w:t>评分</w:t>
            </w:r>
          </w:p>
        </w:tc>
        <w:tc>
          <w:tcPr>
            <w:tcW w:w="708" w:type="dxa"/>
            <w:vAlign w:val="center"/>
          </w:tcPr>
          <w:p>
            <w:pPr>
              <w:pStyle w:val="64"/>
              <w:rPr>
                <w:rFonts w:hAnsi="宋体"/>
                <w:highlight w:val="none"/>
              </w:rPr>
            </w:pPr>
            <w:r>
              <w:rPr>
                <w:rFonts w:hAnsi="宋体"/>
                <w:highlight w:val="none"/>
              </w:rPr>
              <w:t>自</w:t>
            </w:r>
            <w:r>
              <w:rPr>
                <w:rFonts w:hAnsi="宋体"/>
                <w:spacing w:val="2"/>
                <w:highlight w:val="none"/>
              </w:rPr>
              <w:t>评</w:t>
            </w:r>
            <w:r>
              <w:rPr>
                <w:rFonts w:hAnsi="宋体"/>
                <w:highlight w:val="none"/>
              </w:rPr>
              <w:t>分</w:t>
            </w:r>
          </w:p>
        </w:tc>
        <w:tc>
          <w:tcPr>
            <w:tcW w:w="3820" w:type="dxa"/>
            <w:vAlign w:val="center"/>
          </w:tcPr>
          <w:p>
            <w:pPr>
              <w:pStyle w:val="64"/>
              <w:rPr>
                <w:rFonts w:hAnsi="宋体"/>
                <w:highlight w:val="none"/>
              </w:rPr>
            </w:pPr>
            <w:r>
              <w:rPr>
                <w:rFonts w:hAnsi="宋体"/>
                <w:highlight w:val="none"/>
              </w:rPr>
              <w:t>特</w:t>
            </w:r>
            <w:r>
              <w:rPr>
                <w:rFonts w:hAnsi="宋体"/>
                <w:spacing w:val="2"/>
                <w:highlight w:val="none"/>
              </w:rPr>
              <w:t>别</w:t>
            </w:r>
            <w:r>
              <w:rPr>
                <w:rFonts w:hAnsi="宋体"/>
                <w:highlight w:val="none"/>
              </w:rPr>
              <w:t>说明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restart"/>
            <w:vAlign w:val="center"/>
          </w:tcPr>
          <w:p>
            <w:pPr>
              <w:pStyle w:val="64"/>
              <w:rPr>
                <w:rFonts w:hAnsi="宋体"/>
                <w:highlight w:val="none"/>
              </w:rPr>
            </w:pPr>
            <w:r>
              <w:rPr>
                <w:rFonts w:hAnsi="宋体"/>
                <w:highlight w:val="none"/>
              </w:rPr>
              <w:t>下游涉及的跨界情况（</w:t>
            </w:r>
            <w:r>
              <w:rPr>
                <w:rFonts w:hAnsi="宋体" w:cs="hakuyoxingshu7000"/>
                <w:spacing w:val="1"/>
                <w:highlight w:val="none"/>
              </w:rPr>
              <w:t>2</w:t>
            </w:r>
            <w:r>
              <w:rPr>
                <w:rFonts w:hAnsi="宋体" w:cs="hakuyoxingshu7000"/>
                <w:highlight w:val="none"/>
              </w:rPr>
              <w:t>4</w:t>
            </w:r>
            <w:r>
              <w:rPr>
                <w:rFonts w:hAnsi="宋体"/>
                <w:highlight w:val="none"/>
              </w:rPr>
              <w:t>分）</w:t>
            </w:r>
          </w:p>
        </w:tc>
        <w:tc>
          <w:tcPr>
            <w:tcW w:w="1164" w:type="dxa"/>
            <w:gridSpan w:val="2"/>
            <w:vMerge w:val="restart"/>
            <w:vAlign w:val="center"/>
          </w:tcPr>
          <w:p>
            <w:pPr>
              <w:pStyle w:val="64"/>
              <w:rPr>
                <w:rFonts w:hAnsi="宋体"/>
                <w:highlight w:val="none"/>
              </w:rPr>
            </w:pPr>
            <w:r>
              <w:rPr>
                <w:rFonts w:hAnsi="宋体"/>
                <w:w w:val="95"/>
                <w:highlight w:val="none"/>
              </w:rPr>
              <w:t>涉</w:t>
            </w:r>
            <w:r>
              <w:rPr>
                <w:rFonts w:hAnsi="宋体"/>
                <w:spacing w:val="1"/>
                <w:w w:val="95"/>
                <w:highlight w:val="none"/>
              </w:rPr>
              <w:t>及</w:t>
            </w:r>
            <w:r>
              <w:rPr>
                <w:rFonts w:hAnsi="宋体"/>
                <w:w w:val="95"/>
                <w:highlight w:val="none"/>
              </w:rPr>
              <w:t>跨界</w:t>
            </w:r>
            <w:r>
              <w:rPr>
                <w:rFonts w:hAnsi="宋体"/>
                <w:highlight w:val="none"/>
              </w:rPr>
              <w:t>类型</w:t>
            </w:r>
            <w:r>
              <w:rPr>
                <w:rFonts w:hAnsi="宋体"/>
                <w:spacing w:val="2"/>
                <w:highlight w:val="none"/>
              </w:rPr>
              <w:t>（</w:t>
            </w:r>
            <w:r>
              <w:rPr>
                <w:rFonts w:hAnsi="宋体" w:cs="hakuyoxingshu7000"/>
                <w:spacing w:val="1"/>
                <w:highlight w:val="none"/>
              </w:rPr>
              <w:t>1</w:t>
            </w:r>
            <w:r>
              <w:rPr>
                <w:rFonts w:hAnsi="宋体" w:cs="hakuyoxingshu7000"/>
                <w:highlight w:val="none"/>
              </w:rPr>
              <w:t>8</w:t>
            </w:r>
            <w:r>
              <w:rPr>
                <w:rFonts w:hAnsi="宋体"/>
                <w:highlight w:val="none"/>
              </w:rPr>
              <w:t>分）</w:t>
            </w:r>
          </w:p>
        </w:tc>
        <w:tc>
          <w:tcPr>
            <w:tcW w:w="7007" w:type="dxa"/>
            <w:gridSpan w:val="3"/>
            <w:vAlign w:val="center"/>
          </w:tcPr>
          <w:p>
            <w:pPr>
              <w:pStyle w:val="64"/>
              <w:jc w:val="left"/>
              <w:rPr>
                <w:rFonts w:hAnsi="宋体"/>
                <w:highlight w:val="none"/>
              </w:rPr>
            </w:pPr>
            <w:r>
              <w:rPr>
                <w:rFonts w:hAnsi="宋体"/>
                <w:highlight w:val="none"/>
              </w:rPr>
              <w:t>1.○国界。</w:t>
            </w:r>
          </w:p>
        </w:tc>
        <w:tc>
          <w:tcPr>
            <w:tcW w:w="507" w:type="dxa"/>
            <w:vAlign w:val="center"/>
          </w:tcPr>
          <w:p>
            <w:pPr>
              <w:pStyle w:val="64"/>
              <w:rPr>
                <w:rFonts w:hAnsi="宋体" w:cs="hakuyoxingshu7000"/>
                <w:highlight w:val="none"/>
              </w:rPr>
            </w:pPr>
            <w:r>
              <w:rPr>
                <w:rFonts w:hAnsi="宋体" w:cs="hakuyoxingshu7000"/>
                <w:spacing w:val="1"/>
                <w:highlight w:val="none"/>
              </w:rPr>
              <w:t>1</w:t>
            </w:r>
            <w:r>
              <w:rPr>
                <w:rFonts w:hAnsi="宋体" w:cs="hakuyoxingshu7000"/>
                <w:highlight w:val="none"/>
              </w:rPr>
              <w:t>8</w:t>
            </w:r>
          </w:p>
        </w:tc>
        <w:tc>
          <w:tcPr>
            <w:tcW w:w="708" w:type="dxa"/>
            <w:vMerge w:val="restart"/>
            <w:vAlign w:val="center"/>
          </w:tcPr>
          <w:p>
            <w:pPr>
              <w:pStyle w:val="64"/>
              <w:rPr>
                <w:rFonts w:hAnsi="宋体" w:cs="hakuyoxingshu7000"/>
                <w:highlight w:val="none"/>
              </w:rPr>
            </w:pPr>
            <w:r>
              <w:rPr>
                <w:rFonts w:hAnsi="宋体" w:cs="hakuyoxingshu7000"/>
                <w:highlight w:val="none"/>
              </w:rPr>
              <w:t>0</w:t>
            </w:r>
          </w:p>
        </w:tc>
        <w:tc>
          <w:tcPr>
            <w:tcW w:w="3820" w:type="dxa"/>
            <w:vAlign w:val="center"/>
          </w:tcPr>
          <w:p>
            <w:pPr>
              <w:pStyle w:val="64"/>
              <w:rPr>
                <w:rFonts w:hAnsi="宋体"/>
                <w:highlight w:val="none"/>
              </w:rPr>
            </w:pPr>
            <w:r>
              <w:rPr>
                <w:rFonts w:hAnsi="宋体"/>
                <w:highlight w:val="none"/>
              </w:rPr>
              <w:t>可</w:t>
            </w:r>
            <w:r>
              <w:rPr>
                <w:rFonts w:hAnsi="宋体"/>
                <w:spacing w:val="2"/>
                <w:highlight w:val="none"/>
              </w:rPr>
              <w:t>能</w:t>
            </w:r>
            <w:r>
              <w:rPr>
                <w:rFonts w:hAnsi="宋体"/>
                <w:highlight w:val="none"/>
              </w:rPr>
              <w:t>涉</w:t>
            </w:r>
            <w:r>
              <w:rPr>
                <w:rFonts w:hAnsi="宋体"/>
                <w:spacing w:val="2"/>
                <w:highlight w:val="none"/>
              </w:rPr>
              <w:t>及</w:t>
            </w:r>
            <w:r>
              <w:rPr>
                <w:rFonts w:hAnsi="宋体"/>
                <w:highlight w:val="none"/>
              </w:rPr>
              <w:t>到</w:t>
            </w:r>
            <w:r>
              <w:rPr>
                <w:rFonts w:hAnsi="宋体"/>
                <w:spacing w:val="2"/>
                <w:highlight w:val="none"/>
              </w:rPr>
              <w:t>跨</w:t>
            </w:r>
            <w:r>
              <w:rPr>
                <w:rFonts w:hAnsi="宋体"/>
                <w:highlight w:val="none"/>
              </w:rPr>
              <w:t>国</w:t>
            </w:r>
            <w:r>
              <w:rPr>
                <w:rFonts w:hAnsi="宋体"/>
                <w:spacing w:val="2"/>
                <w:highlight w:val="none"/>
              </w:rPr>
              <w:t>界</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2.○省界。</w:t>
            </w:r>
          </w:p>
        </w:tc>
        <w:tc>
          <w:tcPr>
            <w:tcW w:w="507" w:type="dxa"/>
            <w:vAlign w:val="center"/>
          </w:tcPr>
          <w:p>
            <w:pPr>
              <w:pStyle w:val="64"/>
              <w:rPr>
                <w:rFonts w:hAnsi="宋体" w:cs="hakuyoxingshu7000"/>
                <w:highlight w:val="none"/>
              </w:rPr>
            </w:pPr>
            <w:r>
              <w:rPr>
                <w:rFonts w:hAnsi="宋体" w:cs="hakuyoxingshu7000"/>
                <w:spacing w:val="1"/>
                <w:highlight w:val="none"/>
              </w:rPr>
              <w:t>1</w:t>
            </w:r>
            <w:r>
              <w:rPr>
                <w:rFonts w:hAnsi="宋体" w:cs="hakuyoxingshu7000"/>
                <w:highlight w:val="none"/>
              </w:rPr>
              <w:t>2</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highlight w:val="none"/>
              </w:rPr>
              <w:t>可</w:t>
            </w:r>
            <w:r>
              <w:rPr>
                <w:rFonts w:hAnsi="宋体"/>
                <w:spacing w:val="2"/>
                <w:highlight w:val="none"/>
              </w:rPr>
              <w:t>能</w:t>
            </w:r>
            <w:r>
              <w:rPr>
                <w:rFonts w:hAnsi="宋体"/>
                <w:highlight w:val="none"/>
              </w:rPr>
              <w:t>涉</w:t>
            </w:r>
            <w:r>
              <w:rPr>
                <w:rFonts w:hAnsi="宋体"/>
                <w:spacing w:val="2"/>
                <w:highlight w:val="none"/>
              </w:rPr>
              <w:t>及</w:t>
            </w:r>
            <w:r>
              <w:rPr>
                <w:rFonts w:hAnsi="宋体"/>
                <w:highlight w:val="none"/>
              </w:rPr>
              <w:t>到</w:t>
            </w:r>
            <w:r>
              <w:rPr>
                <w:rFonts w:hAnsi="宋体"/>
                <w:spacing w:val="2"/>
                <w:highlight w:val="none"/>
              </w:rPr>
              <w:t>跨</w:t>
            </w:r>
            <w:r>
              <w:rPr>
                <w:rFonts w:hAnsi="宋体"/>
                <w:highlight w:val="none"/>
              </w:rPr>
              <w:t>省</w:t>
            </w:r>
            <w:r>
              <w:rPr>
                <w:rFonts w:hAnsi="宋体"/>
                <w:spacing w:val="2"/>
                <w:highlight w:val="none"/>
              </w:rPr>
              <w:t>级</w:t>
            </w:r>
            <w:r>
              <w:rPr>
                <w:rFonts w:hAnsi="宋体"/>
                <w:highlight w:val="none"/>
              </w:rPr>
              <w:t>行</w:t>
            </w:r>
            <w:r>
              <w:rPr>
                <w:rFonts w:hAnsi="宋体"/>
                <w:spacing w:val="2"/>
                <w:highlight w:val="none"/>
              </w:rPr>
              <w:t>政</w:t>
            </w:r>
            <w:r>
              <w:rPr>
                <w:rFonts w:hAnsi="宋体"/>
                <w:highlight w:val="none"/>
              </w:rPr>
              <w:t>区</w:t>
            </w:r>
            <w:r>
              <w:rPr>
                <w:rFonts w:hAnsi="宋体"/>
                <w:spacing w:val="2"/>
                <w:highlight w:val="none"/>
              </w:rPr>
              <w:t>边</w:t>
            </w:r>
            <w:r>
              <w:rPr>
                <w:rFonts w:hAnsi="宋体"/>
                <w:highlight w:val="none"/>
              </w:rPr>
              <w:t>界。</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3.○市界。</w:t>
            </w:r>
          </w:p>
        </w:tc>
        <w:tc>
          <w:tcPr>
            <w:tcW w:w="507" w:type="dxa"/>
            <w:vAlign w:val="center"/>
          </w:tcPr>
          <w:p>
            <w:pPr>
              <w:pStyle w:val="64"/>
              <w:rPr>
                <w:rFonts w:hAnsi="宋体" w:cs="hakuyoxingshu7000"/>
                <w:highlight w:val="none"/>
              </w:rPr>
            </w:pPr>
            <w:r>
              <w:rPr>
                <w:rFonts w:hAnsi="宋体" w:cs="hakuyoxingshu7000"/>
                <w:highlight w:val="none"/>
              </w:rPr>
              <w:t>6</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highlight w:val="none"/>
              </w:rPr>
              <w:t>可</w:t>
            </w:r>
            <w:r>
              <w:rPr>
                <w:rFonts w:hAnsi="宋体"/>
                <w:spacing w:val="2"/>
                <w:highlight w:val="none"/>
              </w:rPr>
              <w:t>能</w:t>
            </w:r>
            <w:r>
              <w:rPr>
                <w:rFonts w:hAnsi="宋体"/>
                <w:highlight w:val="none"/>
              </w:rPr>
              <w:t>涉</w:t>
            </w:r>
            <w:r>
              <w:rPr>
                <w:rFonts w:hAnsi="宋体"/>
                <w:spacing w:val="2"/>
                <w:highlight w:val="none"/>
              </w:rPr>
              <w:t>及</w:t>
            </w:r>
            <w:r>
              <w:rPr>
                <w:rFonts w:hAnsi="宋体"/>
                <w:highlight w:val="none"/>
              </w:rPr>
              <w:t>到</w:t>
            </w:r>
            <w:r>
              <w:rPr>
                <w:rFonts w:hAnsi="宋体"/>
                <w:spacing w:val="2"/>
                <w:highlight w:val="none"/>
              </w:rPr>
              <w:t>跨</w:t>
            </w:r>
            <w:r>
              <w:rPr>
                <w:rFonts w:hAnsi="宋体"/>
                <w:highlight w:val="none"/>
              </w:rPr>
              <w:t>地</w:t>
            </w:r>
            <w:r>
              <w:rPr>
                <w:rFonts w:hAnsi="宋体"/>
                <w:spacing w:val="2"/>
                <w:highlight w:val="none"/>
              </w:rPr>
              <w:t>市</w:t>
            </w:r>
            <w:r>
              <w:rPr>
                <w:rFonts w:hAnsi="宋体"/>
                <w:highlight w:val="none"/>
              </w:rPr>
              <w:t>级</w:t>
            </w:r>
            <w:r>
              <w:rPr>
                <w:rFonts w:hAnsi="宋体"/>
                <w:spacing w:val="2"/>
                <w:highlight w:val="none"/>
              </w:rPr>
              <w:t>行</w:t>
            </w:r>
            <w:r>
              <w:rPr>
                <w:rFonts w:hAnsi="宋体"/>
                <w:highlight w:val="none"/>
              </w:rPr>
              <w:t>政</w:t>
            </w:r>
            <w:r>
              <w:rPr>
                <w:rFonts w:hAnsi="宋体"/>
                <w:spacing w:val="2"/>
                <w:highlight w:val="none"/>
              </w:rPr>
              <w:t>区</w:t>
            </w:r>
            <w:r>
              <w:rPr>
                <w:rFonts w:hAnsi="宋体"/>
                <w:highlight w:val="none"/>
              </w:rPr>
              <w:t>边</w:t>
            </w:r>
            <w:r>
              <w:rPr>
                <w:rFonts w:hAnsi="宋体"/>
                <w:spacing w:val="2"/>
                <w:highlight w:val="none"/>
              </w:rPr>
              <w:t>界</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4.○县界。</w:t>
            </w:r>
          </w:p>
        </w:tc>
        <w:tc>
          <w:tcPr>
            <w:tcW w:w="507" w:type="dxa"/>
            <w:vAlign w:val="center"/>
          </w:tcPr>
          <w:p>
            <w:pPr>
              <w:pStyle w:val="64"/>
              <w:rPr>
                <w:rFonts w:hAnsi="宋体" w:cs="hakuyoxingshu7000"/>
                <w:highlight w:val="none"/>
              </w:rPr>
            </w:pPr>
            <w:r>
              <w:rPr>
                <w:rFonts w:hAnsi="宋体" w:cs="hakuyoxingshu7000"/>
                <w:highlight w:val="none"/>
              </w:rPr>
              <w:t>3</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highlight w:val="none"/>
              </w:rPr>
              <w:t>可</w:t>
            </w:r>
            <w:r>
              <w:rPr>
                <w:rFonts w:hAnsi="宋体"/>
                <w:spacing w:val="2"/>
                <w:highlight w:val="none"/>
              </w:rPr>
              <w:t>能</w:t>
            </w:r>
            <w:r>
              <w:rPr>
                <w:rFonts w:hAnsi="宋体"/>
                <w:highlight w:val="none"/>
              </w:rPr>
              <w:t>涉</w:t>
            </w:r>
            <w:r>
              <w:rPr>
                <w:rFonts w:hAnsi="宋体"/>
                <w:spacing w:val="2"/>
                <w:highlight w:val="none"/>
              </w:rPr>
              <w:t>及</w:t>
            </w:r>
            <w:r>
              <w:rPr>
                <w:rFonts w:hAnsi="宋体"/>
                <w:highlight w:val="none"/>
              </w:rPr>
              <w:t>到</w:t>
            </w:r>
            <w:r>
              <w:rPr>
                <w:rFonts w:hAnsi="宋体"/>
                <w:spacing w:val="2"/>
                <w:highlight w:val="none"/>
              </w:rPr>
              <w:t>跨</w:t>
            </w:r>
            <w:r>
              <w:rPr>
                <w:rFonts w:hAnsi="宋体"/>
                <w:highlight w:val="none"/>
              </w:rPr>
              <w:t>县</w:t>
            </w:r>
            <w:r>
              <w:rPr>
                <w:rFonts w:hAnsi="宋体"/>
                <w:spacing w:val="2"/>
                <w:highlight w:val="none"/>
              </w:rPr>
              <w:t>级</w:t>
            </w:r>
            <w:r>
              <w:rPr>
                <w:rFonts w:hAnsi="宋体"/>
                <w:highlight w:val="none"/>
              </w:rPr>
              <w:t>行</w:t>
            </w:r>
            <w:r>
              <w:rPr>
                <w:rFonts w:hAnsi="宋体"/>
                <w:spacing w:val="2"/>
                <w:highlight w:val="none"/>
              </w:rPr>
              <w:t>政</w:t>
            </w:r>
            <w:r>
              <w:rPr>
                <w:rFonts w:hAnsi="宋体"/>
                <w:highlight w:val="none"/>
              </w:rPr>
              <w:t>区</w:t>
            </w:r>
            <w:r>
              <w:rPr>
                <w:rFonts w:hAnsi="宋体"/>
                <w:spacing w:val="2"/>
                <w:highlight w:val="none"/>
              </w:rPr>
              <w:t>边</w:t>
            </w:r>
            <w:r>
              <w:rPr>
                <w:rFonts w:hAnsi="宋体"/>
                <w:highlight w:val="none"/>
              </w:rPr>
              <w:t>界。</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5.</w:t>
            </w:r>
            <w:r>
              <w:rPr>
                <w:rFonts w:hAnsi="宋体"/>
                <w:highlight w:val="none"/>
              </w:rPr>
              <w:fldChar w:fldCharType="begin"/>
            </w:r>
            <w:r>
              <w:rPr>
                <w:rFonts w:hAnsi="宋体"/>
                <w:highlight w:val="none"/>
              </w:rPr>
              <w:instrText xml:space="preserve"> </w:instrText>
            </w:r>
            <w:r>
              <w:rPr>
                <w:rFonts w:hint="eastAsia" w:hAnsi="宋体"/>
                <w:highlight w:val="none"/>
              </w:rPr>
              <w:instrText xml:space="preserve">eq \o\ac(○,</w:instrText>
            </w:r>
            <w:r>
              <w:rPr>
                <w:rFonts w:hint="eastAsia" w:hAnsi="宋体"/>
                <w:position w:val="2"/>
                <w:sz w:val="14"/>
                <w:highlight w:val="none"/>
              </w:rPr>
              <w:instrText xml:space="preserve">√</w:instrText>
            </w:r>
            <w:r>
              <w:rPr>
                <w:rFonts w:hint="eastAsia" w:hAnsi="宋体"/>
                <w:highlight w:val="none"/>
              </w:rPr>
              <w:instrText xml:space="preserve">)</w:instrText>
            </w:r>
            <w:r>
              <w:rPr>
                <w:rFonts w:hAnsi="宋体"/>
                <w:highlight w:val="none"/>
              </w:rPr>
              <w:fldChar w:fldCharType="end"/>
            </w:r>
            <w:r>
              <w:rPr>
                <w:rFonts w:hAnsi="宋体"/>
                <w:highlight w:val="none"/>
              </w:rPr>
              <w:t>其他。</w:t>
            </w:r>
          </w:p>
        </w:tc>
        <w:tc>
          <w:tcPr>
            <w:tcW w:w="507" w:type="dxa"/>
            <w:vAlign w:val="center"/>
          </w:tcPr>
          <w:p>
            <w:pPr>
              <w:pStyle w:val="64"/>
              <w:rPr>
                <w:rFonts w:hAnsi="宋体" w:cs="hakuyoxingshu7000"/>
                <w:highlight w:val="none"/>
              </w:rPr>
            </w:pPr>
            <w:r>
              <w:rPr>
                <w:rFonts w:hAnsi="宋体" w:cs="hakuyoxingshu7000"/>
                <w:highlight w:val="none"/>
              </w:rPr>
              <w:t>0</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highlight w:val="none"/>
              </w:rPr>
              <w:t>其</w:t>
            </w:r>
            <w:r>
              <w:rPr>
                <w:rFonts w:hAnsi="宋体"/>
                <w:spacing w:val="2"/>
                <w:highlight w:val="none"/>
              </w:rPr>
              <w:t>他</w:t>
            </w:r>
            <w:r>
              <w:rPr>
                <w:rFonts w:hAnsi="宋体"/>
                <w:highlight w:val="none"/>
              </w:rPr>
              <w:t>情</w:t>
            </w:r>
            <w:r>
              <w:rPr>
                <w:rFonts w:hAnsi="宋体"/>
                <w:spacing w:val="2"/>
                <w:highlight w:val="none"/>
              </w:rPr>
              <w:t>况</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continue"/>
            <w:vAlign w:val="center"/>
          </w:tcPr>
          <w:p>
            <w:pPr>
              <w:pStyle w:val="64"/>
              <w:rPr>
                <w:rFonts w:hAnsi="宋体"/>
                <w:highlight w:val="none"/>
              </w:rPr>
            </w:pPr>
          </w:p>
        </w:tc>
        <w:tc>
          <w:tcPr>
            <w:tcW w:w="1164" w:type="dxa"/>
            <w:gridSpan w:val="2"/>
            <w:vMerge w:val="restart"/>
            <w:vAlign w:val="center"/>
          </w:tcPr>
          <w:p>
            <w:pPr>
              <w:pStyle w:val="64"/>
              <w:rPr>
                <w:rFonts w:hAnsi="宋体"/>
                <w:highlight w:val="none"/>
              </w:rPr>
            </w:pPr>
            <w:r>
              <w:rPr>
                <w:rFonts w:hAnsi="宋体"/>
                <w:w w:val="95"/>
                <w:highlight w:val="none"/>
              </w:rPr>
              <w:t>涉</w:t>
            </w:r>
            <w:r>
              <w:rPr>
                <w:rFonts w:hAnsi="宋体"/>
                <w:spacing w:val="1"/>
                <w:w w:val="95"/>
                <w:highlight w:val="none"/>
              </w:rPr>
              <w:t>及</w:t>
            </w:r>
            <w:r>
              <w:rPr>
                <w:rFonts w:hAnsi="宋体"/>
                <w:w w:val="95"/>
                <w:highlight w:val="none"/>
              </w:rPr>
              <w:t>跨界</w:t>
            </w:r>
            <w:r>
              <w:rPr>
                <w:rFonts w:hAnsi="宋体"/>
                <w:highlight w:val="none"/>
              </w:rPr>
              <w:t>距离（</w:t>
            </w:r>
            <w:r>
              <w:rPr>
                <w:rFonts w:hAnsi="宋体" w:cs="hakuyoxingshu7000"/>
                <w:highlight w:val="none"/>
              </w:rPr>
              <w:t>6</w:t>
            </w:r>
            <w:r>
              <w:rPr>
                <w:rFonts w:hAnsi="宋体"/>
                <w:highlight w:val="none"/>
              </w:rPr>
              <w:t>分）</w:t>
            </w:r>
          </w:p>
        </w:tc>
        <w:tc>
          <w:tcPr>
            <w:tcW w:w="7007" w:type="dxa"/>
            <w:gridSpan w:val="3"/>
            <w:vAlign w:val="center"/>
          </w:tcPr>
          <w:p>
            <w:pPr>
              <w:pStyle w:val="64"/>
              <w:jc w:val="left"/>
              <w:rPr>
                <w:rFonts w:hAnsi="宋体"/>
                <w:highlight w:val="none"/>
              </w:rPr>
            </w:pPr>
            <w:r>
              <w:rPr>
                <w:rFonts w:hAnsi="宋体"/>
                <w:highlight w:val="none"/>
              </w:rPr>
              <w:t>1.○2公里及以内。</w:t>
            </w:r>
          </w:p>
        </w:tc>
        <w:tc>
          <w:tcPr>
            <w:tcW w:w="507" w:type="dxa"/>
            <w:vAlign w:val="center"/>
          </w:tcPr>
          <w:p>
            <w:pPr>
              <w:pStyle w:val="64"/>
              <w:rPr>
                <w:rFonts w:hAnsi="宋体" w:cs="hakuyoxingshu7000"/>
                <w:highlight w:val="none"/>
              </w:rPr>
            </w:pPr>
            <w:r>
              <w:rPr>
                <w:rFonts w:hAnsi="宋体" w:cs="hakuyoxingshu7000"/>
                <w:highlight w:val="none"/>
              </w:rPr>
              <w:t>6</w:t>
            </w:r>
          </w:p>
        </w:tc>
        <w:tc>
          <w:tcPr>
            <w:tcW w:w="708" w:type="dxa"/>
            <w:vMerge w:val="restart"/>
            <w:vAlign w:val="center"/>
          </w:tcPr>
          <w:p>
            <w:pPr>
              <w:pStyle w:val="64"/>
              <w:rPr>
                <w:rFonts w:hAnsi="宋体" w:cs="hakuyoxingshu7000"/>
                <w:highlight w:val="none"/>
              </w:rPr>
            </w:pPr>
            <w:r>
              <w:rPr>
                <w:rFonts w:hAnsi="宋体" w:cs="hakuyoxingshu7000"/>
                <w:highlight w:val="none"/>
              </w:rPr>
              <w:t>0</w:t>
            </w:r>
          </w:p>
        </w:tc>
        <w:tc>
          <w:tcPr>
            <w:tcW w:w="3820" w:type="dxa"/>
            <w:vMerge w:val="restart"/>
            <w:vAlign w:val="center"/>
          </w:tcPr>
          <w:p>
            <w:pPr>
              <w:pStyle w:val="64"/>
              <w:rPr>
                <w:rFonts w:hAnsi="宋体"/>
                <w:highlight w:val="none"/>
              </w:rPr>
            </w:pPr>
            <w:r>
              <w:rPr>
                <w:rFonts w:hAnsi="宋体"/>
                <w:spacing w:val="3"/>
                <w:w w:val="95"/>
                <w:highlight w:val="none"/>
              </w:rPr>
              <w:t>指</w:t>
            </w:r>
            <w:r>
              <w:rPr>
                <w:rFonts w:hAnsi="宋体"/>
                <w:spacing w:val="1"/>
                <w:w w:val="95"/>
                <w:highlight w:val="none"/>
              </w:rPr>
              <w:t>沿</w:t>
            </w:r>
            <w:r>
              <w:rPr>
                <w:rFonts w:hAnsi="宋体"/>
                <w:spacing w:val="3"/>
                <w:w w:val="95"/>
                <w:highlight w:val="none"/>
              </w:rPr>
              <w:t>着</w:t>
            </w:r>
            <w:r>
              <w:rPr>
                <w:rFonts w:hAnsi="宋体"/>
                <w:spacing w:val="1"/>
                <w:w w:val="95"/>
                <w:highlight w:val="none"/>
              </w:rPr>
              <w:t>尾</w:t>
            </w:r>
            <w:r>
              <w:rPr>
                <w:rFonts w:hAnsi="宋体"/>
                <w:spacing w:val="3"/>
                <w:w w:val="95"/>
                <w:highlight w:val="none"/>
              </w:rPr>
              <w:t>矿</w:t>
            </w:r>
            <w:r>
              <w:rPr>
                <w:rFonts w:hAnsi="宋体"/>
                <w:spacing w:val="1"/>
                <w:w w:val="95"/>
                <w:highlight w:val="none"/>
              </w:rPr>
              <w:t>库</w:t>
            </w:r>
            <w:r>
              <w:rPr>
                <w:rFonts w:hAnsi="宋体"/>
                <w:spacing w:val="3"/>
                <w:w w:val="95"/>
                <w:highlight w:val="none"/>
              </w:rPr>
              <w:t>事</w:t>
            </w:r>
            <w:r>
              <w:rPr>
                <w:rFonts w:hAnsi="宋体"/>
                <w:spacing w:val="1"/>
                <w:w w:val="95"/>
                <w:highlight w:val="none"/>
              </w:rPr>
              <w:t>故</w:t>
            </w:r>
            <w:r>
              <w:rPr>
                <w:rFonts w:hAnsi="宋体"/>
                <w:spacing w:val="3"/>
                <w:w w:val="95"/>
                <w:highlight w:val="none"/>
              </w:rPr>
              <w:t>后</w:t>
            </w:r>
            <w:r>
              <w:rPr>
                <w:rFonts w:hAnsi="宋体"/>
                <w:spacing w:val="1"/>
                <w:w w:val="95"/>
                <w:highlight w:val="none"/>
              </w:rPr>
              <w:t>污</w:t>
            </w:r>
            <w:r>
              <w:rPr>
                <w:rFonts w:hAnsi="宋体"/>
                <w:spacing w:val="3"/>
                <w:w w:val="95"/>
                <w:highlight w:val="none"/>
              </w:rPr>
              <w:t>染</w:t>
            </w:r>
            <w:r>
              <w:rPr>
                <w:rFonts w:hAnsi="宋体"/>
                <w:spacing w:val="1"/>
                <w:w w:val="95"/>
                <w:highlight w:val="none"/>
              </w:rPr>
              <w:t>物</w:t>
            </w:r>
            <w:r>
              <w:rPr>
                <w:rFonts w:hAnsi="宋体"/>
                <w:spacing w:val="3"/>
                <w:w w:val="95"/>
                <w:highlight w:val="none"/>
              </w:rPr>
              <w:t>的可</w:t>
            </w:r>
            <w:r>
              <w:rPr>
                <w:rFonts w:hAnsi="宋体"/>
                <w:w w:val="95"/>
                <w:highlight w:val="none"/>
              </w:rPr>
              <w:t>能</w:t>
            </w:r>
            <w:r>
              <w:rPr>
                <w:rFonts w:hAnsi="宋体"/>
                <w:highlight w:val="none"/>
              </w:rPr>
              <w:t>流</w:t>
            </w:r>
            <w:r>
              <w:rPr>
                <w:rFonts w:hAnsi="宋体"/>
                <w:spacing w:val="2"/>
                <w:highlight w:val="none"/>
              </w:rPr>
              <w:t>向</w:t>
            </w:r>
            <w:r>
              <w:rPr>
                <w:rFonts w:hAnsi="宋体"/>
                <w:highlight w:val="none"/>
              </w:rPr>
              <w:t>的</w:t>
            </w:r>
            <w:r>
              <w:rPr>
                <w:rFonts w:hAnsi="宋体"/>
                <w:spacing w:val="2"/>
                <w:highlight w:val="none"/>
              </w:rPr>
              <w:t>曲</w:t>
            </w:r>
            <w:r>
              <w:rPr>
                <w:rFonts w:hAnsi="宋体"/>
                <w:highlight w:val="none"/>
              </w:rPr>
              <w:t>线</w:t>
            </w:r>
            <w:r>
              <w:rPr>
                <w:rFonts w:hAnsi="宋体"/>
                <w:spacing w:val="2"/>
                <w:highlight w:val="none"/>
              </w:rPr>
              <w:t>距</w:t>
            </w:r>
            <w:r>
              <w:rPr>
                <w:rFonts w:hAnsi="宋体"/>
                <w:highlight w:val="none"/>
              </w:rPr>
              <w:t>离。</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2.○2公里以外，5公里及以内。</w:t>
            </w:r>
          </w:p>
        </w:tc>
        <w:tc>
          <w:tcPr>
            <w:tcW w:w="507" w:type="dxa"/>
            <w:vAlign w:val="center"/>
          </w:tcPr>
          <w:p>
            <w:pPr>
              <w:pStyle w:val="64"/>
              <w:rPr>
                <w:rFonts w:hAnsi="宋体" w:cs="hakuyoxingshu7000"/>
                <w:highlight w:val="none"/>
              </w:rPr>
            </w:pPr>
            <w:r>
              <w:rPr>
                <w:rFonts w:hAnsi="宋体" w:cs="hakuyoxingshu7000"/>
                <w:highlight w:val="none"/>
              </w:rPr>
              <w:t>4</w:t>
            </w:r>
          </w:p>
        </w:tc>
        <w:tc>
          <w:tcPr>
            <w:tcW w:w="708" w:type="dxa"/>
            <w:vMerge w:val="continue"/>
            <w:vAlign w:val="center"/>
          </w:tcPr>
          <w:p>
            <w:pPr>
              <w:pStyle w:val="64"/>
              <w:rPr>
                <w:rFonts w:hAnsi="宋体"/>
                <w:highlight w:val="none"/>
              </w:rPr>
            </w:pPr>
          </w:p>
        </w:tc>
        <w:tc>
          <w:tcPr>
            <w:tcW w:w="3820" w:type="dxa"/>
            <w:vMerge w:val="continue"/>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3.○5公里以外，10公里及以内。</w:t>
            </w:r>
          </w:p>
        </w:tc>
        <w:tc>
          <w:tcPr>
            <w:tcW w:w="507" w:type="dxa"/>
            <w:vAlign w:val="center"/>
          </w:tcPr>
          <w:p>
            <w:pPr>
              <w:pStyle w:val="64"/>
              <w:rPr>
                <w:rFonts w:hAnsi="宋体" w:cs="hakuyoxingshu7000"/>
                <w:highlight w:val="none"/>
              </w:rPr>
            </w:pPr>
            <w:r>
              <w:rPr>
                <w:rFonts w:hAnsi="宋体" w:cs="hakuyoxingshu7000"/>
                <w:highlight w:val="none"/>
              </w:rPr>
              <w:t>2</w:t>
            </w:r>
          </w:p>
        </w:tc>
        <w:tc>
          <w:tcPr>
            <w:tcW w:w="708" w:type="dxa"/>
            <w:vMerge w:val="continue"/>
            <w:vAlign w:val="center"/>
          </w:tcPr>
          <w:p>
            <w:pPr>
              <w:pStyle w:val="64"/>
              <w:rPr>
                <w:rFonts w:hAnsi="宋体"/>
                <w:highlight w:val="none"/>
              </w:rPr>
            </w:pPr>
          </w:p>
        </w:tc>
        <w:tc>
          <w:tcPr>
            <w:tcW w:w="3820" w:type="dxa"/>
            <w:vMerge w:val="continue"/>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86" w:type="dxa"/>
            <w:vMerge w:val="continue"/>
            <w:vAlign w:val="center"/>
          </w:tcPr>
          <w:p>
            <w:pPr>
              <w:pStyle w:val="64"/>
              <w:rPr>
                <w:rFonts w:hAnsi="宋体"/>
                <w:highlight w:val="none"/>
              </w:rPr>
            </w:pPr>
          </w:p>
        </w:tc>
        <w:tc>
          <w:tcPr>
            <w:tcW w:w="1164" w:type="dxa"/>
            <w:gridSpan w:val="2"/>
            <w:vMerge w:val="continue"/>
            <w:vAlign w:val="center"/>
          </w:tcPr>
          <w:p>
            <w:pPr>
              <w:pStyle w:val="64"/>
              <w:rPr>
                <w:rFonts w:hAnsi="宋体"/>
                <w:highlight w:val="none"/>
              </w:rPr>
            </w:pPr>
          </w:p>
        </w:tc>
        <w:tc>
          <w:tcPr>
            <w:tcW w:w="7007" w:type="dxa"/>
            <w:gridSpan w:val="3"/>
            <w:vAlign w:val="center"/>
          </w:tcPr>
          <w:p>
            <w:pPr>
              <w:pStyle w:val="64"/>
              <w:jc w:val="left"/>
              <w:rPr>
                <w:rFonts w:hAnsi="宋体"/>
                <w:highlight w:val="none"/>
              </w:rPr>
            </w:pPr>
            <w:r>
              <w:rPr>
                <w:rFonts w:hAnsi="宋体"/>
                <w:highlight w:val="none"/>
              </w:rPr>
              <w:t>4.</w:t>
            </w:r>
            <w:r>
              <w:rPr>
                <w:rFonts w:hAnsi="宋体"/>
                <w:highlight w:val="none"/>
              </w:rPr>
              <w:fldChar w:fldCharType="begin"/>
            </w:r>
            <w:r>
              <w:rPr>
                <w:rFonts w:hAnsi="宋体"/>
                <w:highlight w:val="none"/>
              </w:rPr>
              <w:instrText xml:space="preserve"> </w:instrText>
            </w:r>
            <w:r>
              <w:rPr>
                <w:rFonts w:hint="eastAsia" w:hAnsi="宋体"/>
                <w:highlight w:val="none"/>
              </w:rPr>
              <w:instrText xml:space="preserve">eq \o\ac(○,</w:instrText>
            </w:r>
            <w:r>
              <w:rPr>
                <w:rFonts w:hint="eastAsia" w:hAnsi="宋体"/>
                <w:position w:val="2"/>
                <w:sz w:val="14"/>
                <w:highlight w:val="none"/>
              </w:rPr>
              <w:instrText xml:space="preserve">√</w:instrText>
            </w:r>
            <w:r>
              <w:rPr>
                <w:rFonts w:hint="eastAsia" w:hAnsi="宋体"/>
                <w:highlight w:val="none"/>
              </w:rPr>
              <w:instrText xml:space="preserve">)</w:instrText>
            </w:r>
            <w:r>
              <w:rPr>
                <w:rFonts w:hAnsi="宋体"/>
                <w:highlight w:val="none"/>
              </w:rPr>
              <w:fldChar w:fldCharType="end"/>
            </w:r>
            <w:r>
              <w:rPr>
                <w:rFonts w:hAnsi="宋体"/>
                <w:highlight w:val="none"/>
              </w:rPr>
              <w:t>10公里以外。</w:t>
            </w:r>
          </w:p>
        </w:tc>
        <w:tc>
          <w:tcPr>
            <w:tcW w:w="507" w:type="dxa"/>
            <w:vAlign w:val="center"/>
          </w:tcPr>
          <w:p>
            <w:pPr>
              <w:pStyle w:val="64"/>
              <w:rPr>
                <w:rFonts w:hAnsi="宋体" w:cs="hakuyoxingshu7000"/>
                <w:highlight w:val="none"/>
              </w:rPr>
            </w:pPr>
            <w:r>
              <w:rPr>
                <w:rFonts w:hAnsi="宋体" w:cs="hakuyoxingshu7000"/>
                <w:highlight w:val="none"/>
              </w:rPr>
              <w:t>0</w:t>
            </w:r>
          </w:p>
        </w:tc>
        <w:tc>
          <w:tcPr>
            <w:tcW w:w="708" w:type="dxa"/>
            <w:vMerge w:val="continue"/>
            <w:vAlign w:val="center"/>
          </w:tcPr>
          <w:p>
            <w:pPr>
              <w:pStyle w:val="64"/>
              <w:rPr>
                <w:rFonts w:hAnsi="宋体"/>
                <w:highlight w:val="none"/>
              </w:rPr>
            </w:pPr>
          </w:p>
        </w:tc>
        <w:tc>
          <w:tcPr>
            <w:tcW w:w="3820" w:type="dxa"/>
            <w:vMerge w:val="continue"/>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restart"/>
            <w:vAlign w:val="center"/>
          </w:tcPr>
          <w:p>
            <w:pPr>
              <w:pStyle w:val="64"/>
              <w:rPr>
                <w:rFonts w:hAnsi="宋体"/>
                <w:highlight w:val="none"/>
              </w:rPr>
            </w:pPr>
            <w:r>
              <w:rPr>
                <w:rFonts w:hAnsi="宋体"/>
                <w:w w:val="95"/>
                <w:highlight w:val="none"/>
              </w:rPr>
              <w:t>周</w:t>
            </w:r>
            <w:r>
              <w:rPr>
                <w:rFonts w:hAnsi="宋体"/>
                <w:spacing w:val="1"/>
                <w:w w:val="95"/>
                <w:highlight w:val="none"/>
              </w:rPr>
              <w:t>边</w:t>
            </w:r>
            <w:r>
              <w:rPr>
                <w:rFonts w:hAnsi="宋体"/>
                <w:w w:val="95"/>
                <w:highlight w:val="none"/>
              </w:rPr>
              <w:t>环</w:t>
            </w:r>
            <w:r>
              <w:rPr>
                <w:rFonts w:hAnsi="宋体"/>
                <w:spacing w:val="1"/>
                <w:w w:val="95"/>
                <w:highlight w:val="none"/>
              </w:rPr>
              <w:t>境</w:t>
            </w:r>
            <w:r>
              <w:rPr>
                <w:rFonts w:hAnsi="宋体"/>
                <w:w w:val="95"/>
                <w:highlight w:val="none"/>
              </w:rPr>
              <w:t>风险</w:t>
            </w:r>
            <w:r>
              <w:rPr>
                <w:rFonts w:hAnsi="宋体"/>
                <w:highlight w:val="none"/>
              </w:rPr>
              <w:t>受</w:t>
            </w:r>
            <w:r>
              <w:rPr>
                <w:rFonts w:hAnsi="宋体"/>
                <w:spacing w:val="2"/>
                <w:highlight w:val="none"/>
              </w:rPr>
              <w:t>体</w:t>
            </w:r>
            <w:r>
              <w:rPr>
                <w:rFonts w:hAnsi="宋体"/>
                <w:highlight w:val="none"/>
              </w:rPr>
              <w:t>情况（</w:t>
            </w:r>
            <w:r>
              <w:rPr>
                <w:rFonts w:hAnsi="宋体" w:cs="hakuyoxingshu7000"/>
                <w:spacing w:val="1"/>
                <w:highlight w:val="none"/>
              </w:rPr>
              <w:t>5</w:t>
            </w:r>
            <w:r>
              <w:rPr>
                <w:rFonts w:hAnsi="宋体" w:cs="hakuyoxingshu7000"/>
                <w:highlight w:val="none"/>
              </w:rPr>
              <w:t>4</w:t>
            </w:r>
            <w:r>
              <w:rPr>
                <w:rFonts w:hAnsi="宋体"/>
                <w:highlight w:val="none"/>
              </w:rPr>
              <w:t>分）</w:t>
            </w:r>
          </w:p>
        </w:tc>
        <w:tc>
          <w:tcPr>
            <w:tcW w:w="1559" w:type="dxa"/>
            <w:gridSpan w:val="2"/>
            <w:vAlign w:val="center"/>
          </w:tcPr>
          <w:p>
            <w:pPr>
              <w:pStyle w:val="64"/>
              <w:rPr>
                <w:rFonts w:hAnsi="宋体"/>
                <w:highlight w:val="none"/>
              </w:rPr>
            </w:pPr>
            <w:r>
              <w:rPr>
                <w:rFonts w:hAnsi="宋体"/>
                <w:highlight w:val="none"/>
              </w:rPr>
              <w:t>所</w:t>
            </w:r>
            <w:r>
              <w:rPr>
                <w:rFonts w:hAnsi="宋体"/>
                <w:spacing w:val="2"/>
                <w:highlight w:val="none"/>
              </w:rPr>
              <w:t>在</w:t>
            </w:r>
            <w:r>
              <w:rPr>
                <w:rFonts w:hAnsi="宋体"/>
                <w:highlight w:val="none"/>
              </w:rPr>
              <w:t>区域</w:t>
            </w:r>
          </w:p>
        </w:tc>
        <w:tc>
          <w:tcPr>
            <w:tcW w:w="5448" w:type="dxa"/>
            <w:vAlign w:val="center"/>
          </w:tcPr>
          <w:p>
            <w:pPr>
              <w:pStyle w:val="64"/>
              <w:jc w:val="left"/>
              <w:rPr>
                <w:rFonts w:hAnsi="宋体"/>
                <w:w w:val="95"/>
                <w:highlight w:val="none"/>
              </w:rPr>
            </w:pPr>
            <w:r>
              <w:rPr>
                <w:rFonts w:hAnsi="宋体"/>
                <w:w w:val="95"/>
                <w:highlight w:val="none"/>
              </w:rPr>
              <w:t>1.□处于国家重点生态功能区、国家禁止开发区域、水土流失重点防治区、沙化土地封禁保护区等。</w:t>
            </w:r>
          </w:p>
          <w:p>
            <w:pPr>
              <w:pStyle w:val="64"/>
              <w:jc w:val="left"/>
              <w:rPr>
                <w:rFonts w:hAnsi="宋体"/>
                <w:w w:val="95"/>
                <w:highlight w:val="none"/>
              </w:rPr>
            </w:pPr>
            <w:r>
              <w:rPr>
                <w:rFonts w:hAnsi="宋体"/>
                <w:w w:val="95"/>
                <w:highlight w:val="none"/>
              </w:rPr>
              <w:t>2.□处于江河源头区和重要水源涵养区。</w:t>
            </w:r>
          </w:p>
        </w:tc>
        <w:tc>
          <w:tcPr>
            <w:tcW w:w="507" w:type="dxa"/>
            <w:vAlign w:val="center"/>
          </w:tcPr>
          <w:p>
            <w:pPr>
              <w:pStyle w:val="64"/>
              <w:rPr>
                <w:rFonts w:hAnsi="宋体" w:cs="hakuyoxingshu7000"/>
                <w:highlight w:val="none"/>
              </w:rPr>
            </w:pPr>
            <w:r>
              <w:rPr>
                <w:rFonts w:hAnsi="宋体" w:cs="hakuyoxingshu7000"/>
                <w:spacing w:val="1"/>
                <w:highlight w:val="none"/>
              </w:rPr>
              <w:t>5</w:t>
            </w:r>
            <w:r>
              <w:rPr>
                <w:rFonts w:hAnsi="宋体" w:cs="hakuyoxingshu7000"/>
                <w:highlight w:val="none"/>
              </w:rPr>
              <w:t>4</w:t>
            </w:r>
          </w:p>
        </w:tc>
        <w:tc>
          <w:tcPr>
            <w:tcW w:w="708" w:type="dxa"/>
            <w:vAlign w:val="center"/>
          </w:tcPr>
          <w:p>
            <w:pPr>
              <w:pStyle w:val="64"/>
              <w:rPr>
                <w:rFonts w:hAnsi="宋体" w:cs="hakuyoxingshu7000"/>
                <w:highlight w:val="none"/>
              </w:rPr>
            </w:pPr>
            <w:r>
              <w:rPr>
                <w:rFonts w:hAnsi="宋体" w:cs="hakuyoxingshu7000"/>
                <w:highlight w:val="none"/>
              </w:rPr>
              <w:t>0</w:t>
            </w:r>
          </w:p>
        </w:tc>
        <w:tc>
          <w:tcPr>
            <w:tcW w:w="3820" w:type="dxa"/>
            <w:vAlign w:val="center"/>
          </w:tcPr>
          <w:p>
            <w:pPr>
              <w:pStyle w:val="64"/>
              <w:rPr>
                <w:rFonts w:hAnsi="宋体"/>
                <w:highlight w:val="none"/>
              </w:rPr>
            </w:pPr>
            <w:r>
              <w:rPr>
                <w:rFonts w:hAnsi="宋体"/>
                <w:highlight w:val="none"/>
              </w:rPr>
              <w:t>即</w:t>
            </w:r>
            <w:r>
              <w:rPr>
                <w:rFonts w:hAnsi="宋体"/>
                <w:spacing w:val="2"/>
                <w:highlight w:val="none"/>
              </w:rPr>
              <w:t>不</w:t>
            </w:r>
            <w:r>
              <w:rPr>
                <w:rFonts w:hAnsi="宋体"/>
                <w:highlight w:val="none"/>
              </w:rPr>
              <w:t>符</w:t>
            </w:r>
            <w:r>
              <w:rPr>
                <w:rFonts w:hAnsi="宋体"/>
                <w:spacing w:val="2"/>
                <w:highlight w:val="none"/>
              </w:rPr>
              <w:t>合</w:t>
            </w:r>
            <w:r>
              <w:rPr>
                <w:rFonts w:hAnsi="宋体"/>
                <w:highlight w:val="none"/>
              </w:rPr>
              <w:t>相</w:t>
            </w:r>
            <w:r>
              <w:rPr>
                <w:rFonts w:hAnsi="宋体"/>
                <w:spacing w:val="2"/>
                <w:highlight w:val="none"/>
              </w:rPr>
              <w:t>关</w:t>
            </w:r>
            <w:r>
              <w:rPr>
                <w:rFonts w:hAnsi="宋体"/>
                <w:highlight w:val="none"/>
              </w:rPr>
              <w:t>政</w:t>
            </w:r>
            <w:r>
              <w:rPr>
                <w:rFonts w:hAnsi="宋体"/>
                <w:spacing w:val="2"/>
                <w:highlight w:val="none"/>
              </w:rPr>
              <w:t>策</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950" w:type="dxa"/>
            <w:gridSpan w:val="3"/>
            <w:vMerge w:val="continue"/>
            <w:vAlign w:val="center"/>
          </w:tcPr>
          <w:p>
            <w:pPr>
              <w:pStyle w:val="64"/>
              <w:rPr>
                <w:rFonts w:hAnsi="宋体"/>
                <w:highlight w:val="none"/>
              </w:rPr>
            </w:pPr>
          </w:p>
        </w:tc>
        <w:tc>
          <w:tcPr>
            <w:tcW w:w="1559" w:type="dxa"/>
            <w:gridSpan w:val="2"/>
            <w:vMerge w:val="restart"/>
            <w:vAlign w:val="center"/>
          </w:tcPr>
          <w:p>
            <w:pPr>
              <w:pStyle w:val="64"/>
              <w:rPr>
                <w:rFonts w:hAnsi="宋体"/>
                <w:highlight w:val="none"/>
              </w:rPr>
            </w:pPr>
            <w:r>
              <w:rPr>
                <w:rFonts w:hAnsi="宋体"/>
                <w:w w:val="95"/>
                <w:highlight w:val="none"/>
              </w:rPr>
              <w:t>尾</w:t>
            </w:r>
            <w:r>
              <w:rPr>
                <w:rFonts w:hAnsi="宋体"/>
                <w:spacing w:val="1"/>
                <w:w w:val="95"/>
                <w:highlight w:val="none"/>
              </w:rPr>
              <w:t>矿</w:t>
            </w:r>
            <w:r>
              <w:rPr>
                <w:rFonts w:hAnsi="宋体"/>
                <w:w w:val="95"/>
                <w:highlight w:val="none"/>
              </w:rPr>
              <w:t>库下游</w:t>
            </w:r>
            <w:r>
              <w:rPr>
                <w:rFonts w:hAnsi="宋体"/>
                <w:spacing w:val="1"/>
                <w:w w:val="95"/>
                <w:highlight w:val="none"/>
              </w:rPr>
              <w:t>涉</w:t>
            </w:r>
            <w:r>
              <w:rPr>
                <w:rFonts w:hint="eastAsia" w:hAnsi="宋体"/>
                <w:spacing w:val="1"/>
                <w:w w:val="95"/>
                <w:highlight w:val="none"/>
                <w:lang w:eastAsia="zh-CN"/>
              </w:rPr>
              <w:t>自来水厂</w:t>
            </w:r>
            <w:r>
              <w:rPr>
                <w:rFonts w:hAnsi="宋体"/>
                <w:w w:val="95"/>
                <w:highlight w:val="none"/>
              </w:rPr>
              <w:t>风险</w:t>
            </w:r>
            <w:r>
              <w:rPr>
                <w:rFonts w:hAnsi="宋体"/>
                <w:highlight w:val="none"/>
              </w:rPr>
              <w:t>受体</w:t>
            </w:r>
          </w:p>
        </w:tc>
        <w:tc>
          <w:tcPr>
            <w:tcW w:w="5448" w:type="dxa"/>
            <w:vAlign w:val="center"/>
          </w:tcPr>
          <w:p>
            <w:pPr>
              <w:pStyle w:val="64"/>
              <w:jc w:val="left"/>
              <w:rPr>
                <w:rFonts w:hAnsi="宋体"/>
                <w:w w:val="95"/>
                <w:highlight w:val="none"/>
              </w:rPr>
            </w:pPr>
            <w:r>
              <w:rPr>
                <w:rFonts w:hAnsi="宋体"/>
                <w:w w:val="95"/>
                <w:highlight w:val="none"/>
              </w:rPr>
              <w:t>3.□服务人口1万人及以上的饮用水水源保护区或自来水场取水口。</w:t>
            </w:r>
          </w:p>
        </w:tc>
        <w:tc>
          <w:tcPr>
            <w:tcW w:w="507" w:type="dxa"/>
            <w:vAlign w:val="center"/>
          </w:tcPr>
          <w:p>
            <w:pPr>
              <w:pStyle w:val="64"/>
              <w:rPr>
                <w:rFonts w:hint="eastAsia" w:hAnsi="宋体" w:eastAsia="宋体" w:cs="hakuyoxingshu7000"/>
                <w:highlight w:val="none"/>
                <w:lang w:eastAsia="zh-CN"/>
              </w:rPr>
            </w:pPr>
            <w:r>
              <w:rPr>
                <w:rFonts w:hAnsi="宋体" w:cs="hakuyoxingshu7000"/>
                <w:spacing w:val="1"/>
                <w:highlight w:val="none"/>
              </w:rPr>
              <w:t>5</w:t>
            </w:r>
            <w:r>
              <w:rPr>
                <w:rFonts w:hAnsi="宋体" w:cs="hakuyoxingshu7000"/>
                <w:highlight w:val="none"/>
              </w:rPr>
              <w:t>4</w:t>
            </w:r>
            <w:r>
              <w:rPr>
                <w:rFonts w:hint="eastAsia" w:hAnsi="宋体" w:cs="hakuyoxingshu7000"/>
                <w:highlight w:val="none"/>
                <w:lang w:eastAsia="zh-CN"/>
              </w:rPr>
              <w:t>自来水厂</w:t>
            </w:r>
          </w:p>
        </w:tc>
        <w:tc>
          <w:tcPr>
            <w:tcW w:w="708" w:type="dxa"/>
            <w:vMerge w:val="restart"/>
            <w:vAlign w:val="center"/>
          </w:tcPr>
          <w:p>
            <w:pPr>
              <w:pStyle w:val="64"/>
              <w:rPr>
                <w:rFonts w:hAnsi="宋体" w:cs="hakuyoxingshu7000"/>
                <w:highlight w:val="none"/>
              </w:rPr>
            </w:pPr>
            <w:r>
              <w:rPr>
                <w:rFonts w:hAnsi="宋体" w:cs="hakuyoxingshu7000"/>
                <w:highlight w:val="none"/>
              </w:rPr>
              <w:t>0</w:t>
            </w: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w w:val="95"/>
                <w:highlight w:val="none"/>
              </w:rPr>
            </w:pPr>
            <w:r>
              <w:rPr>
                <w:rFonts w:hAnsi="宋体"/>
                <w:w w:val="95"/>
                <w:highlight w:val="none"/>
              </w:rPr>
              <w:t>4.□服务人口2000人及以上的饮用水水源保护区或自来水场取水口。</w:t>
            </w:r>
          </w:p>
          <w:p>
            <w:pPr>
              <w:pStyle w:val="64"/>
              <w:jc w:val="left"/>
              <w:rPr>
                <w:rFonts w:hAnsi="宋体"/>
                <w:w w:val="95"/>
                <w:highlight w:val="none"/>
              </w:rPr>
            </w:pPr>
            <w:r>
              <w:rPr>
                <w:rFonts w:hAnsi="宋体"/>
                <w:w w:val="95"/>
                <w:highlight w:val="none"/>
              </w:rPr>
              <w:t>5.□重要湿地、天然林、珍稀濒危野生动植物天然集中分布区、重要水生生物的自然产卵场及索饵场、越冬场和洄游通道、天然渔场、资源性缺水地区、封闭及半封闭海域、富营养化水域等。</w:t>
            </w:r>
          </w:p>
          <w:p>
            <w:pPr>
              <w:pStyle w:val="64"/>
              <w:jc w:val="left"/>
              <w:rPr>
                <w:rFonts w:hAnsi="宋体"/>
                <w:highlight w:val="none"/>
              </w:rPr>
            </w:pPr>
            <w:r>
              <w:rPr>
                <w:rFonts w:hAnsi="宋体" w:cs="hakuyoxingshu7000"/>
                <w:w w:val="95"/>
                <w:highlight w:val="none"/>
              </w:rPr>
              <w:t>6.□</w:t>
            </w:r>
            <w:r>
              <w:rPr>
                <w:rFonts w:hAnsi="宋体"/>
                <w:w w:val="95"/>
                <w:highlight w:val="none"/>
              </w:rPr>
              <w:t>流</w:t>
            </w:r>
            <w:r>
              <w:rPr>
                <w:rFonts w:hAnsi="宋体"/>
                <w:spacing w:val="1"/>
                <w:w w:val="95"/>
                <w:highlight w:val="none"/>
              </w:rPr>
              <w:t>量</w:t>
            </w:r>
            <w:r>
              <w:rPr>
                <w:rFonts w:hAnsi="宋体"/>
                <w:w w:val="95"/>
                <w:highlight w:val="none"/>
              </w:rPr>
              <w:t>大</w:t>
            </w:r>
            <w:r>
              <w:rPr>
                <w:rFonts w:hAnsi="宋体"/>
                <w:spacing w:val="1"/>
                <w:w w:val="95"/>
                <w:highlight w:val="none"/>
              </w:rPr>
              <w:t>于</w:t>
            </w:r>
            <w:r>
              <w:rPr>
                <w:rFonts w:hAnsi="宋体"/>
                <w:w w:val="95"/>
                <w:highlight w:val="none"/>
              </w:rPr>
              <w:t>等于</w:t>
            </w:r>
            <w:r>
              <w:rPr>
                <w:rFonts w:hAnsi="宋体" w:cs="hakuyoxingshu7000"/>
                <w:w w:val="95"/>
                <w:highlight w:val="none"/>
              </w:rPr>
              <w:t>15</w:t>
            </w:r>
            <w:r>
              <w:rPr>
                <w:rFonts w:hAnsi="宋体"/>
                <w:w w:val="95"/>
                <w:highlight w:val="none"/>
              </w:rPr>
              <w:t>立</w:t>
            </w:r>
            <w:r>
              <w:rPr>
                <w:rFonts w:hAnsi="宋体"/>
                <w:spacing w:val="1"/>
                <w:w w:val="95"/>
                <w:highlight w:val="none"/>
              </w:rPr>
              <w:t>方</w:t>
            </w:r>
            <w:r>
              <w:rPr>
                <w:rFonts w:hAnsi="宋体"/>
                <w:w w:val="95"/>
                <w:highlight w:val="none"/>
              </w:rPr>
              <w:t>米</w:t>
            </w:r>
            <w:r>
              <w:rPr>
                <w:rFonts w:hAnsi="宋体" w:cs="hakuyoxingshu7000"/>
                <w:spacing w:val="3"/>
                <w:w w:val="95"/>
                <w:highlight w:val="none"/>
              </w:rPr>
              <w:t>/</w:t>
            </w:r>
            <w:r>
              <w:rPr>
                <w:rFonts w:hAnsi="宋体"/>
                <w:w w:val="95"/>
                <w:highlight w:val="none"/>
              </w:rPr>
              <w:t>秒</w:t>
            </w:r>
            <w:r>
              <w:rPr>
                <w:rFonts w:hAnsi="宋体"/>
                <w:spacing w:val="1"/>
                <w:w w:val="95"/>
                <w:highlight w:val="none"/>
              </w:rPr>
              <w:t>的</w:t>
            </w:r>
            <w:r>
              <w:rPr>
                <w:rFonts w:hAnsi="宋体"/>
                <w:w w:val="95"/>
                <w:highlight w:val="none"/>
              </w:rPr>
              <w:t>河</w:t>
            </w:r>
            <w:r>
              <w:rPr>
                <w:rFonts w:hAnsi="宋体"/>
                <w:spacing w:val="1"/>
                <w:w w:val="95"/>
                <w:highlight w:val="none"/>
              </w:rPr>
              <w:t>流</w:t>
            </w:r>
            <w:r>
              <w:rPr>
                <w:rFonts w:hAnsi="宋体"/>
                <w:w w:val="95"/>
                <w:highlight w:val="none"/>
              </w:rPr>
              <w:t>。</w:t>
            </w:r>
          </w:p>
          <w:p>
            <w:pPr>
              <w:pStyle w:val="64"/>
              <w:jc w:val="left"/>
              <w:rPr>
                <w:rFonts w:hAnsi="宋体"/>
                <w:highlight w:val="none"/>
              </w:rPr>
            </w:pPr>
            <w:r>
              <w:rPr>
                <w:rFonts w:hAnsi="宋体" w:cs="hakuyoxingshu7000"/>
                <w:w w:val="90"/>
                <w:highlight w:val="none"/>
              </w:rPr>
              <w:t>7.□</w:t>
            </w:r>
            <w:r>
              <w:rPr>
                <w:rFonts w:hAnsi="宋体"/>
                <w:w w:val="90"/>
                <w:highlight w:val="none"/>
              </w:rPr>
              <w:t>面</w:t>
            </w:r>
            <w:r>
              <w:rPr>
                <w:rFonts w:hAnsi="宋体"/>
                <w:spacing w:val="1"/>
                <w:w w:val="90"/>
                <w:highlight w:val="none"/>
              </w:rPr>
              <w:t>积</w:t>
            </w:r>
            <w:r>
              <w:rPr>
                <w:rFonts w:hAnsi="宋体"/>
                <w:w w:val="90"/>
                <w:highlight w:val="none"/>
              </w:rPr>
              <w:t>大</w:t>
            </w:r>
            <w:r>
              <w:rPr>
                <w:rFonts w:hAnsi="宋体"/>
                <w:spacing w:val="1"/>
                <w:w w:val="90"/>
                <w:highlight w:val="none"/>
              </w:rPr>
              <w:t>于</w:t>
            </w:r>
            <w:r>
              <w:rPr>
                <w:rFonts w:hAnsi="宋体"/>
                <w:w w:val="90"/>
                <w:highlight w:val="none"/>
              </w:rPr>
              <w:t>等于</w:t>
            </w:r>
            <w:r>
              <w:rPr>
                <w:rFonts w:hAnsi="宋体" w:cs="hakuyoxingshu7000"/>
                <w:w w:val="90"/>
                <w:highlight w:val="none"/>
              </w:rPr>
              <w:t>2.5</w:t>
            </w:r>
            <w:r>
              <w:rPr>
                <w:rFonts w:hAnsi="宋体"/>
                <w:w w:val="90"/>
                <w:highlight w:val="none"/>
              </w:rPr>
              <w:t>平</w:t>
            </w:r>
            <w:r>
              <w:rPr>
                <w:rFonts w:hAnsi="宋体"/>
                <w:spacing w:val="1"/>
                <w:w w:val="90"/>
                <w:highlight w:val="none"/>
              </w:rPr>
              <w:t>方</w:t>
            </w:r>
            <w:r>
              <w:rPr>
                <w:rFonts w:hAnsi="宋体"/>
                <w:w w:val="90"/>
                <w:highlight w:val="none"/>
              </w:rPr>
              <w:t>千</w:t>
            </w:r>
            <w:r>
              <w:rPr>
                <w:rFonts w:hAnsi="宋体"/>
                <w:spacing w:val="1"/>
                <w:w w:val="90"/>
                <w:highlight w:val="none"/>
              </w:rPr>
              <w:t>米</w:t>
            </w:r>
            <w:r>
              <w:rPr>
                <w:rFonts w:hAnsi="宋体"/>
                <w:w w:val="90"/>
                <w:highlight w:val="none"/>
              </w:rPr>
              <w:t>的</w:t>
            </w:r>
            <w:r>
              <w:rPr>
                <w:rFonts w:hAnsi="宋体"/>
                <w:spacing w:val="1"/>
                <w:w w:val="90"/>
                <w:highlight w:val="none"/>
              </w:rPr>
              <w:t>湖</w:t>
            </w:r>
            <w:r>
              <w:rPr>
                <w:rFonts w:hAnsi="宋体"/>
                <w:w w:val="90"/>
                <w:highlight w:val="none"/>
              </w:rPr>
              <w:t>泊</w:t>
            </w:r>
            <w:r>
              <w:rPr>
                <w:rFonts w:hAnsi="宋体"/>
                <w:spacing w:val="1"/>
                <w:w w:val="90"/>
                <w:highlight w:val="none"/>
              </w:rPr>
              <w:t>或</w:t>
            </w:r>
            <w:r>
              <w:rPr>
                <w:rFonts w:hAnsi="宋体"/>
                <w:w w:val="90"/>
                <w:highlight w:val="none"/>
              </w:rPr>
              <w:t>水</w:t>
            </w:r>
            <w:r>
              <w:rPr>
                <w:rFonts w:hAnsi="宋体"/>
                <w:spacing w:val="1"/>
                <w:w w:val="90"/>
                <w:highlight w:val="none"/>
              </w:rPr>
              <w:t>库</w:t>
            </w:r>
            <w:r>
              <w:rPr>
                <w:rFonts w:hAnsi="宋体"/>
                <w:w w:val="90"/>
                <w:highlight w:val="none"/>
              </w:rPr>
              <w:t>。</w:t>
            </w:r>
          </w:p>
          <w:p>
            <w:pPr>
              <w:pStyle w:val="64"/>
              <w:jc w:val="left"/>
              <w:rPr>
                <w:rFonts w:hAnsi="宋体"/>
                <w:highlight w:val="none"/>
              </w:rPr>
            </w:pPr>
            <w:r>
              <w:rPr>
                <w:rFonts w:hAnsi="宋体" w:cs="hakuyoxingshu7000"/>
                <w:w w:val="90"/>
                <w:highlight w:val="none"/>
              </w:rPr>
              <w:t>8.□</w:t>
            </w:r>
            <w:r>
              <w:rPr>
                <w:rFonts w:hAnsi="宋体"/>
                <w:w w:val="90"/>
                <w:highlight w:val="none"/>
              </w:rPr>
              <w:t>水</w:t>
            </w:r>
            <w:r>
              <w:rPr>
                <w:rFonts w:hAnsi="宋体"/>
                <w:spacing w:val="1"/>
                <w:w w:val="90"/>
                <w:highlight w:val="none"/>
              </w:rPr>
              <w:t>产</w:t>
            </w:r>
            <w:r>
              <w:rPr>
                <w:rFonts w:hAnsi="宋体"/>
                <w:w w:val="90"/>
                <w:highlight w:val="none"/>
              </w:rPr>
              <w:t>养殖</w:t>
            </w:r>
            <w:r>
              <w:rPr>
                <w:rFonts w:hAnsi="宋体" w:cs="hakuyoxingshu7000"/>
                <w:w w:val="90"/>
                <w:highlight w:val="none"/>
              </w:rPr>
              <w:t>100</w:t>
            </w:r>
            <w:r>
              <w:rPr>
                <w:rFonts w:hAnsi="宋体"/>
                <w:w w:val="90"/>
                <w:highlight w:val="none"/>
              </w:rPr>
              <w:t>亩</w:t>
            </w:r>
            <w:r>
              <w:rPr>
                <w:rFonts w:hAnsi="宋体"/>
                <w:spacing w:val="1"/>
                <w:w w:val="90"/>
                <w:highlight w:val="none"/>
              </w:rPr>
              <w:t>及</w:t>
            </w:r>
            <w:r>
              <w:rPr>
                <w:rFonts w:hAnsi="宋体"/>
                <w:w w:val="90"/>
                <w:highlight w:val="none"/>
              </w:rPr>
              <w:t>以</w:t>
            </w:r>
            <w:r>
              <w:rPr>
                <w:rFonts w:hAnsi="宋体"/>
                <w:spacing w:val="1"/>
                <w:w w:val="90"/>
                <w:highlight w:val="none"/>
              </w:rPr>
              <w:t>上</w:t>
            </w:r>
            <w:r>
              <w:rPr>
                <w:rFonts w:hAnsi="宋体"/>
                <w:w w:val="90"/>
                <w:highlight w:val="none"/>
              </w:rPr>
              <w:t>。</w:t>
            </w:r>
          </w:p>
        </w:tc>
        <w:tc>
          <w:tcPr>
            <w:tcW w:w="507" w:type="dxa"/>
            <w:vAlign w:val="center"/>
          </w:tcPr>
          <w:p>
            <w:pPr>
              <w:pStyle w:val="64"/>
              <w:rPr>
                <w:rFonts w:hAnsi="宋体" w:cs="hakuyoxingshu7000"/>
                <w:spacing w:val="1"/>
                <w:highlight w:val="none"/>
              </w:rPr>
            </w:pPr>
            <w:r>
              <w:rPr>
                <w:rFonts w:hAnsi="宋体" w:cs="hakuyoxingshu7000"/>
                <w:spacing w:val="1"/>
                <w:highlight w:val="none"/>
              </w:rPr>
              <w:t>3</w:t>
            </w:r>
            <w:r>
              <w:rPr>
                <w:rFonts w:hAnsi="宋体" w:cs="hakuyoxingshu7000"/>
                <w:highlight w:val="none"/>
              </w:rPr>
              <w:t>6</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cs="hakuyoxingshu7000"/>
                <w:w w:val="95"/>
                <w:highlight w:val="none"/>
              </w:rPr>
              <w:t>9.</w:t>
            </w:r>
            <w:r>
              <w:rPr>
                <w:rFonts w:hAnsi="宋体" w:cs="hakuyoxingshu7000"/>
                <w:spacing w:val="4"/>
                <w:w w:val="95"/>
                <w:highlight w:val="none"/>
              </w:rPr>
              <w:t>□</w:t>
            </w:r>
            <w:r>
              <w:rPr>
                <w:rFonts w:hAnsi="宋体"/>
                <w:spacing w:val="3"/>
                <w:w w:val="95"/>
                <w:highlight w:val="none"/>
              </w:rPr>
              <w:t>服务人</w:t>
            </w:r>
            <w:r>
              <w:rPr>
                <w:rFonts w:hAnsi="宋体"/>
                <w:w w:val="95"/>
                <w:highlight w:val="none"/>
              </w:rPr>
              <w:t>口</w:t>
            </w:r>
            <w:r>
              <w:rPr>
                <w:rFonts w:hAnsi="宋体" w:cs="hakuyoxingshu7000"/>
                <w:w w:val="95"/>
                <w:highlight w:val="none"/>
              </w:rPr>
              <w:t>2000</w:t>
            </w:r>
            <w:r>
              <w:rPr>
                <w:rFonts w:hAnsi="宋体"/>
                <w:spacing w:val="3"/>
                <w:w w:val="95"/>
                <w:highlight w:val="none"/>
              </w:rPr>
              <w:t>人以下</w:t>
            </w:r>
            <w:r>
              <w:rPr>
                <w:rFonts w:hAnsi="宋体"/>
                <w:spacing w:val="1"/>
                <w:w w:val="95"/>
                <w:highlight w:val="none"/>
              </w:rPr>
              <w:t>的</w:t>
            </w:r>
            <w:r>
              <w:rPr>
                <w:rFonts w:hAnsi="宋体"/>
                <w:spacing w:val="3"/>
                <w:w w:val="95"/>
                <w:highlight w:val="none"/>
              </w:rPr>
              <w:t>饮用水水源保护</w:t>
            </w:r>
            <w:r>
              <w:rPr>
                <w:rFonts w:hAnsi="宋体"/>
                <w:spacing w:val="1"/>
                <w:w w:val="95"/>
                <w:highlight w:val="none"/>
              </w:rPr>
              <w:t>区</w:t>
            </w:r>
            <w:r>
              <w:rPr>
                <w:rFonts w:hAnsi="宋体"/>
                <w:spacing w:val="3"/>
                <w:w w:val="95"/>
                <w:highlight w:val="none"/>
              </w:rPr>
              <w:t>或</w:t>
            </w:r>
            <w:r>
              <w:rPr>
                <w:rFonts w:hint="eastAsia" w:hAnsi="宋体"/>
                <w:spacing w:val="3"/>
                <w:w w:val="95"/>
                <w:highlight w:val="none"/>
              </w:rPr>
              <w:t>自来水厂</w:t>
            </w:r>
            <w:r>
              <w:rPr>
                <w:rFonts w:hAnsi="宋体"/>
                <w:w w:val="95"/>
                <w:highlight w:val="none"/>
              </w:rPr>
              <w:t>取</w:t>
            </w:r>
            <w:r>
              <w:rPr>
                <w:rFonts w:hAnsi="宋体"/>
                <w:spacing w:val="1"/>
                <w:w w:val="95"/>
                <w:highlight w:val="none"/>
              </w:rPr>
              <w:t>水</w:t>
            </w:r>
            <w:r>
              <w:rPr>
                <w:rFonts w:hAnsi="宋体"/>
                <w:w w:val="95"/>
                <w:highlight w:val="none"/>
              </w:rPr>
              <w:t>口。</w:t>
            </w:r>
          </w:p>
          <w:p>
            <w:pPr>
              <w:pStyle w:val="64"/>
              <w:jc w:val="left"/>
              <w:rPr>
                <w:rFonts w:hAnsi="宋体"/>
                <w:highlight w:val="none"/>
              </w:rPr>
            </w:pPr>
            <w:r>
              <w:rPr>
                <w:rFonts w:hAnsi="宋体" w:cs="hakuyoxingshu7000"/>
                <w:w w:val="95"/>
                <w:highlight w:val="none"/>
              </w:rPr>
              <w:t>10.□</w:t>
            </w:r>
            <w:r>
              <w:rPr>
                <w:rFonts w:hAnsi="宋体"/>
                <w:w w:val="95"/>
                <w:highlight w:val="none"/>
              </w:rPr>
              <w:t>流</w:t>
            </w:r>
            <w:r>
              <w:rPr>
                <w:rFonts w:hAnsi="宋体"/>
                <w:spacing w:val="1"/>
                <w:w w:val="95"/>
                <w:highlight w:val="none"/>
              </w:rPr>
              <w:t>量</w:t>
            </w:r>
            <w:r>
              <w:rPr>
                <w:rFonts w:hAnsi="宋体"/>
                <w:w w:val="95"/>
                <w:highlight w:val="none"/>
              </w:rPr>
              <w:t>小于</w:t>
            </w:r>
            <w:r>
              <w:rPr>
                <w:rFonts w:hAnsi="宋体" w:cs="hakuyoxingshu7000"/>
                <w:w w:val="95"/>
                <w:highlight w:val="none"/>
              </w:rPr>
              <w:t>15</w:t>
            </w:r>
            <w:r>
              <w:rPr>
                <w:rFonts w:hAnsi="宋体"/>
                <w:w w:val="95"/>
                <w:highlight w:val="none"/>
              </w:rPr>
              <w:t>立</w:t>
            </w:r>
            <w:r>
              <w:rPr>
                <w:rFonts w:hAnsi="宋体"/>
                <w:spacing w:val="1"/>
                <w:w w:val="95"/>
                <w:highlight w:val="none"/>
              </w:rPr>
              <w:t>方</w:t>
            </w:r>
            <w:r>
              <w:rPr>
                <w:rFonts w:hAnsi="宋体"/>
                <w:w w:val="95"/>
                <w:highlight w:val="none"/>
              </w:rPr>
              <w:t>米</w:t>
            </w:r>
            <w:r>
              <w:rPr>
                <w:rFonts w:hAnsi="宋体" w:cs="hakuyoxingshu7000"/>
                <w:spacing w:val="3"/>
                <w:w w:val="95"/>
                <w:highlight w:val="none"/>
              </w:rPr>
              <w:t>/</w:t>
            </w:r>
            <w:r>
              <w:rPr>
                <w:rFonts w:hAnsi="宋体"/>
                <w:w w:val="95"/>
                <w:highlight w:val="none"/>
              </w:rPr>
              <w:t>秒</w:t>
            </w:r>
            <w:r>
              <w:rPr>
                <w:rFonts w:hAnsi="宋体"/>
                <w:spacing w:val="1"/>
                <w:w w:val="95"/>
                <w:highlight w:val="none"/>
              </w:rPr>
              <w:t>的</w:t>
            </w:r>
            <w:r>
              <w:rPr>
                <w:rFonts w:hAnsi="宋体"/>
                <w:w w:val="95"/>
                <w:highlight w:val="none"/>
              </w:rPr>
              <w:t>河</w:t>
            </w:r>
            <w:r>
              <w:rPr>
                <w:rFonts w:hAnsi="宋体"/>
                <w:spacing w:val="1"/>
                <w:w w:val="95"/>
                <w:highlight w:val="none"/>
              </w:rPr>
              <w:t>流</w:t>
            </w:r>
            <w:r>
              <w:rPr>
                <w:rFonts w:hAnsi="宋体"/>
                <w:w w:val="95"/>
                <w:highlight w:val="none"/>
              </w:rPr>
              <w:t>。</w:t>
            </w:r>
          </w:p>
          <w:p>
            <w:pPr>
              <w:pStyle w:val="64"/>
              <w:jc w:val="left"/>
              <w:rPr>
                <w:rFonts w:hAnsi="宋体"/>
                <w:highlight w:val="none"/>
              </w:rPr>
            </w:pPr>
            <w:r>
              <w:rPr>
                <w:rFonts w:hAnsi="宋体" w:cs="hakuyoxingshu7000"/>
                <w:spacing w:val="-4"/>
                <w:w w:val="95"/>
                <w:highlight w:val="none"/>
              </w:rPr>
              <w:t>1</w:t>
            </w:r>
            <w:r>
              <w:rPr>
                <w:rFonts w:hAnsi="宋体" w:cs="hakuyoxingshu7000"/>
                <w:spacing w:val="-2"/>
                <w:w w:val="95"/>
                <w:highlight w:val="none"/>
              </w:rPr>
              <w:t>1</w:t>
            </w:r>
            <w:r>
              <w:rPr>
                <w:rFonts w:hAnsi="宋体" w:cs="hakuyoxingshu7000"/>
                <w:w w:val="95"/>
                <w:highlight w:val="none"/>
              </w:rPr>
              <w:t>.</w:t>
            </w:r>
            <w:r>
              <w:rPr>
                <w:rFonts w:hAnsi="宋体" w:cs="hakuyoxingshu7000"/>
                <w:spacing w:val="1"/>
                <w:w w:val="95"/>
                <w:highlight w:val="none"/>
              </w:rPr>
              <w:t>□</w:t>
            </w:r>
            <w:r>
              <w:rPr>
                <w:rFonts w:hAnsi="宋体"/>
                <w:w w:val="95"/>
                <w:highlight w:val="none"/>
              </w:rPr>
              <w:t>面</w:t>
            </w:r>
            <w:r>
              <w:rPr>
                <w:rFonts w:hAnsi="宋体"/>
                <w:spacing w:val="1"/>
                <w:w w:val="95"/>
                <w:highlight w:val="none"/>
              </w:rPr>
              <w:t>积</w:t>
            </w:r>
            <w:r>
              <w:rPr>
                <w:rFonts w:hAnsi="宋体"/>
                <w:w w:val="95"/>
                <w:highlight w:val="none"/>
              </w:rPr>
              <w:t>小于</w:t>
            </w:r>
            <w:r>
              <w:rPr>
                <w:rFonts w:hAnsi="宋体" w:cs="hakuyoxingshu7000"/>
                <w:w w:val="95"/>
                <w:highlight w:val="none"/>
              </w:rPr>
              <w:t>2.5</w:t>
            </w:r>
            <w:r>
              <w:rPr>
                <w:rFonts w:hAnsi="宋体"/>
                <w:w w:val="95"/>
                <w:highlight w:val="none"/>
              </w:rPr>
              <w:t>平</w:t>
            </w:r>
            <w:r>
              <w:rPr>
                <w:rFonts w:hAnsi="宋体"/>
                <w:spacing w:val="1"/>
                <w:w w:val="95"/>
                <w:highlight w:val="none"/>
              </w:rPr>
              <w:t>方</w:t>
            </w:r>
            <w:r>
              <w:rPr>
                <w:rFonts w:hAnsi="宋体"/>
                <w:w w:val="95"/>
                <w:highlight w:val="none"/>
              </w:rPr>
              <w:t>千</w:t>
            </w:r>
            <w:r>
              <w:rPr>
                <w:rFonts w:hAnsi="宋体"/>
                <w:spacing w:val="1"/>
                <w:w w:val="95"/>
                <w:highlight w:val="none"/>
              </w:rPr>
              <w:t>米</w:t>
            </w:r>
            <w:r>
              <w:rPr>
                <w:rFonts w:hAnsi="宋体"/>
                <w:w w:val="95"/>
                <w:highlight w:val="none"/>
              </w:rPr>
              <w:t>的</w:t>
            </w:r>
            <w:r>
              <w:rPr>
                <w:rFonts w:hAnsi="宋体"/>
                <w:spacing w:val="1"/>
                <w:w w:val="95"/>
                <w:highlight w:val="none"/>
              </w:rPr>
              <w:t>湖</w:t>
            </w:r>
            <w:r>
              <w:rPr>
                <w:rFonts w:hAnsi="宋体"/>
                <w:w w:val="95"/>
                <w:highlight w:val="none"/>
              </w:rPr>
              <w:t>泊</w:t>
            </w:r>
            <w:r>
              <w:rPr>
                <w:rFonts w:hAnsi="宋体"/>
                <w:spacing w:val="1"/>
                <w:w w:val="95"/>
                <w:highlight w:val="none"/>
              </w:rPr>
              <w:t>或</w:t>
            </w:r>
            <w:r>
              <w:rPr>
                <w:rFonts w:hAnsi="宋体"/>
                <w:w w:val="95"/>
                <w:highlight w:val="none"/>
              </w:rPr>
              <w:t>水</w:t>
            </w:r>
            <w:r>
              <w:rPr>
                <w:rFonts w:hAnsi="宋体"/>
                <w:spacing w:val="1"/>
                <w:w w:val="95"/>
                <w:highlight w:val="none"/>
              </w:rPr>
              <w:t>库</w:t>
            </w:r>
            <w:r>
              <w:rPr>
                <w:rFonts w:hAnsi="宋体"/>
                <w:w w:val="95"/>
                <w:highlight w:val="none"/>
              </w:rPr>
              <w:t>。</w:t>
            </w:r>
          </w:p>
          <w:p>
            <w:pPr>
              <w:pStyle w:val="64"/>
              <w:jc w:val="left"/>
              <w:rPr>
                <w:rFonts w:hAnsi="宋体"/>
                <w:highlight w:val="none"/>
              </w:rPr>
            </w:pPr>
            <w:r>
              <w:rPr>
                <w:rFonts w:hAnsi="宋体" w:cs="hakuyoxingshu7000"/>
                <w:w w:val="95"/>
                <w:highlight w:val="none"/>
              </w:rPr>
              <w:t>12.□</w:t>
            </w:r>
            <w:r>
              <w:rPr>
                <w:rFonts w:hAnsi="宋体"/>
                <w:w w:val="95"/>
                <w:highlight w:val="none"/>
              </w:rPr>
              <w:t>水</w:t>
            </w:r>
            <w:r>
              <w:rPr>
                <w:rFonts w:hAnsi="宋体"/>
                <w:spacing w:val="1"/>
                <w:w w:val="95"/>
                <w:highlight w:val="none"/>
              </w:rPr>
              <w:t>产</w:t>
            </w:r>
            <w:r>
              <w:rPr>
                <w:rFonts w:hAnsi="宋体"/>
                <w:w w:val="95"/>
                <w:highlight w:val="none"/>
              </w:rPr>
              <w:t>养殖</w:t>
            </w:r>
            <w:r>
              <w:rPr>
                <w:rFonts w:hAnsi="宋体" w:cs="hakuyoxingshu7000"/>
                <w:w w:val="95"/>
                <w:highlight w:val="none"/>
              </w:rPr>
              <w:t>100</w:t>
            </w:r>
            <w:r>
              <w:rPr>
                <w:rFonts w:hAnsi="宋体"/>
                <w:w w:val="95"/>
                <w:highlight w:val="none"/>
              </w:rPr>
              <w:t>亩</w:t>
            </w:r>
            <w:r>
              <w:rPr>
                <w:rFonts w:hAnsi="宋体"/>
                <w:spacing w:val="1"/>
                <w:w w:val="95"/>
                <w:highlight w:val="none"/>
              </w:rPr>
              <w:t>以</w:t>
            </w:r>
            <w:r>
              <w:rPr>
                <w:rFonts w:hAnsi="宋体"/>
                <w:w w:val="95"/>
                <w:highlight w:val="none"/>
              </w:rPr>
              <w:t>下。</w:t>
            </w:r>
          </w:p>
        </w:tc>
        <w:tc>
          <w:tcPr>
            <w:tcW w:w="507" w:type="dxa"/>
            <w:vAlign w:val="center"/>
          </w:tcPr>
          <w:p>
            <w:pPr>
              <w:pStyle w:val="64"/>
              <w:rPr>
                <w:rFonts w:hAnsi="宋体"/>
                <w:highlight w:val="none"/>
              </w:rPr>
            </w:pPr>
            <w:r>
              <w:rPr>
                <w:rFonts w:hint="eastAsia" w:hAnsi="宋体"/>
                <w:highlight w:val="none"/>
              </w:rPr>
              <w:t>18</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continue"/>
            <w:vAlign w:val="center"/>
          </w:tcPr>
          <w:p>
            <w:pPr>
              <w:pStyle w:val="64"/>
              <w:rPr>
                <w:rFonts w:hAnsi="宋体"/>
                <w:highlight w:val="none"/>
              </w:rPr>
            </w:pPr>
          </w:p>
        </w:tc>
        <w:tc>
          <w:tcPr>
            <w:tcW w:w="1559" w:type="dxa"/>
            <w:gridSpan w:val="2"/>
            <w:vMerge w:val="restart"/>
            <w:vAlign w:val="center"/>
          </w:tcPr>
          <w:p>
            <w:pPr>
              <w:pStyle w:val="64"/>
              <w:rPr>
                <w:rFonts w:hAnsi="宋体"/>
                <w:highlight w:val="none"/>
              </w:rPr>
            </w:pPr>
            <w:r>
              <w:rPr>
                <w:rFonts w:hAnsi="宋体"/>
                <w:w w:val="95"/>
                <w:highlight w:val="none"/>
              </w:rPr>
              <w:t>尾</w:t>
            </w:r>
            <w:r>
              <w:rPr>
                <w:rFonts w:hAnsi="宋体"/>
                <w:spacing w:val="1"/>
                <w:w w:val="95"/>
                <w:highlight w:val="none"/>
              </w:rPr>
              <w:t>矿</w:t>
            </w:r>
            <w:r>
              <w:rPr>
                <w:rFonts w:hAnsi="宋体"/>
                <w:w w:val="95"/>
                <w:highlight w:val="none"/>
              </w:rPr>
              <w:t>库下游</w:t>
            </w:r>
            <w:r>
              <w:rPr>
                <w:rFonts w:hAnsi="宋体"/>
                <w:spacing w:val="1"/>
                <w:w w:val="95"/>
                <w:highlight w:val="none"/>
              </w:rPr>
              <w:t>涉</w:t>
            </w:r>
            <w:r>
              <w:rPr>
                <w:rFonts w:hAnsi="宋体"/>
                <w:w w:val="95"/>
                <w:highlight w:val="none"/>
              </w:rPr>
              <w:t>及其他</w:t>
            </w:r>
            <w:r>
              <w:rPr>
                <w:rFonts w:hAnsi="宋体"/>
                <w:spacing w:val="1"/>
                <w:w w:val="95"/>
                <w:highlight w:val="none"/>
              </w:rPr>
              <w:t>类</w:t>
            </w:r>
            <w:r>
              <w:rPr>
                <w:rFonts w:hAnsi="宋体"/>
                <w:w w:val="95"/>
                <w:highlight w:val="none"/>
              </w:rPr>
              <w:t>型风</w:t>
            </w:r>
            <w:r>
              <w:rPr>
                <w:rFonts w:hAnsi="宋体"/>
                <w:highlight w:val="none"/>
              </w:rPr>
              <w:t>险</w:t>
            </w:r>
            <w:r>
              <w:rPr>
                <w:rFonts w:hAnsi="宋体"/>
                <w:spacing w:val="2"/>
                <w:highlight w:val="none"/>
              </w:rPr>
              <w:t>受</w:t>
            </w:r>
            <w:r>
              <w:rPr>
                <w:rFonts w:hAnsi="宋体"/>
                <w:highlight w:val="none"/>
              </w:rPr>
              <w:t>体</w:t>
            </w:r>
          </w:p>
        </w:tc>
        <w:tc>
          <w:tcPr>
            <w:tcW w:w="5448" w:type="dxa"/>
            <w:vAlign w:val="center"/>
          </w:tcPr>
          <w:p>
            <w:pPr>
              <w:pStyle w:val="64"/>
              <w:jc w:val="left"/>
              <w:rPr>
                <w:rFonts w:hAnsi="宋体"/>
                <w:highlight w:val="none"/>
              </w:rPr>
            </w:pPr>
            <w:r>
              <w:rPr>
                <w:rFonts w:hAnsi="宋体" w:cs="hakuyoxingshu7000"/>
                <w:w w:val="95"/>
                <w:highlight w:val="none"/>
              </w:rPr>
              <w:t>13.□</w:t>
            </w:r>
            <w:r>
              <w:rPr>
                <w:rFonts w:hAnsi="宋体"/>
                <w:w w:val="95"/>
                <w:highlight w:val="none"/>
              </w:rPr>
              <w:t>人</w:t>
            </w:r>
            <w:r>
              <w:rPr>
                <w:rFonts w:hAnsi="宋体"/>
                <w:spacing w:val="1"/>
                <w:w w:val="95"/>
                <w:highlight w:val="none"/>
              </w:rPr>
              <w:t>口</w:t>
            </w:r>
            <w:r>
              <w:rPr>
                <w:rFonts w:hAnsi="宋体"/>
                <w:w w:val="95"/>
                <w:highlight w:val="none"/>
              </w:rPr>
              <w:t>聚</w:t>
            </w:r>
            <w:r>
              <w:rPr>
                <w:rFonts w:hAnsi="宋体"/>
                <w:spacing w:val="1"/>
                <w:w w:val="95"/>
                <w:highlight w:val="none"/>
              </w:rPr>
              <w:t>集</w:t>
            </w:r>
            <w:r>
              <w:rPr>
                <w:rFonts w:hAnsi="宋体"/>
                <w:w w:val="95"/>
                <w:highlight w:val="none"/>
              </w:rPr>
              <w:t>区</w:t>
            </w:r>
            <w:r>
              <w:rPr>
                <w:rFonts w:hAnsi="宋体"/>
                <w:spacing w:val="1"/>
                <w:w w:val="95"/>
                <w:highlight w:val="none"/>
              </w:rPr>
              <w:t>：</w:t>
            </w:r>
            <w:r>
              <w:rPr>
                <w:rFonts w:hAnsi="宋体"/>
                <w:w w:val="95"/>
                <w:highlight w:val="none"/>
              </w:rPr>
              <w:t>累</w:t>
            </w:r>
            <w:r>
              <w:rPr>
                <w:rFonts w:hAnsi="宋体"/>
                <w:spacing w:val="1"/>
                <w:w w:val="95"/>
                <w:highlight w:val="none"/>
              </w:rPr>
              <w:t>计</w:t>
            </w:r>
            <w:r>
              <w:rPr>
                <w:rFonts w:hAnsi="宋体"/>
                <w:w w:val="95"/>
                <w:highlight w:val="none"/>
              </w:rPr>
              <w:t>人口</w:t>
            </w:r>
            <w:r>
              <w:rPr>
                <w:rFonts w:hAnsi="宋体" w:cs="hakuyoxingshu7000"/>
                <w:w w:val="95"/>
                <w:highlight w:val="none"/>
              </w:rPr>
              <w:t>2000</w:t>
            </w:r>
            <w:r>
              <w:rPr>
                <w:rFonts w:hAnsi="宋体"/>
                <w:w w:val="95"/>
                <w:highlight w:val="none"/>
              </w:rPr>
              <w:t>人</w:t>
            </w:r>
            <w:r>
              <w:rPr>
                <w:rFonts w:hAnsi="宋体"/>
                <w:spacing w:val="1"/>
                <w:w w:val="95"/>
                <w:highlight w:val="none"/>
              </w:rPr>
              <w:t>及</w:t>
            </w:r>
            <w:r>
              <w:rPr>
                <w:rFonts w:hAnsi="宋体"/>
                <w:w w:val="95"/>
                <w:highlight w:val="none"/>
              </w:rPr>
              <w:t>以</w:t>
            </w:r>
            <w:r>
              <w:rPr>
                <w:rFonts w:hAnsi="宋体"/>
                <w:spacing w:val="1"/>
                <w:w w:val="95"/>
                <w:highlight w:val="none"/>
              </w:rPr>
              <w:t>上</w:t>
            </w:r>
            <w:r>
              <w:rPr>
                <w:rFonts w:hAnsi="宋体"/>
                <w:w w:val="95"/>
                <w:highlight w:val="none"/>
              </w:rPr>
              <w:t>。</w:t>
            </w:r>
          </w:p>
        </w:tc>
        <w:tc>
          <w:tcPr>
            <w:tcW w:w="507" w:type="dxa"/>
            <w:vAlign w:val="center"/>
          </w:tcPr>
          <w:p>
            <w:pPr>
              <w:pStyle w:val="64"/>
              <w:rPr>
                <w:rFonts w:hAnsi="宋体" w:cs="hakuyoxingshu7000"/>
                <w:highlight w:val="none"/>
              </w:rPr>
            </w:pPr>
            <w:r>
              <w:rPr>
                <w:rFonts w:hAnsi="宋体" w:cs="hakuyoxingshu7000"/>
                <w:spacing w:val="1"/>
                <w:highlight w:val="none"/>
              </w:rPr>
              <w:t>5</w:t>
            </w:r>
            <w:r>
              <w:rPr>
                <w:rFonts w:hAnsi="宋体" w:cs="hakuyoxingshu7000"/>
                <w:highlight w:val="none"/>
              </w:rPr>
              <w:t>4</w:t>
            </w:r>
          </w:p>
        </w:tc>
        <w:tc>
          <w:tcPr>
            <w:tcW w:w="708" w:type="dxa"/>
            <w:vMerge w:val="restart"/>
            <w:vAlign w:val="center"/>
          </w:tcPr>
          <w:p>
            <w:pPr>
              <w:pStyle w:val="64"/>
              <w:rPr>
                <w:rFonts w:hAnsi="宋体" w:cs="hakuyoxingshu7000"/>
                <w:highlight w:val="none"/>
              </w:rPr>
            </w:pPr>
            <w:r>
              <w:rPr>
                <w:rFonts w:hAnsi="宋体" w:cs="hakuyoxingshu7000"/>
                <w:highlight w:val="none"/>
              </w:rPr>
              <w:t>0</w:t>
            </w: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950" w:type="dxa"/>
            <w:gridSpan w:val="3"/>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cs="hakuyoxingshu7000"/>
                <w:spacing w:val="1"/>
                <w:highlight w:val="none"/>
              </w:rPr>
              <w:t>14</w:t>
            </w:r>
            <w:r>
              <w:rPr>
                <w:rFonts w:hAnsi="宋体" w:cs="hakuyoxingshu7000"/>
                <w:highlight w:val="none"/>
              </w:rPr>
              <w:t>.</w:t>
            </w:r>
            <w:r>
              <w:rPr>
                <w:rFonts w:hAnsi="宋体"/>
                <w:highlight w:val="none"/>
              </w:rPr>
              <w:t>人</w:t>
            </w:r>
            <w:r>
              <w:rPr>
                <w:rFonts w:hAnsi="宋体"/>
                <w:spacing w:val="2"/>
                <w:highlight w:val="none"/>
              </w:rPr>
              <w:t>口</w:t>
            </w:r>
            <w:r>
              <w:rPr>
                <w:rFonts w:hAnsi="宋体"/>
                <w:highlight w:val="none"/>
              </w:rPr>
              <w:t>聚</w:t>
            </w:r>
            <w:r>
              <w:rPr>
                <w:rFonts w:hAnsi="宋体"/>
                <w:spacing w:val="2"/>
                <w:highlight w:val="none"/>
              </w:rPr>
              <w:t>集</w:t>
            </w:r>
            <w:r>
              <w:rPr>
                <w:rFonts w:hAnsi="宋体"/>
                <w:highlight w:val="none"/>
              </w:rPr>
              <w:t>区</w:t>
            </w:r>
            <w:r>
              <w:rPr>
                <w:rFonts w:hAnsi="宋体"/>
                <w:spacing w:val="2"/>
                <w:highlight w:val="none"/>
              </w:rPr>
              <w:t>：</w:t>
            </w:r>
            <w:r>
              <w:rPr>
                <w:rFonts w:hAnsi="宋体"/>
                <w:highlight w:val="none"/>
              </w:rPr>
              <w:t>累</w:t>
            </w:r>
            <w:r>
              <w:rPr>
                <w:rFonts w:hAnsi="宋体"/>
                <w:spacing w:val="2"/>
                <w:highlight w:val="none"/>
              </w:rPr>
              <w:t>计</w:t>
            </w:r>
            <w:r>
              <w:rPr>
                <w:rFonts w:hAnsi="宋体"/>
                <w:highlight w:val="none"/>
              </w:rPr>
              <w:t>人口</w:t>
            </w:r>
            <w:r>
              <w:rPr>
                <w:rFonts w:hAnsi="宋体" w:cs="hakuyoxingshu7000"/>
                <w:spacing w:val="1"/>
                <w:highlight w:val="none"/>
              </w:rPr>
              <w:t>200</w:t>
            </w:r>
            <w:r>
              <w:rPr>
                <w:rFonts w:hAnsi="宋体" w:cs="hakuyoxingshu7000"/>
                <w:highlight w:val="none"/>
              </w:rPr>
              <w:t>0</w:t>
            </w:r>
            <w:r>
              <w:rPr>
                <w:rFonts w:hAnsi="宋体"/>
                <w:highlight w:val="none"/>
              </w:rPr>
              <w:t>人</w:t>
            </w:r>
            <w:r>
              <w:rPr>
                <w:rFonts w:hAnsi="宋体"/>
                <w:spacing w:val="2"/>
                <w:highlight w:val="none"/>
              </w:rPr>
              <w:t>以</w:t>
            </w:r>
            <w:r>
              <w:rPr>
                <w:rFonts w:hAnsi="宋体"/>
                <w:highlight w:val="none"/>
              </w:rPr>
              <w:t>下</w:t>
            </w:r>
            <w:r>
              <w:rPr>
                <w:rFonts w:hAnsi="宋体"/>
                <w:spacing w:val="2"/>
                <w:highlight w:val="none"/>
              </w:rPr>
              <w:t>，</w:t>
            </w:r>
            <w:r>
              <w:rPr>
                <w:rFonts w:hAnsi="宋体" w:cs="hakuyoxingshu7000"/>
                <w:spacing w:val="1"/>
                <w:highlight w:val="none"/>
              </w:rPr>
              <w:t>20</w:t>
            </w:r>
            <w:r>
              <w:rPr>
                <w:rFonts w:hAnsi="宋体" w:cs="hakuyoxingshu7000"/>
                <w:highlight w:val="none"/>
              </w:rPr>
              <w:t>0</w:t>
            </w:r>
            <w:r>
              <w:rPr>
                <w:rFonts w:hAnsi="宋体"/>
                <w:highlight w:val="none"/>
              </w:rPr>
              <w:t>人</w:t>
            </w:r>
            <w:r>
              <w:rPr>
                <w:rFonts w:hAnsi="宋体"/>
                <w:spacing w:val="2"/>
                <w:highlight w:val="none"/>
              </w:rPr>
              <w:t>及</w:t>
            </w:r>
            <w:r>
              <w:rPr>
                <w:rFonts w:hAnsi="宋体"/>
                <w:highlight w:val="none"/>
              </w:rPr>
              <w:t>以</w:t>
            </w:r>
            <w:r>
              <w:rPr>
                <w:rFonts w:hAnsi="宋体"/>
                <w:spacing w:val="2"/>
                <w:highlight w:val="none"/>
              </w:rPr>
              <w:t>上</w:t>
            </w:r>
            <w:r>
              <w:rPr>
                <w:rFonts w:hAnsi="宋体"/>
                <w:highlight w:val="none"/>
              </w:rPr>
              <w:t>。</w:t>
            </w:r>
          </w:p>
          <w:p>
            <w:pPr>
              <w:pStyle w:val="64"/>
              <w:jc w:val="left"/>
              <w:rPr>
                <w:rFonts w:hAnsi="宋体"/>
                <w:highlight w:val="none"/>
              </w:rPr>
            </w:pPr>
            <w:r>
              <w:rPr>
                <w:rFonts w:hAnsi="宋体" w:cs="hakuyoxingshu7000"/>
                <w:spacing w:val="1"/>
                <w:highlight w:val="none"/>
              </w:rPr>
              <w:t>15</w:t>
            </w:r>
            <w:r>
              <w:rPr>
                <w:rFonts w:hAnsi="宋体" w:cs="hakuyoxingshu7000"/>
                <w:highlight w:val="none"/>
              </w:rPr>
              <w:t>.□</w:t>
            </w:r>
            <w:r>
              <w:rPr>
                <w:rFonts w:hAnsi="宋体"/>
                <w:spacing w:val="2"/>
                <w:highlight w:val="none"/>
              </w:rPr>
              <w:t>国</w:t>
            </w:r>
            <w:r>
              <w:rPr>
                <w:rFonts w:hAnsi="宋体"/>
                <w:highlight w:val="none"/>
              </w:rPr>
              <w:t>家</w:t>
            </w:r>
            <w:r>
              <w:rPr>
                <w:rFonts w:hAnsi="宋体"/>
                <w:spacing w:val="-54"/>
                <w:highlight w:val="none"/>
              </w:rPr>
              <w:t>级</w:t>
            </w:r>
            <w:r>
              <w:rPr>
                <w:rFonts w:hAnsi="宋体"/>
                <w:highlight w:val="none"/>
              </w:rPr>
              <w:t>（或</w:t>
            </w:r>
            <w:r>
              <w:rPr>
                <w:rFonts w:hAnsi="宋体" w:cs="hakuyoxingshu7000"/>
                <w:spacing w:val="1"/>
                <w:highlight w:val="none"/>
              </w:rPr>
              <w:t>4</w:t>
            </w:r>
            <w:r>
              <w:rPr>
                <w:rFonts w:hAnsi="宋体" w:cs="hakuyoxingshu7000"/>
                <w:highlight w:val="none"/>
              </w:rPr>
              <w:t>A</w:t>
            </w:r>
            <w:r>
              <w:rPr>
                <w:rFonts w:hAnsi="宋体"/>
                <w:spacing w:val="2"/>
                <w:highlight w:val="none"/>
              </w:rPr>
              <w:t>级</w:t>
            </w:r>
            <w:r>
              <w:rPr>
                <w:rFonts w:hAnsi="宋体"/>
                <w:highlight w:val="none"/>
              </w:rPr>
              <w:t>及</w:t>
            </w:r>
            <w:r>
              <w:rPr>
                <w:rFonts w:hAnsi="宋体"/>
                <w:spacing w:val="2"/>
                <w:highlight w:val="none"/>
              </w:rPr>
              <w:t>以</w:t>
            </w:r>
            <w:r>
              <w:rPr>
                <w:rFonts w:hAnsi="宋体"/>
                <w:highlight w:val="none"/>
              </w:rPr>
              <w:t>上</w:t>
            </w:r>
            <w:r>
              <w:rPr>
                <w:rFonts w:hAnsi="宋体"/>
                <w:spacing w:val="-57"/>
                <w:highlight w:val="none"/>
              </w:rPr>
              <w:t>）</w:t>
            </w:r>
            <w:r>
              <w:rPr>
                <w:rFonts w:hAnsi="宋体"/>
                <w:spacing w:val="2"/>
                <w:highlight w:val="none"/>
              </w:rPr>
              <w:t>的</w:t>
            </w:r>
            <w:r>
              <w:rPr>
                <w:rFonts w:hAnsi="宋体"/>
                <w:highlight w:val="none"/>
              </w:rPr>
              <w:t>自</w:t>
            </w:r>
            <w:r>
              <w:rPr>
                <w:rFonts w:hAnsi="宋体"/>
                <w:spacing w:val="2"/>
                <w:highlight w:val="none"/>
              </w:rPr>
              <w:t>然</w:t>
            </w:r>
            <w:r>
              <w:rPr>
                <w:rFonts w:hAnsi="宋体"/>
                <w:highlight w:val="none"/>
              </w:rPr>
              <w:t>保</w:t>
            </w:r>
            <w:r>
              <w:rPr>
                <w:rFonts w:hAnsi="宋体"/>
                <w:spacing w:val="2"/>
                <w:highlight w:val="none"/>
              </w:rPr>
              <w:t>护</w:t>
            </w:r>
            <w:r>
              <w:rPr>
                <w:rFonts w:hAnsi="宋体"/>
                <w:highlight w:val="none"/>
              </w:rPr>
              <w:t>区</w:t>
            </w:r>
            <w:r>
              <w:rPr>
                <w:rFonts w:hAnsi="宋体"/>
                <w:spacing w:val="-54"/>
                <w:highlight w:val="none"/>
              </w:rPr>
              <w:t>、</w:t>
            </w:r>
            <w:r>
              <w:rPr>
                <w:rFonts w:hAnsi="宋体"/>
                <w:spacing w:val="2"/>
                <w:highlight w:val="none"/>
              </w:rPr>
              <w:t>风</w:t>
            </w:r>
            <w:r>
              <w:rPr>
                <w:rFonts w:hAnsi="宋体"/>
                <w:highlight w:val="none"/>
              </w:rPr>
              <w:t>景</w:t>
            </w:r>
            <w:r>
              <w:rPr>
                <w:rFonts w:hAnsi="宋体"/>
                <w:spacing w:val="2"/>
                <w:highlight w:val="none"/>
              </w:rPr>
              <w:t>名</w:t>
            </w:r>
            <w:r>
              <w:rPr>
                <w:rFonts w:hAnsi="宋体"/>
                <w:highlight w:val="none"/>
              </w:rPr>
              <w:t>胜</w:t>
            </w:r>
            <w:r>
              <w:rPr>
                <w:rFonts w:hAnsi="宋体"/>
                <w:spacing w:val="2"/>
                <w:highlight w:val="none"/>
              </w:rPr>
              <w:t>区</w:t>
            </w:r>
            <w:r>
              <w:rPr>
                <w:rFonts w:hAnsi="宋体"/>
                <w:highlight w:val="none"/>
              </w:rPr>
              <w:t>、森</w:t>
            </w:r>
            <w:r>
              <w:rPr>
                <w:rFonts w:hAnsi="宋体"/>
                <w:spacing w:val="2"/>
                <w:highlight w:val="none"/>
              </w:rPr>
              <w:t>林</w:t>
            </w:r>
            <w:r>
              <w:rPr>
                <w:rFonts w:hAnsi="宋体"/>
                <w:highlight w:val="none"/>
              </w:rPr>
              <w:t>公</w:t>
            </w:r>
            <w:r>
              <w:rPr>
                <w:rFonts w:hAnsi="宋体"/>
                <w:spacing w:val="2"/>
                <w:highlight w:val="none"/>
              </w:rPr>
              <w:t>园</w:t>
            </w:r>
            <w:r>
              <w:rPr>
                <w:rFonts w:hAnsi="宋体"/>
                <w:highlight w:val="none"/>
              </w:rPr>
              <w:t>、地</w:t>
            </w:r>
            <w:r>
              <w:rPr>
                <w:rFonts w:hAnsi="宋体"/>
                <w:spacing w:val="2"/>
                <w:highlight w:val="none"/>
              </w:rPr>
              <w:t>质</w:t>
            </w:r>
            <w:r>
              <w:rPr>
                <w:rFonts w:hAnsi="宋体"/>
                <w:highlight w:val="none"/>
              </w:rPr>
              <w:t>公</w:t>
            </w:r>
            <w:r>
              <w:rPr>
                <w:rFonts w:hAnsi="宋体"/>
                <w:spacing w:val="2"/>
                <w:highlight w:val="none"/>
              </w:rPr>
              <w:t>园</w:t>
            </w:r>
            <w:r>
              <w:rPr>
                <w:rFonts w:hAnsi="宋体"/>
                <w:spacing w:val="-3"/>
                <w:highlight w:val="none"/>
              </w:rPr>
              <w:t>、</w:t>
            </w:r>
            <w:r>
              <w:rPr>
                <w:rFonts w:hAnsi="宋体"/>
                <w:highlight w:val="none"/>
              </w:rPr>
              <w:t>世</w:t>
            </w:r>
            <w:r>
              <w:rPr>
                <w:rFonts w:hAnsi="宋体"/>
                <w:spacing w:val="2"/>
                <w:highlight w:val="none"/>
              </w:rPr>
              <w:t>界</w:t>
            </w:r>
            <w:r>
              <w:rPr>
                <w:rFonts w:hAnsi="宋体"/>
                <w:highlight w:val="none"/>
              </w:rPr>
              <w:t>文</w:t>
            </w:r>
            <w:r>
              <w:rPr>
                <w:rFonts w:hAnsi="宋体"/>
                <w:spacing w:val="2"/>
                <w:highlight w:val="none"/>
              </w:rPr>
              <w:t>化</w:t>
            </w:r>
            <w:r>
              <w:rPr>
                <w:rFonts w:hAnsi="宋体"/>
                <w:highlight w:val="none"/>
              </w:rPr>
              <w:t>或</w:t>
            </w:r>
            <w:r>
              <w:rPr>
                <w:rFonts w:hAnsi="宋体"/>
                <w:spacing w:val="2"/>
                <w:highlight w:val="none"/>
              </w:rPr>
              <w:t>自</w:t>
            </w:r>
            <w:r>
              <w:rPr>
                <w:rFonts w:hAnsi="宋体"/>
                <w:highlight w:val="none"/>
              </w:rPr>
              <w:t>然</w:t>
            </w:r>
            <w:r>
              <w:rPr>
                <w:rFonts w:hAnsi="宋体"/>
                <w:spacing w:val="2"/>
                <w:highlight w:val="none"/>
              </w:rPr>
              <w:t>遗</w:t>
            </w:r>
            <w:r>
              <w:rPr>
                <w:rFonts w:hAnsi="宋体"/>
                <w:highlight w:val="none"/>
              </w:rPr>
              <w:t>产</w:t>
            </w:r>
            <w:r>
              <w:rPr>
                <w:rFonts w:hAnsi="宋体"/>
                <w:spacing w:val="2"/>
                <w:highlight w:val="none"/>
              </w:rPr>
              <w:t>地</w:t>
            </w:r>
            <w:r>
              <w:rPr>
                <w:rFonts w:hAnsi="宋体"/>
                <w:highlight w:val="none"/>
              </w:rPr>
              <w:t>，重</w:t>
            </w:r>
            <w:r>
              <w:rPr>
                <w:rFonts w:hAnsi="宋体"/>
                <w:spacing w:val="2"/>
                <w:highlight w:val="none"/>
              </w:rPr>
              <w:t>点</w:t>
            </w:r>
            <w:r>
              <w:rPr>
                <w:rFonts w:hAnsi="宋体"/>
                <w:highlight w:val="none"/>
              </w:rPr>
              <w:t>文</w:t>
            </w:r>
            <w:r>
              <w:rPr>
                <w:rFonts w:hAnsi="宋体"/>
                <w:spacing w:val="2"/>
                <w:highlight w:val="none"/>
              </w:rPr>
              <w:t>物</w:t>
            </w:r>
            <w:r>
              <w:rPr>
                <w:rFonts w:hAnsi="宋体"/>
                <w:highlight w:val="none"/>
              </w:rPr>
              <w:t>保</w:t>
            </w:r>
            <w:r>
              <w:rPr>
                <w:rFonts w:hAnsi="宋体"/>
                <w:spacing w:val="2"/>
                <w:highlight w:val="none"/>
              </w:rPr>
              <w:t>护</w:t>
            </w:r>
            <w:r>
              <w:rPr>
                <w:rFonts w:hAnsi="宋体"/>
                <w:highlight w:val="none"/>
              </w:rPr>
              <w:t>单位、</w:t>
            </w:r>
            <w:r>
              <w:rPr>
                <w:rFonts w:hAnsi="宋体"/>
                <w:spacing w:val="2"/>
                <w:highlight w:val="none"/>
              </w:rPr>
              <w:t>以</w:t>
            </w:r>
            <w:r>
              <w:rPr>
                <w:rFonts w:hAnsi="宋体"/>
                <w:highlight w:val="none"/>
              </w:rPr>
              <w:t>及</w:t>
            </w:r>
            <w:r>
              <w:rPr>
                <w:rFonts w:hAnsi="宋体"/>
                <w:spacing w:val="2"/>
                <w:highlight w:val="none"/>
              </w:rPr>
              <w:t>其</w:t>
            </w:r>
            <w:r>
              <w:rPr>
                <w:rFonts w:hAnsi="宋体"/>
                <w:highlight w:val="none"/>
              </w:rPr>
              <w:t>他</w:t>
            </w:r>
            <w:r>
              <w:rPr>
                <w:rFonts w:hAnsi="宋体"/>
                <w:spacing w:val="2"/>
                <w:highlight w:val="none"/>
              </w:rPr>
              <w:t>具</w:t>
            </w:r>
            <w:r>
              <w:rPr>
                <w:rFonts w:hAnsi="宋体"/>
                <w:highlight w:val="none"/>
              </w:rPr>
              <w:t>有</w:t>
            </w:r>
            <w:r>
              <w:rPr>
                <w:rFonts w:hAnsi="宋体"/>
                <w:spacing w:val="2"/>
                <w:highlight w:val="none"/>
              </w:rPr>
              <w:t>特</w:t>
            </w:r>
            <w:r>
              <w:rPr>
                <w:rFonts w:hAnsi="宋体"/>
                <w:highlight w:val="none"/>
              </w:rPr>
              <w:t>殊</w:t>
            </w:r>
            <w:r>
              <w:rPr>
                <w:rFonts w:hAnsi="宋体"/>
                <w:spacing w:val="2"/>
                <w:highlight w:val="none"/>
              </w:rPr>
              <w:t>历史</w:t>
            </w:r>
            <w:r>
              <w:rPr>
                <w:rFonts w:hAnsi="宋体"/>
                <w:highlight w:val="none"/>
              </w:rPr>
              <w:t>、</w:t>
            </w:r>
            <w:r>
              <w:rPr>
                <w:rFonts w:hAnsi="宋体"/>
                <w:spacing w:val="2"/>
                <w:highlight w:val="none"/>
              </w:rPr>
              <w:t>文</w:t>
            </w:r>
            <w:r>
              <w:rPr>
                <w:rFonts w:hAnsi="宋体"/>
                <w:highlight w:val="none"/>
              </w:rPr>
              <w:t>化</w:t>
            </w:r>
            <w:r>
              <w:rPr>
                <w:rFonts w:hAnsi="宋体"/>
                <w:spacing w:val="-3"/>
                <w:highlight w:val="none"/>
              </w:rPr>
              <w:t>、</w:t>
            </w:r>
            <w:r>
              <w:rPr>
                <w:rFonts w:hAnsi="宋体"/>
                <w:spacing w:val="2"/>
                <w:highlight w:val="none"/>
              </w:rPr>
              <w:t>科学</w:t>
            </w:r>
            <w:r>
              <w:rPr>
                <w:rFonts w:hAnsi="宋体"/>
                <w:spacing w:val="-3"/>
                <w:highlight w:val="none"/>
              </w:rPr>
              <w:t>、</w:t>
            </w:r>
            <w:r>
              <w:rPr>
                <w:rFonts w:hAnsi="宋体"/>
                <w:spacing w:val="2"/>
                <w:highlight w:val="none"/>
              </w:rPr>
              <w:t>民</w:t>
            </w:r>
            <w:r>
              <w:rPr>
                <w:rFonts w:hAnsi="宋体"/>
                <w:highlight w:val="none"/>
              </w:rPr>
              <w:t>族</w:t>
            </w:r>
            <w:r>
              <w:rPr>
                <w:rFonts w:hAnsi="宋体"/>
                <w:spacing w:val="2"/>
                <w:highlight w:val="none"/>
              </w:rPr>
              <w:t>意</w:t>
            </w:r>
            <w:r>
              <w:rPr>
                <w:rFonts w:hAnsi="宋体"/>
                <w:highlight w:val="none"/>
              </w:rPr>
              <w:t>义的保</w:t>
            </w:r>
            <w:r>
              <w:rPr>
                <w:rFonts w:hAnsi="宋体"/>
                <w:spacing w:val="2"/>
                <w:highlight w:val="none"/>
              </w:rPr>
              <w:t>护</w:t>
            </w:r>
            <w:r>
              <w:rPr>
                <w:rFonts w:hAnsi="宋体"/>
                <w:highlight w:val="none"/>
              </w:rPr>
              <w:t>地</w:t>
            </w:r>
            <w:r>
              <w:rPr>
                <w:rFonts w:hAnsi="宋体"/>
                <w:spacing w:val="2"/>
                <w:highlight w:val="none"/>
              </w:rPr>
              <w:t>等</w:t>
            </w:r>
            <w:r>
              <w:rPr>
                <w:rFonts w:hAnsi="宋体"/>
                <w:highlight w:val="none"/>
              </w:rPr>
              <w:t>。</w:t>
            </w:r>
          </w:p>
          <w:p>
            <w:pPr>
              <w:pStyle w:val="64"/>
              <w:jc w:val="left"/>
              <w:rPr>
                <w:rFonts w:hAnsi="宋体"/>
                <w:highlight w:val="none"/>
              </w:rPr>
            </w:pPr>
            <w:r>
              <w:rPr>
                <w:rFonts w:hAnsi="宋体" w:cs="hakuyoxingshu7000"/>
                <w:w w:val="95"/>
                <w:highlight w:val="none"/>
              </w:rPr>
              <w:t>16.</w:t>
            </w:r>
            <w:r>
              <w:rPr>
                <w:rFonts w:hAnsi="宋体" w:cs="hakuyoxingshu7000"/>
                <w:spacing w:val="12"/>
                <w:w w:val="95"/>
                <w:highlight w:val="none"/>
              </w:rPr>
              <w:t>□</w:t>
            </w:r>
            <w:r>
              <w:rPr>
                <w:rFonts w:hAnsi="宋体"/>
                <w:spacing w:val="8"/>
                <w:w w:val="95"/>
                <w:highlight w:val="none"/>
              </w:rPr>
              <w:t>国</w:t>
            </w:r>
            <w:r>
              <w:rPr>
                <w:rFonts w:hAnsi="宋体"/>
                <w:spacing w:val="6"/>
                <w:w w:val="95"/>
                <w:highlight w:val="none"/>
              </w:rPr>
              <w:t>家</w:t>
            </w:r>
            <w:r>
              <w:rPr>
                <w:rFonts w:hAnsi="宋体"/>
                <w:spacing w:val="8"/>
                <w:w w:val="95"/>
                <w:highlight w:val="none"/>
              </w:rPr>
              <w:t>基本</w:t>
            </w:r>
            <w:r>
              <w:rPr>
                <w:rFonts w:hAnsi="宋体"/>
                <w:spacing w:val="6"/>
                <w:w w:val="95"/>
                <w:highlight w:val="none"/>
              </w:rPr>
              <w:t>农</w:t>
            </w:r>
            <w:r>
              <w:rPr>
                <w:rFonts w:hAnsi="宋体"/>
                <w:spacing w:val="8"/>
                <w:w w:val="95"/>
                <w:highlight w:val="none"/>
              </w:rPr>
              <w:t>田、基</w:t>
            </w:r>
            <w:r>
              <w:rPr>
                <w:rFonts w:hAnsi="宋体"/>
                <w:spacing w:val="6"/>
                <w:w w:val="95"/>
                <w:highlight w:val="none"/>
              </w:rPr>
              <w:t>本</w:t>
            </w:r>
            <w:r>
              <w:rPr>
                <w:rFonts w:hAnsi="宋体"/>
                <w:spacing w:val="8"/>
                <w:w w:val="95"/>
                <w:highlight w:val="none"/>
              </w:rPr>
              <w:t>草原</w:t>
            </w:r>
            <w:r>
              <w:rPr>
                <w:rFonts w:hAnsi="宋体"/>
                <w:spacing w:val="6"/>
                <w:w w:val="95"/>
                <w:highlight w:val="none"/>
              </w:rPr>
              <w:t>、</w:t>
            </w:r>
            <w:r>
              <w:rPr>
                <w:rFonts w:hAnsi="宋体"/>
                <w:spacing w:val="8"/>
                <w:w w:val="95"/>
                <w:highlight w:val="none"/>
              </w:rPr>
              <w:t>种植</w:t>
            </w:r>
            <w:r>
              <w:rPr>
                <w:rFonts w:hAnsi="宋体"/>
                <w:spacing w:val="6"/>
                <w:w w:val="95"/>
                <w:highlight w:val="none"/>
              </w:rPr>
              <w:t>大</w:t>
            </w:r>
            <w:r>
              <w:rPr>
                <w:rFonts w:hAnsi="宋体"/>
                <w:spacing w:val="8"/>
                <w:w w:val="95"/>
                <w:highlight w:val="none"/>
              </w:rPr>
              <w:t>棚、</w:t>
            </w:r>
            <w:r>
              <w:rPr>
                <w:rFonts w:hAnsi="宋体"/>
                <w:spacing w:val="6"/>
                <w:w w:val="95"/>
                <w:highlight w:val="none"/>
              </w:rPr>
              <w:t>农</w:t>
            </w:r>
            <w:r>
              <w:rPr>
                <w:rFonts w:hAnsi="宋体"/>
                <w:spacing w:val="8"/>
                <w:w w:val="95"/>
                <w:highlight w:val="none"/>
              </w:rPr>
              <w:t>产品基</w:t>
            </w:r>
            <w:r>
              <w:rPr>
                <w:rFonts w:hAnsi="宋体"/>
                <w:spacing w:val="6"/>
                <w:w w:val="95"/>
                <w:highlight w:val="none"/>
              </w:rPr>
              <w:t>地</w:t>
            </w:r>
            <w:r>
              <w:rPr>
                <w:rFonts w:hAnsi="宋体"/>
                <w:w w:val="95"/>
                <w:highlight w:val="none"/>
              </w:rPr>
              <w:t>等</w:t>
            </w:r>
            <w:r>
              <w:rPr>
                <w:rFonts w:hAnsi="宋体" w:cs="hakuyoxingshu7000"/>
                <w:spacing w:val="1"/>
                <w:highlight w:val="none"/>
              </w:rPr>
              <w:t>100</w:t>
            </w:r>
            <w:r>
              <w:rPr>
                <w:rFonts w:hAnsi="宋体" w:cs="hakuyoxingshu7000"/>
                <w:highlight w:val="none"/>
              </w:rPr>
              <w:t>0</w:t>
            </w:r>
            <w:r>
              <w:rPr>
                <w:rFonts w:hAnsi="宋体"/>
                <w:highlight w:val="none"/>
              </w:rPr>
              <w:t>亩</w:t>
            </w:r>
            <w:r>
              <w:rPr>
                <w:rFonts w:hAnsi="宋体"/>
                <w:spacing w:val="2"/>
                <w:highlight w:val="none"/>
              </w:rPr>
              <w:t>及</w:t>
            </w:r>
            <w:r>
              <w:rPr>
                <w:rFonts w:hAnsi="宋体"/>
                <w:highlight w:val="none"/>
              </w:rPr>
              <w:t>以</w:t>
            </w:r>
            <w:r>
              <w:rPr>
                <w:rFonts w:hAnsi="宋体"/>
                <w:spacing w:val="2"/>
                <w:highlight w:val="none"/>
              </w:rPr>
              <w:t>上</w:t>
            </w:r>
            <w:r>
              <w:rPr>
                <w:rFonts w:hAnsi="宋体"/>
                <w:highlight w:val="none"/>
              </w:rPr>
              <w:t>。</w:t>
            </w:r>
          </w:p>
          <w:p>
            <w:pPr>
              <w:pStyle w:val="64"/>
              <w:jc w:val="left"/>
              <w:rPr>
                <w:rFonts w:hAnsi="宋体"/>
                <w:highlight w:val="none"/>
              </w:rPr>
            </w:pPr>
            <w:r>
              <w:rPr>
                <w:rFonts w:hAnsi="宋体" w:cs="hakuyoxingshu7000"/>
                <w:w w:val="95"/>
                <w:highlight w:val="none"/>
              </w:rPr>
              <w:t>17.□</w:t>
            </w:r>
            <w:r>
              <w:rPr>
                <w:rFonts w:hAnsi="宋体"/>
                <w:w w:val="95"/>
                <w:highlight w:val="none"/>
              </w:rPr>
              <w:t>重</w:t>
            </w:r>
            <w:r>
              <w:rPr>
                <w:rFonts w:hAnsi="宋体"/>
                <w:spacing w:val="1"/>
                <w:w w:val="95"/>
                <w:highlight w:val="none"/>
              </w:rPr>
              <w:t>大</w:t>
            </w:r>
            <w:r>
              <w:rPr>
                <w:rFonts w:hAnsi="宋体"/>
                <w:w w:val="95"/>
                <w:highlight w:val="none"/>
              </w:rPr>
              <w:t>环</w:t>
            </w:r>
            <w:r>
              <w:rPr>
                <w:rFonts w:hAnsi="宋体"/>
                <w:spacing w:val="1"/>
                <w:w w:val="95"/>
                <w:highlight w:val="none"/>
              </w:rPr>
              <w:t>境</w:t>
            </w:r>
            <w:r>
              <w:rPr>
                <w:rFonts w:hAnsi="宋体"/>
                <w:w w:val="95"/>
                <w:highlight w:val="none"/>
              </w:rPr>
              <w:t>风</w:t>
            </w:r>
            <w:r>
              <w:rPr>
                <w:rFonts w:hAnsi="宋体"/>
                <w:spacing w:val="1"/>
                <w:w w:val="95"/>
                <w:highlight w:val="none"/>
              </w:rPr>
              <w:t>险</w:t>
            </w:r>
            <w:r>
              <w:rPr>
                <w:rFonts w:hAnsi="宋体"/>
                <w:w w:val="95"/>
                <w:highlight w:val="none"/>
              </w:rPr>
              <w:t>企</w:t>
            </w:r>
            <w:r>
              <w:rPr>
                <w:rFonts w:hAnsi="宋体"/>
                <w:spacing w:val="1"/>
                <w:w w:val="95"/>
                <w:highlight w:val="none"/>
              </w:rPr>
              <w:t>业</w:t>
            </w:r>
            <w:r>
              <w:rPr>
                <w:rFonts w:hAnsi="宋体"/>
                <w:w w:val="95"/>
                <w:highlight w:val="none"/>
              </w:rPr>
              <w:t>或</w:t>
            </w:r>
            <w:r>
              <w:rPr>
                <w:rFonts w:hAnsi="宋体"/>
                <w:spacing w:val="1"/>
                <w:w w:val="95"/>
                <w:highlight w:val="none"/>
              </w:rPr>
              <w:t>重</w:t>
            </w:r>
            <w:r>
              <w:rPr>
                <w:rFonts w:hAnsi="宋体"/>
                <w:w w:val="95"/>
                <w:highlight w:val="none"/>
              </w:rPr>
              <w:t>大</w:t>
            </w:r>
            <w:r>
              <w:rPr>
                <w:rFonts w:hAnsi="宋体"/>
                <w:spacing w:val="1"/>
                <w:w w:val="95"/>
                <w:highlight w:val="none"/>
              </w:rPr>
              <w:t>二</w:t>
            </w:r>
            <w:r>
              <w:rPr>
                <w:rFonts w:hAnsi="宋体"/>
                <w:w w:val="95"/>
                <w:highlight w:val="none"/>
              </w:rPr>
              <w:t>次</w:t>
            </w:r>
            <w:r>
              <w:rPr>
                <w:rFonts w:hAnsi="宋体"/>
                <w:spacing w:val="1"/>
                <w:w w:val="95"/>
                <w:highlight w:val="none"/>
              </w:rPr>
              <w:t>环</w:t>
            </w:r>
            <w:r>
              <w:rPr>
                <w:rFonts w:hAnsi="宋体"/>
                <w:w w:val="95"/>
                <w:highlight w:val="none"/>
              </w:rPr>
              <w:t>境</w:t>
            </w:r>
            <w:r>
              <w:rPr>
                <w:rFonts w:hAnsi="宋体"/>
                <w:spacing w:val="1"/>
                <w:w w:val="95"/>
                <w:highlight w:val="none"/>
              </w:rPr>
              <w:t>污</w:t>
            </w:r>
            <w:r>
              <w:rPr>
                <w:rFonts w:hAnsi="宋体"/>
                <w:w w:val="95"/>
                <w:highlight w:val="none"/>
              </w:rPr>
              <w:t>染</w:t>
            </w:r>
            <w:r>
              <w:rPr>
                <w:rFonts w:hAnsi="宋体"/>
                <w:spacing w:val="1"/>
                <w:w w:val="95"/>
                <w:highlight w:val="none"/>
              </w:rPr>
              <w:t>源</w:t>
            </w:r>
            <w:r>
              <w:rPr>
                <w:rFonts w:hAnsi="宋体"/>
                <w:w w:val="95"/>
                <w:highlight w:val="none"/>
              </w:rPr>
              <w:t>、</w:t>
            </w:r>
            <w:r>
              <w:rPr>
                <w:rFonts w:hAnsi="宋体"/>
                <w:spacing w:val="1"/>
                <w:w w:val="95"/>
                <w:highlight w:val="none"/>
              </w:rPr>
              <w:t>风</w:t>
            </w:r>
            <w:r>
              <w:rPr>
                <w:rFonts w:hAnsi="宋体"/>
                <w:w w:val="95"/>
                <w:highlight w:val="none"/>
              </w:rPr>
              <w:t>险</w:t>
            </w:r>
            <w:r>
              <w:rPr>
                <w:rFonts w:hAnsi="宋体"/>
                <w:spacing w:val="1"/>
                <w:w w:val="95"/>
                <w:highlight w:val="none"/>
              </w:rPr>
              <w:t>源</w:t>
            </w:r>
            <w:r>
              <w:rPr>
                <w:rFonts w:hAnsi="宋体"/>
                <w:w w:val="95"/>
                <w:highlight w:val="none"/>
              </w:rPr>
              <w:t>。</w:t>
            </w:r>
          </w:p>
        </w:tc>
        <w:tc>
          <w:tcPr>
            <w:tcW w:w="507" w:type="dxa"/>
            <w:vAlign w:val="center"/>
          </w:tcPr>
          <w:p>
            <w:pPr>
              <w:pStyle w:val="64"/>
              <w:rPr>
                <w:rFonts w:hAnsi="宋体" w:cs="hakuyoxingshu7000"/>
                <w:highlight w:val="none"/>
              </w:rPr>
            </w:pPr>
            <w:r>
              <w:rPr>
                <w:rFonts w:hAnsi="宋体" w:cs="hakuyoxingshu7000"/>
                <w:spacing w:val="1"/>
                <w:highlight w:val="none"/>
              </w:rPr>
              <w:t>3</w:t>
            </w:r>
            <w:r>
              <w:rPr>
                <w:rFonts w:hAnsi="宋体" w:cs="hakuyoxingshu7000"/>
                <w:highlight w:val="none"/>
              </w:rPr>
              <w:t>6</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cs="hakuyoxingshu7000"/>
                <w:w w:val="95"/>
                <w:highlight w:val="none"/>
              </w:rPr>
              <w:t>18.□</w:t>
            </w:r>
            <w:r>
              <w:rPr>
                <w:rFonts w:hAnsi="宋体"/>
                <w:w w:val="95"/>
                <w:highlight w:val="none"/>
              </w:rPr>
              <w:t>人</w:t>
            </w:r>
            <w:r>
              <w:rPr>
                <w:rFonts w:hAnsi="宋体"/>
                <w:spacing w:val="1"/>
                <w:w w:val="95"/>
                <w:highlight w:val="none"/>
              </w:rPr>
              <w:t>口</w:t>
            </w:r>
            <w:r>
              <w:rPr>
                <w:rFonts w:hAnsi="宋体"/>
                <w:w w:val="95"/>
                <w:highlight w:val="none"/>
              </w:rPr>
              <w:t>聚</w:t>
            </w:r>
            <w:r>
              <w:rPr>
                <w:rFonts w:hAnsi="宋体"/>
                <w:spacing w:val="1"/>
                <w:w w:val="95"/>
                <w:highlight w:val="none"/>
              </w:rPr>
              <w:t>集</w:t>
            </w:r>
            <w:r>
              <w:rPr>
                <w:rFonts w:hAnsi="宋体"/>
                <w:w w:val="95"/>
                <w:highlight w:val="none"/>
              </w:rPr>
              <w:t>区</w:t>
            </w:r>
            <w:r>
              <w:rPr>
                <w:rFonts w:hAnsi="宋体"/>
                <w:spacing w:val="1"/>
                <w:w w:val="95"/>
                <w:highlight w:val="none"/>
              </w:rPr>
              <w:t>：</w:t>
            </w:r>
            <w:r>
              <w:rPr>
                <w:rFonts w:hAnsi="宋体"/>
                <w:w w:val="95"/>
                <w:highlight w:val="none"/>
              </w:rPr>
              <w:t>累</w:t>
            </w:r>
            <w:r>
              <w:rPr>
                <w:rFonts w:hAnsi="宋体"/>
                <w:spacing w:val="1"/>
                <w:w w:val="95"/>
                <w:highlight w:val="none"/>
              </w:rPr>
              <w:t>计</w:t>
            </w:r>
            <w:r>
              <w:rPr>
                <w:rFonts w:hAnsi="宋体"/>
                <w:w w:val="95"/>
                <w:highlight w:val="none"/>
              </w:rPr>
              <w:t>人口</w:t>
            </w:r>
            <w:r>
              <w:rPr>
                <w:rFonts w:hAnsi="宋体" w:cs="hakuyoxingshu7000"/>
                <w:w w:val="95"/>
                <w:highlight w:val="none"/>
              </w:rPr>
              <w:t>200</w:t>
            </w:r>
            <w:r>
              <w:rPr>
                <w:rFonts w:hAnsi="宋体"/>
                <w:w w:val="95"/>
                <w:highlight w:val="none"/>
              </w:rPr>
              <w:t>人</w:t>
            </w:r>
            <w:r>
              <w:rPr>
                <w:rFonts w:hAnsi="宋体"/>
                <w:spacing w:val="1"/>
                <w:w w:val="95"/>
                <w:highlight w:val="none"/>
              </w:rPr>
              <w:t>以</w:t>
            </w:r>
            <w:r>
              <w:rPr>
                <w:rFonts w:hAnsi="宋体"/>
                <w:w w:val="95"/>
                <w:highlight w:val="none"/>
              </w:rPr>
              <w:t>下。</w:t>
            </w:r>
          </w:p>
          <w:p>
            <w:pPr>
              <w:pStyle w:val="64"/>
              <w:jc w:val="left"/>
              <w:rPr>
                <w:rFonts w:hAnsi="宋体"/>
                <w:highlight w:val="none"/>
              </w:rPr>
            </w:pPr>
            <w:r>
              <w:rPr>
                <w:rFonts w:hAnsi="宋体" w:cs="hakuyoxingshu7000"/>
                <w:spacing w:val="1"/>
                <w:highlight w:val="none"/>
              </w:rPr>
              <w:t>19</w:t>
            </w:r>
            <w:r>
              <w:rPr>
                <w:rFonts w:hAnsi="宋体" w:cs="hakuyoxingshu7000"/>
                <w:highlight w:val="none"/>
              </w:rPr>
              <w:t>.□</w:t>
            </w:r>
            <w:r>
              <w:rPr>
                <w:rFonts w:hAnsi="宋体"/>
                <w:spacing w:val="2"/>
                <w:highlight w:val="none"/>
              </w:rPr>
              <w:t>涉</w:t>
            </w:r>
            <w:r>
              <w:rPr>
                <w:rFonts w:hAnsi="宋体"/>
                <w:highlight w:val="none"/>
              </w:rPr>
              <w:t>及</w:t>
            </w:r>
            <w:r>
              <w:rPr>
                <w:rFonts w:hAnsi="宋体"/>
                <w:spacing w:val="2"/>
                <w:highlight w:val="none"/>
              </w:rPr>
              <w:t>省</w:t>
            </w:r>
            <w:r>
              <w:rPr>
                <w:rFonts w:hAnsi="宋体"/>
                <w:highlight w:val="none"/>
              </w:rPr>
              <w:t>级</w:t>
            </w:r>
            <w:r>
              <w:rPr>
                <w:rFonts w:hAnsi="宋体"/>
                <w:spacing w:val="2"/>
                <w:highlight w:val="none"/>
              </w:rPr>
              <w:t>及</w:t>
            </w:r>
            <w:r>
              <w:rPr>
                <w:rFonts w:hAnsi="宋体"/>
                <w:highlight w:val="none"/>
              </w:rPr>
              <w:t>以</w:t>
            </w:r>
            <w:r>
              <w:rPr>
                <w:rFonts w:hAnsi="宋体"/>
                <w:spacing w:val="-16"/>
                <w:highlight w:val="none"/>
              </w:rPr>
              <w:t>下</w:t>
            </w:r>
            <w:r>
              <w:rPr>
                <w:rFonts w:hAnsi="宋体"/>
                <w:spacing w:val="2"/>
                <w:highlight w:val="none"/>
              </w:rPr>
              <w:t>（</w:t>
            </w:r>
            <w:r>
              <w:rPr>
                <w:rFonts w:hAnsi="宋体"/>
                <w:highlight w:val="none"/>
              </w:rPr>
              <w:t>或</w:t>
            </w:r>
            <w:r>
              <w:rPr>
                <w:rFonts w:hAnsi="宋体" w:cs="hakuyoxingshu7000"/>
                <w:spacing w:val="1"/>
                <w:highlight w:val="none"/>
              </w:rPr>
              <w:t>4</w:t>
            </w:r>
            <w:r>
              <w:rPr>
                <w:rFonts w:hAnsi="宋体" w:cs="hakuyoxingshu7000"/>
                <w:highlight w:val="none"/>
              </w:rPr>
              <w:t>A</w:t>
            </w:r>
            <w:r>
              <w:rPr>
                <w:rFonts w:hAnsi="宋体"/>
                <w:spacing w:val="2"/>
                <w:highlight w:val="none"/>
              </w:rPr>
              <w:t>级</w:t>
            </w:r>
            <w:r>
              <w:rPr>
                <w:rFonts w:hAnsi="宋体"/>
                <w:highlight w:val="none"/>
              </w:rPr>
              <w:t>以</w:t>
            </w:r>
            <w:r>
              <w:rPr>
                <w:rFonts w:hAnsi="宋体"/>
                <w:spacing w:val="2"/>
                <w:highlight w:val="none"/>
              </w:rPr>
              <w:t>下</w:t>
            </w:r>
            <w:r>
              <w:rPr>
                <w:rFonts w:hAnsi="宋体"/>
                <w:spacing w:val="-16"/>
                <w:highlight w:val="none"/>
              </w:rPr>
              <w:t>）：</w:t>
            </w:r>
            <w:r>
              <w:rPr>
                <w:rFonts w:hAnsi="宋体"/>
                <w:spacing w:val="2"/>
                <w:highlight w:val="none"/>
              </w:rPr>
              <w:t>自</w:t>
            </w:r>
            <w:r>
              <w:rPr>
                <w:rFonts w:hAnsi="宋体"/>
                <w:highlight w:val="none"/>
              </w:rPr>
              <w:t>然</w:t>
            </w:r>
            <w:r>
              <w:rPr>
                <w:rFonts w:hAnsi="宋体"/>
                <w:spacing w:val="2"/>
                <w:highlight w:val="none"/>
              </w:rPr>
              <w:t>保</w:t>
            </w:r>
            <w:r>
              <w:rPr>
                <w:rFonts w:hAnsi="宋体"/>
                <w:highlight w:val="none"/>
              </w:rPr>
              <w:t>护区</w:t>
            </w:r>
            <w:r>
              <w:rPr>
                <w:rFonts w:hAnsi="宋体"/>
                <w:spacing w:val="-16"/>
                <w:highlight w:val="none"/>
              </w:rPr>
              <w:t>、</w:t>
            </w:r>
            <w:r>
              <w:rPr>
                <w:rFonts w:hAnsi="宋体"/>
                <w:spacing w:val="2"/>
                <w:highlight w:val="none"/>
              </w:rPr>
              <w:t>风</w:t>
            </w:r>
            <w:r>
              <w:rPr>
                <w:rFonts w:hAnsi="宋体"/>
                <w:highlight w:val="none"/>
              </w:rPr>
              <w:t>景</w:t>
            </w:r>
            <w:r>
              <w:rPr>
                <w:rFonts w:hAnsi="宋体"/>
                <w:spacing w:val="1"/>
                <w:w w:val="95"/>
                <w:highlight w:val="none"/>
              </w:rPr>
              <w:t>名</w:t>
            </w:r>
            <w:r>
              <w:rPr>
                <w:rFonts w:hAnsi="宋体"/>
                <w:w w:val="95"/>
                <w:highlight w:val="none"/>
              </w:rPr>
              <w:t>胜区、</w:t>
            </w:r>
            <w:r>
              <w:rPr>
                <w:rFonts w:hAnsi="宋体"/>
                <w:spacing w:val="1"/>
                <w:w w:val="95"/>
                <w:highlight w:val="none"/>
              </w:rPr>
              <w:t>森</w:t>
            </w:r>
            <w:r>
              <w:rPr>
                <w:rFonts w:hAnsi="宋体"/>
                <w:w w:val="95"/>
                <w:highlight w:val="none"/>
              </w:rPr>
              <w:t>林</w:t>
            </w:r>
            <w:r>
              <w:rPr>
                <w:rFonts w:hAnsi="宋体"/>
                <w:spacing w:val="1"/>
                <w:w w:val="95"/>
                <w:highlight w:val="none"/>
              </w:rPr>
              <w:t>公园</w:t>
            </w:r>
            <w:r>
              <w:rPr>
                <w:rFonts w:hAnsi="宋体"/>
                <w:spacing w:val="-3"/>
                <w:w w:val="95"/>
                <w:highlight w:val="none"/>
              </w:rPr>
              <w:t>、</w:t>
            </w:r>
            <w:r>
              <w:rPr>
                <w:rFonts w:hAnsi="宋体"/>
                <w:spacing w:val="1"/>
                <w:w w:val="95"/>
                <w:highlight w:val="none"/>
              </w:rPr>
              <w:t>地</w:t>
            </w:r>
            <w:r>
              <w:rPr>
                <w:rFonts w:hAnsi="宋体"/>
                <w:w w:val="95"/>
                <w:highlight w:val="none"/>
              </w:rPr>
              <w:t>质</w:t>
            </w:r>
            <w:r>
              <w:rPr>
                <w:rFonts w:hAnsi="宋体"/>
                <w:spacing w:val="1"/>
                <w:w w:val="95"/>
                <w:highlight w:val="none"/>
              </w:rPr>
              <w:t>公园</w:t>
            </w:r>
            <w:r>
              <w:rPr>
                <w:rFonts w:hAnsi="宋体"/>
                <w:spacing w:val="-3"/>
                <w:w w:val="95"/>
                <w:highlight w:val="none"/>
              </w:rPr>
              <w:t>、</w:t>
            </w:r>
            <w:r>
              <w:rPr>
                <w:rFonts w:hAnsi="宋体"/>
                <w:spacing w:val="1"/>
                <w:w w:val="95"/>
                <w:highlight w:val="none"/>
              </w:rPr>
              <w:t>世</w:t>
            </w:r>
            <w:r>
              <w:rPr>
                <w:rFonts w:hAnsi="宋体"/>
                <w:w w:val="95"/>
                <w:highlight w:val="none"/>
              </w:rPr>
              <w:t>界</w:t>
            </w:r>
            <w:r>
              <w:rPr>
                <w:rFonts w:hAnsi="宋体"/>
                <w:spacing w:val="1"/>
                <w:w w:val="95"/>
                <w:highlight w:val="none"/>
              </w:rPr>
              <w:t>文</w:t>
            </w:r>
            <w:r>
              <w:rPr>
                <w:rFonts w:hAnsi="宋体"/>
                <w:w w:val="95"/>
                <w:highlight w:val="none"/>
              </w:rPr>
              <w:t>化</w:t>
            </w:r>
            <w:r>
              <w:rPr>
                <w:rFonts w:hAnsi="宋体"/>
                <w:spacing w:val="1"/>
                <w:w w:val="95"/>
                <w:highlight w:val="none"/>
              </w:rPr>
              <w:t>或</w:t>
            </w:r>
            <w:r>
              <w:rPr>
                <w:rFonts w:hAnsi="宋体"/>
                <w:w w:val="95"/>
                <w:highlight w:val="none"/>
              </w:rPr>
              <w:t>自</w:t>
            </w:r>
            <w:r>
              <w:rPr>
                <w:rFonts w:hAnsi="宋体"/>
                <w:spacing w:val="1"/>
                <w:w w:val="95"/>
                <w:highlight w:val="none"/>
              </w:rPr>
              <w:t>然</w:t>
            </w:r>
            <w:r>
              <w:rPr>
                <w:rFonts w:hAnsi="宋体"/>
                <w:w w:val="95"/>
                <w:highlight w:val="none"/>
              </w:rPr>
              <w:t>遗</w:t>
            </w:r>
            <w:r>
              <w:rPr>
                <w:rFonts w:hAnsi="宋体"/>
                <w:spacing w:val="1"/>
                <w:w w:val="95"/>
                <w:highlight w:val="none"/>
              </w:rPr>
              <w:t>产地</w:t>
            </w:r>
            <w:r>
              <w:rPr>
                <w:rFonts w:hAnsi="宋体"/>
                <w:w w:val="95"/>
                <w:highlight w:val="none"/>
              </w:rPr>
              <w:t>，重</w:t>
            </w:r>
            <w:r>
              <w:rPr>
                <w:rFonts w:hAnsi="宋体"/>
                <w:spacing w:val="1"/>
                <w:w w:val="95"/>
                <w:highlight w:val="none"/>
              </w:rPr>
              <w:t>点</w:t>
            </w:r>
            <w:r>
              <w:rPr>
                <w:rFonts w:hAnsi="宋体"/>
                <w:w w:val="95"/>
                <w:highlight w:val="none"/>
              </w:rPr>
              <w:t>文</w:t>
            </w:r>
            <w:r>
              <w:rPr>
                <w:rFonts w:hAnsi="宋体"/>
                <w:spacing w:val="1"/>
                <w:w w:val="95"/>
                <w:highlight w:val="none"/>
              </w:rPr>
              <w:t>物</w:t>
            </w:r>
            <w:r>
              <w:rPr>
                <w:rFonts w:hAnsi="宋体"/>
                <w:w w:val="95"/>
                <w:highlight w:val="none"/>
              </w:rPr>
              <w:t>保</w:t>
            </w:r>
            <w:r>
              <w:rPr>
                <w:rFonts w:hAnsi="宋体"/>
                <w:spacing w:val="1"/>
                <w:w w:val="95"/>
                <w:highlight w:val="none"/>
              </w:rPr>
              <w:t>护</w:t>
            </w:r>
            <w:r>
              <w:rPr>
                <w:rFonts w:hAnsi="宋体"/>
                <w:w w:val="95"/>
                <w:highlight w:val="none"/>
              </w:rPr>
              <w:t>单位</w:t>
            </w:r>
            <w:r>
              <w:rPr>
                <w:rFonts w:hAnsi="宋体"/>
                <w:spacing w:val="1"/>
                <w:w w:val="95"/>
                <w:highlight w:val="none"/>
              </w:rPr>
              <w:t>、以</w:t>
            </w:r>
            <w:r>
              <w:rPr>
                <w:rFonts w:hAnsi="宋体"/>
                <w:w w:val="95"/>
                <w:highlight w:val="none"/>
              </w:rPr>
              <w:t>及</w:t>
            </w:r>
            <w:r>
              <w:rPr>
                <w:rFonts w:hAnsi="宋体"/>
                <w:spacing w:val="1"/>
                <w:w w:val="95"/>
                <w:highlight w:val="none"/>
              </w:rPr>
              <w:t>其</w:t>
            </w:r>
            <w:r>
              <w:rPr>
                <w:rFonts w:hAnsi="宋体"/>
                <w:w w:val="95"/>
                <w:highlight w:val="none"/>
              </w:rPr>
              <w:t>他</w:t>
            </w:r>
            <w:r>
              <w:rPr>
                <w:rFonts w:hAnsi="宋体"/>
                <w:spacing w:val="1"/>
                <w:w w:val="95"/>
                <w:highlight w:val="none"/>
              </w:rPr>
              <w:t>具</w:t>
            </w:r>
            <w:r>
              <w:rPr>
                <w:rFonts w:hAnsi="宋体"/>
                <w:w w:val="95"/>
                <w:highlight w:val="none"/>
              </w:rPr>
              <w:t>有</w:t>
            </w:r>
            <w:r>
              <w:rPr>
                <w:rFonts w:hAnsi="宋体"/>
                <w:spacing w:val="1"/>
                <w:w w:val="95"/>
                <w:highlight w:val="none"/>
              </w:rPr>
              <w:t>特</w:t>
            </w:r>
            <w:r>
              <w:rPr>
                <w:rFonts w:hAnsi="宋体"/>
                <w:w w:val="95"/>
                <w:highlight w:val="none"/>
              </w:rPr>
              <w:t>殊</w:t>
            </w:r>
            <w:r>
              <w:rPr>
                <w:rFonts w:hAnsi="宋体"/>
                <w:spacing w:val="1"/>
                <w:w w:val="95"/>
                <w:highlight w:val="none"/>
              </w:rPr>
              <w:t>历</w:t>
            </w:r>
            <w:r>
              <w:rPr>
                <w:rFonts w:hAnsi="宋体"/>
                <w:w w:val="95"/>
                <w:highlight w:val="none"/>
              </w:rPr>
              <w:t>史、</w:t>
            </w:r>
            <w:r>
              <w:rPr>
                <w:rFonts w:hAnsi="宋体"/>
                <w:spacing w:val="1"/>
                <w:w w:val="95"/>
                <w:highlight w:val="none"/>
              </w:rPr>
              <w:t>文</w:t>
            </w:r>
            <w:r>
              <w:rPr>
                <w:rFonts w:hAnsi="宋体"/>
                <w:w w:val="95"/>
                <w:highlight w:val="none"/>
              </w:rPr>
              <w:t>化、</w:t>
            </w:r>
            <w:r>
              <w:rPr>
                <w:rFonts w:hAnsi="宋体"/>
                <w:spacing w:val="1"/>
                <w:w w:val="95"/>
                <w:highlight w:val="none"/>
              </w:rPr>
              <w:t>科</w:t>
            </w:r>
            <w:r>
              <w:rPr>
                <w:rFonts w:hAnsi="宋体"/>
                <w:w w:val="95"/>
                <w:highlight w:val="none"/>
              </w:rPr>
              <w:t>学、民</w:t>
            </w:r>
            <w:r>
              <w:rPr>
                <w:rFonts w:hAnsi="宋体"/>
                <w:highlight w:val="none"/>
              </w:rPr>
              <w:t>族</w:t>
            </w:r>
            <w:r>
              <w:rPr>
                <w:rFonts w:hAnsi="宋体"/>
                <w:spacing w:val="2"/>
                <w:highlight w:val="none"/>
              </w:rPr>
              <w:t>意</w:t>
            </w:r>
            <w:r>
              <w:rPr>
                <w:rFonts w:hAnsi="宋体"/>
                <w:highlight w:val="none"/>
              </w:rPr>
              <w:t>义</w:t>
            </w:r>
            <w:r>
              <w:rPr>
                <w:rFonts w:hAnsi="宋体"/>
                <w:spacing w:val="2"/>
                <w:highlight w:val="none"/>
              </w:rPr>
              <w:t>的</w:t>
            </w:r>
            <w:r>
              <w:rPr>
                <w:rFonts w:hAnsi="宋体"/>
                <w:highlight w:val="none"/>
              </w:rPr>
              <w:t>保</w:t>
            </w:r>
            <w:r>
              <w:rPr>
                <w:rFonts w:hAnsi="宋体"/>
                <w:spacing w:val="2"/>
                <w:highlight w:val="none"/>
              </w:rPr>
              <w:t>护</w:t>
            </w:r>
            <w:r>
              <w:rPr>
                <w:rFonts w:hAnsi="宋体"/>
                <w:highlight w:val="none"/>
              </w:rPr>
              <w:t>地</w:t>
            </w:r>
            <w:r>
              <w:rPr>
                <w:rFonts w:hAnsi="宋体"/>
                <w:spacing w:val="2"/>
                <w:highlight w:val="none"/>
              </w:rPr>
              <w:t>等</w:t>
            </w:r>
            <w:r>
              <w:rPr>
                <w:rFonts w:hAnsi="宋体"/>
                <w:highlight w:val="none"/>
              </w:rPr>
              <w:t>。</w:t>
            </w:r>
          </w:p>
          <w:p>
            <w:pPr>
              <w:pStyle w:val="64"/>
              <w:jc w:val="left"/>
              <w:rPr>
                <w:rFonts w:hAnsi="宋体"/>
                <w:highlight w:val="none"/>
              </w:rPr>
            </w:pPr>
            <w:r>
              <w:rPr>
                <w:rFonts w:hAnsi="宋体" w:cs="hakuyoxingshu7000"/>
                <w:w w:val="95"/>
                <w:highlight w:val="none"/>
              </w:rPr>
              <w:t>20.</w:t>
            </w:r>
            <w:r>
              <w:rPr>
                <w:rFonts w:hAnsi="宋体" w:cs="hakuyoxingshu7000"/>
                <w:spacing w:val="12"/>
                <w:w w:val="95"/>
                <w:highlight w:val="none"/>
              </w:rPr>
              <w:t>□</w:t>
            </w:r>
            <w:r>
              <w:rPr>
                <w:rFonts w:hAnsi="宋体"/>
                <w:spacing w:val="8"/>
                <w:w w:val="95"/>
                <w:highlight w:val="none"/>
              </w:rPr>
              <w:t>国</w:t>
            </w:r>
            <w:r>
              <w:rPr>
                <w:rFonts w:hAnsi="宋体"/>
                <w:spacing w:val="6"/>
                <w:w w:val="95"/>
                <w:highlight w:val="none"/>
              </w:rPr>
              <w:t>家</w:t>
            </w:r>
            <w:r>
              <w:rPr>
                <w:rFonts w:hAnsi="宋体"/>
                <w:spacing w:val="8"/>
                <w:w w:val="95"/>
                <w:highlight w:val="none"/>
              </w:rPr>
              <w:t>基本</w:t>
            </w:r>
            <w:r>
              <w:rPr>
                <w:rFonts w:hAnsi="宋体"/>
                <w:spacing w:val="6"/>
                <w:w w:val="95"/>
                <w:highlight w:val="none"/>
              </w:rPr>
              <w:t>农</w:t>
            </w:r>
            <w:r>
              <w:rPr>
                <w:rFonts w:hAnsi="宋体"/>
                <w:spacing w:val="8"/>
                <w:w w:val="95"/>
                <w:highlight w:val="none"/>
              </w:rPr>
              <w:t>田、基</w:t>
            </w:r>
            <w:r>
              <w:rPr>
                <w:rFonts w:hAnsi="宋体"/>
                <w:spacing w:val="6"/>
                <w:w w:val="95"/>
                <w:highlight w:val="none"/>
              </w:rPr>
              <w:t>本</w:t>
            </w:r>
            <w:r>
              <w:rPr>
                <w:rFonts w:hAnsi="宋体"/>
                <w:spacing w:val="8"/>
                <w:w w:val="95"/>
                <w:highlight w:val="none"/>
              </w:rPr>
              <w:t>草原</w:t>
            </w:r>
            <w:r>
              <w:rPr>
                <w:rFonts w:hAnsi="宋体"/>
                <w:spacing w:val="6"/>
                <w:w w:val="95"/>
                <w:highlight w:val="none"/>
              </w:rPr>
              <w:t>、</w:t>
            </w:r>
            <w:r>
              <w:rPr>
                <w:rFonts w:hAnsi="宋体"/>
                <w:spacing w:val="8"/>
                <w:w w:val="95"/>
                <w:highlight w:val="none"/>
              </w:rPr>
              <w:t>种植</w:t>
            </w:r>
            <w:r>
              <w:rPr>
                <w:rFonts w:hAnsi="宋体"/>
                <w:spacing w:val="6"/>
                <w:w w:val="95"/>
                <w:highlight w:val="none"/>
              </w:rPr>
              <w:t>大</w:t>
            </w:r>
            <w:r>
              <w:rPr>
                <w:rFonts w:hAnsi="宋体"/>
                <w:spacing w:val="8"/>
                <w:w w:val="95"/>
                <w:highlight w:val="none"/>
              </w:rPr>
              <w:t>棚、</w:t>
            </w:r>
            <w:r>
              <w:rPr>
                <w:rFonts w:hAnsi="宋体"/>
                <w:spacing w:val="6"/>
                <w:w w:val="95"/>
                <w:highlight w:val="none"/>
              </w:rPr>
              <w:t>农</w:t>
            </w:r>
            <w:r>
              <w:rPr>
                <w:rFonts w:hAnsi="宋体"/>
                <w:spacing w:val="8"/>
                <w:w w:val="95"/>
                <w:highlight w:val="none"/>
              </w:rPr>
              <w:t>产品基</w:t>
            </w:r>
            <w:r>
              <w:rPr>
                <w:rFonts w:hAnsi="宋体"/>
                <w:spacing w:val="6"/>
                <w:w w:val="95"/>
                <w:highlight w:val="none"/>
              </w:rPr>
              <w:t>地</w:t>
            </w:r>
            <w:r>
              <w:rPr>
                <w:rFonts w:hAnsi="宋体"/>
                <w:w w:val="95"/>
                <w:highlight w:val="none"/>
              </w:rPr>
              <w:t>等</w:t>
            </w:r>
            <w:r>
              <w:rPr>
                <w:rFonts w:hAnsi="宋体" w:cs="hakuyoxingshu7000"/>
                <w:spacing w:val="1"/>
                <w:highlight w:val="none"/>
              </w:rPr>
              <w:t>100</w:t>
            </w:r>
            <w:r>
              <w:rPr>
                <w:rFonts w:hAnsi="宋体" w:cs="hakuyoxingshu7000"/>
                <w:highlight w:val="none"/>
              </w:rPr>
              <w:t>0</w:t>
            </w:r>
            <w:r>
              <w:rPr>
                <w:rFonts w:hAnsi="宋体"/>
                <w:highlight w:val="none"/>
              </w:rPr>
              <w:t>亩</w:t>
            </w:r>
            <w:r>
              <w:rPr>
                <w:rFonts w:hAnsi="宋体"/>
                <w:spacing w:val="2"/>
                <w:highlight w:val="none"/>
              </w:rPr>
              <w:t>以</w:t>
            </w:r>
            <w:r>
              <w:rPr>
                <w:rFonts w:hAnsi="宋体"/>
                <w:highlight w:val="none"/>
              </w:rPr>
              <w:t>下。</w:t>
            </w:r>
          </w:p>
          <w:p>
            <w:pPr>
              <w:pStyle w:val="64"/>
              <w:jc w:val="left"/>
              <w:rPr>
                <w:rFonts w:hAnsi="宋体"/>
                <w:highlight w:val="none"/>
              </w:rPr>
            </w:pPr>
            <w:r>
              <w:rPr>
                <w:rFonts w:hAnsi="宋体" w:cs="hakuyoxingshu7000"/>
                <w:w w:val="95"/>
                <w:highlight w:val="none"/>
              </w:rPr>
              <w:t>21.□</w:t>
            </w:r>
            <w:r>
              <w:rPr>
                <w:rFonts w:hAnsi="宋体"/>
                <w:spacing w:val="1"/>
                <w:w w:val="95"/>
                <w:highlight w:val="none"/>
              </w:rPr>
              <w:t>一</w:t>
            </w:r>
            <w:r>
              <w:rPr>
                <w:rFonts w:hAnsi="宋体"/>
                <w:w w:val="95"/>
                <w:highlight w:val="none"/>
              </w:rPr>
              <w:t>般</w:t>
            </w:r>
            <w:r>
              <w:rPr>
                <w:rFonts w:hAnsi="宋体"/>
                <w:spacing w:val="-13"/>
                <w:w w:val="95"/>
                <w:highlight w:val="none"/>
              </w:rPr>
              <w:t>、</w:t>
            </w:r>
            <w:r>
              <w:rPr>
                <w:rFonts w:hAnsi="宋体"/>
                <w:spacing w:val="1"/>
                <w:w w:val="95"/>
                <w:highlight w:val="none"/>
              </w:rPr>
              <w:t>较</w:t>
            </w:r>
            <w:r>
              <w:rPr>
                <w:rFonts w:hAnsi="宋体"/>
                <w:w w:val="95"/>
                <w:highlight w:val="none"/>
              </w:rPr>
              <w:t>大</w:t>
            </w:r>
            <w:r>
              <w:rPr>
                <w:rFonts w:hAnsi="宋体"/>
                <w:spacing w:val="1"/>
                <w:w w:val="95"/>
                <w:highlight w:val="none"/>
              </w:rPr>
              <w:t>环</w:t>
            </w:r>
            <w:r>
              <w:rPr>
                <w:rFonts w:hAnsi="宋体"/>
                <w:w w:val="95"/>
                <w:highlight w:val="none"/>
              </w:rPr>
              <w:t>境</w:t>
            </w:r>
            <w:r>
              <w:rPr>
                <w:rFonts w:hAnsi="宋体"/>
                <w:spacing w:val="1"/>
                <w:w w:val="95"/>
                <w:highlight w:val="none"/>
              </w:rPr>
              <w:t>风</w:t>
            </w:r>
            <w:r>
              <w:rPr>
                <w:rFonts w:hAnsi="宋体"/>
                <w:w w:val="95"/>
                <w:highlight w:val="none"/>
              </w:rPr>
              <w:t>险</w:t>
            </w:r>
            <w:r>
              <w:rPr>
                <w:rFonts w:hAnsi="宋体"/>
                <w:spacing w:val="1"/>
                <w:w w:val="95"/>
                <w:highlight w:val="none"/>
              </w:rPr>
              <w:t>企</w:t>
            </w:r>
            <w:r>
              <w:rPr>
                <w:rFonts w:hAnsi="宋体"/>
                <w:w w:val="95"/>
                <w:highlight w:val="none"/>
              </w:rPr>
              <w:t>业</w:t>
            </w:r>
            <w:r>
              <w:rPr>
                <w:rFonts w:hAnsi="宋体"/>
                <w:spacing w:val="1"/>
                <w:w w:val="95"/>
                <w:highlight w:val="none"/>
              </w:rPr>
              <w:t>或</w:t>
            </w:r>
            <w:r>
              <w:rPr>
                <w:rFonts w:hAnsi="宋体"/>
                <w:w w:val="95"/>
                <w:highlight w:val="none"/>
              </w:rPr>
              <w:t>其</w:t>
            </w:r>
            <w:r>
              <w:rPr>
                <w:rFonts w:hAnsi="宋体"/>
                <w:spacing w:val="1"/>
                <w:w w:val="95"/>
                <w:highlight w:val="none"/>
              </w:rPr>
              <w:t>他</w:t>
            </w:r>
            <w:r>
              <w:rPr>
                <w:rFonts w:hAnsi="宋体"/>
                <w:w w:val="95"/>
                <w:highlight w:val="none"/>
              </w:rPr>
              <w:t>二</w:t>
            </w:r>
            <w:r>
              <w:rPr>
                <w:rFonts w:hAnsi="宋体"/>
                <w:spacing w:val="1"/>
                <w:w w:val="95"/>
                <w:highlight w:val="none"/>
              </w:rPr>
              <w:t>次</w:t>
            </w:r>
            <w:r>
              <w:rPr>
                <w:rFonts w:hAnsi="宋体"/>
                <w:w w:val="95"/>
                <w:highlight w:val="none"/>
              </w:rPr>
              <w:t>环</w:t>
            </w:r>
            <w:r>
              <w:rPr>
                <w:rFonts w:hAnsi="宋体"/>
                <w:spacing w:val="1"/>
                <w:w w:val="95"/>
                <w:highlight w:val="none"/>
              </w:rPr>
              <w:t>境污</w:t>
            </w:r>
            <w:r>
              <w:rPr>
                <w:rFonts w:hAnsi="宋体"/>
                <w:w w:val="95"/>
                <w:highlight w:val="none"/>
              </w:rPr>
              <w:t>染源</w:t>
            </w:r>
            <w:r>
              <w:rPr>
                <w:rFonts w:hAnsi="宋体"/>
                <w:spacing w:val="-13"/>
                <w:w w:val="95"/>
                <w:highlight w:val="none"/>
              </w:rPr>
              <w:t>、</w:t>
            </w:r>
            <w:r>
              <w:rPr>
                <w:rFonts w:hAnsi="宋体"/>
                <w:spacing w:val="1"/>
                <w:w w:val="95"/>
                <w:highlight w:val="none"/>
              </w:rPr>
              <w:t>风</w:t>
            </w:r>
            <w:r>
              <w:rPr>
                <w:rFonts w:hAnsi="宋体"/>
                <w:w w:val="95"/>
                <w:highlight w:val="none"/>
              </w:rPr>
              <w:t>险源。</w:t>
            </w:r>
          </w:p>
        </w:tc>
        <w:tc>
          <w:tcPr>
            <w:tcW w:w="507" w:type="dxa"/>
            <w:vAlign w:val="center"/>
          </w:tcPr>
          <w:p>
            <w:pPr>
              <w:pStyle w:val="64"/>
              <w:rPr>
                <w:rFonts w:hAnsi="宋体" w:cs="hakuyoxingshu7000"/>
                <w:highlight w:val="none"/>
              </w:rPr>
            </w:pPr>
            <w:r>
              <w:rPr>
                <w:rFonts w:hAnsi="宋体" w:cs="hakuyoxingshu7000"/>
                <w:spacing w:val="1"/>
                <w:highlight w:val="none"/>
              </w:rPr>
              <w:t>1</w:t>
            </w:r>
            <w:r>
              <w:rPr>
                <w:rFonts w:hAnsi="宋体" w:cs="hakuyoxingshu7000"/>
                <w:highlight w:val="none"/>
              </w:rPr>
              <w:t>8</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cs="hakuyoxingshu7000"/>
                <w:w w:val="95"/>
                <w:highlight w:val="none"/>
              </w:rPr>
              <w:t>22.□</w:t>
            </w:r>
            <w:r>
              <w:rPr>
                <w:rFonts w:hAnsi="宋体"/>
                <w:spacing w:val="1"/>
                <w:w w:val="95"/>
                <w:highlight w:val="none"/>
              </w:rPr>
              <w:t>服</w:t>
            </w:r>
            <w:r>
              <w:rPr>
                <w:rFonts w:hAnsi="宋体"/>
                <w:w w:val="95"/>
                <w:highlight w:val="none"/>
              </w:rPr>
              <w:t>务</w:t>
            </w:r>
            <w:r>
              <w:rPr>
                <w:rFonts w:hAnsi="宋体"/>
                <w:spacing w:val="1"/>
                <w:w w:val="95"/>
                <w:highlight w:val="none"/>
              </w:rPr>
              <w:t>人</w:t>
            </w:r>
            <w:r>
              <w:rPr>
                <w:rFonts w:hAnsi="宋体"/>
                <w:w w:val="95"/>
                <w:highlight w:val="none"/>
              </w:rPr>
              <w:t>口在</w:t>
            </w:r>
            <w:r>
              <w:rPr>
                <w:rFonts w:hAnsi="宋体" w:cs="hakuyoxingshu7000"/>
                <w:w w:val="95"/>
                <w:highlight w:val="none"/>
              </w:rPr>
              <w:t>2000</w:t>
            </w:r>
            <w:r>
              <w:rPr>
                <w:rFonts w:hAnsi="宋体"/>
                <w:spacing w:val="1"/>
                <w:w w:val="95"/>
                <w:highlight w:val="none"/>
              </w:rPr>
              <w:t>人</w:t>
            </w:r>
            <w:r>
              <w:rPr>
                <w:rFonts w:hAnsi="宋体"/>
                <w:w w:val="95"/>
                <w:highlight w:val="none"/>
              </w:rPr>
              <w:t>及</w:t>
            </w:r>
            <w:r>
              <w:rPr>
                <w:rFonts w:hAnsi="宋体"/>
                <w:spacing w:val="1"/>
                <w:w w:val="95"/>
                <w:highlight w:val="none"/>
              </w:rPr>
              <w:t>以</w:t>
            </w:r>
            <w:r>
              <w:rPr>
                <w:rFonts w:hAnsi="宋体"/>
                <w:w w:val="95"/>
                <w:highlight w:val="none"/>
              </w:rPr>
              <w:t>上</w:t>
            </w:r>
            <w:r>
              <w:rPr>
                <w:rFonts w:hAnsi="宋体"/>
                <w:spacing w:val="1"/>
                <w:w w:val="95"/>
                <w:highlight w:val="none"/>
              </w:rPr>
              <w:t>的</w:t>
            </w:r>
            <w:r>
              <w:rPr>
                <w:rFonts w:hAnsi="宋体"/>
                <w:w w:val="95"/>
                <w:highlight w:val="none"/>
              </w:rPr>
              <w:t>饮</w:t>
            </w:r>
            <w:r>
              <w:rPr>
                <w:rFonts w:hAnsi="宋体"/>
                <w:spacing w:val="1"/>
                <w:w w:val="95"/>
                <w:highlight w:val="none"/>
              </w:rPr>
              <w:t>用</w:t>
            </w:r>
            <w:r>
              <w:rPr>
                <w:rFonts w:hAnsi="宋体"/>
                <w:w w:val="95"/>
                <w:highlight w:val="none"/>
              </w:rPr>
              <w:t>水</w:t>
            </w:r>
            <w:r>
              <w:rPr>
                <w:rFonts w:hAnsi="宋体"/>
                <w:spacing w:val="1"/>
                <w:w w:val="95"/>
                <w:highlight w:val="none"/>
              </w:rPr>
              <w:t>水</w:t>
            </w:r>
            <w:r>
              <w:rPr>
                <w:rFonts w:hAnsi="宋体"/>
                <w:w w:val="95"/>
                <w:highlight w:val="none"/>
              </w:rPr>
              <w:t>源</w:t>
            </w:r>
            <w:r>
              <w:rPr>
                <w:rFonts w:hAnsi="宋体"/>
                <w:spacing w:val="1"/>
                <w:w w:val="95"/>
                <w:highlight w:val="none"/>
              </w:rPr>
              <w:t>保</w:t>
            </w:r>
            <w:r>
              <w:rPr>
                <w:rFonts w:hAnsi="宋体"/>
                <w:w w:val="95"/>
                <w:highlight w:val="none"/>
              </w:rPr>
              <w:t>护</w:t>
            </w:r>
            <w:r>
              <w:rPr>
                <w:rFonts w:hAnsi="宋体"/>
                <w:spacing w:val="1"/>
                <w:w w:val="95"/>
                <w:highlight w:val="none"/>
              </w:rPr>
              <w:t>区</w:t>
            </w:r>
            <w:r>
              <w:rPr>
                <w:rFonts w:hAnsi="宋体"/>
                <w:spacing w:val="-26"/>
                <w:w w:val="95"/>
                <w:highlight w:val="none"/>
              </w:rPr>
              <w:t>、</w:t>
            </w:r>
            <w:r>
              <w:rPr>
                <w:rFonts w:hint="eastAsia" w:hAnsi="宋体"/>
                <w:spacing w:val="-26"/>
                <w:w w:val="95"/>
                <w:highlight w:val="none"/>
              </w:rPr>
              <w:t>自来水厂</w:t>
            </w:r>
            <w:r>
              <w:rPr>
                <w:rFonts w:hAnsi="宋体"/>
                <w:highlight w:val="none"/>
              </w:rPr>
              <w:t>取</w:t>
            </w:r>
            <w:r>
              <w:rPr>
                <w:rFonts w:hAnsi="宋体"/>
                <w:spacing w:val="2"/>
                <w:highlight w:val="none"/>
              </w:rPr>
              <w:t>水</w:t>
            </w:r>
            <w:r>
              <w:rPr>
                <w:rFonts w:hAnsi="宋体"/>
                <w:highlight w:val="none"/>
              </w:rPr>
              <w:t>口。</w:t>
            </w:r>
          </w:p>
        </w:tc>
        <w:tc>
          <w:tcPr>
            <w:tcW w:w="507" w:type="dxa"/>
            <w:vAlign w:val="center"/>
          </w:tcPr>
          <w:p>
            <w:pPr>
              <w:pStyle w:val="64"/>
              <w:rPr>
                <w:rFonts w:hAnsi="宋体" w:cs="hakuyoxingshu7000"/>
                <w:highlight w:val="none"/>
              </w:rPr>
            </w:pPr>
            <w:r>
              <w:rPr>
                <w:rFonts w:hAnsi="宋体" w:cs="hakuyoxingshu7000"/>
                <w:spacing w:val="1"/>
                <w:highlight w:val="none"/>
              </w:rPr>
              <w:t>3</w:t>
            </w:r>
            <w:r>
              <w:rPr>
                <w:rFonts w:hAnsi="宋体" w:cs="hakuyoxingshu7000"/>
                <w:highlight w:val="none"/>
              </w:rPr>
              <w:t>6</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50" w:type="dxa"/>
            <w:gridSpan w:val="3"/>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cs="hakuyoxingshu7000"/>
                <w:w w:val="95"/>
                <w:highlight w:val="none"/>
              </w:rPr>
              <w:t>23.□</w:t>
            </w:r>
            <w:r>
              <w:rPr>
                <w:rFonts w:hAnsi="宋体"/>
                <w:w w:val="95"/>
                <w:highlight w:val="none"/>
              </w:rPr>
              <w:t>规</w:t>
            </w:r>
            <w:r>
              <w:rPr>
                <w:rFonts w:hAnsi="宋体"/>
                <w:spacing w:val="1"/>
                <w:w w:val="95"/>
                <w:highlight w:val="none"/>
              </w:rPr>
              <w:t>模</w:t>
            </w:r>
            <w:r>
              <w:rPr>
                <w:rFonts w:hAnsi="宋体"/>
                <w:w w:val="95"/>
                <w:highlight w:val="none"/>
              </w:rPr>
              <w:t>在</w:t>
            </w:r>
            <w:r>
              <w:rPr>
                <w:rFonts w:hAnsi="宋体" w:cs="hakuyoxingshu7000"/>
                <w:w w:val="95"/>
                <w:highlight w:val="none"/>
              </w:rPr>
              <w:t>100</w:t>
            </w:r>
            <w:r>
              <w:rPr>
                <w:rFonts w:hAnsi="宋体"/>
                <w:w w:val="95"/>
                <w:highlight w:val="none"/>
              </w:rPr>
              <w:t>亩</w:t>
            </w:r>
            <w:r>
              <w:rPr>
                <w:rFonts w:hAnsi="宋体"/>
                <w:spacing w:val="1"/>
                <w:w w:val="95"/>
                <w:highlight w:val="none"/>
              </w:rPr>
              <w:t>及</w:t>
            </w:r>
            <w:r>
              <w:rPr>
                <w:rFonts w:hAnsi="宋体"/>
                <w:w w:val="95"/>
                <w:highlight w:val="none"/>
              </w:rPr>
              <w:t>以</w:t>
            </w:r>
            <w:r>
              <w:rPr>
                <w:rFonts w:hAnsi="宋体"/>
                <w:spacing w:val="1"/>
                <w:w w:val="95"/>
                <w:highlight w:val="none"/>
              </w:rPr>
              <w:t>上</w:t>
            </w:r>
            <w:r>
              <w:rPr>
                <w:rFonts w:hAnsi="宋体"/>
                <w:w w:val="95"/>
                <w:highlight w:val="none"/>
              </w:rPr>
              <w:t>的</w:t>
            </w:r>
            <w:r>
              <w:rPr>
                <w:rFonts w:hAnsi="宋体"/>
                <w:spacing w:val="1"/>
                <w:w w:val="95"/>
                <w:highlight w:val="none"/>
              </w:rPr>
              <w:t>水</w:t>
            </w:r>
            <w:r>
              <w:rPr>
                <w:rFonts w:hAnsi="宋体"/>
                <w:w w:val="95"/>
                <w:highlight w:val="none"/>
              </w:rPr>
              <w:t>产</w:t>
            </w:r>
            <w:r>
              <w:rPr>
                <w:rFonts w:hAnsi="宋体"/>
                <w:spacing w:val="1"/>
                <w:w w:val="95"/>
                <w:highlight w:val="none"/>
              </w:rPr>
              <w:t>养</w:t>
            </w:r>
            <w:r>
              <w:rPr>
                <w:rFonts w:hAnsi="宋体"/>
                <w:w w:val="95"/>
                <w:highlight w:val="none"/>
              </w:rPr>
              <w:t>殖</w:t>
            </w:r>
            <w:r>
              <w:rPr>
                <w:rFonts w:hAnsi="宋体"/>
                <w:spacing w:val="1"/>
                <w:w w:val="95"/>
                <w:highlight w:val="none"/>
              </w:rPr>
              <w:t>区</w:t>
            </w:r>
            <w:r>
              <w:rPr>
                <w:rFonts w:hAnsi="宋体"/>
                <w:w w:val="95"/>
                <w:highlight w:val="none"/>
              </w:rPr>
              <w:t>。</w:t>
            </w:r>
          </w:p>
          <w:p>
            <w:pPr>
              <w:pStyle w:val="64"/>
              <w:jc w:val="left"/>
              <w:rPr>
                <w:rFonts w:hAnsi="宋体"/>
                <w:highlight w:val="none"/>
              </w:rPr>
            </w:pPr>
            <w:r>
              <w:rPr>
                <w:rFonts w:hAnsi="宋体" w:cs="hakuyoxingshu7000"/>
                <w:w w:val="95"/>
                <w:highlight w:val="none"/>
              </w:rPr>
              <w:t>24.□</w:t>
            </w:r>
            <w:r>
              <w:rPr>
                <w:rFonts w:hAnsi="宋体"/>
                <w:w w:val="95"/>
                <w:highlight w:val="none"/>
              </w:rPr>
              <w:t>江</w:t>
            </w:r>
            <w:r>
              <w:rPr>
                <w:rFonts w:hAnsi="宋体"/>
                <w:spacing w:val="1"/>
                <w:w w:val="95"/>
                <w:highlight w:val="none"/>
              </w:rPr>
              <w:t>、</w:t>
            </w:r>
            <w:r>
              <w:rPr>
                <w:rFonts w:hAnsi="宋体"/>
                <w:w w:val="95"/>
                <w:highlight w:val="none"/>
              </w:rPr>
              <w:t>河</w:t>
            </w:r>
            <w:r>
              <w:rPr>
                <w:rFonts w:hAnsi="宋体"/>
                <w:spacing w:val="1"/>
                <w:w w:val="95"/>
                <w:highlight w:val="none"/>
              </w:rPr>
              <w:t>、</w:t>
            </w:r>
            <w:r>
              <w:rPr>
                <w:rFonts w:hAnsi="宋体"/>
                <w:w w:val="95"/>
                <w:highlight w:val="none"/>
              </w:rPr>
              <w:t>湖</w:t>
            </w:r>
            <w:r>
              <w:rPr>
                <w:rFonts w:hAnsi="宋体"/>
                <w:spacing w:val="1"/>
                <w:w w:val="95"/>
                <w:highlight w:val="none"/>
              </w:rPr>
              <w:t>、</w:t>
            </w:r>
            <w:r>
              <w:rPr>
                <w:rFonts w:hAnsi="宋体"/>
                <w:w w:val="95"/>
                <w:highlight w:val="none"/>
              </w:rPr>
              <w:t>库</w:t>
            </w:r>
            <w:r>
              <w:rPr>
                <w:rFonts w:hAnsi="宋体"/>
                <w:spacing w:val="1"/>
                <w:w w:val="95"/>
                <w:highlight w:val="none"/>
              </w:rPr>
              <w:t>等</w:t>
            </w:r>
            <w:r>
              <w:rPr>
                <w:rFonts w:hAnsi="宋体"/>
                <w:w w:val="95"/>
                <w:highlight w:val="none"/>
              </w:rPr>
              <w:t>大</w:t>
            </w:r>
            <w:r>
              <w:rPr>
                <w:rFonts w:hAnsi="宋体"/>
                <w:spacing w:val="1"/>
                <w:w w:val="95"/>
                <w:highlight w:val="none"/>
              </w:rPr>
              <w:t>型</w:t>
            </w:r>
            <w:r>
              <w:rPr>
                <w:rFonts w:hAnsi="宋体"/>
                <w:w w:val="95"/>
                <w:highlight w:val="none"/>
              </w:rPr>
              <w:t>水</w:t>
            </w:r>
            <w:r>
              <w:rPr>
                <w:rFonts w:hAnsi="宋体"/>
                <w:spacing w:val="1"/>
                <w:w w:val="95"/>
                <w:highlight w:val="none"/>
              </w:rPr>
              <w:t>体</w:t>
            </w:r>
            <w:r>
              <w:rPr>
                <w:rFonts w:hAnsi="宋体"/>
                <w:w w:val="95"/>
                <w:highlight w:val="none"/>
              </w:rPr>
              <w:t>。</w:t>
            </w:r>
          </w:p>
        </w:tc>
        <w:tc>
          <w:tcPr>
            <w:tcW w:w="507" w:type="dxa"/>
            <w:vAlign w:val="center"/>
          </w:tcPr>
          <w:p>
            <w:pPr>
              <w:pStyle w:val="64"/>
              <w:rPr>
                <w:rFonts w:hAnsi="宋体" w:cs="hakuyoxingshu7000"/>
                <w:highlight w:val="none"/>
              </w:rPr>
            </w:pPr>
            <w:r>
              <w:rPr>
                <w:rFonts w:hAnsi="宋体" w:cs="hakuyoxingshu7000"/>
                <w:spacing w:val="1"/>
                <w:highlight w:val="none"/>
              </w:rPr>
              <w:t>1</w:t>
            </w:r>
            <w:r>
              <w:rPr>
                <w:rFonts w:hAnsi="宋体" w:cs="hakuyoxingshu7000"/>
                <w:highlight w:val="none"/>
              </w:rPr>
              <w:t>8</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13" w:type="dxa"/>
            <w:gridSpan w:val="2"/>
            <w:vMerge w:val="restart"/>
            <w:vAlign w:val="center"/>
          </w:tcPr>
          <w:p>
            <w:pPr>
              <w:pStyle w:val="64"/>
              <w:rPr>
                <w:rFonts w:hAnsi="宋体"/>
                <w:highlight w:val="none"/>
              </w:rPr>
            </w:pPr>
            <w:r>
              <w:rPr>
                <w:rFonts w:hAnsi="宋体"/>
                <w:w w:val="95"/>
                <w:highlight w:val="none"/>
              </w:rPr>
              <w:t>周</w:t>
            </w:r>
            <w:r>
              <w:rPr>
                <w:rFonts w:hAnsi="宋体"/>
                <w:spacing w:val="1"/>
                <w:w w:val="95"/>
                <w:highlight w:val="none"/>
              </w:rPr>
              <w:t>边</w:t>
            </w:r>
            <w:r>
              <w:rPr>
                <w:rFonts w:hAnsi="宋体"/>
                <w:w w:val="95"/>
                <w:highlight w:val="none"/>
              </w:rPr>
              <w:t>环境功</w:t>
            </w:r>
            <w:r>
              <w:rPr>
                <w:rFonts w:hAnsi="宋体"/>
                <w:spacing w:val="1"/>
                <w:w w:val="95"/>
                <w:highlight w:val="none"/>
              </w:rPr>
              <w:t>能</w:t>
            </w:r>
            <w:r>
              <w:rPr>
                <w:rFonts w:hAnsi="宋体"/>
                <w:w w:val="95"/>
                <w:highlight w:val="none"/>
              </w:rPr>
              <w:t>类别</w:t>
            </w:r>
          </w:p>
          <w:p>
            <w:pPr>
              <w:pStyle w:val="64"/>
              <w:rPr>
                <w:rFonts w:hAnsi="宋体"/>
                <w:highlight w:val="none"/>
              </w:rPr>
            </w:pPr>
            <w:r>
              <w:rPr>
                <w:rFonts w:hAnsi="宋体"/>
                <w:highlight w:val="none"/>
              </w:rPr>
              <w:t>（</w:t>
            </w:r>
            <w:r>
              <w:rPr>
                <w:rFonts w:hAnsi="宋体" w:cs="hakuyoxingshu7000"/>
                <w:spacing w:val="1"/>
                <w:highlight w:val="none"/>
              </w:rPr>
              <w:t>2</w:t>
            </w:r>
            <w:r>
              <w:rPr>
                <w:rFonts w:hAnsi="宋体" w:cs="hakuyoxingshu7000"/>
                <w:highlight w:val="none"/>
              </w:rPr>
              <w:t>2</w:t>
            </w:r>
            <w:r>
              <w:rPr>
                <w:rFonts w:hAnsi="宋体"/>
                <w:highlight w:val="none"/>
              </w:rPr>
              <w:t>分）</w:t>
            </w:r>
          </w:p>
        </w:tc>
        <w:tc>
          <w:tcPr>
            <w:tcW w:w="837" w:type="dxa"/>
            <w:vMerge w:val="restart"/>
            <w:vAlign w:val="center"/>
          </w:tcPr>
          <w:p>
            <w:pPr>
              <w:pStyle w:val="64"/>
              <w:rPr>
                <w:rFonts w:hAnsi="宋体"/>
                <w:highlight w:val="none"/>
              </w:rPr>
            </w:pPr>
            <w:r>
              <w:rPr>
                <w:rFonts w:hAnsi="宋体"/>
                <w:highlight w:val="none"/>
              </w:rPr>
              <w:t>水</w:t>
            </w:r>
            <w:r>
              <w:rPr>
                <w:rFonts w:hAnsi="宋体"/>
                <w:spacing w:val="2"/>
                <w:highlight w:val="none"/>
              </w:rPr>
              <w:t>环</w:t>
            </w:r>
            <w:r>
              <w:rPr>
                <w:rFonts w:hAnsi="宋体"/>
                <w:highlight w:val="none"/>
              </w:rPr>
              <w:t>境</w:t>
            </w:r>
          </w:p>
          <w:p>
            <w:pPr>
              <w:pStyle w:val="64"/>
              <w:rPr>
                <w:rFonts w:hAnsi="宋体"/>
                <w:highlight w:val="none"/>
              </w:rPr>
            </w:pPr>
            <w:r>
              <w:rPr>
                <w:rFonts w:hAnsi="宋体" w:cs="hakuyoxingshu7000"/>
                <w:spacing w:val="1"/>
                <w:highlight w:val="none"/>
              </w:rPr>
              <w:t>1</w:t>
            </w:r>
            <w:r>
              <w:rPr>
                <w:rFonts w:hAnsi="宋体" w:cs="hakuyoxingshu7000"/>
                <w:highlight w:val="none"/>
              </w:rPr>
              <w:t>5</w:t>
            </w:r>
            <w:r>
              <w:rPr>
                <w:rFonts w:hAnsi="宋体"/>
                <w:highlight w:val="none"/>
              </w:rPr>
              <w:t>分</w:t>
            </w:r>
          </w:p>
        </w:tc>
        <w:tc>
          <w:tcPr>
            <w:tcW w:w="708" w:type="dxa"/>
            <w:vMerge w:val="restart"/>
            <w:vAlign w:val="center"/>
          </w:tcPr>
          <w:p>
            <w:pPr>
              <w:pStyle w:val="64"/>
              <w:rPr>
                <w:rFonts w:hAnsi="宋体"/>
                <w:highlight w:val="none"/>
              </w:rPr>
            </w:pPr>
            <w:r>
              <w:rPr>
                <w:rFonts w:hAnsi="宋体"/>
                <w:highlight w:val="none"/>
              </w:rPr>
              <w:t>下游水体</w:t>
            </w:r>
          </w:p>
          <w:p>
            <w:pPr>
              <w:pStyle w:val="64"/>
              <w:rPr>
                <w:rFonts w:hAnsi="宋体"/>
                <w:highlight w:val="none"/>
              </w:rPr>
            </w:pPr>
            <w:r>
              <w:rPr>
                <w:rFonts w:hAnsi="宋体" w:cs="hakuyoxingshu7000"/>
                <w:highlight w:val="none"/>
              </w:rPr>
              <w:t>9</w:t>
            </w:r>
            <w:r>
              <w:rPr>
                <w:rFonts w:hAnsi="宋体"/>
                <w:highlight w:val="none"/>
              </w:rPr>
              <w:t>分</w:t>
            </w:r>
          </w:p>
        </w:tc>
        <w:tc>
          <w:tcPr>
            <w:tcW w:w="851" w:type="dxa"/>
            <w:vMerge w:val="restart"/>
            <w:vAlign w:val="center"/>
          </w:tcPr>
          <w:p>
            <w:pPr>
              <w:pStyle w:val="64"/>
              <w:rPr>
                <w:rFonts w:hAnsi="宋体"/>
                <w:highlight w:val="none"/>
              </w:rPr>
            </w:pPr>
            <w:r>
              <w:rPr>
                <w:rFonts w:hAnsi="宋体"/>
                <w:w w:val="95"/>
                <w:highlight w:val="none"/>
              </w:rPr>
              <w:t>地表</w:t>
            </w:r>
            <w:r>
              <w:rPr>
                <w:rFonts w:hAnsi="宋体"/>
                <w:highlight w:val="none"/>
              </w:rPr>
              <w:t>水</w:t>
            </w:r>
          </w:p>
        </w:tc>
        <w:tc>
          <w:tcPr>
            <w:tcW w:w="5448" w:type="dxa"/>
            <w:vAlign w:val="center"/>
          </w:tcPr>
          <w:p>
            <w:pPr>
              <w:pStyle w:val="64"/>
              <w:jc w:val="left"/>
              <w:rPr>
                <w:rFonts w:hAnsi="宋体"/>
                <w:highlight w:val="none"/>
              </w:rPr>
            </w:pPr>
            <w:r>
              <w:rPr>
                <w:rFonts w:hAnsi="宋体"/>
                <w:highlight w:val="none"/>
              </w:rPr>
              <w:t>1.○地表水：一类。</w:t>
            </w:r>
          </w:p>
        </w:tc>
        <w:tc>
          <w:tcPr>
            <w:tcW w:w="507" w:type="dxa"/>
            <w:vMerge w:val="restart"/>
            <w:vAlign w:val="center"/>
          </w:tcPr>
          <w:p>
            <w:pPr>
              <w:pStyle w:val="64"/>
              <w:rPr>
                <w:rFonts w:hAnsi="宋体" w:cs="hakuyoxingshu7000"/>
                <w:highlight w:val="none"/>
              </w:rPr>
            </w:pPr>
            <w:r>
              <w:rPr>
                <w:rFonts w:hAnsi="宋体" w:cs="hakuyoxingshu7000"/>
                <w:highlight w:val="none"/>
              </w:rPr>
              <w:t>9</w:t>
            </w:r>
          </w:p>
        </w:tc>
        <w:tc>
          <w:tcPr>
            <w:tcW w:w="708" w:type="dxa"/>
            <w:vMerge w:val="restart"/>
            <w:vAlign w:val="center"/>
          </w:tcPr>
          <w:p>
            <w:pPr>
              <w:pStyle w:val="64"/>
              <w:rPr>
                <w:rFonts w:hAnsi="宋体" w:cs="hakuyoxingshu7000"/>
                <w:highlight w:val="none"/>
              </w:rPr>
            </w:pPr>
            <w:r>
              <w:rPr>
                <w:rFonts w:hint="eastAsia" w:hAnsi="宋体" w:cs="hakuyoxingshu7000"/>
                <w:highlight w:val="none"/>
              </w:rPr>
              <w:t>6</w:t>
            </w: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源</w:t>
            </w:r>
            <w:r>
              <w:rPr>
                <w:rFonts w:hAnsi="宋体"/>
                <w:spacing w:val="4"/>
                <w:highlight w:val="none"/>
              </w:rPr>
              <w:t>头</w:t>
            </w:r>
            <w:r>
              <w:rPr>
                <w:rFonts w:hAnsi="宋体"/>
                <w:spacing w:val="2"/>
                <w:highlight w:val="none"/>
              </w:rPr>
              <w:t>水</w:t>
            </w:r>
            <w:r>
              <w:rPr>
                <w:rFonts w:hAnsi="宋体"/>
                <w:spacing w:val="4"/>
                <w:highlight w:val="none"/>
              </w:rPr>
              <w:t>、</w:t>
            </w:r>
            <w:r>
              <w:rPr>
                <w:rFonts w:hAnsi="宋体"/>
                <w:spacing w:val="2"/>
                <w:highlight w:val="none"/>
              </w:rPr>
              <w:t>国</w:t>
            </w:r>
            <w:r>
              <w:rPr>
                <w:rFonts w:hAnsi="宋体"/>
                <w:spacing w:val="4"/>
                <w:highlight w:val="none"/>
              </w:rPr>
              <w:t>家</w:t>
            </w:r>
            <w:r>
              <w:rPr>
                <w:rFonts w:hAnsi="宋体"/>
                <w:spacing w:val="2"/>
                <w:highlight w:val="none"/>
              </w:rPr>
              <w:t>自</w:t>
            </w:r>
            <w:r>
              <w:rPr>
                <w:rFonts w:hAnsi="宋体"/>
                <w:spacing w:val="4"/>
                <w:highlight w:val="none"/>
              </w:rPr>
              <w:t>然保</w:t>
            </w:r>
            <w:r>
              <w:rPr>
                <w:rFonts w:hAnsi="宋体"/>
                <w:highlight w:val="none"/>
              </w:rPr>
              <w:t>护区。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2.○地表水：二类。</w:t>
            </w:r>
          </w:p>
        </w:tc>
        <w:tc>
          <w:tcPr>
            <w:tcW w:w="50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集</w:t>
            </w:r>
            <w:r>
              <w:rPr>
                <w:rFonts w:hAnsi="宋体"/>
                <w:spacing w:val="4"/>
                <w:highlight w:val="none"/>
              </w:rPr>
              <w:t>中</w:t>
            </w:r>
            <w:r>
              <w:rPr>
                <w:rFonts w:hAnsi="宋体"/>
                <w:spacing w:val="2"/>
                <w:highlight w:val="none"/>
              </w:rPr>
              <w:t>式</w:t>
            </w:r>
            <w:r>
              <w:rPr>
                <w:rFonts w:hAnsi="宋体"/>
                <w:spacing w:val="4"/>
                <w:highlight w:val="none"/>
              </w:rPr>
              <w:t>生</w:t>
            </w:r>
            <w:r>
              <w:rPr>
                <w:rFonts w:hAnsi="宋体"/>
                <w:spacing w:val="2"/>
                <w:highlight w:val="none"/>
              </w:rPr>
              <w:t>活</w:t>
            </w:r>
            <w:r>
              <w:rPr>
                <w:rFonts w:hAnsi="宋体"/>
                <w:spacing w:val="4"/>
                <w:highlight w:val="none"/>
              </w:rPr>
              <w:t>饮</w:t>
            </w:r>
            <w:r>
              <w:rPr>
                <w:rFonts w:hAnsi="宋体"/>
                <w:spacing w:val="2"/>
                <w:highlight w:val="none"/>
              </w:rPr>
              <w:t>用</w:t>
            </w:r>
            <w:r>
              <w:rPr>
                <w:rFonts w:hAnsi="宋体"/>
                <w:spacing w:val="4"/>
                <w:highlight w:val="none"/>
              </w:rPr>
              <w:t>水地</w:t>
            </w:r>
            <w:r>
              <w:rPr>
                <w:rFonts w:hAnsi="宋体"/>
                <w:highlight w:val="none"/>
              </w:rPr>
              <w:t>表</w:t>
            </w:r>
            <w:r>
              <w:rPr>
                <w:rFonts w:hAnsi="宋体"/>
                <w:spacing w:val="3"/>
                <w:w w:val="95"/>
                <w:highlight w:val="none"/>
              </w:rPr>
              <w:t>水</w:t>
            </w:r>
            <w:r>
              <w:rPr>
                <w:rFonts w:hAnsi="宋体"/>
                <w:spacing w:val="1"/>
                <w:w w:val="95"/>
                <w:highlight w:val="none"/>
              </w:rPr>
              <w:t>源</w:t>
            </w:r>
            <w:r>
              <w:rPr>
                <w:rFonts w:hAnsi="宋体"/>
                <w:spacing w:val="3"/>
                <w:w w:val="95"/>
                <w:highlight w:val="none"/>
              </w:rPr>
              <w:t>地</w:t>
            </w:r>
            <w:r>
              <w:rPr>
                <w:rFonts w:hAnsi="宋体"/>
                <w:spacing w:val="1"/>
                <w:w w:val="95"/>
                <w:highlight w:val="none"/>
              </w:rPr>
              <w:t>一</w:t>
            </w:r>
            <w:r>
              <w:rPr>
                <w:rFonts w:hAnsi="宋体"/>
                <w:spacing w:val="3"/>
                <w:w w:val="95"/>
                <w:highlight w:val="none"/>
              </w:rPr>
              <w:t>级</w:t>
            </w:r>
            <w:r>
              <w:rPr>
                <w:rFonts w:hAnsi="宋体"/>
                <w:spacing w:val="1"/>
                <w:w w:val="95"/>
                <w:highlight w:val="none"/>
              </w:rPr>
              <w:t>保</w:t>
            </w:r>
            <w:r>
              <w:rPr>
                <w:rFonts w:hAnsi="宋体"/>
                <w:spacing w:val="3"/>
                <w:w w:val="95"/>
                <w:highlight w:val="none"/>
              </w:rPr>
              <w:t>护</w:t>
            </w:r>
            <w:r>
              <w:rPr>
                <w:rFonts w:hAnsi="宋体"/>
                <w:spacing w:val="1"/>
                <w:w w:val="95"/>
                <w:highlight w:val="none"/>
              </w:rPr>
              <w:t>区</w:t>
            </w:r>
            <w:r>
              <w:rPr>
                <w:rFonts w:hAnsi="宋体"/>
                <w:spacing w:val="3"/>
                <w:w w:val="95"/>
                <w:highlight w:val="none"/>
              </w:rPr>
              <w:t>、</w:t>
            </w:r>
            <w:r>
              <w:rPr>
                <w:rFonts w:hAnsi="宋体"/>
                <w:spacing w:val="1"/>
                <w:w w:val="95"/>
                <w:highlight w:val="none"/>
              </w:rPr>
              <w:t>珍</w:t>
            </w:r>
            <w:r>
              <w:rPr>
                <w:rFonts w:hAnsi="宋体"/>
                <w:spacing w:val="3"/>
                <w:w w:val="95"/>
                <w:highlight w:val="none"/>
              </w:rPr>
              <w:t>稀</w:t>
            </w:r>
            <w:r>
              <w:rPr>
                <w:rFonts w:hAnsi="宋体"/>
                <w:spacing w:val="1"/>
                <w:w w:val="95"/>
                <w:highlight w:val="none"/>
              </w:rPr>
              <w:t>水</w:t>
            </w:r>
            <w:r>
              <w:rPr>
                <w:rFonts w:hAnsi="宋体"/>
                <w:spacing w:val="3"/>
                <w:w w:val="95"/>
                <w:highlight w:val="none"/>
              </w:rPr>
              <w:t>生生</w:t>
            </w:r>
            <w:r>
              <w:rPr>
                <w:rFonts w:hAnsi="宋体"/>
                <w:w w:val="95"/>
                <w:highlight w:val="none"/>
              </w:rPr>
              <w:t>物</w:t>
            </w:r>
            <w:r>
              <w:rPr>
                <w:rFonts w:hAnsi="宋体"/>
                <w:spacing w:val="3"/>
                <w:w w:val="95"/>
                <w:highlight w:val="none"/>
              </w:rPr>
              <w:t>栖</w:t>
            </w:r>
            <w:r>
              <w:rPr>
                <w:rFonts w:hAnsi="宋体"/>
                <w:spacing w:val="1"/>
                <w:w w:val="95"/>
                <w:highlight w:val="none"/>
              </w:rPr>
              <w:t>息</w:t>
            </w:r>
            <w:r>
              <w:rPr>
                <w:rFonts w:hAnsi="宋体"/>
                <w:spacing w:val="3"/>
                <w:w w:val="95"/>
                <w:highlight w:val="none"/>
              </w:rPr>
              <w:t>地</w:t>
            </w:r>
            <w:r>
              <w:rPr>
                <w:rFonts w:hAnsi="宋体"/>
                <w:spacing w:val="1"/>
                <w:w w:val="95"/>
                <w:highlight w:val="none"/>
              </w:rPr>
              <w:t>、</w:t>
            </w:r>
            <w:r>
              <w:rPr>
                <w:rFonts w:hAnsi="宋体"/>
                <w:spacing w:val="3"/>
                <w:w w:val="95"/>
                <w:highlight w:val="none"/>
              </w:rPr>
              <w:t>鱼</w:t>
            </w:r>
            <w:r>
              <w:rPr>
                <w:rFonts w:hAnsi="宋体"/>
                <w:spacing w:val="1"/>
                <w:w w:val="95"/>
                <w:highlight w:val="none"/>
              </w:rPr>
              <w:t>虾</w:t>
            </w:r>
            <w:r>
              <w:rPr>
                <w:rFonts w:hAnsi="宋体"/>
                <w:spacing w:val="3"/>
                <w:w w:val="95"/>
                <w:highlight w:val="none"/>
              </w:rPr>
              <w:t>产</w:t>
            </w:r>
            <w:r>
              <w:rPr>
                <w:rFonts w:hAnsi="宋体"/>
                <w:spacing w:val="1"/>
                <w:w w:val="95"/>
                <w:highlight w:val="none"/>
              </w:rPr>
              <w:t>卵</w:t>
            </w:r>
            <w:r>
              <w:rPr>
                <w:rFonts w:hAnsi="宋体"/>
                <w:spacing w:val="3"/>
                <w:w w:val="95"/>
                <w:highlight w:val="none"/>
              </w:rPr>
              <w:t>场</w:t>
            </w:r>
            <w:r>
              <w:rPr>
                <w:rFonts w:hAnsi="宋体"/>
                <w:spacing w:val="1"/>
                <w:w w:val="95"/>
                <w:highlight w:val="none"/>
              </w:rPr>
              <w:t>、</w:t>
            </w:r>
            <w:r>
              <w:rPr>
                <w:rFonts w:hAnsi="宋体"/>
                <w:spacing w:val="3"/>
                <w:w w:val="95"/>
                <w:highlight w:val="none"/>
              </w:rPr>
              <w:t>在</w:t>
            </w:r>
            <w:r>
              <w:rPr>
                <w:rFonts w:hAnsi="宋体"/>
                <w:spacing w:val="1"/>
                <w:w w:val="95"/>
                <w:highlight w:val="none"/>
              </w:rPr>
              <w:t>仔</w:t>
            </w:r>
            <w:r>
              <w:rPr>
                <w:rFonts w:hAnsi="宋体"/>
                <w:spacing w:val="3"/>
                <w:w w:val="95"/>
                <w:highlight w:val="none"/>
              </w:rPr>
              <w:t>稚幼</w:t>
            </w:r>
            <w:r>
              <w:rPr>
                <w:rFonts w:hAnsi="宋体"/>
                <w:w w:val="95"/>
                <w:highlight w:val="none"/>
              </w:rPr>
              <w:t>鱼</w:t>
            </w:r>
            <w:r>
              <w:rPr>
                <w:rFonts w:hAnsi="宋体"/>
                <w:highlight w:val="none"/>
              </w:rPr>
              <w:t>的</w:t>
            </w:r>
            <w:r>
              <w:rPr>
                <w:rFonts w:hAnsi="宋体"/>
                <w:spacing w:val="2"/>
                <w:highlight w:val="none"/>
              </w:rPr>
              <w:t>索</w:t>
            </w:r>
            <w:r>
              <w:rPr>
                <w:rFonts w:hAnsi="宋体"/>
                <w:highlight w:val="none"/>
              </w:rPr>
              <w:t>饵</w:t>
            </w:r>
            <w:r>
              <w:rPr>
                <w:rFonts w:hAnsi="宋体"/>
                <w:spacing w:val="2"/>
                <w:highlight w:val="none"/>
              </w:rPr>
              <w:t>场</w:t>
            </w:r>
            <w:r>
              <w:rPr>
                <w:rFonts w:hAnsi="宋体"/>
                <w:highlight w:val="none"/>
              </w:rPr>
              <w:t>等。</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3.○地表水：三类。</w:t>
            </w:r>
          </w:p>
        </w:tc>
        <w:tc>
          <w:tcPr>
            <w:tcW w:w="507" w:type="dxa"/>
            <w:vAlign w:val="center"/>
          </w:tcPr>
          <w:p>
            <w:pPr>
              <w:pStyle w:val="64"/>
              <w:rPr>
                <w:rFonts w:hAnsi="宋体" w:cs="hakuyoxingshu7000"/>
                <w:highlight w:val="none"/>
              </w:rPr>
            </w:pPr>
            <w:r>
              <w:rPr>
                <w:rFonts w:hAnsi="宋体" w:cs="hakuyoxingshu7000"/>
                <w:highlight w:val="none"/>
              </w:rPr>
              <w:t>6</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集</w:t>
            </w:r>
            <w:r>
              <w:rPr>
                <w:rFonts w:hAnsi="宋体"/>
                <w:spacing w:val="4"/>
                <w:highlight w:val="none"/>
              </w:rPr>
              <w:t>中</w:t>
            </w:r>
            <w:r>
              <w:rPr>
                <w:rFonts w:hAnsi="宋体"/>
                <w:spacing w:val="2"/>
                <w:highlight w:val="none"/>
              </w:rPr>
              <w:t>式</w:t>
            </w:r>
            <w:r>
              <w:rPr>
                <w:rFonts w:hAnsi="宋体"/>
                <w:spacing w:val="4"/>
                <w:highlight w:val="none"/>
              </w:rPr>
              <w:t>生</w:t>
            </w:r>
            <w:r>
              <w:rPr>
                <w:rFonts w:hAnsi="宋体"/>
                <w:spacing w:val="2"/>
                <w:highlight w:val="none"/>
              </w:rPr>
              <w:t>活</w:t>
            </w:r>
            <w:r>
              <w:rPr>
                <w:rFonts w:hAnsi="宋体"/>
                <w:spacing w:val="4"/>
                <w:highlight w:val="none"/>
              </w:rPr>
              <w:t>饮</w:t>
            </w:r>
            <w:r>
              <w:rPr>
                <w:rFonts w:hAnsi="宋体"/>
                <w:spacing w:val="2"/>
                <w:highlight w:val="none"/>
              </w:rPr>
              <w:t>用</w:t>
            </w:r>
            <w:r>
              <w:rPr>
                <w:rFonts w:hAnsi="宋体"/>
                <w:spacing w:val="4"/>
                <w:highlight w:val="none"/>
              </w:rPr>
              <w:t>水地</w:t>
            </w:r>
            <w:r>
              <w:rPr>
                <w:rFonts w:hAnsi="宋体"/>
                <w:highlight w:val="none"/>
              </w:rPr>
              <w:t>表</w:t>
            </w:r>
            <w:r>
              <w:rPr>
                <w:rFonts w:hAnsi="宋体"/>
                <w:w w:val="95"/>
                <w:highlight w:val="none"/>
              </w:rPr>
              <w:t>水</w:t>
            </w:r>
            <w:r>
              <w:rPr>
                <w:rFonts w:hAnsi="宋体"/>
                <w:spacing w:val="1"/>
                <w:w w:val="95"/>
                <w:highlight w:val="none"/>
              </w:rPr>
              <w:t>源</w:t>
            </w:r>
            <w:r>
              <w:rPr>
                <w:rFonts w:hAnsi="宋体"/>
                <w:w w:val="95"/>
                <w:highlight w:val="none"/>
              </w:rPr>
              <w:t>地</w:t>
            </w:r>
            <w:r>
              <w:rPr>
                <w:rFonts w:hAnsi="宋体"/>
                <w:spacing w:val="1"/>
                <w:w w:val="95"/>
                <w:highlight w:val="none"/>
              </w:rPr>
              <w:t>二</w:t>
            </w:r>
            <w:r>
              <w:rPr>
                <w:rFonts w:hAnsi="宋体"/>
                <w:w w:val="95"/>
                <w:highlight w:val="none"/>
              </w:rPr>
              <w:t>级</w:t>
            </w:r>
            <w:r>
              <w:rPr>
                <w:rFonts w:hAnsi="宋体"/>
                <w:spacing w:val="1"/>
                <w:w w:val="95"/>
                <w:highlight w:val="none"/>
              </w:rPr>
              <w:t>保</w:t>
            </w:r>
            <w:r>
              <w:rPr>
                <w:rFonts w:hAnsi="宋体"/>
                <w:w w:val="95"/>
                <w:highlight w:val="none"/>
              </w:rPr>
              <w:t>护</w:t>
            </w:r>
            <w:r>
              <w:rPr>
                <w:rFonts w:hAnsi="宋体"/>
                <w:spacing w:val="1"/>
                <w:w w:val="95"/>
                <w:highlight w:val="none"/>
              </w:rPr>
              <w:t>区</w:t>
            </w:r>
            <w:r>
              <w:rPr>
                <w:rFonts w:hAnsi="宋体"/>
                <w:spacing w:val="-68"/>
                <w:w w:val="95"/>
                <w:highlight w:val="none"/>
              </w:rPr>
              <w:t>、</w:t>
            </w:r>
            <w:r>
              <w:rPr>
                <w:rFonts w:hAnsi="宋体"/>
                <w:w w:val="95"/>
                <w:highlight w:val="none"/>
              </w:rPr>
              <w:t>鱼</w:t>
            </w:r>
            <w:r>
              <w:rPr>
                <w:rFonts w:hAnsi="宋体"/>
                <w:spacing w:val="1"/>
                <w:w w:val="95"/>
                <w:highlight w:val="none"/>
              </w:rPr>
              <w:t>虾</w:t>
            </w:r>
            <w:r>
              <w:rPr>
                <w:rFonts w:hAnsi="宋体"/>
                <w:w w:val="95"/>
                <w:highlight w:val="none"/>
              </w:rPr>
              <w:t>类</w:t>
            </w:r>
            <w:r>
              <w:rPr>
                <w:rFonts w:hAnsi="宋体"/>
                <w:spacing w:val="1"/>
                <w:w w:val="95"/>
                <w:highlight w:val="none"/>
              </w:rPr>
              <w:t>越</w:t>
            </w:r>
            <w:r>
              <w:rPr>
                <w:rFonts w:hAnsi="宋体"/>
                <w:w w:val="95"/>
                <w:highlight w:val="none"/>
              </w:rPr>
              <w:t>冬</w:t>
            </w:r>
            <w:r>
              <w:rPr>
                <w:rFonts w:hAnsi="宋体"/>
                <w:spacing w:val="1"/>
                <w:w w:val="95"/>
                <w:highlight w:val="none"/>
              </w:rPr>
              <w:t>场</w:t>
            </w:r>
            <w:r>
              <w:rPr>
                <w:rFonts w:hAnsi="宋体"/>
                <w:w w:val="95"/>
                <w:highlight w:val="none"/>
              </w:rPr>
              <w:t>、</w:t>
            </w:r>
            <w:r>
              <w:rPr>
                <w:rFonts w:hAnsi="宋体"/>
                <w:highlight w:val="none"/>
              </w:rPr>
              <w:t>巡</w:t>
            </w:r>
            <w:r>
              <w:rPr>
                <w:rFonts w:hAnsi="宋体"/>
                <w:spacing w:val="2"/>
                <w:highlight w:val="none"/>
              </w:rPr>
              <w:t>游</w:t>
            </w:r>
            <w:r>
              <w:rPr>
                <w:rFonts w:hAnsi="宋体"/>
                <w:highlight w:val="none"/>
              </w:rPr>
              <w:t>通</w:t>
            </w:r>
            <w:r>
              <w:rPr>
                <w:rFonts w:hAnsi="宋体"/>
                <w:spacing w:val="2"/>
                <w:highlight w:val="none"/>
              </w:rPr>
              <w:t>道</w:t>
            </w:r>
            <w:r>
              <w:rPr>
                <w:rFonts w:hAnsi="宋体"/>
                <w:highlight w:val="none"/>
              </w:rPr>
              <w:t>、</w:t>
            </w:r>
            <w:r>
              <w:rPr>
                <w:rFonts w:hAnsi="宋体"/>
                <w:spacing w:val="2"/>
                <w:highlight w:val="none"/>
              </w:rPr>
              <w:t>水</w:t>
            </w:r>
            <w:r>
              <w:rPr>
                <w:rFonts w:hAnsi="宋体"/>
                <w:highlight w:val="none"/>
              </w:rPr>
              <w:t>产</w:t>
            </w:r>
            <w:r>
              <w:rPr>
                <w:rFonts w:hAnsi="宋体"/>
                <w:spacing w:val="2"/>
                <w:highlight w:val="none"/>
              </w:rPr>
              <w:t>养</w:t>
            </w:r>
            <w:r>
              <w:rPr>
                <w:rFonts w:hAnsi="宋体"/>
                <w:highlight w:val="none"/>
              </w:rPr>
              <w:t>殖</w:t>
            </w:r>
            <w:r>
              <w:rPr>
                <w:rFonts w:hAnsi="宋体"/>
                <w:spacing w:val="2"/>
                <w:highlight w:val="none"/>
              </w:rPr>
              <w:t>区</w:t>
            </w:r>
            <w:r>
              <w:rPr>
                <w:rFonts w:hAnsi="宋体"/>
                <w:highlight w:val="none"/>
              </w:rPr>
              <w:t>等</w:t>
            </w:r>
            <w:r>
              <w:rPr>
                <w:rFonts w:hAnsi="宋体"/>
                <w:spacing w:val="2"/>
                <w:highlight w:val="none"/>
              </w:rPr>
              <w:t>渔</w:t>
            </w:r>
            <w:r>
              <w:rPr>
                <w:rFonts w:hAnsi="宋体"/>
                <w:highlight w:val="none"/>
              </w:rPr>
              <w:t>业水</w:t>
            </w:r>
            <w:r>
              <w:rPr>
                <w:rFonts w:hAnsi="宋体"/>
                <w:spacing w:val="2"/>
                <w:highlight w:val="none"/>
              </w:rPr>
              <w:t>域</w:t>
            </w:r>
            <w:r>
              <w:rPr>
                <w:rFonts w:hAnsi="宋体"/>
                <w:highlight w:val="none"/>
              </w:rPr>
              <w:t>及</w:t>
            </w:r>
            <w:r>
              <w:rPr>
                <w:rFonts w:hAnsi="宋体"/>
                <w:spacing w:val="2"/>
                <w:highlight w:val="none"/>
              </w:rPr>
              <w:t>游</w:t>
            </w:r>
            <w:r>
              <w:rPr>
                <w:rFonts w:hAnsi="宋体"/>
                <w:highlight w:val="none"/>
              </w:rPr>
              <w:t>泳</w:t>
            </w:r>
            <w:r>
              <w:rPr>
                <w:rFonts w:hAnsi="宋体"/>
                <w:spacing w:val="2"/>
                <w:highlight w:val="none"/>
              </w:rPr>
              <w:t>区</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4.○地表水：四类。</w:t>
            </w:r>
          </w:p>
        </w:tc>
        <w:tc>
          <w:tcPr>
            <w:tcW w:w="507" w:type="dxa"/>
            <w:vAlign w:val="center"/>
          </w:tcPr>
          <w:p>
            <w:pPr>
              <w:pStyle w:val="64"/>
              <w:rPr>
                <w:rFonts w:hAnsi="宋体" w:cs="hakuyoxingshu7000"/>
                <w:highlight w:val="none"/>
              </w:rPr>
            </w:pPr>
            <w:r>
              <w:rPr>
                <w:rFonts w:hAnsi="宋体" w:cs="hakuyoxingshu7000"/>
                <w:highlight w:val="none"/>
              </w:rPr>
              <w:t>3</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一</w:t>
            </w:r>
            <w:r>
              <w:rPr>
                <w:rFonts w:hAnsi="宋体"/>
                <w:spacing w:val="4"/>
                <w:highlight w:val="none"/>
              </w:rPr>
              <w:t>般</w:t>
            </w:r>
            <w:r>
              <w:rPr>
                <w:rFonts w:hAnsi="宋体"/>
                <w:spacing w:val="2"/>
                <w:highlight w:val="none"/>
              </w:rPr>
              <w:t>工</w:t>
            </w:r>
            <w:r>
              <w:rPr>
                <w:rFonts w:hAnsi="宋体"/>
                <w:spacing w:val="4"/>
                <w:highlight w:val="none"/>
              </w:rPr>
              <w:t>业</w:t>
            </w:r>
            <w:r>
              <w:rPr>
                <w:rFonts w:hAnsi="宋体"/>
                <w:spacing w:val="2"/>
                <w:highlight w:val="none"/>
              </w:rPr>
              <w:t>用</w:t>
            </w:r>
            <w:r>
              <w:rPr>
                <w:rFonts w:hAnsi="宋体"/>
                <w:spacing w:val="4"/>
                <w:highlight w:val="none"/>
              </w:rPr>
              <w:t>水</w:t>
            </w:r>
            <w:r>
              <w:rPr>
                <w:rFonts w:hAnsi="宋体"/>
                <w:spacing w:val="2"/>
                <w:highlight w:val="none"/>
              </w:rPr>
              <w:t>区</w:t>
            </w:r>
            <w:r>
              <w:rPr>
                <w:rFonts w:hAnsi="宋体"/>
                <w:spacing w:val="4"/>
                <w:highlight w:val="none"/>
              </w:rPr>
              <w:t>及非</w:t>
            </w:r>
            <w:r>
              <w:rPr>
                <w:rFonts w:hAnsi="宋体"/>
                <w:highlight w:val="none"/>
              </w:rPr>
              <w:t>人体</w:t>
            </w:r>
            <w:r>
              <w:rPr>
                <w:rFonts w:hAnsi="宋体"/>
                <w:spacing w:val="2"/>
                <w:highlight w:val="none"/>
              </w:rPr>
              <w:t>直</w:t>
            </w:r>
            <w:r>
              <w:rPr>
                <w:rFonts w:hAnsi="宋体"/>
                <w:highlight w:val="none"/>
              </w:rPr>
              <w:t>接</w:t>
            </w:r>
            <w:r>
              <w:rPr>
                <w:rFonts w:hAnsi="宋体"/>
                <w:spacing w:val="2"/>
                <w:highlight w:val="none"/>
              </w:rPr>
              <w:t>接</w:t>
            </w:r>
            <w:r>
              <w:rPr>
                <w:rFonts w:hAnsi="宋体"/>
                <w:highlight w:val="none"/>
              </w:rPr>
              <w:t>触</w:t>
            </w:r>
            <w:r>
              <w:rPr>
                <w:rFonts w:hAnsi="宋体"/>
                <w:spacing w:val="2"/>
                <w:highlight w:val="none"/>
              </w:rPr>
              <w:t>的</w:t>
            </w:r>
            <w:r>
              <w:rPr>
                <w:rFonts w:hAnsi="宋体"/>
                <w:highlight w:val="none"/>
              </w:rPr>
              <w:t>娱</w:t>
            </w:r>
            <w:r>
              <w:rPr>
                <w:rFonts w:hAnsi="宋体"/>
                <w:spacing w:val="2"/>
                <w:highlight w:val="none"/>
              </w:rPr>
              <w:t>乐</w:t>
            </w:r>
            <w:r>
              <w:rPr>
                <w:rFonts w:hAnsi="宋体"/>
                <w:highlight w:val="none"/>
              </w:rPr>
              <w:t>用</w:t>
            </w:r>
            <w:r>
              <w:rPr>
                <w:rFonts w:hAnsi="宋体"/>
                <w:spacing w:val="2"/>
                <w:highlight w:val="none"/>
              </w:rPr>
              <w:t>水</w:t>
            </w:r>
            <w:r>
              <w:rPr>
                <w:rFonts w:hAnsi="宋体"/>
                <w:highlight w:val="none"/>
              </w:rPr>
              <w:t>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5.○地表水：五类。</w:t>
            </w:r>
          </w:p>
        </w:tc>
        <w:tc>
          <w:tcPr>
            <w:tcW w:w="507" w:type="dxa"/>
            <w:vAlign w:val="center"/>
          </w:tcPr>
          <w:p>
            <w:pPr>
              <w:pStyle w:val="64"/>
              <w:rPr>
                <w:rFonts w:hAnsi="宋体" w:cs="hakuyoxingshu7000"/>
                <w:highlight w:val="none"/>
              </w:rPr>
            </w:pPr>
            <w:r>
              <w:rPr>
                <w:rFonts w:hAnsi="宋体" w:cs="hakuyoxingshu7000"/>
                <w:highlight w:val="none"/>
              </w:rPr>
              <w:t>0</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农</w:t>
            </w:r>
            <w:r>
              <w:rPr>
                <w:rFonts w:hAnsi="宋体"/>
                <w:spacing w:val="4"/>
                <w:highlight w:val="none"/>
              </w:rPr>
              <w:t>业</w:t>
            </w:r>
            <w:r>
              <w:rPr>
                <w:rFonts w:hAnsi="宋体"/>
                <w:spacing w:val="2"/>
                <w:highlight w:val="none"/>
              </w:rPr>
              <w:t>用</w:t>
            </w:r>
            <w:r>
              <w:rPr>
                <w:rFonts w:hAnsi="宋体"/>
                <w:spacing w:val="4"/>
                <w:highlight w:val="none"/>
              </w:rPr>
              <w:t>水</w:t>
            </w:r>
            <w:r>
              <w:rPr>
                <w:rFonts w:hAnsi="宋体"/>
                <w:spacing w:val="2"/>
                <w:highlight w:val="none"/>
              </w:rPr>
              <w:t>区</w:t>
            </w:r>
            <w:r>
              <w:rPr>
                <w:rFonts w:hAnsi="宋体"/>
                <w:spacing w:val="4"/>
                <w:highlight w:val="none"/>
              </w:rPr>
              <w:t>及</w:t>
            </w:r>
            <w:r>
              <w:rPr>
                <w:rFonts w:hAnsi="宋体"/>
                <w:spacing w:val="2"/>
                <w:highlight w:val="none"/>
              </w:rPr>
              <w:t>一</w:t>
            </w:r>
            <w:r>
              <w:rPr>
                <w:rFonts w:hAnsi="宋体"/>
                <w:spacing w:val="4"/>
                <w:highlight w:val="none"/>
              </w:rPr>
              <w:t>般景</w:t>
            </w:r>
            <w:r>
              <w:rPr>
                <w:rFonts w:hAnsi="宋体"/>
                <w:highlight w:val="none"/>
              </w:rPr>
              <w:t>观要</w:t>
            </w:r>
            <w:r>
              <w:rPr>
                <w:rFonts w:hAnsi="宋体"/>
                <w:spacing w:val="2"/>
                <w:highlight w:val="none"/>
              </w:rPr>
              <w:t>求</w:t>
            </w:r>
            <w:r>
              <w:rPr>
                <w:rFonts w:hAnsi="宋体"/>
                <w:highlight w:val="none"/>
              </w:rPr>
              <w:t>水</w:t>
            </w:r>
            <w:r>
              <w:rPr>
                <w:rFonts w:hAnsi="宋体"/>
                <w:spacing w:val="2"/>
                <w:highlight w:val="none"/>
              </w:rPr>
              <w:t>域</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restart"/>
            <w:vAlign w:val="center"/>
          </w:tcPr>
          <w:p>
            <w:pPr>
              <w:pStyle w:val="64"/>
              <w:rPr>
                <w:rFonts w:hAnsi="宋体"/>
                <w:highlight w:val="none"/>
              </w:rPr>
            </w:pPr>
            <w:r>
              <w:rPr>
                <w:rFonts w:hAnsi="宋体"/>
                <w:w w:val="95"/>
                <w:highlight w:val="none"/>
              </w:rPr>
              <w:t>海</w:t>
            </w:r>
            <w:r>
              <w:rPr>
                <w:rFonts w:hAnsi="宋体"/>
                <w:highlight w:val="none"/>
              </w:rPr>
              <w:t>水（不涉及海水则不计算该项）</w:t>
            </w:r>
          </w:p>
        </w:tc>
        <w:tc>
          <w:tcPr>
            <w:tcW w:w="5448" w:type="dxa"/>
            <w:vAlign w:val="center"/>
          </w:tcPr>
          <w:p>
            <w:pPr>
              <w:pStyle w:val="64"/>
              <w:jc w:val="left"/>
              <w:rPr>
                <w:rFonts w:hAnsi="宋体"/>
                <w:highlight w:val="none"/>
              </w:rPr>
            </w:pPr>
            <w:r>
              <w:rPr>
                <w:rFonts w:hAnsi="宋体"/>
                <w:highlight w:val="none"/>
              </w:rPr>
              <w:t>1.○海水：一类。</w:t>
            </w:r>
          </w:p>
        </w:tc>
        <w:tc>
          <w:tcPr>
            <w:tcW w:w="507" w:type="dxa"/>
            <w:vAlign w:val="center"/>
          </w:tcPr>
          <w:p>
            <w:pPr>
              <w:pStyle w:val="64"/>
              <w:rPr>
                <w:rFonts w:hAnsi="宋体" w:cs="hakuyoxingshu7000"/>
                <w:highlight w:val="none"/>
              </w:rPr>
            </w:pPr>
            <w:r>
              <w:rPr>
                <w:rFonts w:hAnsi="宋体" w:cs="hakuyoxingshu7000"/>
                <w:highlight w:val="none"/>
              </w:rPr>
              <w:t>9</w:t>
            </w:r>
          </w:p>
        </w:tc>
        <w:tc>
          <w:tcPr>
            <w:tcW w:w="708" w:type="dxa"/>
            <w:vMerge w:val="restart"/>
            <w:vAlign w:val="center"/>
          </w:tcPr>
          <w:p>
            <w:pPr>
              <w:pStyle w:val="64"/>
              <w:rPr>
                <w:rFonts w:hAnsi="宋体" w:cs="hakuyoxingshu7000"/>
                <w:highlight w:val="none"/>
              </w:rPr>
            </w:pPr>
            <w:r>
              <w:rPr>
                <w:rFonts w:hAnsi="宋体" w:cs="hakuyoxingshu7000"/>
                <w:highlight w:val="none"/>
              </w:rPr>
              <w:t>0</w:t>
            </w:r>
          </w:p>
        </w:tc>
        <w:tc>
          <w:tcPr>
            <w:tcW w:w="3820" w:type="dxa"/>
            <w:vAlign w:val="center"/>
          </w:tcPr>
          <w:p>
            <w:pPr>
              <w:pStyle w:val="64"/>
              <w:rPr>
                <w:rFonts w:hAnsi="宋体"/>
                <w:highlight w:val="none"/>
              </w:rPr>
            </w:pP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海</w:t>
            </w:r>
            <w:r>
              <w:rPr>
                <w:rFonts w:hAnsi="宋体"/>
                <w:spacing w:val="4"/>
                <w:highlight w:val="none"/>
              </w:rPr>
              <w:t>洋</w:t>
            </w:r>
            <w:r>
              <w:rPr>
                <w:rFonts w:hAnsi="宋体"/>
                <w:spacing w:val="2"/>
                <w:highlight w:val="none"/>
              </w:rPr>
              <w:t>渔</w:t>
            </w:r>
            <w:r>
              <w:rPr>
                <w:rFonts w:hAnsi="宋体"/>
                <w:spacing w:val="4"/>
                <w:highlight w:val="none"/>
              </w:rPr>
              <w:t>业</w:t>
            </w:r>
            <w:r>
              <w:rPr>
                <w:rFonts w:hAnsi="宋体"/>
                <w:spacing w:val="2"/>
                <w:highlight w:val="none"/>
              </w:rPr>
              <w:t>水</w:t>
            </w:r>
            <w:r>
              <w:rPr>
                <w:rFonts w:hAnsi="宋体"/>
                <w:spacing w:val="4"/>
                <w:highlight w:val="none"/>
              </w:rPr>
              <w:t>域</w:t>
            </w:r>
            <w:r>
              <w:rPr>
                <w:rFonts w:hAnsi="宋体"/>
                <w:spacing w:val="2"/>
                <w:highlight w:val="none"/>
              </w:rPr>
              <w:t>、</w:t>
            </w:r>
            <w:r>
              <w:rPr>
                <w:rFonts w:hAnsi="宋体"/>
                <w:spacing w:val="4"/>
                <w:highlight w:val="none"/>
              </w:rPr>
              <w:t>海</w:t>
            </w:r>
            <w:r>
              <w:rPr>
                <w:rFonts w:hAnsi="宋体"/>
                <w:spacing w:val="2"/>
                <w:highlight w:val="none"/>
              </w:rPr>
              <w:t>上</w:t>
            </w:r>
            <w:r>
              <w:rPr>
                <w:rFonts w:hAnsi="宋体"/>
                <w:spacing w:val="4"/>
                <w:highlight w:val="none"/>
              </w:rPr>
              <w:t>自然</w:t>
            </w:r>
            <w:r>
              <w:rPr>
                <w:rFonts w:hAnsi="宋体"/>
                <w:highlight w:val="none"/>
              </w:rPr>
              <w:t>保护</w:t>
            </w:r>
            <w:r>
              <w:rPr>
                <w:rFonts w:hAnsi="宋体"/>
                <w:spacing w:val="2"/>
                <w:highlight w:val="none"/>
              </w:rPr>
              <w:t>区</w:t>
            </w:r>
            <w:r>
              <w:rPr>
                <w:rFonts w:hAnsi="宋体"/>
                <w:highlight w:val="none"/>
              </w:rPr>
              <w:t>和</w:t>
            </w:r>
            <w:r>
              <w:rPr>
                <w:rFonts w:hAnsi="宋体"/>
                <w:spacing w:val="2"/>
                <w:highlight w:val="none"/>
              </w:rPr>
              <w:t>珍</w:t>
            </w:r>
            <w:r>
              <w:rPr>
                <w:rFonts w:hAnsi="宋体"/>
                <w:highlight w:val="none"/>
              </w:rPr>
              <w:t>稀</w:t>
            </w:r>
            <w:r>
              <w:rPr>
                <w:rFonts w:hAnsi="宋体"/>
                <w:spacing w:val="2"/>
                <w:highlight w:val="none"/>
              </w:rPr>
              <w:t>濒</w:t>
            </w:r>
            <w:r>
              <w:rPr>
                <w:rFonts w:hAnsi="宋体"/>
                <w:highlight w:val="none"/>
              </w:rPr>
              <w:t>危</w:t>
            </w:r>
            <w:r>
              <w:rPr>
                <w:rFonts w:hAnsi="宋体"/>
                <w:spacing w:val="2"/>
                <w:highlight w:val="none"/>
              </w:rPr>
              <w:t>海</w:t>
            </w:r>
            <w:r>
              <w:rPr>
                <w:rFonts w:hAnsi="宋体"/>
                <w:highlight w:val="none"/>
              </w:rPr>
              <w:t>洋</w:t>
            </w:r>
            <w:r>
              <w:rPr>
                <w:rFonts w:hAnsi="宋体"/>
                <w:spacing w:val="2"/>
                <w:highlight w:val="none"/>
              </w:rPr>
              <w:t>生</w:t>
            </w:r>
            <w:r>
              <w:rPr>
                <w:rFonts w:hAnsi="宋体"/>
                <w:highlight w:val="none"/>
              </w:rPr>
              <w:t>物</w:t>
            </w:r>
            <w:r>
              <w:rPr>
                <w:rFonts w:hAnsi="宋体"/>
                <w:spacing w:val="2"/>
                <w:highlight w:val="none"/>
              </w:rPr>
              <w:t>保</w:t>
            </w:r>
            <w:r>
              <w:rPr>
                <w:rFonts w:hAnsi="宋体"/>
                <w:highlight w:val="none"/>
              </w:rPr>
              <w:t>护</w:t>
            </w:r>
            <w:r>
              <w:rPr>
                <w:rFonts w:hAnsi="宋体"/>
                <w:spacing w:val="2"/>
                <w:highlight w:val="none"/>
              </w:rPr>
              <w:t>区</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2.○海水：二类。</w:t>
            </w:r>
          </w:p>
        </w:tc>
        <w:tc>
          <w:tcPr>
            <w:tcW w:w="507" w:type="dxa"/>
            <w:vAlign w:val="center"/>
          </w:tcPr>
          <w:p>
            <w:pPr>
              <w:pStyle w:val="64"/>
              <w:rPr>
                <w:rFonts w:hAnsi="宋体" w:cs="hakuyoxingshu7000"/>
                <w:highlight w:val="none"/>
              </w:rPr>
            </w:pPr>
            <w:r>
              <w:rPr>
                <w:rFonts w:hAnsi="宋体" w:cs="hakuyoxingshu7000"/>
                <w:highlight w:val="none"/>
              </w:rPr>
              <w:t>6</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水</w:t>
            </w:r>
            <w:r>
              <w:rPr>
                <w:rFonts w:hAnsi="宋体"/>
                <w:spacing w:val="4"/>
                <w:highlight w:val="none"/>
              </w:rPr>
              <w:t>产</w:t>
            </w:r>
            <w:r>
              <w:rPr>
                <w:rFonts w:hAnsi="宋体"/>
                <w:spacing w:val="2"/>
                <w:highlight w:val="none"/>
              </w:rPr>
              <w:t>养</w:t>
            </w:r>
            <w:r>
              <w:rPr>
                <w:rFonts w:hAnsi="宋体"/>
                <w:spacing w:val="4"/>
                <w:highlight w:val="none"/>
              </w:rPr>
              <w:t>殖</w:t>
            </w:r>
            <w:r>
              <w:rPr>
                <w:rFonts w:hAnsi="宋体"/>
                <w:spacing w:val="2"/>
                <w:highlight w:val="none"/>
              </w:rPr>
              <w:t>区</w:t>
            </w:r>
            <w:r>
              <w:rPr>
                <w:rFonts w:hAnsi="宋体"/>
                <w:spacing w:val="4"/>
                <w:highlight w:val="none"/>
              </w:rPr>
              <w:t>，</w:t>
            </w:r>
            <w:r>
              <w:rPr>
                <w:rFonts w:hAnsi="宋体"/>
                <w:spacing w:val="2"/>
                <w:highlight w:val="none"/>
              </w:rPr>
              <w:t>海</w:t>
            </w:r>
            <w:r>
              <w:rPr>
                <w:rFonts w:hAnsi="宋体"/>
                <w:spacing w:val="4"/>
                <w:highlight w:val="none"/>
              </w:rPr>
              <w:t>水</w:t>
            </w:r>
            <w:r>
              <w:rPr>
                <w:rFonts w:hAnsi="宋体"/>
                <w:spacing w:val="2"/>
                <w:highlight w:val="none"/>
              </w:rPr>
              <w:t>浴</w:t>
            </w:r>
            <w:r>
              <w:rPr>
                <w:rFonts w:hAnsi="宋体"/>
                <w:spacing w:val="4"/>
                <w:highlight w:val="none"/>
              </w:rPr>
              <w:t>场，</w:t>
            </w:r>
            <w:r>
              <w:rPr>
                <w:rFonts w:hAnsi="宋体"/>
                <w:highlight w:val="none"/>
              </w:rPr>
              <w:t>人</w:t>
            </w:r>
            <w:r>
              <w:rPr>
                <w:rFonts w:hAnsi="宋体"/>
                <w:spacing w:val="3"/>
                <w:w w:val="95"/>
                <w:highlight w:val="none"/>
              </w:rPr>
              <w:t>体</w:t>
            </w:r>
            <w:r>
              <w:rPr>
                <w:rFonts w:hAnsi="宋体"/>
                <w:spacing w:val="1"/>
                <w:w w:val="95"/>
                <w:highlight w:val="none"/>
              </w:rPr>
              <w:t>直</w:t>
            </w:r>
            <w:r>
              <w:rPr>
                <w:rFonts w:hAnsi="宋体"/>
                <w:spacing w:val="3"/>
                <w:w w:val="95"/>
                <w:highlight w:val="none"/>
              </w:rPr>
              <w:t>接</w:t>
            </w:r>
            <w:r>
              <w:rPr>
                <w:rFonts w:hAnsi="宋体"/>
                <w:spacing w:val="1"/>
                <w:w w:val="95"/>
                <w:highlight w:val="none"/>
              </w:rPr>
              <w:t>接</w:t>
            </w:r>
            <w:r>
              <w:rPr>
                <w:rFonts w:hAnsi="宋体"/>
                <w:spacing w:val="3"/>
                <w:w w:val="95"/>
                <w:highlight w:val="none"/>
              </w:rPr>
              <w:t>触</w:t>
            </w:r>
            <w:r>
              <w:rPr>
                <w:rFonts w:hAnsi="宋体"/>
                <w:spacing w:val="1"/>
                <w:w w:val="95"/>
                <w:highlight w:val="none"/>
              </w:rPr>
              <w:t>海</w:t>
            </w:r>
            <w:r>
              <w:rPr>
                <w:rFonts w:hAnsi="宋体"/>
                <w:spacing w:val="3"/>
                <w:w w:val="95"/>
                <w:highlight w:val="none"/>
              </w:rPr>
              <w:t>上</w:t>
            </w:r>
            <w:r>
              <w:rPr>
                <w:rFonts w:hAnsi="宋体"/>
                <w:spacing w:val="1"/>
                <w:w w:val="95"/>
                <w:highlight w:val="none"/>
              </w:rPr>
              <w:t>运</w:t>
            </w:r>
            <w:r>
              <w:rPr>
                <w:rFonts w:hAnsi="宋体"/>
                <w:spacing w:val="3"/>
                <w:w w:val="95"/>
                <w:highlight w:val="none"/>
              </w:rPr>
              <w:t>动</w:t>
            </w:r>
            <w:r>
              <w:rPr>
                <w:rFonts w:hAnsi="宋体"/>
                <w:spacing w:val="1"/>
                <w:w w:val="95"/>
                <w:highlight w:val="none"/>
              </w:rPr>
              <w:t>或</w:t>
            </w:r>
            <w:r>
              <w:rPr>
                <w:rFonts w:hAnsi="宋体"/>
                <w:spacing w:val="3"/>
                <w:w w:val="95"/>
                <w:highlight w:val="none"/>
              </w:rPr>
              <w:t>娱</w:t>
            </w:r>
            <w:r>
              <w:rPr>
                <w:rFonts w:hAnsi="宋体"/>
                <w:spacing w:val="1"/>
                <w:w w:val="95"/>
                <w:highlight w:val="none"/>
              </w:rPr>
              <w:t>乐</w:t>
            </w:r>
            <w:r>
              <w:rPr>
                <w:rFonts w:hAnsi="宋体"/>
                <w:spacing w:val="3"/>
                <w:w w:val="95"/>
                <w:highlight w:val="none"/>
              </w:rPr>
              <w:t>区，</w:t>
            </w:r>
            <w:r>
              <w:rPr>
                <w:rFonts w:hAnsi="宋体"/>
                <w:w w:val="95"/>
                <w:highlight w:val="none"/>
              </w:rPr>
              <w:t>以</w:t>
            </w:r>
            <w:r>
              <w:rPr>
                <w:rFonts w:hAnsi="宋体"/>
                <w:spacing w:val="3"/>
                <w:w w:val="95"/>
                <w:highlight w:val="none"/>
              </w:rPr>
              <w:t>及</w:t>
            </w:r>
            <w:r>
              <w:rPr>
                <w:rFonts w:hAnsi="宋体"/>
                <w:spacing w:val="1"/>
                <w:w w:val="95"/>
                <w:highlight w:val="none"/>
              </w:rPr>
              <w:t>与</w:t>
            </w:r>
            <w:r>
              <w:rPr>
                <w:rFonts w:hAnsi="宋体"/>
                <w:spacing w:val="3"/>
                <w:w w:val="95"/>
                <w:highlight w:val="none"/>
              </w:rPr>
              <w:t>人</w:t>
            </w:r>
            <w:r>
              <w:rPr>
                <w:rFonts w:hAnsi="宋体"/>
                <w:spacing w:val="1"/>
                <w:w w:val="95"/>
                <w:highlight w:val="none"/>
              </w:rPr>
              <w:t>类</w:t>
            </w:r>
            <w:r>
              <w:rPr>
                <w:rFonts w:hAnsi="宋体"/>
                <w:spacing w:val="3"/>
                <w:w w:val="95"/>
                <w:highlight w:val="none"/>
              </w:rPr>
              <w:t>食</w:t>
            </w:r>
            <w:r>
              <w:rPr>
                <w:rFonts w:hAnsi="宋体"/>
                <w:spacing w:val="1"/>
                <w:w w:val="95"/>
                <w:highlight w:val="none"/>
              </w:rPr>
              <w:t>用</w:t>
            </w:r>
            <w:r>
              <w:rPr>
                <w:rFonts w:hAnsi="宋体"/>
                <w:spacing w:val="3"/>
                <w:w w:val="95"/>
                <w:highlight w:val="none"/>
              </w:rPr>
              <w:t>直</w:t>
            </w:r>
            <w:r>
              <w:rPr>
                <w:rFonts w:hAnsi="宋体"/>
                <w:spacing w:val="1"/>
                <w:w w:val="95"/>
                <w:highlight w:val="none"/>
              </w:rPr>
              <w:t>接</w:t>
            </w:r>
            <w:r>
              <w:rPr>
                <w:rFonts w:hAnsi="宋体"/>
                <w:spacing w:val="3"/>
                <w:w w:val="95"/>
                <w:highlight w:val="none"/>
              </w:rPr>
              <w:t>相</w:t>
            </w:r>
            <w:r>
              <w:rPr>
                <w:rFonts w:hAnsi="宋体"/>
                <w:spacing w:val="1"/>
                <w:w w:val="95"/>
                <w:highlight w:val="none"/>
              </w:rPr>
              <w:t>关</w:t>
            </w:r>
            <w:r>
              <w:rPr>
                <w:rFonts w:hAnsi="宋体"/>
                <w:spacing w:val="3"/>
                <w:w w:val="95"/>
                <w:highlight w:val="none"/>
              </w:rPr>
              <w:t>的</w:t>
            </w:r>
            <w:r>
              <w:rPr>
                <w:rFonts w:hAnsi="宋体"/>
                <w:spacing w:val="1"/>
                <w:w w:val="95"/>
                <w:highlight w:val="none"/>
              </w:rPr>
              <w:t>工</w:t>
            </w:r>
            <w:r>
              <w:rPr>
                <w:rFonts w:hAnsi="宋体"/>
                <w:spacing w:val="3"/>
                <w:w w:val="95"/>
                <w:highlight w:val="none"/>
              </w:rPr>
              <w:t>业用</w:t>
            </w:r>
            <w:r>
              <w:rPr>
                <w:rFonts w:hAnsi="宋体"/>
                <w:w w:val="95"/>
                <w:highlight w:val="none"/>
              </w:rPr>
              <w:t>水</w:t>
            </w:r>
            <w:r>
              <w:rPr>
                <w:rFonts w:hAnsi="宋体"/>
                <w:highlight w:val="none"/>
              </w:rPr>
              <w:t>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3.○海水：三类。</w:t>
            </w:r>
          </w:p>
        </w:tc>
        <w:tc>
          <w:tcPr>
            <w:tcW w:w="507" w:type="dxa"/>
            <w:vAlign w:val="center"/>
          </w:tcPr>
          <w:p>
            <w:pPr>
              <w:pStyle w:val="64"/>
              <w:rPr>
                <w:rFonts w:hAnsi="宋体" w:cs="hakuyoxingshu7000"/>
                <w:highlight w:val="none"/>
              </w:rPr>
            </w:pPr>
            <w:r>
              <w:rPr>
                <w:rFonts w:hAnsi="宋体" w:cs="hakuyoxingshu7000"/>
                <w:highlight w:val="none"/>
              </w:rPr>
              <w:t>3</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一</w:t>
            </w:r>
            <w:r>
              <w:rPr>
                <w:rFonts w:hAnsi="宋体"/>
                <w:spacing w:val="4"/>
                <w:highlight w:val="none"/>
              </w:rPr>
              <w:t>般</w:t>
            </w:r>
            <w:r>
              <w:rPr>
                <w:rFonts w:hAnsi="宋体"/>
                <w:spacing w:val="2"/>
                <w:highlight w:val="none"/>
              </w:rPr>
              <w:t>工</w:t>
            </w:r>
            <w:r>
              <w:rPr>
                <w:rFonts w:hAnsi="宋体"/>
                <w:spacing w:val="4"/>
                <w:highlight w:val="none"/>
              </w:rPr>
              <w:t>业</w:t>
            </w:r>
            <w:r>
              <w:rPr>
                <w:rFonts w:hAnsi="宋体"/>
                <w:spacing w:val="2"/>
                <w:highlight w:val="none"/>
              </w:rPr>
              <w:t>用</w:t>
            </w:r>
            <w:r>
              <w:rPr>
                <w:rFonts w:hAnsi="宋体"/>
                <w:spacing w:val="4"/>
                <w:highlight w:val="none"/>
              </w:rPr>
              <w:t>水</w:t>
            </w:r>
            <w:r>
              <w:rPr>
                <w:rFonts w:hAnsi="宋体"/>
                <w:spacing w:val="2"/>
                <w:highlight w:val="none"/>
              </w:rPr>
              <w:t>区</w:t>
            </w:r>
            <w:r>
              <w:rPr>
                <w:rFonts w:hAnsi="宋体"/>
                <w:spacing w:val="4"/>
                <w:highlight w:val="none"/>
              </w:rPr>
              <w:t>，</w:t>
            </w:r>
            <w:r>
              <w:rPr>
                <w:rFonts w:hAnsi="宋体"/>
                <w:spacing w:val="2"/>
                <w:highlight w:val="none"/>
              </w:rPr>
              <w:t>滨</w:t>
            </w:r>
            <w:r>
              <w:rPr>
                <w:rFonts w:hAnsi="宋体"/>
                <w:spacing w:val="4"/>
                <w:highlight w:val="none"/>
              </w:rPr>
              <w:t>海风</w:t>
            </w:r>
            <w:r>
              <w:rPr>
                <w:rFonts w:hAnsi="宋体"/>
                <w:highlight w:val="none"/>
              </w:rPr>
              <w:t>景旅</w:t>
            </w:r>
            <w:r>
              <w:rPr>
                <w:rFonts w:hAnsi="宋体"/>
                <w:spacing w:val="2"/>
                <w:highlight w:val="none"/>
              </w:rPr>
              <w:t>游</w:t>
            </w:r>
            <w:r>
              <w:rPr>
                <w:rFonts w:hAnsi="宋体"/>
                <w:highlight w:val="none"/>
              </w:rPr>
              <w:t>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851" w:type="dxa"/>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4.○海水：四类。</w:t>
            </w:r>
          </w:p>
        </w:tc>
        <w:tc>
          <w:tcPr>
            <w:tcW w:w="507" w:type="dxa"/>
            <w:vAlign w:val="center"/>
          </w:tcPr>
          <w:p>
            <w:pPr>
              <w:pStyle w:val="64"/>
              <w:rPr>
                <w:rFonts w:hAnsi="宋体" w:cs="hakuyoxingshu7000"/>
                <w:highlight w:val="none"/>
              </w:rPr>
            </w:pPr>
            <w:r>
              <w:rPr>
                <w:rFonts w:hAnsi="宋体" w:cs="hakuyoxingshu7000"/>
                <w:highlight w:val="none"/>
              </w:rPr>
              <w:t>0</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海</w:t>
            </w:r>
            <w:r>
              <w:rPr>
                <w:rFonts w:hAnsi="宋体"/>
                <w:spacing w:val="4"/>
                <w:highlight w:val="none"/>
              </w:rPr>
              <w:t>洋</w:t>
            </w:r>
            <w:r>
              <w:rPr>
                <w:rFonts w:hAnsi="宋体"/>
                <w:spacing w:val="2"/>
                <w:highlight w:val="none"/>
              </w:rPr>
              <w:t>港</w:t>
            </w:r>
            <w:r>
              <w:rPr>
                <w:rFonts w:hAnsi="宋体"/>
                <w:spacing w:val="4"/>
                <w:highlight w:val="none"/>
              </w:rPr>
              <w:t>口</w:t>
            </w:r>
            <w:r>
              <w:rPr>
                <w:rFonts w:hAnsi="宋体"/>
                <w:spacing w:val="2"/>
                <w:highlight w:val="none"/>
              </w:rPr>
              <w:t>水</w:t>
            </w:r>
            <w:r>
              <w:rPr>
                <w:rFonts w:hAnsi="宋体"/>
                <w:spacing w:val="4"/>
                <w:highlight w:val="none"/>
              </w:rPr>
              <w:t>域</w:t>
            </w:r>
            <w:r>
              <w:rPr>
                <w:rFonts w:hAnsi="宋体"/>
                <w:spacing w:val="2"/>
                <w:highlight w:val="none"/>
              </w:rPr>
              <w:t>，</w:t>
            </w:r>
            <w:r>
              <w:rPr>
                <w:rFonts w:hAnsi="宋体"/>
                <w:spacing w:val="4"/>
                <w:highlight w:val="none"/>
              </w:rPr>
              <w:t>海</w:t>
            </w:r>
            <w:r>
              <w:rPr>
                <w:rFonts w:hAnsi="宋体"/>
                <w:spacing w:val="2"/>
                <w:highlight w:val="none"/>
              </w:rPr>
              <w:t>洋</w:t>
            </w:r>
            <w:r>
              <w:rPr>
                <w:rFonts w:hAnsi="宋体"/>
                <w:spacing w:val="4"/>
                <w:highlight w:val="none"/>
              </w:rPr>
              <w:t>开发</w:t>
            </w:r>
            <w:r>
              <w:rPr>
                <w:rFonts w:hAnsi="宋体"/>
                <w:highlight w:val="none"/>
              </w:rPr>
              <w:t>作业</w:t>
            </w:r>
            <w:r>
              <w:rPr>
                <w:rFonts w:hAnsi="宋体"/>
                <w:spacing w:val="2"/>
                <w:highlight w:val="none"/>
              </w:rPr>
              <w:t>区</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1559" w:type="dxa"/>
            <w:gridSpan w:val="2"/>
            <w:vMerge w:val="restart"/>
            <w:vAlign w:val="center"/>
          </w:tcPr>
          <w:p>
            <w:pPr>
              <w:pStyle w:val="64"/>
              <w:rPr>
                <w:rFonts w:hAnsi="宋体"/>
                <w:highlight w:val="none"/>
              </w:rPr>
            </w:pPr>
            <w:r>
              <w:rPr>
                <w:rFonts w:hAnsi="宋体"/>
                <w:highlight w:val="none"/>
              </w:rPr>
              <w:t>地</w:t>
            </w:r>
            <w:r>
              <w:rPr>
                <w:rFonts w:hAnsi="宋体"/>
                <w:spacing w:val="2"/>
                <w:highlight w:val="none"/>
              </w:rPr>
              <w:t>下</w:t>
            </w:r>
            <w:r>
              <w:rPr>
                <w:rFonts w:hAnsi="宋体"/>
                <w:highlight w:val="none"/>
              </w:rPr>
              <w:t>水</w:t>
            </w:r>
          </w:p>
          <w:p>
            <w:pPr>
              <w:pStyle w:val="64"/>
              <w:rPr>
                <w:rFonts w:hAnsi="宋体"/>
                <w:highlight w:val="none"/>
              </w:rPr>
            </w:pPr>
            <w:r>
              <w:rPr>
                <w:rFonts w:hAnsi="宋体"/>
                <w:spacing w:val="2"/>
                <w:highlight w:val="none"/>
              </w:rPr>
              <w:t>（</w:t>
            </w:r>
            <w:r>
              <w:rPr>
                <w:rFonts w:hAnsi="宋体" w:cs="hakuyoxingshu7000"/>
                <w:highlight w:val="none"/>
              </w:rPr>
              <w:t>6</w:t>
            </w:r>
            <w:r>
              <w:rPr>
                <w:rFonts w:hAnsi="宋体"/>
                <w:highlight w:val="none"/>
              </w:rPr>
              <w:t>分）</w:t>
            </w:r>
          </w:p>
        </w:tc>
        <w:tc>
          <w:tcPr>
            <w:tcW w:w="5448" w:type="dxa"/>
            <w:vAlign w:val="center"/>
          </w:tcPr>
          <w:p>
            <w:pPr>
              <w:pStyle w:val="64"/>
              <w:jc w:val="left"/>
              <w:rPr>
                <w:rFonts w:hAnsi="宋体"/>
                <w:highlight w:val="none"/>
              </w:rPr>
            </w:pPr>
            <w:r>
              <w:rPr>
                <w:rFonts w:hAnsi="宋体"/>
                <w:highlight w:val="none"/>
              </w:rPr>
              <w:t>1.○地下水：一类。</w:t>
            </w:r>
          </w:p>
        </w:tc>
        <w:tc>
          <w:tcPr>
            <w:tcW w:w="507" w:type="dxa"/>
            <w:vMerge w:val="restart"/>
            <w:vAlign w:val="center"/>
          </w:tcPr>
          <w:p>
            <w:pPr>
              <w:pStyle w:val="64"/>
              <w:rPr>
                <w:rFonts w:hAnsi="宋体" w:cs="hakuyoxingshu7000"/>
                <w:highlight w:val="none"/>
              </w:rPr>
            </w:pPr>
            <w:r>
              <w:rPr>
                <w:rFonts w:hAnsi="宋体" w:cs="hakuyoxingshu7000"/>
                <w:highlight w:val="none"/>
              </w:rPr>
              <w:t>6</w:t>
            </w:r>
          </w:p>
        </w:tc>
        <w:tc>
          <w:tcPr>
            <w:tcW w:w="708" w:type="dxa"/>
            <w:vMerge w:val="restart"/>
            <w:vAlign w:val="center"/>
          </w:tcPr>
          <w:p>
            <w:pPr>
              <w:pStyle w:val="64"/>
              <w:rPr>
                <w:rFonts w:hAnsi="宋体" w:cs="hakuyoxingshu7000"/>
                <w:highlight w:val="none"/>
              </w:rPr>
            </w:pPr>
            <w:r>
              <w:rPr>
                <w:rFonts w:hAnsi="宋体" w:cs="hakuyoxingshu7000"/>
                <w:highlight w:val="none"/>
              </w:rPr>
              <w:t>4</w:t>
            </w: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反</w:t>
            </w:r>
            <w:r>
              <w:rPr>
                <w:rFonts w:hAnsi="宋体"/>
                <w:spacing w:val="2"/>
                <w:highlight w:val="none"/>
              </w:rPr>
              <w:t>映</w:t>
            </w:r>
            <w:r>
              <w:rPr>
                <w:rFonts w:hAnsi="宋体"/>
                <w:spacing w:val="4"/>
                <w:highlight w:val="none"/>
              </w:rPr>
              <w:t>地</w:t>
            </w:r>
            <w:r>
              <w:rPr>
                <w:rFonts w:hAnsi="宋体"/>
                <w:spacing w:val="2"/>
                <w:highlight w:val="none"/>
              </w:rPr>
              <w:t>下</w:t>
            </w:r>
            <w:r>
              <w:rPr>
                <w:rFonts w:hAnsi="宋体"/>
                <w:spacing w:val="4"/>
                <w:highlight w:val="none"/>
              </w:rPr>
              <w:t>水</w:t>
            </w:r>
            <w:r>
              <w:rPr>
                <w:rFonts w:hAnsi="宋体"/>
                <w:spacing w:val="2"/>
                <w:highlight w:val="none"/>
              </w:rPr>
              <w:t>化</w:t>
            </w:r>
            <w:r>
              <w:rPr>
                <w:rFonts w:hAnsi="宋体"/>
                <w:spacing w:val="4"/>
                <w:highlight w:val="none"/>
              </w:rPr>
              <w:t>学</w:t>
            </w:r>
            <w:r>
              <w:rPr>
                <w:rFonts w:hAnsi="宋体"/>
                <w:spacing w:val="2"/>
                <w:highlight w:val="none"/>
              </w:rPr>
              <w:t>组</w:t>
            </w:r>
            <w:r>
              <w:rPr>
                <w:rFonts w:hAnsi="宋体"/>
                <w:spacing w:val="4"/>
                <w:highlight w:val="none"/>
              </w:rPr>
              <w:t>分</w:t>
            </w:r>
            <w:r>
              <w:rPr>
                <w:rFonts w:hAnsi="宋体"/>
                <w:spacing w:val="2"/>
                <w:highlight w:val="none"/>
              </w:rPr>
              <w:t>的</w:t>
            </w:r>
            <w:r>
              <w:rPr>
                <w:rFonts w:hAnsi="宋体"/>
                <w:spacing w:val="4"/>
                <w:highlight w:val="none"/>
              </w:rPr>
              <w:t>天然</w:t>
            </w:r>
            <w:r>
              <w:rPr>
                <w:rFonts w:hAnsi="宋体"/>
                <w:highlight w:val="none"/>
              </w:rPr>
              <w:t>低背</w:t>
            </w:r>
            <w:r>
              <w:rPr>
                <w:rFonts w:hAnsi="宋体"/>
                <w:spacing w:val="2"/>
                <w:highlight w:val="none"/>
              </w:rPr>
              <w:t>景</w:t>
            </w:r>
            <w:r>
              <w:rPr>
                <w:rFonts w:hAnsi="宋体"/>
                <w:highlight w:val="none"/>
              </w:rPr>
              <w:t>含</w:t>
            </w:r>
            <w:r>
              <w:rPr>
                <w:rFonts w:hAnsi="宋体"/>
                <w:spacing w:val="2"/>
                <w:highlight w:val="none"/>
              </w:rPr>
              <w:t>量</w:t>
            </w:r>
            <w:r>
              <w:rPr>
                <w:rFonts w:hAnsi="宋体"/>
                <w:highlight w:val="none"/>
              </w:rPr>
              <w:t>。</w:t>
            </w:r>
            <w:r>
              <w:rPr>
                <w:rFonts w:hAnsi="宋体"/>
                <w:spacing w:val="2"/>
                <w:highlight w:val="none"/>
              </w:rPr>
              <w:t>适</w:t>
            </w:r>
            <w:r>
              <w:rPr>
                <w:rFonts w:hAnsi="宋体"/>
                <w:highlight w:val="none"/>
              </w:rPr>
              <w:t>用</w:t>
            </w:r>
            <w:r>
              <w:rPr>
                <w:rFonts w:hAnsi="宋体"/>
                <w:spacing w:val="2"/>
                <w:highlight w:val="none"/>
              </w:rPr>
              <w:t>于</w:t>
            </w:r>
            <w:r>
              <w:rPr>
                <w:rFonts w:hAnsi="宋体"/>
                <w:highlight w:val="none"/>
              </w:rPr>
              <w:t>各</w:t>
            </w:r>
            <w:r>
              <w:rPr>
                <w:rFonts w:hAnsi="宋体"/>
                <w:spacing w:val="2"/>
                <w:highlight w:val="none"/>
              </w:rPr>
              <w:t>种</w:t>
            </w:r>
            <w:r>
              <w:rPr>
                <w:rFonts w:hAnsi="宋体"/>
                <w:highlight w:val="none"/>
              </w:rPr>
              <w:t>用</w:t>
            </w:r>
            <w:r>
              <w:rPr>
                <w:rFonts w:hAnsi="宋体"/>
                <w:spacing w:val="2"/>
                <w:highlight w:val="none"/>
              </w:rPr>
              <w:t>途</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2.○地下水：二类。</w:t>
            </w:r>
          </w:p>
        </w:tc>
        <w:tc>
          <w:tcPr>
            <w:tcW w:w="507" w:type="dxa"/>
            <w:vMerge w:val="continue"/>
            <w:vAlign w:val="center"/>
          </w:tcPr>
          <w:p>
            <w:pPr>
              <w:pStyle w:val="64"/>
              <w:rPr>
                <w:rFonts w:hAnsi="宋体"/>
                <w:highlight w:val="none"/>
              </w:rPr>
            </w:pP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反</w:t>
            </w:r>
            <w:r>
              <w:rPr>
                <w:rFonts w:hAnsi="宋体"/>
                <w:spacing w:val="2"/>
                <w:highlight w:val="none"/>
              </w:rPr>
              <w:t>映</w:t>
            </w:r>
            <w:r>
              <w:rPr>
                <w:rFonts w:hAnsi="宋体"/>
                <w:spacing w:val="4"/>
                <w:highlight w:val="none"/>
              </w:rPr>
              <w:t>地</w:t>
            </w:r>
            <w:r>
              <w:rPr>
                <w:rFonts w:hAnsi="宋体"/>
                <w:spacing w:val="2"/>
                <w:highlight w:val="none"/>
              </w:rPr>
              <w:t>下</w:t>
            </w:r>
            <w:r>
              <w:rPr>
                <w:rFonts w:hAnsi="宋体"/>
                <w:spacing w:val="4"/>
                <w:highlight w:val="none"/>
              </w:rPr>
              <w:t>水</w:t>
            </w:r>
            <w:r>
              <w:rPr>
                <w:rFonts w:hAnsi="宋体"/>
                <w:spacing w:val="2"/>
                <w:highlight w:val="none"/>
              </w:rPr>
              <w:t>化</w:t>
            </w:r>
            <w:r>
              <w:rPr>
                <w:rFonts w:hAnsi="宋体"/>
                <w:spacing w:val="4"/>
                <w:highlight w:val="none"/>
              </w:rPr>
              <w:t>学</w:t>
            </w:r>
            <w:r>
              <w:rPr>
                <w:rFonts w:hAnsi="宋体"/>
                <w:spacing w:val="2"/>
                <w:highlight w:val="none"/>
              </w:rPr>
              <w:t>组</w:t>
            </w:r>
            <w:r>
              <w:rPr>
                <w:rFonts w:hAnsi="宋体"/>
                <w:spacing w:val="4"/>
                <w:highlight w:val="none"/>
              </w:rPr>
              <w:t>分</w:t>
            </w:r>
            <w:r>
              <w:rPr>
                <w:rFonts w:hAnsi="宋体"/>
                <w:spacing w:val="2"/>
                <w:highlight w:val="none"/>
              </w:rPr>
              <w:t>的</w:t>
            </w:r>
            <w:r>
              <w:rPr>
                <w:rFonts w:hAnsi="宋体"/>
                <w:spacing w:val="4"/>
                <w:highlight w:val="none"/>
              </w:rPr>
              <w:t>天然</w:t>
            </w:r>
            <w:r>
              <w:rPr>
                <w:rFonts w:hAnsi="宋体"/>
                <w:highlight w:val="none"/>
              </w:rPr>
              <w:t>低背</w:t>
            </w:r>
            <w:r>
              <w:rPr>
                <w:rFonts w:hAnsi="宋体"/>
                <w:spacing w:val="2"/>
                <w:highlight w:val="none"/>
              </w:rPr>
              <w:t>景</w:t>
            </w:r>
            <w:r>
              <w:rPr>
                <w:rFonts w:hAnsi="宋体"/>
                <w:highlight w:val="none"/>
              </w:rPr>
              <w:t>含</w:t>
            </w:r>
            <w:r>
              <w:rPr>
                <w:rFonts w:hAnsi="宋体"/>
                <w:spacing w:val="2"/>
                <w:highlight w:val="none"/>
              </w:rPr>
              <w:t>量</w:t>
            </w:r>
            <w:r>
              <w:rPr>
                <w:rFonts w:hAnsi="宋体"/>
                <w:highlight w:val="none"/>
              </w:rPr>
              <w:t>。</w:t>
            </w:r>
            <w:r>
              <w:rPr>
                <w:rFonts w:hAnsi="宋体"/>
                <w:spacing w:val="2"/>
                <w:highlight w:val="none"/>
              </w:rPr>
              <w:t>适</w:t>
            </w:r>
            <w:r>
              <w:rPr>
                <w:rFonts w:hAnsi="宋体"/>
                <w:highlight w:val="none"/>
              </w:rPr>
              <w:t>用</w:t>
            </w:r>
            <w:r>
              <w:rPr>
                <w:rFonts w:hAnsi="宋体"/>
                <w:spacing w:val="2"/>
                <w:highlight w:val="none"/>
              </w:rPr>
              <w:t>于</w:t>
            </w:r>
            <w:r>
              <w:rPr>
                <w:rFonts w:hAnsi="宋体"/>
                <w:highlight w:val="none"/>
              </w:rPr>
              <w:t>各</w:t>
            </w:r>
            <w:r>
              <w:rPr>
                <w:rFonts w:hAnsi="宋体"/>
                <w:spacing w:val="2"/>
                <w:highlight w:val="none"/>
              </w:rPr>
              <w:t>种</w:t>
            </w:r>
            <w:r>
              <w:rPr>
                <w:rFonts w:hAnsi="宋体"/>
                <w:highlight w:val="none"/>
              </w:rPr>
              <w:t>用</w:t>
            </w:r>
            <w:r>
              <w:rPr>
                <w:rFonts w:hAnsi="宋体"/>
                <w:spacing w:val="2"/>
                <w:highlight w:val="none"/>
              </w:rPr>
              <w:t>途</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3.</w:t>
            </w:r>
            <w:r>
              <w:rPr>
                <w:rFonts w:hAnsi="宋体"/>
                <w:highlight w:val="none"/>
              </w:rPr>
              <w:fldChar w:fldCharType="begin"/>
            </w:r>
            <w:r>
              <w:rPr>
                <w:rFonts w:hAnsi="宋体"/>
                <w:highlight w:val="none"/>
              </w:rPr>
              <w:instrText xml:space="preserve"> </w:instrText>
            </w:r>
            <w:r>
              <w:rPr>
                <w:rFonts w:hint="eastAsia" w:hAnsi="宋体"/>
                <w:highlight w:val="none"/>
              </w:rPr>
              <w:instrText xml:space="preserve">eq \o\ac(○,</w:instrText>
            </w:r>
            <w:r>
              <w:rPr>
                <w:rFonts w:hint="eastAsia" w:hAnsi="宋体"/>
                <w:position w:val="2"/>
                <w:sz w:val="14"/>
                <w:highlight w:val="none"/>
              </w:rPr>
              <w:instrText xml:space="preserve">√</w:instrText>
            </w:r>
            <w:r>
              <w:rPr>
                <w:rFonts w:hint="eastAsia" w:hAnsi="宋体"/>
                <w:highlight w:val="none"/>
              </w:rPr>
              <w:instrText xml:space="preserve">)</w:instrText>
            </w:r>
            <w:r>
              <w:rPr>
                <w:rFonts w:hAnsi="宋体"/>
                <w:highlight w:val="none"/>
              </w:rPr>
              <w:fldChar w:fldCharType="end"/>
            </w:r>
            <w:r>
              <w:rPr>
                <w:rFonts w:hAnsi="宋体"/>
                <w:highlight w:val="none"/>
              </w:rPr>
              <w:t>地下水：三类。</w:t>
            </w:r>
          </w:p>
        </w:tc>
        <w:tc>
          <w:tcPr>
            <w:tcW w:w="507" w:type="dxa"/>
            <w:vAlign w:val="center"/>
          </w:tcPr>
          <w:p>
            <w:pPr>
              <w:pStyle w:val="64"/>
              <w:rPr>
                <w:rFonts w:hAnsi="宋体" w:cs="hakuyoxingshu7000"/>
                <w:highlight w:val="none"/>
              </w:rPr>
            </w:pPr>
            <w:r>
              <w:rPr>
                <w:rFonts w:hAnsi="宋体" w:cs="hakuyoxingshu7000"/>
                <w:highlight w:val="none"/>
              </w:rPr>
              <w:t>4</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以</w:t>
            </w:r>
            <w:r>
              <w:rPr>
                <w:rFonts w:hAnsi="宋体"/>
                <w:spacing w:val="2"/>
                <w:highlight w:val="none"/>
              </w:rPr>
              <w:t>人</w:t>
            </w:r>
            <w:r>
              <w:rPr>
                <w:rFonts w:hAnsi="宋体"/>
                <w:spacing w:val="4"/>
                <w:highlight w:val="none"/>
              </w:rPr>
              <w:t>体</w:t>
            </w:r>
            <w:r>
              <w:rPr>
                <w:rFonts w:hAnsi="宋体"/>
                <w:spacing w:val="2"/>
                <w:highlight w:val="none"/>
              </w:rPr>
              <w:t>健</w:t>
            </w:r>
            <w:r>
              <w:rPr>
                <w:rFonts w:hAnsi="宋体"/>
                <w:spacing w:val="4"/>
                <w:highlight w:val="none"/>
              </w:rPr>
              <w:t>康</w:t>
            </w:r>
            <w:r>
              <w:rPr>
                <w:rFonts w:hAnsi="宋体"/>
                <w:spacing w:val="2"/>
                <w:highlight w:val="none"/>
              </w:rPr>
              <w:t>基</w:t>
            </w:r>
            <w:r>
              <w:rPr>
                <w:rFonts w:hAnsi="宋体"/>
                <w:spacing w:val="4"/>
                <w:highlight w:val="none"/>
              </w:rPr>
              <w:t>准</w:t>
            </w:r>
            <w:r>
              <w:rPr>
                <w:rFonts w:hAnsi="宋体"/>
                <w:spacing w:val="2"/>
                <w:highlight w:val="none"/>
              </w:rPr>
              <w:t>值</w:t>
            </w:r>
            <w:r>
              <w:rPr>
                <w:rFonts w:hAnsi="宋体"/>
                <w:spacing w:val="4"/>
                <w:highlight w:val="none"/>
              </w:rPr>
              <w:t>为</w:t>
            </w:r>
            <w:r>
              <w:rPr>
                <w:rFonts w:hAnsi="宋体"/>
                <w:spacing w:val="2"/>
                <w:highlight w:val="none"/>
              </w:rPr>
              <w:t>依</w:t>
            </w:r>
            <w:r>
              <w:rPr>
                <w:rFonts w:hAnsi="宋体"/>
                <w:spacing w:val="4"/>
                <w:highlight w:val="none"/>
              </w:rPr>
              <w:t>据</w:t>
            </w:r>
            <w:r>
              <w:rPr>
                <w:rFonts w:hAnsi="宋体"/>
                <w:spacing w:val="2"/>
                <w:highlight w:val="none"/>
              </w:rPr>
              <w:t>。</w:t>
            </w:r>
            <w:r>
              <w:rPr>
                <w:rFonts w:hAnsi="宋体"/>
                <w:spacing w:val="4"/>
                <w:highlight w:val="none"/>
              </w:rPr>
              <w:t>主要</w:t>
            </w:r>
            <w:r>
              <w:rPr>
                <w:rFonts w:hAnsi="宋体"/>
                <w:highlight w:val="none"/>
              </w:rPr>
              <w:t>适</w:t>
            </w:r>
            <w:r>
              <w:rPr>
                <w:rFonts w:hAnsi="宋体"/>
                <w:spacing w:val="3"/>
                <w:w w:val="95"/>
                <w:highlight w:val="none"/>
              </w:rPr>
              <w:t>用</w:t>
            </w:r>
            <w:r>
              <w:rPr>
                <w:rFonts w:hAnsi="宋体"/>
                <w:spacing w:val="1"/>
                <w:w w:val="95"/>
                <w:highlight w:val="none"/>
              </w:rPr>
              <w:t>于</w:t>
            </w:r>
            <w:r>
              <w:rPr>
                <w:rFonts w:hAnsi="宋体"/>
                <w:spacing w:val="3"/>
                <w:w w:val="95"/>
                <w:highlight w:val="none"/>
              </w:rPr>
              <w:t>集</w:t>
            </w:r>
            <w:r>
              <w:rPr>
                <w:rFonts w:hAnsi="宋体"/>
                <w:spacing w:val="1"/>
                <w:w w:val="95"/>
                <w:highlight w:val="none"/>
              </w:rPr>
              <w:t>中</w:t>
            </w:r>
            <w:r>
              <w:rPr>
                <w:rFonts w:hAnsi="宋体"/>
                <w:spacing w:val="3"/>
                <w:w w:val="95"/>
                <w:highlight w:val="none"/>
              </w:rPr>
              <w:t>式</w:t>
            </w:r>
            <w:r>
              <w:rPr>
                <w:rFonts w:hAnsi="宋体"/>
                <w:spacing w:val="1"/>
                <w:w w:val="95"/>
                <w:highlight w:val="none"/>
              </w:rPr>
              <w:t>生</w:t>
            </w:r>
            <w:r>
              <w:rPr>
                <w:rFonts w:hAnsi="宋体"/>
                <w:spacing w:val="3"/>
                <w:w w:val="95"/>
                <w:highlight w:val="none"/>
              </w:rPr>
              <w:t>活</w:t>
            </w:r>
            <w:r>
              <w:rPr>
                <w:rFonts w:hAnsi="宋体"/>
                <w:spacing w:val="1"/>
                <w:w w:val="95"/>
                <w:highlight w:val="none"/>
              </w:rPr>
              <w:t>饮</w:t>
            </w:r>
            <w:r>
              <w:rPr>
                <w:rFonts w:hAnsi="宋体"/>
                <w:spacing w:val="3"/>
                <w:w w:val="95"/>
                <w:highlight w:val="none"/>
              </w:rPr>
              <w:t>用</w:t>
            </w:r>
            <w:r>
              <w:rPr>
                <w:rFonts w:hAnsi="宋体"/>
                <w:spacing w:val="1"/>
                <w:w w:val="95"/>
                <w:highlight w:val="none"/>
              </w:rPr>
              <w:t>水</w:t>
            </w:r>
            <w:r>
              <w:rPr>
                <w:rFonts w:hAnsi="宋体"/>
                <w:spacing w:val="3"/>
                <w:w w:val="95"/>
                <w:highlight w:val="none"/>
              </w:rPr>
              <w:t>水</w:t>
            </w:r>
            <w:r>
              <w:rPr>
                <w:rFonts w:hAnsi="宋体"/>
                <w:spacing w:val="1"/>
                <w:w w:val="95"/>
                <w:highlight w:val="none"/>
              </w:rPr>
              <w:t>源</w:t>
            </w:r>
            <w:r>
              <w:rPr>
                <w:rFonts w:hAnsi="宋体"/>
                <w:spacing w:val="3"/>
                <w:w w:val="95"/>
                <w:highlight w:val="none"/>
              </w:rPr>
              <w:t>及工</w:t>
            </w:r>
            <w:r>
              <w:rPr>
                <w:rFonts w:hAnsi="宋体"/>
                <w:w w:val="95"/>
                <w:highlight w:val="none"/>
              </w:rPr>
              <w:t>、</w:t>
            </w:r>
            <w:r>
              <w:rPr>
                <w:rFonts w:hAnsi="宋体"/>
                <w:highlight w:val="none"/>
              </w:rPr>
              <w:t>农</w:t>
            </w:r>
            <w:r>
              <w:rPr>
                <w:rFonts w:hAnsi="宋体"/>
                <w:spacing w:val="2"/>
                <w:highlight w:val="none"/>
              </w:rPr>
              <w:t>业</w:t>
            </w:r>
            <w:r>
              <w:rPr>
                <w:rFonts w:hAnsi="宋体"/>
                <w:highlight w:val="none"/>
              </w:rPr>
              <w:t>用</w:t>
            </w:r>
            <w:r>
              <w:rPr>
                <w:rFonts w:hAnsi="宋体"/>
                <w:spacing w:val="2"/>
                <w:highlight w:val="none"/>
              </w:rPr>
              <w:t>水</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4.○地下水：四类。</w:t>
            </w:r>
          </w:p>
        </w:tc>
        <w:tc>
          <w:tcPr>
            <w:tcW w:w="507" w:type="dxa"/>
            <w:vAlign w:val="center"/>
          </w:tcPr>
          <w:p>
            <w:pPr>
              <w:pStyle w:val="64"/>
              <w:rPr>
                <w:rFonts w:hAnsi="宋体" w:cs="hakuyoxingshu7000"/>
                <w:highlight w:val="none"/>
              </w:rPr>
            </w:pPr>
            <w:r>
              <w:rPr>
                <w:rFonts w:hAnsi="宋体" w:cs="hakuyoxingshu7000"/>
                <w:highlight w:val="none"/>
              </w:rPr>
              <w:t>2</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以</w:t>
            </w:r>
            <w:r>
              <w:rPr>
                <w:rFonts w:hAnsi="宋体"/>
                <w:spacing w:val="2"/>
                <w:highlight w:val="none"/>
              </w:rPr>
              <w:t>农</w:t>
            </w:r>
            <w:r>
              <w:rPr>
                <w:rFonts w:hAnsi="宋体"/>
                <w:spacing w:val="4"/>
                <w:highlight w:val="none"/>
              </w:rPr>
              <w:t>业</w:t>
            </w:r>
            <w:r>
              <w:rPr>
                <w:rFonts w:hAnsi="宋体"/>
                <w:spacing w:val="2"/>
                <w:highlight w:val="none"/>
              </w:rPr>
              <w:t>和</w:t>
            </w:r>
            <w:r>
              <w:rPr>
                <w:rFonts w:hAnsi="宋体"/>
                <w:spacing w:val="4"/>
                <w:highlight w:val="none"/>
              </w:rPr>
              <w:t>工</w:t>
            </w:r>
            <w:r>
              <w:rPr>
                <w:rFonts w:hAnsi="宋体"/>
                <w:spacing w:val="2"/>
                <w:highlight w:val="none"/>
              </w:rPr>
              <w:t>业</w:t>
            </w:r>
            <w:r>
              <w:rPr>
                <w:rFonts w:hAnsi="宋体"/>
                <w:spacing w:val="4"/>
                <w:highlight w:val="none"/>
              </w:rPr>
              <w:t>用</w:t>
            </w:r>
            <w:r>
              <w:rPr>
                <w:rFonts w:hAnsi="宋体"/>
                <w:spacing w:val="2"/>
                <w:highlight w:val="none"/>
              </w:rPr>
              <w:t>水</w:t>
            </w:r>
            <w:r>
              <w:rPr>
                <w:rFonts w:hAnsi="宋体"/>
                <w:spacing w:val="4"/>
                <w:highlight w:val="none"/>
              </w:rPr>
              <w:t>要</w:t>
            </w:r>
            <w:r>
              <w:rPr>
                <w:rFonts w:hAnsi="宋体"/>
                <w:spacing w:val="2"/>
                <w:highlight w:val="none"/>
              </w:rPr>
              <w:t>求</w:t>
            </w:r>
            <w:r>
              <w:rPr>
                <w:rFonts w:hAnsi="宋体"/>
                <w:spacing w:val="4"/>
                <w:highlight w:val="none"/>
              </w:rPr>
              <w:t>为</w:t>
            </w:r>
            <w:r>
              <w:rPr>
                <w:rFonts w:hAnsi="宋体"/>
                <w:spacing w:val="2"/>
                <w:highlight w:val="none"/>
              </w:rPr>
              <w:t>依</w:t>
            </w:r>
            <w:r>
              <w:rPr>
                <w:rFonts w:hAnsi="宋体"/>
                <w:spacing w:val="4"/>
                <w:highlight w:val="none"/>
              </w:rPr>
              <w:t>据。</w:t>
            </w:r>
            <w:r>
              <w:rPr>
                <w:rFonts w:hAnsi="宋体"/>
                <w:highlight w:val="none"/>
              </w:rPr>
              <w:t>除</w:t>
            </w:r>
            <w:r>
              <w:rPr>
                <w:rFonts w:hAnsi="宋体"/>
                <w:spacing w:val="3"/>
                <w:w w:val="95"/>
                <w:highlight w:val="none"/>
              </w:rPr>
              <w:t>适</w:t>
            </w:r>
            <w:r>
              <w:rPr>
                <w:rFonts w:hAnsi="宋体"/>
                <w:spacing w:val="1"/>
                <w:w w:val="95"/>
                <w:highlight w:val="none"/>
              </w:rPr>
              <w:t>用</w:t>
            </w:r>
            <w:r>
              <w:rPr>
                <w:rFonts w:hAnsi="宋体"/>
                <w:spacing w:val="3"/>
                <w:w w:val="95"/>
                <w:highlight w:val="none"/>
              </w:rPr>
              <w:t>于</w:t>
            </w:r>
            <w:r>
              <w:rPr>
                <w:rFonts w:hAnsi="宋体"/>
                <w:spacing w:val="1"/>
                <w:w w:val="95"/>
                <w:highlight w:val="none"/>
              </w:rPr>
              <w:t>农</w:t>
            </w:r>
            <w:r>
              <w:rPr>
                <w:rFonts w:hAnsi="宋体"/>
                <w:spacing w:val="3"/>
                <w:w w:val="95"/>
                <w:highlight w:val="none"/>
              </w:rPr>
              <w:t>业</w:t>
            </w:r>
            <w:r>
              <w:rPr>
                <w:rFonts w:hAnsi="宋体"/>
                <w:spacing w:val="1"/>
                <w:w w:val="95"/>
                <w:highlight w:val="none"/>
              </w:rPr>
              <w:t>和</w:t>
            </w:r>
            <w:r>
              <w:rPr>
                <w:rFonts w:hAnsi="宋体"/>
                <w:spacing w:val="3"/>
                <w:w w:val="95"/>
                <w:highlight w:val="none"/>
              </w:rPr>
              <w:t>部</w:t>
            </w:r>
            <w:r>
              <w:rPr>
                <w:rFonts w:hAnsi="宋体"/>
                <w:spacing w:val="1"/>
                <w:w w:val="95"/>
                <w:highlight w:val="none"/>
              </w:rPr>
              <w:t>分</w:t>
            </w:r>
            <w:r>
              <w:rPr>
                <w:rFonts w:hAnsi="宋体"/>
                <w:spacing w:val="3"/>
                <w:w w:val="95"/>
                <w:highlight w:val="none"/>
              </w:rPr>
              <w:t>工</w:t>
            </w:r>
            <w:r>
              <w:rPr>
                <w:rFonts w:hAnsi="宋体"/>
                <w:spacing w:val="1"/>
                <w:w w:val="95"/>
                <w:highlight w:val="none"/>
              </w:rPr>
              <w:t>业</w:t>
            </w:r>
            <w:r>
              <w:rPr>
                <w:rFonts w:hAnsi="宋体"/>
                <w:spacing w:val="3"/>
                <w:w w:val="95"/>
                <w:highlight w:val="none"/>
              </w:rPr>
              <w:t>用</w:t>
            </w:r>
            <w:r>
              <w:rPr>
                <w:rFonts w:hAnsi="宋体"/>
                <w:spacing w:val="1"/>
                <w:w w:val="95"/>
                <w:highlight w:val="none"/>
              </w:rPr>
              <w:t>水</w:t>
            </w:r>
            <w:r>
              <w:rPr>
                <w:rFonts w:hAnsi="宋体"/>
                <w:spacing w:val="3"/>
                <w:w w:val="95"/>
                <w:highlight w:val="none"/>
              </w:rPr>
              <w:t>外，</w:t>
            </w:r>
            <w:r>
              <w:rPr>
                <w:rFonts w:hAnsi="宋体"/>
                <w:w w:val="95"/>
                <w:highlight w:val="none"/>
              </w:rPr>
              <w:t>适</w:t>
            </w:r>
            <w:r>
              <w:rPr>
                <w:rFonts w:hAnsi="宋体"/>
                <w:highlight w:val="none"/>
              </w:rPr>
              <w:t>当</w:t>
            </w:r>
            <w:r>
              <w:rPr>
                <w:rFonts w:hAnsi="宋体"/>
                <w:spacing w:val="2"/>
                <w:highlight w:val="none"/>
              </w:rPr>
              <w:t>处</w:t>
            </w:r>
            <w:r>
              <w:rPr>
                <w:rFonts w:hAnsi="宋体"/>
                <w:highlight w:val="none"/>
              </w:rPr>
              <w:t>理</w:t>
            </w:r>
            <w:r>
              <w:rPr>
                <w:rFonts w:hAnsi="宋体"/>
                <w:spacing w:val="2"/>
                <w:highlight w:val="none"/>
              </w:rPr>
              <w:t>后</w:t>
            </w:r>
            <w:r>
              <w:rPr>
                <w:rFonts w:hAnsi="宋体"/>
                <w:highlight w:val="none"/>
              </w:rPr>
              <w:t>可</w:t>
            </w:r>
            <w:r>
              <w:rPr>
                <w:rFonts w:hAnsi="宋体"/>
                <w:spacing w:val="2"/>
                <w:highlight w:val="none"/>
              </w:rPr>
              <w:t>做</w:t>
            </w:r>
            <w:r>
              <w:rPr>
                <w:rFonts w:hAnsi="宋体"/>
                <w:highlight w:val="none"/>
              </w:rPr>
              <w:t>生</w:t>
            </w:r>
            <w:r>
              <w:rPr>
                <w:rFonts w:hAnsi="宋体"/>
                <w:spacing w:val="2"/>
                <w:highlight w:val="none"/>
              </w:rPr>
              <w:t>活</w:t>
            </w:r>
            <w:r>
              <w:rPr>
                <w:rFonts w:hAnsi="宋体"/>
                <w:highlight w:val="none"/>
              </w:rPr>
              <w:t>饮</w:t>
            </w:r>
            <w:r>
              <w:rPr>
                <w:rFonts w:hAnsi="宋体"/>
                <w:spacing w:val="2"/>
                <w:highlight w:val="none"/>
              </w:rPr>
              <w:t>用</w:t>
            </w:r>
            <w:r>
              <w:rPr>
                <w:rFonts w:hAnsi="宋体"/>
                <w:highlight w:val="none"/>
              </w:rPr>
              <w:t>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837" w:type="dxa"/>
            <w:vMerge w:val="continue"/>
            <w:vAlign w:val="center"/>
          </w:tcPr>
          <w:p>
            <w:pPr>
              <w:pStyle w:val="64"/>
              <w:rPr>
                <w:rFonts w:hAnsi="宋体"/>
                <w:highlight w:val="none"/>
              </w:rPr>
            </w:pPr>
          </w:p>
        </w:tc>
        <w:tc>
          <w:tcPr>
            <w:tcW w:w="1559" w:type="dxa"/>
            <w:gridSpan w:val="2"/>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5.○地下水：五类。</w:t>
            </w:r>
          </w:p>
        </w:tc>
        <w:tc>
          <w:tcPr>
            <w:tcW w:w="507" w:type="dxa"/>
            <w:vAlign w:val="center"/>
          </w:tcPr>
          <w:p>
            <w:pPr>
              <w:pStyle w:val="64"/>
              <w:rPr>
                <w:rFonts w:hAnsi="宋体" w:cs="hakuyoxingshu7000"/>
                <w:highlight w:val="none"/>
              </w:rPr>
            </w:pPr>
            <w:r>
              <w:rPr>
                <w:rFonts w:hAnsi="宋体" w:cs="hakuyoxingshu7000"/>
                <w:highlight w:val="none"/>
              </w:rPr>
              <w:t>0</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不</w:t>
            </w:r>
            <w:r>
              <w:rPr>
                <w:rFonts w:hAnsi="宋体"/>
                <w:spacing w:val="2"/>
                <w:highlight w:val="none"/>
              </w:rPr>
              <w:t>宜</w:t>
            </w:r>
            <w:r>
              <w:rPr>
                <w:rFonts w:hAnsi="宋体"/>
                <w:spacing w:val="4"/>
                <w:highlight w:val="none"/>
              </w:rPr>
              <w:t>饮</w:t>
            </w:r>
            <w:r>
              <w:rPr>
                <w:rFonts w:hAnsi="宋体"/>
                <w:spacing w:val="2"/>
                <w:highlight w:val="none"/>
              </w:rPr>
              <w:t>用</w:t>
            </w:r>
            <w:r>
              <w:rPr>
                <w:rFonts w:hAnsi="宋体"/>
                <w:spacing w:val="4"/>
                <w:highlight w:val="none"/>
              </w:rPr>
              <w:t>，</w:t>
            </w:r>
            <w:r>
              <w:rPr>
                <w:rFonts w:hAnsi="宋体"/>
                <w:spacing w:val="2"/>
                <w:highlight w:val="none"/>
              </w:rPr>
              <w:t>其</w:t>
            </w:r>
            <w:r>
              <w:rPr>
                <w:rFonts w:hAnsi="宋体"/>
                <w:spacing w:val="4"/>
                <w:highlight w:val="none"/>
              </w:rPr>
              <w:t>他</w:t>
            </w:r>
            <w:r>
              <w:rPr>
                <w:rFonts w:hAnsi="宋体"/>
                <w:spacing w:val="2"/>
                <w:highlight w:val="none"/>
              </w:rPr>
              <w:t>用</w:t>
            </w:r>
            <w:r>
              <w:rPr>
                <w:rFonts w:hAnsi="宋体"/>
                <w:spacing w:val="4"/>
                <w:highlight w:val="none"/>
              </w:rPr>
              <w:t>水</w:t>
            </w:r>
            <w:r>
              <w:rPr>
                <w:rFonts w:hAnsi="宋体"/>
                <w:spacing w:val="2"/>
                <w:highlight w:val="none"/>
              </w:rPr>
              <w:t>可</w:t>
            </w:r>
            <w:r>
              <w:rPr>
                <w:rFonts w:hAnsi="宋体"/>
                <w:spacing w:val="4"/>
                <w:highlight w:val="none"/>
              </w:rPr>
              <w:t>根</w:t>
            </w:r>
            <w:r>
              <w:rPr>
                <w:rFonts w:hAnsi="宋体"/>
                <w:spacing w:val="2"/>
                <w:highlight w:val="none"/>
              </w:rPr>
              <w:t>据</w:t>
            </w:r>
            <w:r>
              <w:rPr>
                <w:rFonts w:hAnsi="宋体"/>
                <w:spacing w:val="4"/>
                <w:highlight w:val="none"/>
              </w:rPr>
              <w:t>使用</w:t>
            </w:r>
            <w:r>
              <w:rPr>
                <w:rFonts w:hAnsi="宋体"/>
                <w:highlight w:val="none"/>
              </w:rPr>
              <w:t>目的</w:t>
            </w:r>
            <w:r>
              <w:rPr>
                <w:rFonts w:hAnsi="宋体"/>
                <w:spacing w:val="2"/>
                <w:highlight w:val="none"/>
              </w:rPr>
              <w:t>选</w:t>
            </w:r>
            <w:r>
              <w:rPr>
                <w:rFonts w:hAnsi="宋体"/>
                <w:highlight w:val="none"/>
              </w:rPr>
              <w:t>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2396" w:type="dxa"/>
            <w:gridSpan w:val="3"/>
            <w:vMerge w:val="restart"/>
            <w:vAlign w:val="center"/>
          </w:tcPr>
          <w:p>
            <w:pPr>
              <w:pStyle w:val="64"/>
              <w:rPr>
                <w:rFonts w:hAnsi="宋体"/>
                <w:highlight w:val="none"/>
              </w:rPr>
            </w:pPr>
            <w:r>
              <w:rPr>
                <w:rFonts w:hAnsi="宋体"/>
                <w:highlight w:val="none"/>
              </w:rPr>
              <w:t>土壤环境（4分）</w:t>
            </w:r>
          </w:p>
        </w:tc>
        <w:tc>
          <w:tcPr>
            <w:tcW w:w="5448" w:type="dxa"/>
            <w:vAlign w:val="center"/>
          </w:tcPr>
          <w:p>
            <w:pPr>
              <w:pStyle w:val="64"/>
              <w:jc w:val="both"/>
              <w:rPr>
                <w:rFonts w:hAnsi="宋体"/>
                <w:highlight w:val="none"/>
              </w:rPr>
            </w:pPr>
            <w:r>
              <w:rPr>
                <w:rFonts w:hAnsi="宋体"/>
                <w:highlight w:val="none"/>
              </w:rPr>
              <w:t>1.○土壤：一类。</w:t>
            </w:r>
          </w:p>
        </w:tc>
        <w:tc>
          <w:tcPr>
            <w:tcW w:w="507" w:type="dxa"/>
            <w:vAlign w:val="center"/>
          </w:tcPr>
          <w:p>
            <w:pPr>
              <w:pStyle w:val="64"/>
              <w:rPr>
                <w:rFonts w:hAnsi="宋体" w:cs="hakuyoxingshu7000"/>
                <w:highlight w:val="none"/>
              </w:rPr>
            </w:pPr>
            <w:r>
              <w:rPr>
                <w:rFonts w:hAnsi="宋体" w:cs="hakuyoxingshu7000"/>
                <w:highlight w:val="none"/>
              </w:rPr>
              <w:t>4</w:t>
            </w:r>
          </w:p>
        </w:tc>
        <w:tc>
          <w:tcPr>
            <w:tcW w:w="708" w:type="dxa"/>
            <w:vMerge w:val="restart"/>
            <w:vAlign w:val="center"/>
          </w:tcPr>
          <w:p>
            <w:pPr>
              <w:pStyle w:val="64"/>
              <w:rPr>
                <w:rFonts w:hAnsi="宋体" w:cs="hakuyoxingshu7000"/>
                <w:highlight w:val="none"/>
              </w:rPr>
            </w:pPr>
            <w:r>
              <w:rPr>
                <w:rFonts w:hint="eastAsia" w:hAnsi="宋体" w:cs="hakuyoxingshu7000"/>
                <w:highlight w:val="none"/>
              </w:rPr>
              <w:t>3</w:t>
            </w:r>
          </w:p>
        </w:tc>
        <w:tc>
          <w:tcPr>
            <w:tcW w:w="3820" w:type="dxa"/>
            <w:vAlign w:val="center"/>
          </w:tcPr>
          <w:p>
            <w:pPr>
              <w:pStyle w:val="64"/>
              <w:rPr>
                <w:rFonts w:hAnsi="宋体"/>
                <w:highlight w:val="none"/>
              </w:rPr>
            </w:pPr>
            <w:r>
              <w:rPr>
                <w:rFonts w:hAnsi="宋体"/>
                <w:highlight w:val="none"/>
              </w:rPr>
              <w:t>主要适用于国家规定的自然保护</w:t>
            </w:r>
            <w:r>
              <w:rPr>
                <w:rFonts w:hAnsi="宋体"/>
                <w:spacing w:val="1"/>
                <w:w w:val="95"/>
                <w:highlight w:val="none"/>
              </w:rPr>
              <w:t>区</w:t>
            </w:r>
            <w:r>
              <w:rPr>
                <w:rFonts w:hAnsi="宋体"/>
                <w:spacing w:val="-36"/>
                <w:w w:val="95"/>
                <w:highlight w:val="none"/>
              </w:rPr>
              <w:t>、</w:t>
            </w:r>
            <w:r>
              <w:rPr>
                <w:rFonts w:hAnsi="宋体"/>
                <w:w w:val="95"/>
                <w:highlight w:val="none"/>
              </w:rPr>
              <w:t>集</w:t>
            </w:r>
            <w:r>
              <w:rPr>
                <w:rFonts w:hAnsi="宋体"/>
                <w:spacing w:val="1"/>
                <w:w w:val="95"/>
                <w:highlight w:val="none"/>
              </w:rPr>
              <w:t>中</w:t>
            </w:r>
            <w:r>
              <w:rPr>
                <w:rFonts w:hAnsi="宋体"/>
                <w:w w:val="95"/>
                <w:highlight w:val="none"/>
              </w:rPr>
              <w:t>式</w:t>
            </w:r>
            <w:r>
              <w:rPr>
                <w:rFonts w:hAnsi="宋体"/>
                <w:spacing w:val="1"/>
                <w:w w:val="95"/>
                <w:highlight w:val="none"/>
              </w:rPr>
              <w:t>生</w:t>
            </w:r>
            <w:r>
              <w:rPr>
                <w:rFonts w:hAnsi="宋体"/>
                <w:w w:val="95"/>
                <w:highlight w:val="none"/>
              </w:rPr>
              <w:t>活</w:t>
            </w:r>
            <w:r>
              <w:rPr>
                <w:rFonts w:hAnsi="宋体"/>
                <w:spacing w:val="1"/>
                <w:w w:val="95"/>
                <w:highlight w:val="none"/>
              </w:rPr>
              <w:t>饮</w:t>
            </w:r>
            <w:r>
              <w:rPr>
                <w:rFonts w:hAnsi="宋体"/>
                <w:w w:val="95"/>
                <w:highlight w:val="none"/>
              </w:rPr>
              <w:t>用</w:t>
            </w:r>
            <w:r>
              <w:rPr>
                <w:rFonts w:hAnsi="宋体"/>
                <w:spacing w:val="1"/>
                <w:w w:val="95"/>
                <w:highlight w:val="none"/>
              </w:rPr>
              <w:t>水</w:t>
            </w:r>
            <w:r>
              <w:rPr>
                <w:rFonts w:hAnsi="宋体"/>
                <w:w w:val="95"/>
                <w:highlight w:val="none"/>
              </w:rPr>
              <w:t>源</w:t>
            </w:r>
            <w:r>
              <w:rPr>
                <w:rFonts w:hAnsi="宋体"/>
                <w:spacing w:val="1"/>
                <w:w w:val="95"/>
                <w:highlight w:val="none"/>
              </w:rPr>
              <w:t>地</w:t>
            </w:r>
            <w:r>
              <w:rPr>
                <w:rFonts w:hAnsi="宋体"/>
                <w:spacing w:val="-33"/>
                <w:w w:val="95"/>
                <w:highlight w:val="none"/>
              </w:rPr>
              <w:t>、</w:t>
            </w:r>
            <w:r>
              <w:rPr>
                <w:rFonts w:hAnsi="宋体"/>
                <w:w w:val="95"/>
                <w:highlight w:val="none"/>
              </w:rPr>
              <w:t>茶</w:t>
            </w:r>
            <w:r>
              <w:rPr>
                <w:rFonts w:hAnsi="宋体"/>
                <w:spacing w:val="1"/>
                <w:w w:val="95"/>
                <w:highlight w:val="none"/>
              </w:rPr>
              <w:t>园</w:t>
            </w:r>
            <w:r>
              <w:rPr>
                <w:rFonts w:hAnsi="宋体"/>
                <w:w w:val="95"/>
                <w:highlight w:val="none"/>
              </w:rPr>
              <w:t>、</w:t>
            </w:r>
            <w:r>
              <w:rPr>
                <w:rFonts w:hAnsi="宋体"/>
                <w:spacing w:val="4"/>
                <w:highlight w:val="none"/>
              </w:rPr>
              <w:t>牧</w:t>
            </w:r>
            <w:r>
              <w:rPr>
                <w:rFonts w:hAnsi="宋体"/>
                <w:spacing w:val="2"/>
                <w:highlight w:val="none"/>
              </w:rPr>
              <w:t>场</w:t>
            </w:r>
            <w:r>
              <w:rPr>
                <w:rFonts w:hAnsi="宋体"/>
                <w:spacing w:val="4"/>
                <w:highlight w:val="none"/>
              </w:rPr>
              <w:t>和</w:t>
            </w:r>
            <w:r>
              <w:rPr>
                <w:rFonts w:hAnsi="宋体"/>
                <w:spacing w:val="2"/>
                <w:highlight w:val="none"/>
              </w:rPr>
              <w:t>其</w:t>
            </w:r>
            <w:r>
              <w:rPr>
                <w:rFonts w:hAnsi="宋体"/>
                <w:spacing w:val="4"/>
                <w:highlight w:val="none"/>
              </w:rPr>
              <w:t>他</w:t>
            </w:r>
            <w:r>
              <w:rPr>
                <w:rFonts w:hAnsi="宋体"/>
                <w:spacing w:val="2"/>
                <w:highlight w:val="none"/>
              </w:rPr>
              <w:t>保</w:t>
            </w:r>
            <w:r>
              <w:rPr>
                <w:rFonts w:hAnsi="宋体"/>
                <w:spacing w:val="4"/>
                <w:highlight w:val="none"/>
              </w:rPr>
              <w:t>护</w:t>
            </w:r>
            <w:r>
              <w:rPr>
                <w:rFonts w:hAnsi="宋体"/>
                <w:spacing w:val="2"/>
                <w:highlight w:val="none"/>
              </w:rPr>
              <w:t>地</w:t>
            </w:r>
            <w:r>
              <w:rPr>
                <w:rFonts w:hAnsi="宋体"/>
                <w:spacing w:val="4"/>
                <w:highlight w:val="none"/>
              </w:rPr>
              <w:t>区</w:t>
            </w:r>
            <w:r>
              <w:rPr>
                <w:rFonts w:hAnsi="宋体"/>
                <w:spacing w:val="2"/>
                <w:highlight w:val="none"/>
              </w:rPr>
              <w:t>的</w:t>
            </w:r>
            <w:r>
              <w:rPr>
                <w:rFonts w:hAnsi="宋体"/>
                <w:spacing w:val="4"/>
                <w:highlight w:val="none"/>
              </w:rPr>
              <w:t>土</w:t>
            </w:r>
            <w:r>
              <w:rPr>
                <w:rFonts w:hAnsi="宋体"/>
                <w:spacing w:val="2"/>
                <w:highlight w:val="none"/>
              </w:rPr>
              <w:t>壤</w:t>
            </w:r>
            <w:r>
              <w:rPr>
                <w:rFonts w:hAnsi="宋体"/>
                <w:spacing w:val="4"/>
                <w:highlight w:val="none"/>
              </w:rPr>
              <w:t>，土</w:t>
            </w:r>
            <w:r>
              <w:rPr>
                <w:rFonts w:hAnsi="宋体"/>
                <w:highlight w:val="none"/>
              </w:rPr>
              <w:t>壤质</w:t>
            </w:r>
            <w:r>
              <w:rPr>
                <w:rFonts w:hAnsi="宋体"/>
                <w:spacing w:val="2"/>
                <w:highlight w:val="none"/>
              </w:rPr>
              <w:t>量</w:t>
            </w:r>
            <w:r>
              <w:rPr>
                <w:rFonts w:hAnsi="宋体"/>
                <w:highlight w:val="none"/>
              </w:rPr>
              <w:t>基</w:t>
            </w:r>
            <w:r>
              <w:rPr>
                <w:rFonts w:hAnsi="宋体"/>
                <w:spacing w:val="2"/>
                <w:highlight w:val="none"/>
              </w:rPr>
              <w:t>本</w:t>
            </w:r>
            <w:r>
              <w:rPr>
                <w:rFonts w:hAnsi="宋体"/>
                <w:highlight w:val="none"/>
              </w:rPr>
              <w:t>上</w:t>
            </w:r>
            <w:r>
              <w:rPr>
                <w:rFonts w:hAnsi="宋体"/>
                <w:spacing w:val="2"/>
                <w:highlight w:val="none"/>
              </w:rPr>
              <w:t>保</w:t>
            </w:r>
            <w:r>
              <w:rPr>
                <w:rFonts w:hAnsi="宋体"/>
                <w:highlight w:val="none"/>
              </w:rPr>
              <w:t>持</w:t>
            </w:r>
            <w:r>
              <w:rPr>
                <w:rFonts w:hAnsi="宋体"/>
                <w:spacing w:val="2"/>
                <w:highlight w:val="none"/>
              </w:rPr>
              <w:t>自</w:t>
            </w:r>
            <w:r>
              <w:rPr>
                <w:rFonts w:hAnsi="宋体"/>
                <w:highlight w:val="none"/>
              </w:rPr>
              <w:t>然</w:t>
            </w:r>
            <w:r>
              <w:rPr>
                <w:rFonts w:hAnsi="宋体"/>
                <w:spacing w:val="2"/>
                <w:highlight w:val="none"/>
              </w:rPr>
              <w:t>背</w:t>
            </w:r>
            <w:r>
              <w:rPr>
                <w:rFonts w:hAnsi="宋体"/>
                <w:highlight w:val="none"/>
              </w:rPr>
              <w:t>景</w:t>
            </w:r>
            <w:r>
              <w:rPr>
                <w:rFonts w:hAnsi="宋体"/>
                <w:spacing w:val="2"/>
                <w:highlight w:val="none"/>
              </w:rPr>
              <w:t>水</w:t>
            </w:r>
            <w:r>
              <w:rPr>
                <w:rFonts w:hAnsi="宋体"/>
                <w:highlight w:val="none"/>
              </w:rPr>
              <w:t>平。</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2396" w:type="dxa"/>
            <w:gridSpan w:val="3"/>
            <w:vMerge w:val="continue"/>
            <w:vAlign w:val="center"/>
          </w:tcPr>
          <w:p>
            <w:pPr>
              <w:pStyle w:val="64"/>
              <w:rPr>
                <w:rFonts w:hAnsi="宋体"/>
                <w:highlight w:val="none"/>
              </w:rPr>
            </w:pPr>
          </w:p>
        </w:tc>
        <w:tc>
          <w:tcPr>
            <w:tcW w:w="5448" w:type="dxa"/>
            <w:vAlign w:val="center"/>
          </w:tcPr>
          <w:p>
            <w:pPr>
              <w:pStyle w:val="64"/>
              <w:jc w:val="both"/>
              <w:rPr>
                <w:rFonts w:hAnsi="宋体"/>
                <w:highlight w:val="none"/>
              </w:rPr>
            </w:pPr>
            <w:r>
              <w:rPr>
                <w:rFonts w:hAnsi="宋体"/>
                <w:highlight w:val="none"/>
              </w:rPr>
              <w:t>2.</w:t>
            </w:r>
            <w:r>
              <w:rPr>
                <w:rFonts w:hAnsi="宋体"/>
                <w:highlight w:val="none"/>
              </w:rPr>
              <w:fldChar w:fldCharType="begin"/>
            </w:r>
            <w:r>
              <w:rPr>
                <w:rFonts w:hAnsi="宋体"/>
                <w:highlight w:val="none"/>
              </w:rPr>
              <w:instrText xml:space="preserve"> </w:instrText>
            </w:r>
            <w:r>
              <w:rPr>
                <w:rFonts w:hint="eastAsia" w:hAnsi="宋体"/>
                <w:highlight w:val="none"/>
              </w:rPr>
              <w:instrText xml:space="preserve">eq \o\ac(○,</w:instrText>
            </w:r>
            <w:r>
              <w:rPr>
                <w:rFonts w:hint="eastAsia" w:hAnsi="宋体"/>
                <w:position w:val="2"/>
                <w:sz w:val="14"/>
                <w:highlight w:val="none"/>
              </w:rPr>
              <w:instrText xml:space="preserve">√</w:instrText>
            </w:r>
            <w:r>
              <w:rPr>
                <w:rFonts w:hint="eastAsia" w:hAnsi="宋体"/>
                <w:highlight w:val="none"/>
              </w:rPr>
              <w:instrText xml:space="preserve">)</w:instrText>
            </w:r>
            <w:r>
              <w:rPr>
                <w:rFonts w:hAnsi="宋体"/>
                <w:highlight w:val="none"/>
              </w:rPr>
              <w:fldChar w:fldCharType="end"/>
            </w:r>
            <w:r>
              <w:rPr>
                <w:rFonts w:hAnsi="宋体"/>
                <w:highlight w:val="none"/>
              </w:rPr>
              <w:t>土壤：二类。</w:t>
            </w:r>
          </w:p>
        </w:tc>
        <w:tc>
          <w:tcPr>
            <w:tcW w:w="507" w:type="dxa"/>
            <w:vAlign w:val="center"/>
          </w:tcPr>
          <w:p>
            <w:pPr>
              <w:pStyle w:val="64"/>
              <w:rPr>
                <w:rFonts w:hAnsi="宋体" w:cs="hakuyoxingshu7000"/>
                <w:highlight w:val="none"/>
              </w:rPr>
            </w:pPr>
            <w:r>
              <w:rPr>
                <w:rFonts w:hAnsi="宋体" w:cs="hakuyoxingshu7000"/>
                <w:highlight w:val="none"/>
              </w:rPr>
              <w:t>3</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一</w:t>
            </w:r>
            <w:r>
              <w:rPr>
                <w:rFonts w:hAnsi="宋体"/>
                <w:spacing w:val="4"/>
                <w:highlight w:val="none"/>
              </w:rPr>
              <w:t>般</w:t>
            </w:r>
            <w:r>
              <w:rPr>
                <w:rFonts w:hAnsi="宋体"/>
                <w:spacing w:val="2"/>
                <w:highlight w:val="none"/>
              </w:rPr>
              <w:t>农</w:t>
            </w:r>
            <w:r>
              <w:rPr>
                <w:rFonts w:hAnsi="宋体"/>
                <w:spacing w:val="4"/>
                <w:highlight w:val="none"/>
              </w:rPr>
              <w:t>田</w:t>
            </w:r>
            <w:r>
              <w:rPr>
                <w:rFonts w:hAnsi="宋体"/>
                <w:spacing w:val="2"/>
                <w:highlight w:val="none"/>
              </w:rPr>
              <w:t>、</w:t>
            </w:r>
            <w:r>
              <w:rPr>
                <w:rFonts w:hAnsi="宋体"/>
                <w:spacing w:val="4"/>
                <w:highlight w:val="none"/>
              </w:rPr>
              <w:t>蔬</w:t>
            </w:r>
            <w:r>
              <w:rPr>
                <w:rFonts w:hAnsi="宋体"/>
                <w:spacing w:val="2"/>
                <w:highlight w:val="none"/>
              </w:rPr>
              <w:t>菜</w:t>
            </w:r>
            <w:r>
              <w:rPr>
                <w:rFonts w:hAnsi="宋体"/>
                <w:spacing w:val="4"/>
                <w:highlight w:val="none"/>
              </w:rPr>
              <w:t>地、</w:t>
            </w:r>
            <w:r>
              <w:rPr>
                <w:rFonts w:hAnsi="宋体"/>
                <w:highlight w:val="none"/>
              </w:rPr>
              <w:t>茶</w:t>
            </w:r>
            <w:r>
              <w:rPr>
                <w:rFonts w:hAnsi="宋体"/>
                <w:spacing w:val="3"/>
                <w:w w:val="95"/>
                <w:highlight w:val="none"/>
              </w:rPr>
              <w:t>园</w:t>
            </w:r>
            <w:r>
              <w:rPr>
                <w:rFonts w:hAnsi="宋体"/>
                <w:spacing w:val="1"/>
                <w:w w:val="95"/>
                <w:highlight w:val="none"/>
              </w:rPr>
              <w:t>、</w:t>
            </w:r>
            <w:r>
              <w:rPr>
                <w:rFonts w:hAnsi="宋体"/>
                <w:spacing w:val="3"/>
                <w:w w:val="95"/>
                <w:highlight w:val="none"/>
              </w:rPr>
              <w:t>果</w:t>
            </w:r>
            <w:r>
              <w:rPr>
                <w:rFonts w:hAnsi="宋体"/>
                <w:spacing w:val="1"/>
                <w:w w:val="95"/>
                <w:highlight w:val="none"/>
              </w:rPr>
              <w:t>园</w:t>
            </w:r>
            <w:r>
              <w:rPr>
                <w:rFonts w:hAnsi="宋体"/>
                <w:spacing w:val="3"/>
                <w:w w:val="95"/>
                <w:highlight w:val="none"/>
              </w:rPr>
              <w:t>、</w:t>
            </w:r>
            <w:r>
              <w:rPr>
                <w:rFonts w:hAnsi="宋体"/>
                <w:spacing w:val="1"/>
                <w:w w:val="95"/>
                <w:highlight w:val="none"/>
              </w:rPr>
              <w:t>牧</w:t>
            </w:r>
            <w:r>
              <w:rPr>
                <w:rFonts w:hAnsi="宋体"/>
                <w:spacing w:val="3"/>
                <w:w w:val="95"/>
                <w:highlight w:val="none"/>
              </w:rPr>
              <w:t>场</w:t>
            </w:r>
            <w:r>
              <w:rPr>
                <w:rFonts w:hAnsi="宋体"/>
                <w:spacing w:val="1"/>
                <w:w w:val="95"/>
                <w:highlight w:val="none"/>
              </w:rPr>
              <w:t>等</w:t>
            </w:r>
            <w:r>
              <w:rPr>
                <w:rFonts w:hAnsi="宋体"/>
                <w:spacing w:val="3"/>
                <w:w w:val="95"/>
                <w:highlight w:val="none"/>
              </w:rPr>
              <w:t>土</w:t>
            </w:r>
            <w:r>
              <w:rPr>
                <w:rFonts w:hAnsi="宋体"/>
                <w:spacing w:val="1"/>
                <w:w w:val="95"/>
                <w:highlight w:val="none"/>
              </w:rPr>
              <w:t>壤</w:t>
            </w:r>
            <w:r>
              <w:rPr>
                <w:rFonts w:hAnsi="宋体"/>
                <w:spacing w:val="3"/>
                <w:w w:val="95"/>
                <w:highlight w:val="none"/>
              </w:rPr>
              <w:t>，</w:t>
            </w:r>
            <w:r>
              <w:rPr>
                <w:rFonts w:hAnsi="宋体"/>
                <w:spacing w:val="1"/>
                <w:w w:val="95"/>
                <w:highlight w:val="none"/>
              </w:rPr>
              <w:t>土</w:t>
            </w:r>
            <w:r>
              <w:rPr>
                <w:rFonts w:hAnsi="宋体"/>
                <w:spacing w:val="3"/>
                <w:w w:val="95"/>
                <w:highlight w:val="none"/>
              </w:rPr>
              <w:t>壤的</w:t>
            </w:r>
            <w:r>
              <w:rPr>
                <w:rFonts w:hAnsi="宋体"/>
                <w:w w:val="95"/>
                <w:highlight w:val="none"/>
              </w:rPr>
              <w:t>质</w:t>
            </w:r>
            <w:r>
              <w:rPr>
                <w:rFonts w:hAnsi="宋体"/>
                <w:spacing w:val="3"/>
                <w:w w:val="95"/>
                <w:highlight w:val="none"/>
              </w:rPr>
              <w:t>量</w:t>
            </w:r>
            <w:r>
              <w:rPr>
                <w:rFonts w:hAnsi="宋体"/>
                <w:spacing w:val="1"/>
                <w:w w:val="95"/>
                <w:highlight w:val="none"/>
              </w:rPr>
              <w:t>基</w:t>
            </w:r>
            <w:r>
              <w:rPr>
                <w:rFonts w:hAnsi="宋体"/>
                <w:spacing w:val="3"/>
                <w:w w:val="95"/>
                <w:highlight w:val="none"/>
              </w:rPr>
              <w:t>本</w:t>
            </w:r>
            <w:r>
              <w:rPr>
                <w:rFonts w:hAnsi="宋体"/>
                <w:spacing w:val="1"/>
                <w:w w:val="95"/>
                <w:highlight w:val="none"/>
              </w:rPr>
              <w:t>上</w:t>
            </w:r>
            <w:r>
              <w:rPr>
                <w:rFonts w:hAnsi="宋体"/>
                <w:spacing w:val="3"/>
                <w:w w:val="95"/>
                <w:highlight w:val="none"/>
              </w:rPr>
              <w:t>不</w:t>
            </w:r>
            <w:r>
              <w:rPr>
                <w:rFonts w:hAnsi="宋体"/>
                <w:spacing w:val="1"/>
                <w:w w:val="95"/>
                <w:highlight w:val="none"/>
              </w:rPr>
              <w:t>对</w:t>
            </w:r>
            <w:r>
              <w:rPr>
                <w:rFonts w:hAnsi="宋体"/>
                <w:spacing w:val="3"/>
                <w:w w:val="95"/>
                <w:highlight w:val="none"/>
              </w:rPr>
              <w:t>植</w:t>
            </w:r>
            <w:r>
              <w:rPr>
                <w:rFonts w:hAnsi="宋体"/>
                <w:spacing w:val="1"/>
                <w:w w:val="95"/>
                <w:highlight w:val="none"/>
              </w:rPr>
              <w:t>物</w:t>
            </w:r>
            <w:r>
              <w:rPr>
                <w:rFonts w:hAnsi="宋体"/>
                <w:spacing w:val="3"/>
                <w:w w:val="95"/>
                <w:highlight w:val="none"/>
              </w:rPr>
              <w:t>和</w:t>
            </w:r>
            <w:r>
              <w:rPr>
                <w:rFonts w:hAnsi="宋体"/>
                <w:spacing w:val="1"/>
                <w:w w:val="95"/>
                <w:highlight w:val="none"/>
              </w:rPr>
              <w:t>环</w:t>
            </w:r>
            <w:r>
              <w:rPr>
                <w:rFonts w:hAnsi="宋体"/>
                <w:spacing w:val="3"/>
                <w:w w:val="95"/>
                <w:highlight w:val="none"/>
              </w:rPr>
              <w:t>境</w:t>
            </w:r>
            <w:r>
              <w:rPr>
                <w:rFonts w:hAnsi="宋体"/>
                <w:spacing w:val="1"/>
                <w:w w:val="95"/>
                <w:highlight w:val="none"/>
              </w:rPr>
              <w:t>造</w:t>
            </w:r>
            <w:r>
              <w:rPr>
                <w:rFonts w:hAnsi="宋体"/>
                <w:spacing w:val="3"/>
                <w:w w:val="95"/>
                <w:highlight w:val="none"/>
              </w:rPr>
              <w:t>成危</w:t>
            </w:r>
            <w:r>
              <w:rPr>
                <w:rFonts w:hAnsi="宋体"/>
                <w:w w:val="95"/>
                <w:highlight w:val="none"/>
              </w:rPr>
              <w:t>害</w:t>
            </w:r>
            <w:r>
              <w:rPr>
                <w:rFonts w:hAnsi="宋体"/>
                <w:highlight w:val="none"/>
              </w:rPr>
              <w:t>和</w:t>
            </w:r>
            <w:r>
              <w:rPr>
                <w:rFonts w:hAnsi="宋体"/>
                <w:spacing w:val="2"/>
                <w:highlight w:val="none"/>
              </w:rPr>
              <w:t>污</w:t>
            </w:r>
            <w:r>
              <w:rPr>
                <w:rFonts w:hAnsi="宋体"/>
                <w:highlight w:val="none"/>
              </w:rPr>
              <w:t>染。</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13" w:type="dxa"/>
            <w:gridSpan w:val="2"/>
            <w:vMerge w:val="continue"/>
            <w:vAlign w:val="center"/>
          </w:tcPr>
          <w:p>
            <w:pPr>
              <w:pStyle w:val="64"/>
              <w:rPr>
                <w:rFonts w:hAnsi="宋体"/>
                <w:highlight w:val="none"/>
              </w:rPr>
            </w:pPr>
          </w:p>
        </w:tc>
        <w:tc>
          <w:tcPr>
            <w:tcW w:w="2396" w:type="dxa"/>
            <w:gridSpan w:val="3"/>
            <w:vMerge w:val="continue"/>
            <w:vAlign w:val="center"/>
          </w:tcPr>
          <w:p>
            <w:pPr>
              <w:pStyle w:val="64"/>
              <w:rPr>
                <w:rFonts w:hAnsi="宋体"/>
                <w:highlight w:val="none"/>
              </w:rPr>
            </w:pPr>
          </w:p>
        </w:tc>
        <w:tc>
          <w:tcPr>
            <w:tcW w:w="5448" w:type="dxa"/>
            <w:vAlign w:val="center"/>
          </w:tcPr>
          <w:p>
            <w:pPr>
              <w:pStyle w:val="64"/>
              <w:jc w:val="both"/>
              <w:rPr>
                <w:rFonts w:hAnsi="宋体"/>
                <w:highlight w:val="none"/>
              </w:rPr>
            </w:pPr>
            <w:r>
              <w:rPr>
                <w:rFonts w:hAnsi="宋体"/>
                <w:highlight w:val="none"/>
              </w:rPr>
              <w:t>3.○土壤：三类。</w:t>
            </w:r>
          </w:p>
        </w:tc>
        <w:tc>
          <w:tcPr>
            <w:tcW w:w="507" w:type="dxa"/>
            <w:vAlign w:val="center"/>
          </w:tcPr>
          <w:p>
            <w:pPr>
              <w:pStyle w:val="64"/>
              <w:rPr>
                <w:rFonts w:hAnsi="宋体" w:cs="hakuyoxingshu7000"/>
                <w:highlight w:val="none"/>
              </w:rPr>
            </w:pPr>
            <w:r>
              <w:rPr>
                <w:rFonts w:hAnsi="宋体" w:cs="hakuyoxingshu7000"/>
                <w:highlight w:val="none"/>
              </w:rPr>
              <w:t>1</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主</w:t>
            </w:r>
            <w:r>
              <w:rPr>
                <w:rFonts w:hAnsi="宋体"/>
                <w:spacing w:val="2"/>
                <w:highlight w:val="none"/>
              </w:rPr>
              <w:t>要</w:t>
            </w:r>
            <w:r>
              <w:rPr>
                <w:rFonts w:hAnsi="宋体"/>
                <w:spacing w:val="4"/>
                <w:highlight w:val="none"/>
              </w:rPr>
              <w:t>适</w:t>
            </w:r>
            <w:r>
              <w:rPr>
                <w:rFonts w:hAnsi="宋体"/>
                <w:spacing w:val="2"/>
                <w:highlight w:val="none"/>
              </w:rPr>
              <w:t>用</w:t>
            </w:r>
            <w:r>
              <w:rPr>
                <w:rFonts w:hAnsi="宋体"/>
                <w:spacing w:val="4"/>
                <w:highlight w:val="none"/>
              </w:rPr>
              <w:t>于</w:t>
            </w:r>
            <w:r>
              <w:rPr>
                <w:rFonts w:hAnsi="宋体"/>
                <w:spacing w:val="2"/>
                <w:highlight w:val="none"/>
              </w:rPr>
              <w:t>林</w:t>
            </w:r>
            <w:r>
              <w:rPr>
                <w:rFonts w:hAnsi="宋体"/>
                <w:spacing w:val="4"/>
                <w:highlight w:val="none"/>
              </w:rPr>
              <w:t>地</w:t>
            </w:r>
            <w:r>
              <w:rPr>
                <w:rFonts w:hAnsi="宋体"/>
                <w:spacing w:val="2"/>
                <w:highlight w:val="none"/>
              </w:rPr>
              <w:t>土</w:t>
            </w:r>
            <w:r>
              <w:rPr>
                <w:rFonts w:hAnsi="宋体"/>
                <w:spacing w:val="4"/>
                <w:highlight w:val="none"/>
              </w:rPr>
              <w:t>壤</w:t>
            </w:r>
            <w:r>
              <w:rPr>
                <w:rFonts w:hAnsi="宋体"/>
                <w:spacing w:val="2"/>
                <w:highlight w:val="none"/>
              </w:rPr>
              <w:t>及</w:t>
            </w:r>
            <w:r>
              <w:rPr>
                <w:rFonts w:hAnsi="宋体"/>
                <w:spacing w:val="4"/>
                <w:highlight w:val="none"/>
              </w:rPr>
              <w:t>污</w:t>
            </w:r>
            <w:r>
              <w:rPr>
                <w:rFonts w:hAnsi="宋体"/>
                <w:spacing w:val="2"/>
                <w:highlight w:val="none"/>
              </w:rPr>
              <w:t>染</w:t>
            </w:r>
            <w:r>
              <w:rPr>
                <w:rFonts w:hAnsi="宋体"/>
                <w:spacing w:val="4"/>
                <w:highlight w:val="none"/>
              </w:rPr>
              <w:t>物容</w:t>
            </w:r>
            <w:r>
              <w:rPr>
                <w:rFonts w:hAnsi="宋体"/>
                <w:highlight w:val="none"/>
              </w:rPr>
              <w:t>量</w:t>
            </w:r>
            <w:r>
              <w:rPr>
                <w:rFonts w:hAnsi="宋体"/>
                <w:spacing w:val="3"/>
                <w:w w:val="95"/>
                <w:highlight w:val="none"/>
              </w:rPr>
              <w:t>较</w:t>
            </w:r>
            <w:r>
              <w:rPr>
                <w:rFonts w:hAnsi="宋体"/>
                <w:spacing w:val="1"/>
                <w:w w:val="95"/>
                <w:highlight w:val="none"/>
              </w:rPr>
              <w:t>大</w:t>
            </w:r>
            <w:r>
              <w:rPr>
                <w:rFonts w:hAnsi="宋体"/>
                <w:spacing w:val="3"/>
                <w:w w:val="95"/>
                <w:highlight w:val="none"/>
              </w:rPr>
              <w:t>的</w:t>
            </w:r>
            <w:r>
              <w:rPr>
                <w:rFonts w:hAnsi="宋体"/>
                <w:spacing w:val="1"/>
                <w:w w:val="95"/>
                <w:highlight w:val="none"/>
              </w:rPr>
              <w:t>高</w:t>
            </w:r>
            <w:r>
              <w:rPr>
                <w:rFonts w:hAnsi="宋体"/>
                <w:spacing w:val="3"/>
                <w:w w:val="95"/>
                <w:highlight w:val="none"/>
              </w:rPr>
              <w:t>背</w:t>
            </w:r>
            <w:r>
              <w:rPr>
                <w:rFonts w:hAnsi="宋体"/>
                <w:spacing w:val="1"/>
                <w:w w:val="95"/>
                <w:highlight w:val="none"/>
              </w:rPr>
              <w:t>景</w:t>
            </w:r>
            <w:r>
              <w:rPr>
                <w:rFonts w:hAnsi="宋体"/>
                <w:spacing w:val="3"/>
                <w:w w:val="95"/>
                <w:highlight w:val="none"/>
              </w:rPr>
              <w:t>值</w:t>
            </w:r>
            <w:r>
              <w:rPr>
                <w:rFonts w:hAnsi="宋体"/>
                <w:spacing w:val="1"/>
                <w:w w:val="95"/>
                <w:highlight w:val="none"/>
              </w:rPr>
              <w:t>土</w:t>
            </w:r>
            <w:r>
              <w:rPr>
                <w:rFonts w:hAnsi="宋体"/>
                <w:spacing w:val="3"/>
                <w:w w:val="95"/>
                <w:highlight w:val="none"/>
              </w:rPr>
              <w:t>壤</w:t>
            </w:r>
            <w:r>
              <w:rPr>
                <w:rFonts w:hAnsi="宋体"/>
                <w:spacing w:val="1"/>
                <w:w w:val="95"/>
                <w:highlight w:val="none"/>
              </w:rPr>
              <w:t>和</w:t>
            </w:r>
            <w:r>
              <w:rPr>
                <w:rFonts w:hAnsi="宋体"/>
                <w:spacing w:val="3"/>
                <w:w w:val="95"/>
                <w:highlight w:val="none"/>
              </w:rPr>
              <w:t>矿</w:t>
            </w:r>
            <w:r>
              <w:rPr>
                <w:rFonts w:hAnsi="宋体"/>
                <w:spacing w:val="1"/>
                <w:w w:val="95"/>
                <w:highlight w:val="none"/>
              </w:rPr>
              <w:t>产</w:t>
            </w:r>
            <w:r>
              <w:rPr>
                <w:rFonts w:hAnsi="宋体"/>
                <w:spacing w:val="3"/>
                <w:w w:val="95"/>
                <w:highlight w:val="none"/>
              </w:rPr>
              <w:t>附近</w:t>
            </w:r>
            <w:r>
              <w:rPr>
                <w:rFonts w:hAnsi="宋体"/>
                <w:w w:val="95"/>
                <w:highlight w:val="none"/>
              </w:rPr>
              <w:t>等</w:t>
            </w:r>
            <w:r>
              <w:rPr>
                <w:rFonts w:hAnsi="宋体"/>
                <w:spacing w:val="3"/>
                <w:w w:val="95"/>
                <w:highlight w:val="none"/>
              </w:rPr>
              <w:t>地</w:t>
            </w:r>
            <w:r>
              <w:rPr>
                <w:rFonts w:hAnsi="宋体"/>
                <w:spacing w:val="1"/>
                <w:w w:val="95"/>
                <w:highlight w:val="none"/>
              </w:rPr>
              <w:t>的</w:t>
            </w:r>
            <w:r>
              <w:rPr>
                <w:rFonts w:hAnsi="宋体"/>
                <w:spacing w:val="3"/>
                <w:w w:val="95"/>
                <w:highlight w:val="none"/>
              </w:rPr>
              <w:t>农</w:t>
            </w:r>
            <w:r>
              <w:rPr>
                <w:rFonts w:hAnsi="宋体"/>
                <w:spacing w:val="1"/>
                <w:w w:val="95"/>
                <w:highlight w:val="none"/>
              </w:rPr>
              <w:t>田</w:t>
            </w:r>
            <w:r>
              <w:rPr>
                <w:rFonts w:hAnsi="宋体"/>
                <w:spacing w:val="3"/>
                <w:w w:val="95"/>
                <w:highlight w:val="none"/>
              </w:rPr>
              <w:t>土</w:t>
            </w:r>
            <w:r>
              <w:rPr>
                <w:rFonts w:hAnsi="宋体"/>
                <w:spacing w:val="1"/>
                <w:w w:val="95"/>
                <w:highlight w:val="none"/>
              </w:rPr>
              <w:t>壤</w:t>
            </w:r>
            <w:r>
              <w:rPr>
                <w:rFonts w:hAnsi="宋体"/>
                <w:spacing w:val="3"/>
                <w:w w:val="95"/>
                <w:highlight w:val="none"/>
              </w:rPr>
              <w:t>（</w:t>
            </w:r>
            <w:r>
              <w:rPr>
                <w:rFonts w:hAnsi="宋体"/>
                <w:spacing w:val="1"/>
                <w:w w:val="95"/>
                <w:highlight w:val="none"/>
              </w:rPr>
              <w:t>蔬</w:t>
            </w:r>
            <w:r>
              <w:rPr>
                <w:rFonts w:hAnsi="宋体"/>
                <w:spacing w:val="3"/>
                <w:w w:val="95"/>
                <w:highlight w:val="none"/>
              </w:rPr>
              <w:t>菜</w:t>
            </w:r>
            <w:r>
              <w:rPr>
                <w:rFonts w:hAnsi="宋体"/>
                <w:spacing w:val="1"/>
                <w:w w:val="95"/>
                <w:highlight w:val="none"/>
              </w:rPr>
              <w:t>地</w:t>
            </w:r>
            <w:r>
              <w:rPr>
                <w:rFonts w:hAnsi="宋体"/>
                <w:spacing w:val="3"/>
                <w:w w:val="95"/>
                <w:highlight w:val="none"/>
              </w:rPr>
              <w:t>除</w:t>
            </w:r>
            <w:r>
              <w:rPr>
                <w:rFonts w:hAnsi="宋体"/>
                <w:spacing w:val="1"/>
                <w:w w:val="95"/>
                <w:highlight w:val="none"/>
              </w:rPr>
              <w:t>外</w:t>
            </w:r>
            <w:r>
              <w:rPr>
                <w:rFonts w:hAnsi="宋体"/>
                <w:spacing w:val="3"/>
                <w:w w:val="95"/>
                <w:highlight w:val="none"/>
              </w:rPr>
              <w:t>）。</w:t>
            </w:r>
            <w:r>
              <w:rPr>
                <w:rFonts w:hAnsi="宋体"/>
                <w:w w:val="95"/>
                <w:highlight w:val="none"/>
              </w:rPr>
              <w:t>土</w:t>
            </w:r>
            <w:r>
              <w:rPr>
                <w:rFonts w:hAnsi="宋体"/>
                <w:spacing w:val="3"/>
                <w:w w:val="95"/>
                <w:highlight w:val="none"/>
              </w:rPr>
              <w:t>壤</w:t>
            </w:r>
            <w:r>
              <w:rPr>
                <w:rFonts w:hAnsi="宋体"/>
                <w:spacing w:val="1"/>
                <w:w w:val="95"/>
                <w:highlight w:val="none"/>
              </w:rPr>
              <w:t>质</w:t>
            </w:r>
            <w:r>
              <w:rPr>
                <w:rFonts w:hAnsi="宋体"/>
                <w:spacing w:val="3"/>
                <w:w w:val="95"/>
                <w:highlight w:val="none"/>
              </w:rPr>
              <w:t>量</w:t>
            </w:r>
            <w:r>
              <w:rPr>
                <w:rFonts w:hAnsi="宋体"/>
                <w:spacing w:val="1"/>
                <w:w w:val="95"/>
                <w:highlight w:val="none"/>
              </w:rPr>
              <w:t>基</w:t>
            </w:r>
            <w:r>
              <w:rPr>
                <w:rFonts w:hAnsi="宋体"/>
                <w:spacing w:val="3"/>
                <w:w w:val="95"/>
                <w:highlight w:val="none"/>
              </w:rPr>
              <w:t>本</w:t>
            </w:r>
            <w:r>
              <w:rPr>
                <w:rFonts w:hAnsi="宋体"/>
                <w:spacing w:val="1"/>
                <w:w w:val="95"/>
                <w:highlight w:val="none"/>
              </w:rPr>
              <w:t>上</w:t>
            </w:r>
            <w:r>
              <w:rPr>
                <w:rFonts w:hAnsi="宋体"/>
                <w:spacing w:val="3"/>
                <w:w w:val="95"/>
                <w:highlight w:val="none"/>
              </w:rPr>
              <w:t>不</w:t>
            </w:r>
            <w:r>
              <w:rPr>
                <w:rFonts w:hAnsi="宋体"/>
                <w:spacing w:val="1"/>
                <w:w w:val="95"/>
                <w:highlight w:val="none"/>
              </w:rPr>
              <w:t>对</w:t>
            </w:r>
            <w:r>
              <w:rPr>
                <w:rFonts w:hAnsi="宋体"/>
                <w:spacing w:val="3"/>
                <w:w w:val="95"/>
                <w:highlight w:val="none"/>
              </w:rPr>
              <w:t>植</w:t>
            </w:r>
            <w:r>
              <w:rPr>
                <w:rFonts w:hAnsi="宋体"/>
                <w:spacing w:val="1"/>
                <w:w w:val="95"/>
                <w:highlight w:val="none"/>
              </w:rPr>
              <w:t>物</w:t>
            </w:r>
            <w:r>
              <w:rPr>
                <w:rFonts w:hAnsi="宋体"/>
                <w:spacing w:val="3"/>
                <w:w w:val="95"/>
                <w:highlight w:val="none"/>
              </w:rPr>
              <w:t>和</w:t>
            </w:r>
            <w:r>
              <w:rPr>
                <w:rFonts w:hAnsi="宋体"/>
                <w:spacing w:val="1"/>
                <w:w w:val="95"/>
                <w:highlight w:val="none"/>
              </w:rPr>
              <w:t>环</w:t>
            </w:r>
            <w:r>
              <w:rPr>
                <w:rFonts w:hAnsi="宋体"/>
                <w:spacing w:val="3"/>
                <w:w w:val="95"/>
                <w:highlight w:val="none"/>
              </w:rPr>
              <w:t>境造</w:t>
            </w:r>
            <w:r>
              <w:rPr>
                <w:rFonts w:hAnsi="宋体"/>
                <w:w w:val="95"/>
                <w:highlight w:val="none"/>
              </w:rPr>
              <w:t>成</w:t>
            </w:r>
            <w:r>
              <w:rPr>
                <w:rFonts w:hAnsi="宋体"/>
                <w:highlight w:val="none"/>
              </w:rPr>
              <w:t>危</w:t>
            </w:r>
            <w:r>
              <w:rPr>
                <w:rFonts w:hAnsi="宋体"/>
                <w:spacing w:val="2"/>
                <w:highlight w:val="none"/>
              </w:rPr>
              <w:t>害</w:t>
            </w:r>
            <w:r>
              <w:rPr>
                <w:rFonts w:hAnsi="宋体"/>
                <w:highlight w:val="none"/>
              </w:rPr>
              <w:t>和</w:t>
            </w:r>
            <w:r>
              <w:rPr>
                <w:rFonts w:hAnsi="宋体"/>
                <w:spacing w:val="2"/>
                <w:highlight w:val="none"/>
              </w:rPr>
              <w:t>污</w:t>
            </w:r>
            <w:r>
              <w:rPr>
                <w:rFonts w:hAnsi="宋体"/>
                <w:highlight w:val="none"/>
              </w:rPr>
              <w:t>染。</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2396" w:type="dxa"/>
            <w:gridSpan w:val="3"/>
            <w:vMerge w:val="restart"/>
            <w:vAlign w:val="center"/>
          </w:tcPr>
          <w:p>
            <w:pPr>
              <w:pStyle w:val="64"/>
              <w:rPr>
                <w:rFonts w:hAnsi="宋体"/>
                <w:highlight w:val="none"/>
              </w:rPr>
            </w:pPr>
            <w:r>
              <w:rPr>
                <w:rFonts w:hAnsi="宋体"/>
                <w:highlight w:val="none"/>
              </w:rPr>
              <w:t>大</w:t>
            </w:r>
            <w:r>
              <w:rPr>
                <w:rFonts w:hAnsi="宋体"/>
                <w:spacing w:val="2"/>
                <w:highlight w:val="none"/>
              </w:rPr>
              <w:t>气</w:t>
            </w:r>
            <w:r>
              <w:rPr>
                <w:rFonts w:hAnsi="宋体"/>
                <w:highlight w:val="none"/>
              </w:rPr>
              <w:t>环</w:t>
            </w:r>
            <w:r>
              <w:rPr>
                <w:rFonts w:hAnsi="宋体"/>
                <w:spacing w:val="2"/>
                <w:highlight w:val="none"/>
              </w:rPr>
              <w:t>境（</w:t>
            </w:r>
            <w:r>
              <w:rPr>
                <w:rFonts w:hAnsi="宋体" w:cs="hakuyoxingshu7000"/>
                <w:highlight w:val="none"/>
              </w:rPr>
              <w:t>3</w:t>
            </w:r>
            <w:r>
              <w:rPr>
                <w:rFonts w:hAnsi="宋体"/>
                <w:highlight w:val="none"/>
              </w:rPr>
              <w:t>分）</w:t>
            </w:r>
          </w:p>
        </w:tc>
        <w:tc>
          <w:tcPr>
            <w:tcW w:w="5448" w:type="dxa"/>
            <w:vAlign w:val="center"/>
          </w:tcPr>
          <w:p>
            <w:pPr>
              <w:pStyle w:val="64"/>
              <w:jc w:val="left"/>
              <w:rPr>
                <w:rFonts w:hAnsi="宋体"/>
                <w:spacing w:val="4"/>
                <w:highlight w:val="none"/>
              </w:rPr>
            </w:pPr>
            <w:r>
              <w:rPr>
                <w:rFonts w:hAnsi="宋体"/>
                <w:highlight w:val="none"/>
              </w:rPr>
              <w:t>1.○大气：一类。</w:t>
            </w:r>
          </w:p>
        </w:tc>
        <w:tc>
          <w:tcPr>
            <w:tcW w:w="507" w:type="dxa"/>
            <w:vAlign w:val="center"/>
          </w:tcPr>
          <w:p>
            <w:pPr>
              <w:pStyle w:val="64"/>
              <w:rPr>
                <w:rFonts w:hAnsi="宋体"/>
                <w:spacing w:val="4"/>
                <w:highlight w:val="none"/>
              </w:rPr>
            </w:pPr>
            <w:r>
              <w:rPr>
                <w:rFonts w:hAnsi="宋体"/>
                <w:spacing w:val="4"/>
                <w:highlight w:val="none"/>
              </w:rPr>
              <w:t>3</w:t>
            </w:r>
          </w:p>
        </w:tc>
        <w:tc>
          <w:tcPr>
            <w:tcW w:w="708" w:type="dxa"/>
            <w:vMerge w:val="restart"/>
            <w:vAlign w:val="center"/>
          </w:tcPr>
          <w:p>
            <w:pPr>
              <w:pStyle w:val="64"/>
              <w:rPr>
                <w:rFonts w:hAnsi="宋体"/>
                <w:spacing w:val="4"/>
                <w:highlight w:val="none"/>
              </w:rPr>
            </w:pPr>
            <w:r>
              <w:rPr>
                <w:rFonts w:hAnsi="宋体"/>
                <w:spacing w:val="4"/>
                <w:highlight w:val="none"/>
              </w:rPr>
              <w:t>1.5</w:t>
            </w:r>
          </w:p>
        </w:tc>
        <w:tc>
          <w:tcPr>
            <w:tcW w:w="3820" w:type="dxa"/>
            <w:vAlign w:val="center"/>
          </w:tcPr>
          <w:p>
            <w:pPr>
              <w:pStyle w:val="64"/>
              <w:rPr>
                <w:rFonts w:hAnsi="宋体"/>
                <w:highlight w:val="none"/>
              </w:rPr>
            </w:pPr>
            <w:r>
              <w:rPr>
                <w:rFonts w:hAnsi="宋体"/>
                <w:spacing w:val="4"/>
                <w:highlight w:val="none"/>
              </w:rPr>
              <w:t>自</w:t>
            </w:r>
            <w:r>
              <w:rPr>
                <w:rFonts w:hAnsi="宋体"/>
                <w:spacing w:val="2"/>
                <w:highlight w:val="none"/>
              </w:rPr>
              <w:t>然</w:t>
            </w:r>
            <w:r>
              <w:rPr>
                <w:rFonts w:hAnsi="宋体"/>
                <w:spacing w:val="4"/>
                <w:highlight w:val="none"/>
              </w:rPr>
              <w:t>保</w:t>
            </w:r>
            <w:r>
              <w:rPr>
                <w:rFonts w:hAnsi="宋体"/>
                <w:spacing w:val="2"/>
                <w:highlight w:val="none"/>
              </w:rPr>
              <w:t>护</w:t>
            </w:r>
            <w:r>
              <w:rPr>
                <w:rFonts w:hAnsi="宋体"/>
                <w:spacing w:val="4"/>
                <w:highlight w:val="none"/>
              </w:rPr>
              <w:t>区</w:t>
            </w:r>
            <w:r>
              <w:rPr>
                <w:rFonts w:hAnsi="宋体"/>
                <w:spacing w:val="2"/>
                <w:highlight w:val="none"/>
              </w:rPr>
              <w:t>、</w:t>
            </w:r>
            <w:r>
              <w:rPr>
                <w:rFonts w:hAnsi="宋体"/>
                <w:spacing w:val="4"/>
                <w:highlight w:val="none"/>
              </w:rPr>
              <w:t>风</w:t>
            </w:r>
            <w:r>
              <w:rPr>
                <w:rFonts w:hAnsi="宋体"/>
                <w:spacing w:val="2"/>
                <w:highlight w:val="none"/>
              </w:rPr>
              <w:t>景</w:t>
            </w:r>
            <w:r>
              <w:rPr>
                <w:rFonts w:hAnsi="宋体"/>
                <w:spacing w:val="4"/>
                <w:highlight w:val="none"/>
              </w:rPr>
              <w:t>名</w:t>
            </w:r>
            <w:r>
              <w:rPr>
                <w:rFonts w:hAnsi="宋体"/>
                <w:spacing w:val="2"/>
                <w:highlight w:val="none"/>
              </w:rPr>
              <w:t>胜</w:t>
            </w:r>
            <w:r>
              <w:rPr>
                <w:rFonts w:hAnsi="宋体"/>
                <w:spacing w:val="4"/>
                <w:highlight w:val="none"/>
              </w:rPr>
              <w:t>区</w:t>
            </w:r>
            <w:r>
              <w:rPr>
                <w:rFonts w:hAnsi="宋体"/>
                <w:spacing w:val="2"/>
                <w:highlight w:val="none"/>
              </w:rPr>
              <w:t>和</w:t>
            </w:r>
            <w:r>
              <w:rPr>
                <w:rFonts w:hAnsi="宋体"/>
                <w:spacing w:val="4"/>
                <w:highlight w:val="none"/>
              </w:rPr>
              <w:t>其他</w:t>
            </w:r>
            <w:r>
              <w:rPr>
                <w:rFonts w:hAnsi="宋体"/>
                <w:highlight w:val="none"/>
              </w:rPr>
              <w:t>需</w:t>
            </w:r>
            <w:r>
              <w:rPr>
                <w:rFonts w:hAnsi="宋体"/>
                <w:spacing w:val="3"/>
                <w:w w:val="95"/>
                <w:highlight w:val="none"/>
              </w:rPr>
              <w:t>要</w:t>
            </w:r>
            <w:r>
              <w:rPr>
                <w:rFonts w:hAnsi="宋体"/>
                <w:spacing w:val="1"/>
                <w:w w:val="95"/>
                <w:highlight w:val="none"/>
              </w:rPr>
              <w:t>特</w:t>
            </w:r>
            <w:r>
              <w:rPr>
                <w:rFonts w:hAnsi="宋体"/>
                <w:spacing w:val="3"/>
                <w:w w:val="95"/>
                <w:highlight w:val="none"/>
              </w:rPr>
              <w:t>殊</w:t>
            </w:r>
            <w:r>
              <w:rPr>
                <w:rFonts w:hAnsi="宋体"/>
                <w:spacing w:val="1"/>
                <w:w w:val="95"/>
                <w:highlight w:val="none"/>
              </w:rPr>
              <w:t>保</w:t>
            </w:r>
            <w:r>
              <w:rPr>
                <w:rFonts w:hAnsi="宋体"/>
                <w:spacing w:val="3"/>
                <w:w w:val="95"/>
                <w:highlight w:val="none"/>
              </w:rPr>
              <w:t>护</w:t>
            </w:r>
            <w:r>
              <w:rPr>
                <w:rFonts w:hAnsi="宋体"/>
                <w:spacing w:val="1"/>
                <w:w w:val="95"/>
                <w:highlight w:val="none"/>
              </w:rPr>
              <w:t>的</w:t>
            </w:r>
            <w:r>
              <w:rPr>
                <w:rFonts w:hAnsi="宋体"/>
                <w:spacing w:val="3"/>
                <w:w w:val="95"/>
                <w:highlight w:val="none"/>
              </w:rPr>
              <w:t>地</w:t>
            </w:r>
            <w:r>
              <w:rPr>
                <w:rFonts w:hAnsi="宋体"/>
                <w:spacing w:val="1"/>
                <w:w w:val="95"/>
                <w:highlight w:val="none"/>
              </w:rPr>
              <w:t>区</w:t>
            </w:r>
            <w:r>
              <w:rPr>
                <w:rFonts w:hAnsi="宋体"/>
                <w:spacing w:val="3"/>
                <w:w w:val="95"/>
                <w:highlight w:val="none"/>
              </w:rPr>
              <w:t>。</w:t>
            </w:r>
            <w:r>
              <w:rPr>
                <w:rFonts w:hAnsi="宋体"/>
                <w:spacing w:val="1"/>
                <w:w w:val="95"/>
                <w:highlight w:val="none"/>
              </w:rPr>
              <w:t>以</w:t>
            </w:r>
            <w:r>
              <w:rPr>
                <w:rFonts w:hAnsi="宋体"/>
                <w:spacing w:val="3"/>
                <w:w w:val="95"/>
                <w:highlight w:val="none"/>
              </w:rPr>
              <w:t>保</w:t>
            </w:r>
            <w:r>
              <w:rPr>
                <w:rFonts w:hAnsi="宋体"/>
                <w:spacing w:val="1"/>
                <w:w w:val="95"/>
                <w:highlight w:val="none"/>
              </w:rPr>
              <w:t>护</w:t>
            </w:r>
            <w:r>
              <w:rPr>
                <w:rFonts w:hAnsi="宋体"/>
                <w:spacing w:val="3"/>
                <w:w w:val="95"/>
                <w:highlight w:val="none"/>
              </w:rPr>
              <w:t>自然</w:t>
            </w:r>
            <w:r>
              <w:rPr>
                <w:rFonts w:hAnsi="宋体"/>
                <w:w w:val="95"/>
                <w:highlight w:val="none"/>
              </w:rPr>
              <w:t>生</w:t>
            </w:r>
            <w:r>
              <w:rPr>
                <w:rFonts w:hAnsi="宋体"/>
                <w:highlight w:val="none"/>
              </w:rPr>
              <w:t>态</w:t>
            </w:r>
            <w:r>
              <w:rPr>
                <w:rFonts w:hAnsi="宋体"/>
                <w:spacing w:val="2"/>
                <w:highlight w:val="none"/>
              </w:rPr>
              <w:t>及</w:t>
            </w:r>
            <w:r>
              <w:rPr>
                <w:rFonts w:hAnsi="宋体"/>
                <w:highlight w:val="none"/>
              </w:rPr>
              <w:t>公</w:t>
            </w:r>
            <w:r>
              <w:rPr>
                <w:rFonts w:hAnsi="宋体"/>
                <w:spacing w:val="2"/>
                <w:highlight w:val="none"/>
              </w:rPr>
              <w:t>众</w:t>
            </w:r>
            <w:r>
              <w:rPr>
                <w:rFonts w:hAnsi="宋体"/>
                <w:highlight w:val="none"/>
              </w:rPr>
              <w:t>福</w:t>
            </w:r>
            <w:r>
              <w:rPr>
                <w:rFonts w:hAnsi="宋体"/>
                <w:spacing w:val="2"/>
                <w:highlight w:val="none"/>
              </w:rPr>
              <w:t>利</w:t>
            </w:r>
            <w:r>
              <w:rPr>
                <w:rFonts w:hAnsi="宋体"/>
                <w:highlight w:val="none"/>
              </w:rPr>
              <w:t>为</w:t>
            </w:r>
            <w:r>
              <w:rPr>
                <w:rFonts w:hAnsi="宋体"/>
                <w:spacing w:val="2"/>
                <w:highlight w:val="none"/>
              </w:rPr>
              <w:t>主</w:t>
            </w:r>
            <w:r>
              <w:rPr>
                <w:rFonts w:hAnsi="宋体"/>
                <w:highlight w:val="none"/>
              </w:rPr>
              <w:t>要</w:t>
            </w:r>
            <w:r>
              <w:rPr>
                <w:rFonts w:hAnsi="宋体"/>
                <w:spacing w:val="2"/>
                <w:highlight w:val="none"/>
              </w:rPr>
              <w:t>对</w:t>
            </w:r>
            <w:r>
              <w:rPr>
                <w:rFonts w:hAnsi="宋体"/>
                <w:highlight w:val="none"/>
              </w:rPr>
              <w:t>象。</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2396" w:type="dxa"/>
            <w:gridSpan w:val="3"/>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2.○√大气：二类。</w:t>
            </w:r>
          </w:p>
        </w:tc>
        <w:tc>
          <w:tcPr>
            <w:tcW w:w="507" w:type="dxa"/>
            <w:vAlign w:val="center"/>
          </w:tcPr>
          <w:p>
            <w:pPr>
              <w:pStyle w:val="64"/>
              <w:rPr>
                <w:rFonts w:hAnsi="宋体"/>
                <w:spacing w:val="4"/>
                <w:highlight w:val="none"/>
              </w:rPr>
            </w:pPr>
            <w:r>
              <w:rPr>
                <w:rFonts w:hAnsi="宋体"/>
                <w:spacing w:val="4"/>
                <w:highlight w:val="none"/>
              </w:rPr>
              <w:t>1.5</w:t>
            </w:r>
          </w:p>
        </w:tc>
        <w:tc>
          <w:tcPr>
            <w:tcW w:w="708" w:type="dxa"/>
            <w:vMerge w:val="continue"/>
            <w:vAlign w:val="center"/>
          </w:tcPr>
          <w:p>
            <w:pPr>
              <w:pStyle w:val="64"/>
              <w:rPr>
                <w:rFonts w:hAnsi="宋体"/>
                <w:spacing w:val="4"/>
                <w:highlight w:val="none"/>
              </w:rPr>
            </w:pPr>
          </w:p>
        </w:tc>
        <w:tc>
          <w:tcPr>
            <w:tcW w:w="3820" w:type="dxa"/>
            <w:vAlign w:val="center"/>
          </w:tcPr>
          <w:p>
            <w:pPr>
              <w:pStyle w:val="64"/>
              <w:rPr>
                <w:rFonts w:hAnsi="宋体"/>
                <w:highlight w:val="none"/>
              </w:rPr>
            </w:pPr>
            <w:r>
              <w:rPr>
                <w:rFonts w:hAnsi="宋体"/>
                <w:w w:val="95"/>
                <w:highlight w:val="none"/>
              </w:rPr>
              <w:t>城</w:t>
            </w:r>
            <w:r>
              <w:rPr>
                <w:rFonts w:hAnsi="宋体"/>
                <w:spacing w:val="1"/>
                <w:w w:val="95"/>
                <w:highlight w:val="none"/>
              </w:rPr>
              <w:t>镇</w:t>
            </w:r>
            <w:r>
              <w:rPr>
                <w:rFonts w:hAnsi="宋体"/>
                <w:w w:val="95"/>
                <w:highlight w:val="none"/>
              </w:rPr>
              <w:t>规</w:t>
            </w:r>
            <w:r>
              <w:rPr>
                <w:rFonts w:hAnsi="宋体"/>
                <w:spacing w:val="1"/>
                <w:w w:val="95"/>
                <w:highlight w:val="none"/>
              </w:rPr>
              <w:t>划</w:t>
            </w:r>
            <w:r>
              <w:rPr>
                <w:rFonts w:hAnsi="宋体"/>
                <w:w w:val="95"/>
                <w:highlight w:val="none"/>
              </w:rPr>
              <w:t>中</w:t>
            </w:r>
            <w:r>
              <w:rPr>
                <w:rFonts w:hAnsi="宋体"/>
                <w:spacing w:val="1"/>
                <w:w w:val="95"/>
                <w:highlight w:val="none"/>
              </w:rPr>
              <w:t>确</w:t>
            </w:r>
            <w:r>
              <w:rPr>
                <w:rFonts w:hAnsi="宋体"/>
                <w:w w:val="95"/>
                <w:highlight w:val="none"/>
              </w:rPr>
              <w:t>定</w:t>
            </w:r>
            <w:r>
              <w:rPr>
                <w:rFonts w:hAnsi="宋体"/>
                <w:spacing w:val="1"/>
                <w:w w:val="95"/>
                <w:highlight w:val="none"/>
              </w:rPr>
              <w:t>的</w:t>
            </w:r>
            <w:r>
              <w:rPr>
                <w:rFonts w:hAnsi="宋体"/>
                <w:w w:val="95"/>
                <w:highlight w:val="none"/>
              </w:rPr>
              <w:t>居</w:t>
            </w:r>
            <w:r>
              <w:rPr>
                <w:rFonts w:hAnsi="宋体"/>
                <w:spacing w:val="1"/>
                <w:w w:val="95"/>
                <w:highlight w:val="none"/>
              </w:rPr>
              <w:t>住区</w:t>
            </w:r>
            <w:r>
              <w:rPr>
                <w:rFonts w:hAnsi="宋体"/>
                <w:w w:val="95"/>
                <w:highlight w:val="none"/>
              </w:rPr>
              <w:t>、商</w:t>
            </w:r>
            <w:r>
              <w:rPr>
                <w:rFonts w:hAnsi="宋体"/>
                <w:spacing w:val="1"/>
                <w:w w:val="95"/>
                <w:highlight w:val="none"/>
              </w:rPr>
              <w:t>业</w:t>
            </w:r>
            <w:r>
              <w:rPr>
                <w:rFonts w:hAnsi="宋体"/>
                <w:w w:val="95"/>
                <w:highlight w:val="none"/>
              </w:rPr>
              <w:t>交</w:t>
            </w:r>
            <w:r>
              <w:rPr>
                <w:rFonts w:hAnsi="宋体"/>
                <w:spacing w:val="3"/>
                <w:w w:val="95"/>
                <w:highlight w:val="none"/>
              </w:rPr>
              <w:t>通</w:t>
            </w:r>
            <w:r>
              <w:rPr>
                <w:rFonts w:hAnsi="宋体"/>
                <w:spacing w:val="1"/>
                <w:w w:val="95"/>
                <w:highlight w:val="none"/>
              </w:rPr>
              <w:t>居</w:t>
            </w:r>
            <w:r>
              <w:rPr>
                <w:rFonts w:hAnsi="宋体"/>
                <w:spacing w:val="3"/>
                <w:w w:val="95"/>
                <w:highlight w:val="none"/>
              </w:rPr>
              <w:t>民</w:t>
            </w:r>
            <w:r>
              <w:rPr>
                <w:rFonts w:hAnsi="宋体"/>
                <w:spacing w:val="1"/>
                <w:w w:val="95"/>
                <w:highlight w:val="none"/>
              </w:rPr>
              <w:t>混</w:t>
            </w:r>
            <w:r>
              <w:rPr>
                <w:rFonts w:hAnsi="宋体"/>
                <w:spacing w:val="3"/>
                <w:w w:val="95"/>
                <w:highlight w:val="none"/>
              </w:rPr>
              <w:t>合</w:t>
            </w:r>
            <w:r>
              <w:rPr>
                <w:rFonts w:hAnsi="宋体"/>
                <w:spacing w:val="1"/>
                <w:w w:val="95"/>
                <w:highlight w:val="none"/>
              </w:rPr>
              <w:t>区</w:t>
            </w:r>
            <w:r>
              <w:rPr>
                <w:rFonts w:hAnsi="宋体"/>
                <w:spacing w:val="3"/>
                <w:w w:val="95"/>
                <w:highlight w:val="none"/>
              </w:rPr>
              <w:t>、</w:t>
            </w:r>
            <w:r>
              <w:rPr>
                <w:rFonts w:hAnsi="宋体"/>
                <w:spacing w:val="1"/>
                <w:w w:val="95"/>
                <w:highlight w:val="none"/>
              </w:rPr>
              <w:t>文</w:t>
            </w:r>
            <w:r>
              <w:rPr>
                <w:rFonts w:hAnsi="宋体"/>
                <w:spacing w:val="3"/>
                <w:w w:val="95"/>
                <w:highlight w:val="none"/>
              </w:rPr>
              <w:t>化</w:t>
            </w:r>
            <w:r>
              <w:rPr>
                <w:rFonts w:hAnsi="宋体"/>
                <w:spacing w:val="1"/>
                <w:w w:val="95"/>
                <w:highlight w:val="none"/>
              </w:rPr>
              <w:t>区</w:t>
            </w:r>
            <w:r>
              <w:rPr>
                <w:rFonts w:hAnsi="宋体"/>
                <w:spacing w:val="3"/>
                <w:w w:val="95"/>
                <w:highlight w:val="none"/>
              </w:rPr>
              <w:t>、</w:t>
            </w:r>
            <w:r>
              <w:rPr>
                <w:rFonts w:hAnsi="宋体"/>
                <w:spacing w:val="1"/>
                <w:w w:val="95"/>
                <w:highlight w:val="none"/>
              </w:rPr>
              <w:t>一</w:t>
            </w:r>
            <w:r>
              <w:rPr>
                <w:rFonts w:hAnsi="宋体"/>
                <w:spacing w:val="3"/>
                <w:w w:val="95"/>
                <w:highlight w:val="none"/>
              </w:rPr>
              <w:t>般工</w:t>
            </w:r>
            <w:r>
              <w:rPr>
                <w:rFonts w:hAnsi="宋体"/>
                <w:w w:val="95"/>
                <w:highlight w:val="none"/>
              </w:rPr>
              <w:t>业</w:t>
            </w:r>
            <w:r>
              <w:rPr>
                <w:rFonts w:hAnsi="宋体"/>
                <w:spacing w:val="3"/>
                <w:w w:val="95"/>
                <w:highlight w:val="none"/>
              </w:rPr>
              <w:t>区</w:t>
            </w:r>
            <w:r>
              <w:rPr>
                <w:rFonts w:hAnsi="宋体"/>
                <w:spacing w:val="1"/>
                <w:w w:val="95"/>
                <w:highlight w:val="none"/>
              </w:rPr>
              <w:t>和</w:t>
            </w:r>
            <w:r>
              <w:rPr>
                <w:rFonts w:hAnsi="宋体"/>
                <w:spacing w:val="3"/>
                <w:w w:val="95"/>
                <w:highlight w:val="none"/>
              </w:rPr>
              <w:t>农</w:t>
            </w:r>
            <w:r>
              <w:rPr>
                <w:rFonts w:hAnsi="宋体"/>
                <w:spacing w:val="1"/>
                <w:w w:val="95"/>
                <w:highlight w:val="none"/>
              </w:rPr>
              <w:t>村</w:t>
            </w:r>
            <w:r>
              <w:rPr>
                <w:rFonts w:hAnsi="宋体"/>
                <w:spacing w:val="3"/>
                <w:w w:val="95"/>
                <w:highlight w:val="none"/>
              </w:rPr>
              <w:t>地</w:t>
            </w:r>
            <w:r>
              <w:rPr>
                <w:rFonts w:hAnsi="宋体"/>
                <w:spacing w:val="1"/>
                <w:w w:val="95"/>
                <w:highlight w:val="none"/>
              </w:rPr>
              <w:t>区</w:t>
            </w:r>
            <w:r>
              <w:rPr>
                <w:rFonts w:hAnsi="宋体"/>
                <w:spacing w:val="3"/>
                <w:w w:val="95"/>
                <w:highlight w:val="none"/>
              </w:rPr>
              <w:t>。</w:t>
            </w:r>
            <w:r>
              <w:rPr>
                <w:rFonts w:hAnsi="宋体"/>
                <w:spacing w:val="1"/>
                <w:w w:val="95"/>
                <w:highlight w:val="none"/>
              </w:rPr>
              <w:t>以</w:t>
            </w:r>
            <w:r>
              <w:rPr>
                <w:rFonts w:hAnsi="宋体"/>
                <w:spacing w:val="3"/>
                <w:w w:val="95"/>
                <w:highlight w:val="none"/>
              </w:rPr>
              <w:t>保</w:t>
            </w:r>
            <w:r>
              <w:rPr>
                <w:rFonts w:hAnsi="宋体"/>
                <w:spacing w:val="1"/>
                <w:w w:val="95"/>
                <w:highlight w:val="none"/>
              </w:rPr>
              <w:t>护</w:t>
            </w:r>
            <w:r>
              <w:rPr>
                <w:rFonts w:hAnsi="宋体"/>
                <w:spacing w:val="3"/>
                <w:w w:val="95"/>
                <w:highlight w:val="none"/>
              </w:rPr>
              <w:t>人</w:t>
            </w:r>
            <w:r>
              <w:rPr>
                <w:rFonts w:hAnsi="宋体"/>
                <w:spacing w:val="1"/>
                <w:w w:val="95"/>
                <w:highlight w:val="none"/>
              </w:rPr>
              <w:t>体</w:t>
            </w:r>
            <w:r>
              <w:rPr>
                <w:rFonts w:hAnsi="宋体"/>
                <w:spacing w:val="3"/>
                <w:w w:val="95"/>
                <w:highlight w:val="none"/>
              </w:rPr>
              <w:t>健康</w:t>
            </w:r>
            <w:r>
              <w:rPr>
                <w:rFonts w:hAnsi="宋体"/>
                <w:w w:val="95"/>
                <w:highlight w:val="none"/>
              </w:rPr>
              <w:t>为</w:t>
            </w:r>
            <w:r>
              <w:rPr>
                <w:rFonts w:hAnsi="宋体"/>
                <w:highlight w:val="none"/>
              </w:rPr>
              <w:t>主</w:t>
            </w:r>
            <w:r>
              <w:rPr>
                <w:rFonts w:hAnsi="宋体"/>
                <w:spacing w:val="2"/>
                <w:highlight w:val="none"/>
              </w:rPr>
              <w:t>要</w:t>
            </w:r>
            <w:r>
              <w:rPr>
                <w:rFonts w:hAnsi="宋体"/>
                <w:highlight w:val="none"/>
              </w:rPr>
              <w:t>对</w:t>
            </w:r>
            <w:r>
              <w:rPr>
                <w:rFonts w:hAnsi="宋体"/>
                <w:spacing w:val="2"/>
                <w:highlight w:val="none"/>
              </w:rPr>
              <w:t>象</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113" w:type="dxa"/>
            <w:gridSpan w:val="2"/>
            <w:vMerge w:val="continue"/>
            <w:vAlign w:val="center"/>
          </w:tcPr>
          <w:p>
            <w:pPr>
              <w:pStyle w:val="64"/>
              <w:rPr>
                <w:rFonts w:hAnsi="宋体"/>
                <w:highlight w:val="none"/>
              </w:rPr>
            </w:pPr>
          </w:p>
        </w:tc>
        <w:tc>
          <w:tcPr>
            <w:tcW w:w="2396" w:type="dxa"/>
            <w:gridSpan w:val="3"/>
            <w:vMerge w:val="continue"/>
            <w:vAlign w:val="center"/>
          </w:tcPr>
          <w:p>
            <w:pPr>
              <w:pStyle w:val="64"/>
              <w:rPr>
                <w:rFonts w:hAnsi="宋体"/>
                <w:highlight w:val="none"/>
              </w:rPr>
            </w:pPr>
          </w:p>
        </w:tc>
        <w:tc>
          <w:tcPr>
            <w:tcW w:w="5448" w:type="dxa"/>
            <w:vAlign w:val="center"/>
          </w:tcPr>
          <w:p>
            <w:pPr>
              <w:pStyle w:val="64"/>
              <w:jc w:val="left"/>
              <w:rPr>
                <w:rFonts w:hAnsi="宋体"/>
                <w:highlight w:val="none"/>
              </w:rPr>
            </w:pPr>
            <w:r>
              <w:rPr>
                <w:rFonts w:hAnsi="宋体"/>
                <w:highlight w:val="none"/>
              </w:rPr>
              <w:t>3.○大气：三类。</w:t>
            </w:r>
          </w:p>
        </w:tc>
        <w:tc>
          <w:tcPr>
            <w:tcW w:w="507" w:type="dxa"/>
            <w:vAlign w:val="center"/>
          </w:tcPr>
          <w:p>
            <w:pPr>
              <w:pStyle w:val="64"/>
              <w:rPr>
                <w:rFonts w:hAnsi="宋体" w:cs="hakuyoxingshu7000"/>
                <w:highlight w:val="none"/>
              </w:rPr>
            </w:pPr>
            <w:r>
              <w:rPr>
                <w:rFonts w:hAnsi="宋体" w:cs="hakuyoxingshu7000"/>
                <w:highlight w:val="none"/>
              </w:rPr>
              <w:t>0</w:t>
            </w:r>
          </w:p>
        </w:tc>
        <w:tc>
          <w:tcPr>
            <w:tcW w:w="708" w:type="dxa"/>
            <w:vMerge w:val="continue"/>
            <w:vAlign w:val="center"/>
          </w:tcPr>
          <w:p>
            <w:pPr>
              <w:pStyle w:val="64"/>
              <w:rPr>
                <w:rFonts w:hAnsi="宋体"/>
                <w:highlight w:val="none"/>
              </w:rPr>
            </w:pPr>
          </w:p>
        </w:tc>
        <w:tc>
          <w:tcPr>
            <w:tcW w:w="3820" w:type="dxa"/>
            <w:vAlign w:val="center"/>
          </w:tcPr>
          <w:p>
            <w:pPr>
              <w:pStyle w:val="64"/>
              <w:rPr>
                <w:rFonts w:hAnsi="宋体"/>
                <w:highlight w:val="none"/>
              </w:rPr>
            </w:pPr>
            <w:r>
              <w:rPr>
                <w:rFonts w:hAnsi="宋体"/>
                <w:spacing w:val="4"/>
                <w:highlight w:val="none"/>
              </w:rPr>
              <w:t>特</w:t>
            </w:r>
            <w:r>
              <w:rPr>
                <w:rFonts w:hAnsi="宋体"/>
                <w:spacing w:val="2"/>
                <w:highlight w:val="none"/>
              </w:rPr>
              <w:t>定</w:t>
            </w:r>
            <w:r>
              <w:rPr>
                <w:rFonts w:hAnsi="宋体"/>
                <w:spacing w:val="4"/>
                <w:highlight w:val="none"/>
              </w:rPr>
              <w:t>工</w:t>
            </w:r>
            <w:r>
              <w:rPr>
                <w:rFonts w:hAnsi="宋体"/>
                <w:spacing w:val="2"/>
                <w:highlight w:val="none"/>
              </w:rPr>
              <w:t>业</w:t>
            </w:r>
            <w:r>
              <w:rPr>
                <w:rFonts w:hAnsi="宋体"/>
                <w:spacing w:val="4"/>
                <w:highlight w:val="none"/>
              </w:rPr>
              <w:t>区</w:t>
            </w:r>
            <w:r>
              <w:rPr>
                <w:rFonts w:hAnsi="宋体"/>
                <w:spacing w:val="2"/>
                <w:highlight w:val="none"/>
              </w:rPr>
              <w:t>。</w:t>
            </w:r>
            <w:r>
              <w:rPr>
                <w:rFonts w:hAnsi="宋体"/>
                <w:spacing w:val="4"/>
                <w:highlight w:val="none"/>
              </w:rPr>
              <w:t>以</w:t>
            </w:r>
            <w:r>
              <w:rPr>
                <w:rFonts w:hAnsi="宋体"/>
                <w:spacing w:val="2"/>
                <w:highlight w:val="none"/>
              </w:rPr>
              <w:t>保</w:t>
            </w:r>
            <w:r>
              <w:rPr>
                <w:rFonts w:hAnsi="宋体"/>
                <w:spacing w:val="4"/>
                <w:highlight w:val="none"/>
              </w:rPr>
              <w:t>护</w:t>
            </w:r>
            <w:r>
              <w:rPr>
                <w:rFonts w:hAnsi="宋体"/>
                <w:spacing w:val="2"/>
                <w:highlight w:val="none"/>
              </w:rPr>
              <w:t>人</w:t>
            </w:r>
            <w:r>
              <w:rPr>
                <w:rFonts w:hAnsi="宋体"/>
                <w:spacing w:val="4"/>
                <w:highlight w:val="none"/>
              </w:rPr>
              <w:t>体</w:t>
            </w:r>
            <w:r>
              <w:rPr>
                <w:rFonts w:hAnsi="宋体"/>
                <w:spacing w:val="2"/>
                <w:highlight w:val="none"/>
              </w:rPr>
              <w:t>健</w:t>
            </w:r>
            <w:r>
              <w:rPr>
                <w:rFonts w:hAnsi="宋体"/>
                <w:spacing w:val="4"/>
                <w:highlight w:val="none"/>
              </w:rPr>
              <w:t>康为</w:t>
            </w:r>
            <w:r>
              <w:rPr>
                <w:rFonts w:hAnsi="宋体"/>
                <w:highlight w:val="none"/>
              </w:rPr>
              <w:t>主要</w:t>
            </w:r>
            <w:r>
              <w:rPr>
                <w:rFonts w:hAnsi="宋体"/>
                <w:spacing w:val="2"/>
                <w:highlight w:val="none"/>
              </w:rPr>
              <w:t>对</w:t>
            </w:r>
            <w:r>
              <w:rPr>
                <w:rFonts w:hAnsi="宋体"/>
                <w:highlight w:val="none"/>
              </w:rPr>
              <w:t>象。</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3509" w:type="dxa"/>
            <w:gridSpan w:val="5"/>
            <w:vAlign w:val="center"/>
          </w:tcPr>
          <w:p>
            <w:pPr>
              <w:pStyle w:val="64"/>
              <w:rPr>
                <w:rFonts w:hAnsi="宋体"/>
                <w:highlight w:val="none"/>
              </w:rPr>
            </w:pPr>
          </w:p>
        </w:tc>
        <w:tc>
          <w:tcPr>
            <w:tcW w:w="10483" w:type="dxa"/>
            <w:gridSpan w:val="4"/>
            <w:vAlign w:val="center"/>
          </w:tcPr>
          <w:p>
            <w:pPr>
              <w:pStyle w:val="64"/>
              <w:jc w:val="left"/>
              <w:rPr>
                <w:rFonts w:hAnsi="宋体"/>
                <w:highlight w:val="none"/>
              </w:rPr>
            </w:pPr>
            <w:r>
              <w:rPr>
                <w:rFonts w:hAnsi="宋体"/>
                <w:spacing w:val="-1"/>
                <w:highlight w:val="none"/>
              </w:rPr>
              <w:t>注</w:t>
            </w:r>
            <w:r>
              <w:rPr>
                <w:rFonts w:hAnsi="宋体"/>
                <w:highlight w:val="none"/>
              </w:rPr>
              <w:t>：</w:t>
            </w:r>
          </w:p>
          <w:p>
            <w:pPr>
              <w:pStyle w:val="64"/>
              <w:jc w:val="left"/>
              <w:rPr>
                <w:rFonts w:hAnsi="宋体"/>
                <w:highlight w:val="none"/>
              </w:rPr>
            </w:pPr>
            <w:r>
              <w:rPr>
                <w:rFonts w:hAnsi="宋体"/>
                <w:spacing w:val="-1"/>
                <w:highlight w:val="none"/>
              </w:rPr>
              <w:t>（</w:t>
            </w:r>
            <w:r>
              <w:rPr>
                <w:rFonts w:hAnsi="宋体" w:cs="hakuyoxingshu7000"/>
                <w:spacing w:val="1"/>
                <w:highlight w:val="none"/>
              </w:rPr>
              <w:t>1</w:t>
            </w:r>
            <w:r>
              <w:rPr>
                <w:rFonts w:hAnsi="宋体"/>
                <w:highlight w:val="none"/>
              </w:rPr>
              <w:t>）</w:t>
            </w:r>
            <w:r>
              <w:rPr>
                <w:rFonts w:hAnsi="宋体"/>
                <w:spacing w:val="-1"/>
                <w:highlight w:val="none"/>
              </w:rPr>
              <w:t>下</w:t>
            </w:r>
            <w:r>
              <w:rPr>
                <w:rFonts w:hAnsi="宋体"/>
                <w:spacing w:val="2"/>
                <w:highlight w:val="none"/>
              </w:rPr>
              <w:t>游</w:t>
            </w:r>
            <w:r>
              <w:rPr>
                <w:rFonts w:hAnsi="宋体"/>
                <w:spacing w:val="-1"/>
                <w:highlight w:val="none"/>
              </w:rPr>
              <w:t>涉</w:t>
            </w:r>
            <w:r>
              <w:rPr>
                <w:rFonts w:hAnsi="宋体"/>
                <w:spacing w:val="2"/>
                <w:highlight w:val="none"/>
              </w:rPr>
              <w:t>及</w:t>
            </w:r>
            <w:r>
              <w:rPr>
                <w:rFonts w:hAnsi="宋体"/>
                <w:spacing w:val="-1"/>
                <w:highlight w:val="none"/>
              </w:rPr>
              <w:t>的</w:t>
            </w:r>
            <w:r>
              <w:rPr>
                <w:rFonts w:hAnsi="宋体"/>
                <w:spacing w:val="2"/>
                <w:highlight w:val="none"/>
              </w:rPr>
              <w:t>跨</w:t>
            </w:r>
            <w:r>
              <w:rPr>
                <w:rFonts w:hAnsi="宋体"/>
                <w:spacing w:val="-1"/>
                <w:highlight w:val="none"/>
              </w:rPr>
              <w:t>界</w:t>
            </w:r>
            <w:r>
              <w:rPr>
                <w:rFonts w:hAnsi="宋体"/>
                <w:spacing w:val="2"/>
                <w:highlight w:val="none"/>
              </w:rPr>
              <w:t>情</w:t>
            </w:r>
            <w:r>
              <w:rPr>
                <w:rFonts w:hAnsi="宋体"/>
                <w:spacing w:val="-1"/>
                <w:highlight w:val="none"/>
              </w:rPr>
              <w:t>况</w:t>
            </w:r>
            <w:r>
              <w:rPr>
                <w:rFonts w:hAnsi="宋体"/>
                <w:spacing w:val="2"/>
                <w:highlight w:val="none"/>
              </w:rPr>
              <w:t>：</w:t>
            </w:r>
            <w:r>
              <w:rPr>
                <w:rFonts w:hAnsi="宋体"/>
                <w:spacing w:val="-1"/>
                <w:highlight w:val="none"/>
              </w:rPr>
              <w:t>指</w:t>
            </w:r>
            <w:r>
              <w:rPr>
                <w:rFonts w:hAnsi="宋体"/>
                <w:spacing w:val="2"/>
                <w:highlight w:val="none"/>
              </w:rPr>
              <w:t>沿</w:t>
            </w:r>
            <w:r>
              <w:rPr>
                <w:rFonts w:hAnsi="宋体"/>
                <w:spacing w:val="-1"/>
                <w:highlight w:val="none"/>
              </w:rPr>
              <w:t>着</w:t>
            </w:r>
            <w:r>
              <w:rPr>
                <w:rFonts w:hAnsi="宋体"/>
                <w:spacing w:val="2"/>
                <w:highlight w:val="none"/>
              </w:rPr>
              <w:t>尾</w:t>
            </w:r>
            <w:r>
              <w:rPr>
                <w:rFonts w:hAnsi="宋体"/>
                <w:spacing w:val="-1"/>
                <w:highlight w:val="none"/>
              </w:rPr>
              <w:t>矿</w:t>
            </w:r>
            <w:r>
              <w:rPr>
                <w:rFonts w:hAnsi="宋体"/>
                <w:spacing w:val="2"/>
                <w:highlight w:val="none"/>
              </w:rPr>
              <w:t>库</w:t>
            </w:r>
            <w:r>
              <w:rPr>
                <w:rFonts w:hAnsi="宋体"/>
                <w:spacing w:val="-1"/>
                <w:highlight w:val="none"/>
              </w:rPr>
              <w:t>事</w:t>
            </w:r>
            <w:r>
              <w:rPr>
                <w:rFonts w:hAnsi="宋体"/>
                <w:spacing w:val="2"/>
                <w:highlight w:val="none"/>
              </w:rPr>
              <w:t>故</w:t>
            </w:r>
            <w:r>
              <w:rPr>
                <w:rFonts w:hAnsi="宋体"/>
                <w:spacing w:val="-1"/>
                <w:highlight w:val="none"/>
              </w:rPr>
              <w:t>后</w:t>
            </w:r>
            <w:r>
              <w:rPr>
                <w:rFonts w:hAnsi="宋体"/>
                <w:spacing w:val="2"/>
                <w:highlight w:val="none"/>
              </w:rPr>
              <w:t>污</w:t>
            </w:r>
            <w:r>
              <w:rPr>
                <w:rFonts w:hAnsi="宋体"/>
                <w:spacing w:val="-1"/>
                <w:highlight w:val="none"/>
              </w:rPr>
              <w:t>染</w:t>
            </w:r>
            <w:r>
              <w:rPr>
                <w:rFonts w:hAnsi="宋体"/>
                <w:spacing w:val="2"/>
                <w:highlight w:val="none"/>
              </w:rPr>
              <w:t>物</w:t>
            </w:r>
            <w:r>
              <w:rPr>
                <w:rFonts w:hAnsi="宋体"/>
                <w:spacing w:val="-1"/>
                <w:highlight w:val="none"/>
              </w:rPr>
              <w:t>的</w:t>
            </w:r>
            <w:r>
              <w:rPr>
                <w:rFonts w:hAnsi="宋体"/>
                <w:spacing w:val="2"/>
                <w:highlight w:val="none"/>
              </w:rPr>
              <w:t>可</w:t>
            </w:r>
            <w:r>
              <w:rPr>
                <w:rFonts w:hAnsi="宋体"/>
                <w:spacing w:val="-1"/>
                <w:highlight w:val="none"/>
              </w:rPr>
              <w:t>能</w:t>
            </w:r>
            <w:r>
              <w:rPr>
                <w:rFonts w:hAnsi="宋体"/>
                <w:spacing w:val="2"/>
                <w:highlight w:val="none"/>
              </w:rPr>
              <w:t>流</w:t>
            </w:r>
            <w:r>
              <w:rPr>
                <w:rFonts w:hAnsi="宋体"/>
                <w:highlight w:val="none"/>
              </w:rPr>
              <w:t>向</w:t>
            </w:r>
            <w:r>
              <w:rPr>
                <w:rFonts w:hAnsi="宋体" w:cs="hakuyoxingshu7000"/>
                <w:spacing w:val="1"/>
                <w:highlight w:val="none"/>
              </w:rPr>
              <w:t>1</w:t>
            </w:r>
            <w:r>
              <w:rPr>
                <w:rFonts w:hAnsi="宋体" w:cs="hakuyoxingshu7000"/>
                <w:highlight w:val="none"/>
              </w:rPr>
              <w:t>0</w:t>
            </w:r>
            <w:r>
              <w:rPr>
                <w:rFonts w:hAnsi="宋体"/>
                <w:spacing w:val="-1"/>
                <w:highlight w:val="none"/>
              </w:rPr>
              <w:t>公</w:t>
            </w:r>
            <w:r>
              <w:rPr>
                <w:rFonts w:hAnsi="宋体"/>
                <w:spacing w:val="2"/>
                <w:highlight w:val="none"/>
              </w:rPr>
              <w:t>里</w:t>
            </w:r>
            <w:r>
              <w:rPr>
                <w:rFonts w:hAnsi="宋体"/>
                <w:spacing w:val="-1"/>
                <w:highlight w:val="none"/>
              </w:rPr>
              <w:t>评</w:t>
            </w:r>
            <w:r>
              <w:rPr>
                <w:rFonts w:hAnsi="宋体"/>
                <w:spacing w:val="2"/>
                <w:highlight w:val="none"/>
              </w:rPr>
              <w:t>估</w:t>
            </w:r>
            <w:r>
              <w:rPr>
                <w:rFonts w:hAnsi="宋体"/>
                <w:spacing w:val="-1"/>
                <w:highlight w:val="none"/>
              </w:rPr>
              <w:t>范</w:t>
            </w:r>
            <w:r>
              <w:rPr>
                <w:rFonts w:hAnsi="宋体"/>
                <w:spacing w:val="2"/>
                <w:highlight w:val="none"/>
              </w:rPr>
              <w:t>围</w:t>
            </w:r>
            <w:r>
              <w:rPr>
                <w:rFonts w:hAnsi="宋体"/>
                <w:spacing w:val="-1"/>
                <w:highlight w:val="none"/>
              </w:rPr>
              <w:t>（</w:t>
            </w:r>
            <w:r>
              <w:rPr>
                <w:rFonts w:hAnsi="宋体"/>
                <w:spacing w:val="2"/>
                <w:highlight w:val="none"/>
              </w:rPr>
              <w:t>根</w:t>
            </w:r>
            <w:r>
              <w:rPr>
                <w:rFonts w:hAnsi="宋体"/>
                <w:spacing w:val="-1"/>
                <w:highlight w:val="none"/>
              </w:rPr>
              <w:t>据</w:t>
            </w:r>
            <w:r>
              <w:rPr>
                <w:rFonts w:hAnsi="宋体"/>
                <w:spacing w:val="2"/>
                <w:highlight w:val="none"/>
              </w:rPr>
              <w:t>实</w:t>
            </w:r>
            <w:r>
              <w:rPr>
                <w:rFonts w:hAnsi="宋体"/>
                <w:spacing w:val="-1"/>
                <w:highlight w:val="none"/>
              </w:rPr>
              <w:t>际</w:t>
            </w:r>
            <w:r>
              <w:rPr>
                <w:rFonts w:hAnsi="宋体"/>
                <w:spacing w:val="2"/>
                <w:highlight w:val="none"/>
              </w:rPr>
              <w:t>情</w:t>
            </w:r>
            <w:r>
              <w:rPr>
                <w:rFonts w:hAnsi="宋体"/>
                <w:spacing w:val="-1"/>
                <w:highlight w:val="none"/>
              </w:rPr>
              <w:t>况</w:t>
            </w:r>
            <w:r>
              <w:rPr>
                <w:rFonts w:hAnsi="宋体"/>
                <w:spacing w:val="2"/>
                <w:highlight w:val="none"/>
              </w:rPr>
              <w:t>可</w:t>
            </w:r>
            <w:r>
              <w:rPr>
                <w:rFonts w:hAnsi="宋体"/>
                <w:spacing w:val="-1"/>
                <w:highlight w:val="none"/>
              </w:rPr>
              <w:t>以</w:t>
            </w:r>
            <w:r>
              <w:rPr>
                <w:rFonts w:hAnsi="宋体"/>
                <w:spacing w:val="2"/>
                <w:highlight w:val="none"/>
              </w:rPr>
              <w:t>适</w:t>
            </w:r>
            <w:r>
              <w:rPr>
                <w:rFonts w:hAnsi="宋体"/>
                <w:spacing w:val="-1"/>
                <w:highlight w:val="none"/>
              </w:rPr>
              <w:t>当</w:t>
            </w:r>
            <w:r>
              <w:rPr>
                <w:rFonts w:hAnsi="宋体"/>
                <w:highlight w:val="none"/>
              </w:rPr>
              <w:t>扩</w:t>
            </w:r>
            <w:r>
              <w:rPr>
                <w:rFonts w:hAnsi="宋体"/>
                <w:spacing w:val="-1"/>
                <w:highlight w:val="none"/>
              </w:rPr>
              <w:t>大</w:t>
            </w:r>
            <w:r>
              <w:rPr>
                <w:rFonts w:hAnsi="宋体"/>
                <w:spacing w:val="2"/>
                <w:highlight w:val="none"/>
              </w:rPr>
              <w:t>评</w:t>
            </w:r>
            <w:r>
              <w:rPr>
                <w:rFonts w:hAnsi="宋体"/>
                <w:spacing w:val="-1"/>
                <w:highlight w:val="none"/>
              </w:rPr>
              <w:t>估</w:t>
            </w:r>
            <w:r>
              <w:rPr>
                <w:rFonts w:hAnsi="宋体"/>
                <w:spacing w:val="2"/>
                <w:highlight w:val="none"/>
              </w:rPr>
              <w:t>距</w:t>
            </w:r>
            <w:r>
              <w:rPr>
                <w:rFonts w:hAnsi="宋体"/>
                <w:spacing w:val="-1"/>
                <w:highlight w:val="none"/>
              </w:rPr>
              <w:t>离</w:t>
            </w:r>
            <w:r>
              <w:rPr>
                <w:rFonts w:hAnsi="宋体"/>
                <w:spacing w:val="2"/>
                <w:highlight w:val="none"/>
              </w:rPr>
              <w:t>）</w:t>
            </w:r>
            <w:r>
              <w:rPr>
                <w:rFonts w:hAnsi="宋体"/>
                <w:spacing w:val="-1"/>
                <w:highlight w:val="none"/>
              </w:rPr>
              <w:t>内</w:t>
            </w:r>
            <w:r>
              <w:rPr>
                <w:rFonts w:hAnsi="宋体"/>
                <w:spacing w:val="2"/>
                <w:highlight w:val="none"/>
              </w:rPr>
              <w:t>存</w:t>
            </w:r>
            <w:r>
              <w:rPr>
                <w:rFonts w:hAnsi="宋体"/>
                <w:spacing w:val="-1"/>
                <w:highlight w:val="none"/>
              </w:rPr>
              <w:t>在</w:t>
            </w:r>
            <w:r>
              <w:rPr>
                <w:rFonts w:hAnsi="宋体"/>
                <w:spacing w:val="2"/>
                <w:highlight w:val="none"/>
              </w:rPr>
              <w:t>行</w:t>
            </w:r>
            <w:r>
              <w:rPr>
                <w:rFonts w:hAnsi="宋体"/>
                <w:spacing w:val="-1"/>
                <w:highlight w:val="none"/>
              </w:rPr>
              <w:t>政</w:t>
            </w:r>
            <w:r>
              <w:rPr>
                <w:rFonts w:hAnsi="宋体"/>
                <w:spacing w:val="2"/>
                <w:highlight w:val="none"/>
              </w:rPr>
              <w:t>区</w:t>
            </w:r>
            <w:r>
              <w:rPr>
                <w:rFonts w:hAnsi="宋体"/>
                <w:spacing w:val="-1"/>
                <w:highlight w:val="none"/>
              </w:rPr>
              <w:t>边</w:t>
            </w:r>
            <w:r>
              <w:rPr>
                <w:rFonts w:hAnsi="宋体"/>
                <w:spacing w:val="2"/>
                <w:highlight w:val="none"/>
              </w:rPr>
              <w:t>界</w:t>
            </w:r>
            <w:r>
              <w:rPr>
                <w:rFonts w:hAnsi="宋体"/>
                <w:spacing w:val="-1"/>
                <w:highlight w:val="none"/>
              </w:rPr>
              <w:t>的</w:t>
            </w:r>
            <w:r>
              <w:rPr>
                <w:rFonts w:hAnsi="宋体"/>
                <w:spacing w:val="2"/>
                <w:highlight w:val="none"/>
              </w:rPr>
              <w:t>情</w:t>
            </w:r>
            <w:r>
              <w:rPr>
                <w:rFonts w:hAnsi="宋体"/>
                <w:spacing w:val="-1"/>
                <w:highlight w:val="none"/>
              </w:rPr>
              <w:t>况</w:t>
            </w:r>
            <w:r>
              <w:rPr>
                <w:rFonts w:hAnsi="宋体"/>
                <w:spacing w:val="2"/>
                <w:highlight w:val="none"/>
              </w:rPr>
              <w:t>。</w:t>
            </w:r>
            <w:r>
              <w:rPr>
                <w:rFonts w:hAnsi="宋体"/>
                <w:spacing w:val="-1"/>
                <w:highlight w:val="none"/>
              </w:rPr>
              <w:t>如</w:t>
            </w:r>
            <w:r>
              <w:rPr>
                <w:rFonts w:hAnsi="宋体"/>
                <w:spacing w:val="2"/>
                <w:highlight w:val="none"/>
              </w:rPr>
              <w:t>果</w:t>
            </w:r>
            <w:r>
              <w:rPr>
                <w:rFonts w:hAnsi="宋体"/>
                <w:spacing w:val="-1"/>
                <w:highlight w:val="none"/>
              </w:rPr>
              <w:t>涉</w:t>
            </w:r>
            <w:r>
              <w:rPr>
                <w:rFonts w:hAnsi="宋体"/>
                <w:spacing w:val="2"/>
                <w:highlight w:val="none"/>
              </w:rPr>
              <w:t>及</w:t>
            </w:r>
            <w:r>
              <w:rPr>
                <w:rFonts w:hAnsi="宋体"/>
                <w:spacing w:val="-1"/>
                <w:highlight w:val="none"/>
              </w:rPr>
              <w:t>多</w:t>
            </w:r>
            <w:r>
              <w:rPr>
                <w:rFonts w:hAnsi="宋体"/>
                <w:spacing w:val="2"/>
                <w:highlight w:val="none"/>
              </w:rPr>
              <w:t>种</w:t>
            </w:r>
            <w:r>
              <w:rPr>
                <w:rFonts w:hAnsi="宋体"/>
                <w:spacing w:val="-1"/>
                <w:highlight w:val="none"/>
              </w:rPr>
              <w:t>类</w:t>
            </w:r>
            <w:r>
              <w:rPr>
                <w:rFonts w:hAnsi="宋体"/>
                <w:spacing w:val="2"/>
                <w:highlight w:val="none"/>
              </w:rPr>
              <w:t>型</w:t>
            </w:r>
            <w:r>
              <w:rPr>
                <w:rFonts w:hAnsi="宋体"/>
                <w:spacing w:val="-1"/>
                <w:highlight w:val="none"/>
              </w:rPr>
              <w:t>，</w:t>
            </w:r>
            <w:r>
              <w:rPr>
                <w:rFonts w:hAnsi="宋体"/>
                <w:spacing w:val="2"/>
                <w:highlight w:val="none"/>
              </w:rPr>
              <w:t>以</w:t>
            </w:r>
            <w:r>
              <w:rPr>
                <w:rFonts w:hAnsi="宋体"/>
                <w:spacing w:val="-1"/>
                <w:highlight w:val="none"/>
              </w:rPr>
              <w:t>等</w:t>
            </w:r>
            <w:r>
              <w:rPr>
                <w:rFonts w:hAnsi="宋体"/>
                <w:spacing w:val="2"/>
                <w:highlight w:val="none"/>
              </w:rPr>
              <w:t>级</w:t>
            </w:r>
            <w:r>
              <w:rPr>
                <w:rFonts w:hAnsi="宋体"/>
                <w:spacing w:val="-1"/>
                <w:highlight w:val="none"/>
              </w:rPr>
              <w:t>最</w:t>
            </w:r>
            <w:r>
              <w:rPr>
                <w:rFonts w:hAnsi="宋体"/>
                <w:spacing w:val="2"/>
                <w:highlight w:val="none"/>
              </w:rPr>
              <w:t>高</w:t>
            </w:r>
            <w:r>
              <w:rPr>
                <w:rFonts w:hAnsi="宋体"/>
                <w:spacing w:val="-1"/>
                <w:highlight w:val="none"/>
              </w:rPr>
              <w:t>的</w:t>
            </w:r>
            <w:r>
              <w:rPr>
                <w:rFonts w:hAnsi="宋体"/>
                <w:spacing w:val="2"/>
                <w:highlight w:val="none"/>
              </w:rPr>
              <w:t>行</w:t>
            </w:r>
            <w:r>
              <w:rPr>
                <w:rFonts w:hAnsi="宋体"/>
                <w:spacing w:val="-1"/>
                <w:highlight w:val="none"/>
              </w:rPr>
              <w:t>政</w:t>
            </w:r>
            <w:r>
              <w:rPr>
                <w:rFonts w:hAnsi="宋体"/>
                <w:spacing w:val="2"/>
                <w:highlight w:val="none"/>
              </w:rPr>
              <w:t>区</w:t>
            </w:r>
            <w:r>
              <w:rPr>
                <w:rFonts w:hAnsi="宋体"/>
                <w:spacing w:val="-1"/>
                <w:highlight w:val="none"/>
              </w:rPr>
              <w:t>边</w:t>
            </w:r>
            <w:r>
              <w:rPr>
                <w:rFonts w:hAnsi="宋体"/>
                <w:spacing w:val="2"/>
                <w:highlight w:val="none"/>
              </w:rPr>
              <w:t>界</w:t>
            </w:r>
            <w:r>
              <w:rPr>
                <w:rFonts w:hAnsi="宋体"/>
                <w:spacing w:val="-1"/>
                <w:highlight w:val="none"/>
              </w:rPr>
              <w:t>进</w:t>
            </w:r>
            <w:r>
              <w:rPr>
                <w:rFonts w:hAnsi="宋体"/>
                <w:spacing w:val="2"/>
                <w:highlight w:val="none"/>
              </w:rPr>
              <w:t>行</w:t>
            </w:r>
            <w:r>
              <w:rPr>
                <w:rFonts w:hAnsi="宋体"/>
                <w:spacing w:val="-1"/>
                <w:highlight w:val="none"/>
              </w:rPr>
              <w:t>计</w:t>
            </w:r>
            <w:r>
              <w:rPr>
                <w:rFonts w:hAnsi="宋体"/>
                <w:spacing w:val="2"/>
                <w:highlight w:val="none"/>
              </w:rPr>
              <w:t>算</w:t>
            </w:r>
            <w:r>
              <w:rPr>
                <w:rFonts w:hAnsi="宋体"/>
                <w:highlight w:val="none"/>
              </w:rPr>
              <w:t>。</w:t>
            </w:r>
          </w:p>
          <w:p>
            <w:pPr>
              <w:pStyle w:val="64"/>
              <w:jc w:val="left"/>
              <w:rPr>
                <w:rFonts w:hAnsi="宋体"/>
                <w:highlight w:val="none"/>
              </w:rPr>
            </w:pPr>
            <w:r>
              <w:rPr>
                <w:rFonts w:hAnsi="宋体"/>
                <w:spacing w:val="-1"/>
                <w:w w:val="95"/>
                <w:highlight w:val="none"/>
              </w:rPr>
              <w:t>（</w:t>
            </w:r>
            <w:r>
              <w:rPr>
                <w:rFonts w:hAnsi="宋体" w:cs="hakuyoxingshu7000"/>
                <w:w w:val="95"/>
                <w:highlight w:val="none"/>
              </w:rPr>
              <w:t>2</w:t>
            </w:r>
            <w:r>
              <w:rPr>
                <w:rFonts w:hAnsi="宋体"/>
                <w:w w:val="95"/>
                <w:highlight w:val="none"/>
              </w:rPr>
              <w:t>）</w:t>
            </w:r>
            <w:r>
              <w:rPr>
                <w:rFonts w:hAnsi="宋体"/>
                <w:spacing w:val="-1"/>
                <w:w w:val="95"/>
                <w:highlight w:val="none"/>
              </w:rPr>
              <w:t>周</w:t>
            </w:r>
            <w:r>
              <w:rPr>
                <w:rFonts w:hAnsi="宋体"/>
                <w:spacing w:val="1"/>
                <w:w w:val="95"/>
                <w:highlight w:val="none"/>
              </w:rPr>
              <w:t>边</w:t>
            </w:r>
            <w:r>
              <w:rPr>
                <w:rFonts w:hAnsi="宋体"/>
                <w:spacing w:val="-1"/>
                <w:w w:val="95"/>
                <w:highlight w:val="none"/>
              </w:rPr>
              <w:t>环</w:t>
            </w:r>
            <w:r>
              <w:rPr>
                <w:rFonts w:hAnsi="宋体"/>
                <w:spacing w:val="1"/>
                <w:w w:val="95"/>
                <w:highlight w:val="none"/>
              </w:rPr>
              <w:t>境</w:t>
            </w:r>
            <w:r>
              <w:rPr>
                <w:rFonts w:hAnsi="宋体"/>
                <w:spacing w:val="-1"/>
                <w:w w:val="95"/>
                <w:highlight w:val="none"/>
              </w:rPr>
              <w:t>风</w:t>
            </w:r>
            <w:r>
              <w:rPr>
                <w:rFonts w:hAnsi="宋体"/>
                <w:spacing w:val="1"/>
                <w:w w:val="95"/>
                <w:highlight w:val="none"/>
              </w:rPr>
              <w:t>险</w:t>
            </w:r>
            <w:r>
              <w:rPr>
                <w:rFonts w:hAnsi="宋体"/>
                <w:spacing w:val="-1"/>
                <w:w w:val="95"/>
                <w:highlight w:val="none"/>
              </w:rPr>
              <w:t>受</w:t>
            </w:r>
            <w:r>
              <w:rPr>
                <w:rFonts w:hAnsi="宋体"/>
                <w:spacing w:val="1"/>
                <w:w w:val="95"/>
                <w:highlight w:val="none"/>
              </w:rPr>
              <w:t>体</w:t>
            </w:r>
            <w:r>
              <w:rPr>
                <w:rFonts w:hAnsi="宋体"/>
                <w:spacing w:val="-1"/>
                <w:w w:val="95"/>
                <w:highlight w:val="none"/>
              </w:rPr>
              <w:t>情</w:t>
            </w:r>
            <w:r>
              <w:rPr>
                <w:rFonts w:hAnsi="宋体"/>
                <w:spacing w:val="1"/>
                <w:w w:val="95"/>
                <w:highlight w:val="none"/>
              </w:rPr>
              <w:t>况</w:t>
            </w:r>
            <w:r>
              <w:rPr>
                <w:rFonts w:hAnsi="宋体"/>
                <w:spacing w:val="-22"/>
                <w:w w:val="95"/>
                <w:highlight w:val="none"/>
              </w:rPr>
              <w:t>：</w:t>
            </w:r>
            <w:r>
              <w:rPr>
                <w:rFonts w:hAnsi="宋体"/>
                <w:spacing w:val="-1"/>
                <w:w w:val="95"/>
                <w:highlight w:val="none"/>
              </w:rPr>
              <w:t>包</w:t>
            </w:r>
            <w:r>
              <w:rPr>
                <w:rFonts w:hAnsi="宋体"/>
                <w:w w:val="95"/>
                <w:highlight w:val="none"/>
              </w:rPr>
              <w:t>括</w:t>
            </w:r>
            <w:r>
              <w:rPr>
                <w:rFonts w:hAnsi="宋体" w:cs="hakuyoxingshu7000"/>
                <w:w w:val="95"/>
                <w:highlight w:val="none"/>
              </w:rPr>
              <w:t>1</w:t>
            </w:r>
            <w:r>
              <w:rPr>
                <w:rFonts w:hAnsi="宋体"/>
                <w:spacing w:val="-20"/>
                <w:w w:val="95"/>
                <w:highlight w:val="none"/>
              </w:rPr>
              <w:t>）</w:t>
            </w:r>
            <w:r>
              <w:rPr>
                <w:rFonts w:hAnsi="宋体" w:cs="hakuyoxingshu7000"/>
                <w:spacing w:val="-5"/>
                <w:w w:val="95"/>
                <w:highlight w:val="none"/>
              </w:rPr>
              <w:t>“</w:t>
            </w:r>
            <w:r>
              <w:rPr>
                <w:rFonts w:hAnsi="宋体"/>
                <w:spacing w:val="-1"/>
                <w:w w:val="95"/>
                <w:highlight w:val="none"/>
              </w:rPr>
              <w:t>所</w:t>
            </w:r>
            <w:r>
              <w:rPr>
                <w:rFonts w:hAnsi="宋体"/>
                <w:spacing w:val="1"/>
                <w:w w:val="95"/>
                <w:highlight w:val="none"/>
              </w:rPr>
              <w:t>在</w:t>
            </w:r>
            <w:r>
              <w:rPr>
                <w:rFonts w:hAnsi="宋体"/>
                <w:spacing w:val="-1"/>
                <w:w w:val="95"/>
                <w:highlight w:val="none"/>
              </w:rPr>
              <w:t>区</w:t>
            </w:r>
            <w:r>
              <w:rPr>
                <w:rFonts w:hAnsi="宋体"/>
                <w:spacing w:val="1"/>
                <w:w w:val="95"/>
                <w:highlight w:val="none"/>
              </w:rPr>
              <w:t>域</w:t>
            </w:r>
            <w:r>
              <w:rPr>
                <w:rFonts w:hAnsi="宋体" w:cs="hakuyoxingshu7000"/>
                <w:spacing w:val="2"/>
                <w:w w:val="95"/>
                <w:highlight w:val="none"/>
              </w:rPr>
              <w:t>”</w:t>
            </w:r>
            <w:r>
              <w:rPr>
                <w:rFonts w:hAnsi="宋体"/>
                <w:spacing w:val="-1"/>
                <w:w w:val="95"/>
                <w:highlight w:val="none"/>
              </w:rPr>
              <w:t>敏</w:t>
            </w:r>
            <w:r>
              <w:rPr>
                <w:rFonts w:hAnsi="宋体"/>
                <w:spacing w:val="1"/>
                <w:w w:val="95"/>
                <w:highlight w:val="none"/>
              </w:rPr>
              <w:t>感</w:t>
            </w:r>
            <w:r>
              <w:rPr>
                <w:rFonts w:hAnsi="宋体"/>
                <w:spacing w:val="-1"/>
                <w:w w:val="95"/>
                <w:highlight w:val="none"/>
              </w:rPr>
              <w:t>性</w:t>
            </w:r>
            <w:r>
              <w:rPr>
                <w:rFonts w:hAnsi="宋体"/>
                <w:spacing w:val="1"/>
                <w:w w:val="95"/>
                <w:highlight w:val="none"/>
              </w:rPr>
              <w:t>情况</w:t>
            </w:r>
            <w:r>
              <w:rPr>
                <w:rFonts w:hAnsi="宋体"/>
                <w:spacing w:val="-22"/>
                <w:w w:val="95"/>
                <w:highlight w:val="none"/>
              </w:rPr>
              <w:t>；</w:t>
            </w:r>
            <w:r>
              <w:rPr>
                <w:rFonts w:hAnsi="宋体" w:cs="hakuyoxingshu7000"/>
                <w:w w:val="95"/>
                <w:highlight w:val="none"/>
              </w:rPr>
              <w:t>2</w:t>
            </w:r>
            <w:r>
              <w:rPr>
                <w:rFonts w:hAnsi="宋体"/>
                <w:spacing w:val="-20"/>
                <w:w w:val="95"/>
                <w:highlight w:val="none"/>
              </w:rPr>
              <w:t>）</w:t>
            </w:r>
            <w:r>
              <w:rPr>
                <w:rFonts w:hAnsi="宋体" w:cs="hakuyoxingshu7000"/>
                <w:spacing w:val="2"/>
                <w:w w:val="95"/>
                <w:highlight w:val="none"/>
              </w:rPr>
              <w:t>“</w:t>
            </w:r>
            <w:r>
              <w:rPr>
                <w:rFonts w:hAnsi="宋体"/>
                <w:spacing w:val="-1"/>
                <w:w w:val="95"/>
                <w:highlight w:val="none"/>
              </w:rPr>
              <w:t>尾</w:t>
            </w:r>
            <w:r>
              <w:rPr>
                <w:rFonts w:hAnsi="宋体"/>
                <w:spacing w:val="1"/>
                <w:w w:val="95"/>
                <w:highlight w:val="none"/>
              </w:rPr>
              <w:t>矿</w:t>
            </w:r>
            <w:r>
              <w:rPr>
                <w:rFonts w:hAnsi="宋体"/>
                <w:spacing w:val="-1"/>
                <w:w w:val="95"/>
                <w:highlight w:val="none"/>
              </w:rPr>
              <w:t>库</w:t>
            </w:r>
            <w:r>
              <w:rPr>
                <w:rFonts w:hAnsi="宋体"/>
                <w:spacing w:val="1"/>
                <w:w w:val="95"/>
                <w:highlight w:val="none"/>
              </w:rPr>
              <w:t>下</w:t>
            </w:r>
            <w:r>
              <w:rPr>
                <w:rFonts w:hAnsi="宋体"/>
                <w:spacing w:val="-1"/>
                <w:w w:val="95"/>
                <w:highlight w:val="none"/>
              </w:rPr>
              <w:t>游</w:t>
            </w:r>
            <w:r>
              <w:rPr>
                <w:rFonts w:hAnsi="宋体"/>
                <w:spacing w:val="1"/>
                <w:w w:val="95"/>
                <w:highlight w:val="none"/>
              </w:rPr>
              <w:t>涉</w:t>
            </w:r>
            <w:r>
              <w:rPr>
                <w:rFonts w:hAnsi="宋体"/>
                <w:spacing w:val="-1"/>
                <w:w w:val="95"/>
                <w:highlight w:val="none"/>
              </w:rPr>
              <w:t>及</w:t>
            </w:r>
            <w:r>
              <w:rPr>
                <w:rFonts w:hAnsi="宋体"/>
                <w:spacing w:val="1"/>
                <w:w w:val="95"/>
                <w:highlight w:val="none"/>
              </w:rPr>
              <w:t>水</w:t>
            </w:r>
            <w:r>
              <w:rPr>
                <w:rFonts w:hAnsi="宋体"/>
                <w:spacing w:val="-1"/>
                <w:w w:val="95"/>
                <w:highlight w:val="none"/>
              </w:rPr>
              <w:t>环</w:t>
            </w:r>
            <w:r>
              <w:rPr>
                <w:rFonts w:hAnsi="宋体"/>
                <w:spacing w:val="1"/>
                <w:w w:val="95"/>
                <w:highlight w:val="none"/>
              </w:rPr>
              <w:t>境</w:t>
            </w:r>
            <w:r>
              <w:rPr>
                <w:rFonts w:hAnsi="宋体"/>
                <w:spacing w:val="-1"/>
                <w:w w:val="95"/>
                <w:highlight w:val="none"/>
              </w:rPr>
              <w:t>风</w:t>
            </w:r>
            <w:r>
              <w:rPr>
                <w:rFonts w:hAnsi="宋体"/>
                <w:spacing w:val="1"/>
                <w:w w:val="95"/>
                <w:highlight w:val="none"/>
              </w:rPr>
              <w:t>险</w:t>
            </w:r>
            <w:r>
              <w:rPr>
                <w:rFonts w:hAnsi="宋体"/>
                <w:spacing w:val="-1"/>
                <w:w w:val="95"/>
                <w:highlight w:val="none"/>
              </w:rPr>
              <w:t>受</w:t>
            </w:r>
            <w:r>
              <w:rPr>
                <w:rFonts w:hAnsi="宋体"/>
                <w:spacing w:val="1"/>
                <w:w w:val="95"/>
                <w:highlight w:val="none"/>
              </w:rPr>
              <w:t>体</w:t>
            </w:r>
            <w:r>
              <w:rPr>
                <w:rFonts w:hAnsi="宋体" w:cs="hakuyoxingshu7000"/>
                <w:spacing w:val="-5"/>
                <w:w w:val="95"/>
                <w:highlight w:val="none"/>
              </w:rPr>
              <w:t>”</w:t>
            </w:r>
            <w:r>
              <w:rPr>
                <w:rFonts w:hAnsi="宋体"/>
                <w:spacing w:val="-1"/>
                <w:w w:val="95"/>
                <w:highlight w:val="none"/>
              </w:rPr>
              <w:t>敏</w:t>
            </w:r>
            <w:r>
              <w:rPr>
                <w:rFonts w:hAnsi="宋体"/>
                <w:spacing w:val="1"/>
                <w:w w:val="95"/>
                <w:highlight w:val="none"/>
              </w:rPr>
              <w:t>感</w:t>
            </w:r>
            <w:r>
              <w:rPr>
                <w:rFonts w:hAnsi="宋体"/>
                <w:spacing w:val="-1"/>
                <w:w w:val="95"/>
                <w:highlight w:val="none"/>
              </w:rPr>
              <w:t>性</w:t>
            </w:r>
            <w:r>
              <w:rPr>
                <w:rFonts w:hAnsi="宋体"/>
                <w:spacing w:val="1"/>
                <w:w w:val="95"/>
                <w:highlight w:val="none"/>
              </w:rPr>
              <w:t>情况</w:t>
            </w:r>
            <w:r>
              <w:rPr>
                <w:rFonts w:hAnsi="宋体"/>
                <w:w w:val="95"/>
                <w:highlight w:val="none"/>
              </w:rPr>
              <w:t>；</w:t>
            </w:r>
            <w:r>
              <w:rPr>
                <w:rFonts w:hAnsi="宋体" w:cs="hakuyoxingshu7000"/>
                <w:w w:val="95"/>
                <w:highlight w:val="none"/>
              </w:rPr>
              <w:t>3</w:t>
            </w:r>
            <w:r>
              <w:rPr>
                <w:rFonts w:hAnsi="宋体"/>
                <w:spacing w:val="-51"/>
                <w:w w:val="95"/>
                <w:highlight w:val="none"/>
              </w:rPr>
              <w:t>）</w:t>
            </w:r>
            <w:r>
              <w:rPr>
                <w:rFonts w:hAnsi="宋体" w:cs="hakuyoxingshu7000"/>
                <w:spacing w:val="2"/>
                <w:w w:val="95"/>
                <w:highlight w:val="none"/>
              </w:rPr>
              <w:t>“</w:t>
            </w:r>
            <w:r>
              <w:rPr>
                <w:rFonts w:hAnsi="宋体"/>
                <w:spacing w:val="-1"/>
                <w:w w:val="95"/>
                <w:highlight w:val="none"/>
              </w:rPr>
              <w:t>尾</w:t>
            </w:r>
            <w:r>
              <w:rPr>
                <w:rFonts w:hAnsi="宋体"/>
                <w:spacing w:val="1"/>
                <w:w w:val="95"/>
                <w:highlight w:val="none"/>
              </w:rPr>
              <w:t>矿</w:t>
            </w:r>
            <w:r>
              <w:rPr>
                <w:rFonts w:hAnsi="宋体"/>
                <w:spacing w:val="-1"/>
                <w:w w:val="95"/>
                <w:highlight w:val="none"/>
              </w:rPr>
              <w:t>库</w:t>
            </w:r>
            <w:r>
              <w:rPr>
                <w:rFonts w:hAnsi="宋体"/>
                <w:spacing w:val="1"/>
                <w:w w:val="95"/>
                <w:highlight w:val="none"/>
              </w:rPr>
              <w:t>下</w:t>
            </w:r>
            <w:r>
              <w:rPr>
                <w:rFonts w:hAnsi="宋体"/>
                <w:spacing w:val="-1"/>
                <w:w w:val="95"/>
                <w:highlight w:val="none"/>
              </w:rPr>
              <w:t>游</w:t>
            </w:r>
            <w:r>
              <w:rPr>
                <w:rFonts w:hAnsi="宋体"/>
                <w:spacing w:val="1"/>
                <w:w w:val="95"/>
                <w:highlight w:val="none"/>
              </w:rPr>
              <w:t>涉</w:t>
            </w:r>
            <w:r>
              <w:rPr>
                <w:rFonts w:hAnsi="宋体"/>
                <w:spacing w:val="-1"/>
                <w:w w:val="95"/>
                <w:highlight w:val="none"/>
              </w:rPr>
              <w:t>及</w:t>
            </w:r>
            <w:r>
              <w:rPr>
                <w:rFonts w:hAnsi="宋体"/>
                <w:spacing w:val="1"/>
                <w:w w:val="95"/>
                <w:highlight w:val="none"/>
              </w:rPr>
              <w:t>其</w:t>
            </w:r>
            <w:r>
              <w:rPr>
                <w:rFonts w:hAnsi="宋体"/>
                <w:spacing w:val="-1"/>
                <w:w w:val="95"/>
                <w:highlight w:val="none"/>
              </w:rPr>
              <w:t>他</w:t>
            </w:r>
            <w:r>
              <w:rPr>
                <w:rFonts w:hAnsi="宋体"/>
                <w:spacing w:val="1"/>
                <w:w w:val="95"/>
                <w:highlight w:val="none"/>
              </w:rPr>
              <w:t>类</w:t>
            </w:r>
            <w:r>
              <w:rPr>
                <w:rFonts w:hAnsi="宋体"/>
                <w:spacing w:val="-1"/>
                <w:w w:val="95"/>
                <w:highlight w:val="none"/>
              </w:rPr>
              <w:t>型</w:t>
            </w:r>
            <w:r>
              <w:rPr>
                <w:rFonts w:hAnsi="宋体"/>
                <w:spacing w:val="1"/>
                <w:w w:val="95"/>
                <w:highlight w:val="none"/>
              </w:rPr>
              <w:t>风</w:t>
            </w:r>
            <w:r>
              <w:rPr>
                <w:rFonts w:hAnsi="宋体"/>
                <w:spacing w:val="-1"/>
                <w:w w:val="95"/>
                <w:highlight w:val="none"/>
              </w:rPr>
              <w:t>险</w:t>
            </w:r>
            <w:r>
              <w:rPr>
                <w:rFonts w:hAnsi="宋体"/>
                <w:spacing w:val="1"/>
                <w:w w:val="95"/>
                <w:highlight w:val="none"/>
              </w:rPr>
              <w:t>受</w:t>
            </w:r>
            <w:r>
              <w:rPr>
                <w:rFonts w:hAnsi="宋体"/>
                <w:spacing w:val="-1"/>
                <w:w w:val="95"/>
                <w:highlight w:val="none"/>
              </w:rPr>
              <w:t>体</w:t>
            </w:r>
            <w:r>
              <w:rPr>
                <w:rFonts w:hAnsi="宋体" w:cs="hakuyoxingshu7000"/>
                <w:spacing w:val="2"/>
                <w:w w:val="95"/>
                <w:highlight w:val="none"/>
              </w:rPr>
              <w:t>”</w:t>
            </w:r>
            <w:r>
              <w:rPr>
                <w:rFonts w:hAnsi="宋体"/>
                <w:spacing w:val="-1"/>
                <w:w w:val="95"/>
                <w:highlight w:val="none"/>
              </w:rPr>
              <w:t>敏</w:t>
            </w:r>
            <w:r>
              <w:rPr>
                <w:rFonts w:hAnsi="宋体"/>
                <w:spacing w:val="1"/>
                <w:w w:val="95"/>
                <w:highlight w:val="none"/>
              </w:rPr>
              <w:t>感</w:t>
            </w:r>
            <w:r>
              <w:rPr>
                <w:rFonts w:hAnsi="宋体"/>
                <w:spacing w:val="-1"/>
                <w:w w:val="95"/>
                <w:highlight w:val="none"/>
              </w:rPr>
              <w:t>性</w:t>
            </w:r>
            <w:r>
              <w:rPr>
                <w:rFonts w:hAnsi="宋体"/>
                <w:spacing w:val="1"/>
                <w:w w:val="95"/>
                <w:highlight w:val="none"/>
              </w:rPr>
              <w:t>情况</w:t>
            </w:r>
            <w:r>
              <w:rPr>
                <w:rFonts w:hAnsi="宋体"/>
                <w:spacing w:val="-51"/>
                <w:w w:val="95"/>
                <w:highlight w:val="none"/>
              </w:rPr>
              <w:t>；</w:t>
            </w:r>
            <w:r>
              <w:rPr>
                <w:rFonts w:hAnsi="宋体" w:cs="hakuyoxingshu7000"/>
                <w:w w:val="95"/>
                <w:highlight w:val="none"/>
              </w:rPr>
              <w:t>4</w:t>
            </w:r>
            <w:r>
              <w:rPr>
                <w:rFonts w:hAnsi="宋体"/>
                <w:spacing w:val="-49"/>
                <w:w w:val="95"/>
                <w:highlight w:val="none"/>
              </w:rPr>
              <w:t>）</w:t>
            </w:r>
            <w:r>
              <w:rPr>
                <w:rFonts w:hAnsi="宋体" w:cs="hakuyoxingshu7000"/>
                <w:spacing w:val="2"/>
                <w:w w:val="95"/>
                <w:highlight w:val="none"/>
              </w:rPr>
              <w:t>“</w:t>
            </w:r>
            <w:r>
              <w:rPr>
                <w:rFonts w:hAnsi="宋体"/>
                <w:spacing w:val="-1"/>
                <w:w w:val="95"/>
                <w:highlight w:val="none"/>
              </w:rPr>
              <w:t>尾</w:t>
            </w:r>
            <w:r>
              <w:rPr>
                <w:rFonts w:hAnsi="宋体"/>
                <w:spacing w:val="1"/>
                <w:w w:val="95"/>
                <w:highlight w:val="none"/>
              </w:rPr>
              <w:t>矿</w:t>
            </w:r>
            <w:r>
              <w:rPr>
                <w:rFonts w:hAnsi="宋体"/>
                <w:spacing w:val="-1"/>
                <w:w w:val="95"/>
                <w:highlight w:val="none"/>
              </w:rPr>
              <w:t>库</w:t>
            </w:r>
            <w:r>
              <w:rPr>
                <w:rFonts w:hAnsi="宋体"/>
                <w:spacing w:val="1"/>
                <w:w w:val="95"/>
                <w:highlight w:val="none"/>
              </w:rPr>
              <w:t>输</w:t>
            </w:r>
            <w:r>
              <w:rPr>
                <w:rFonts w:hAnsi="宋体"/>
                <w:spacing w:val="-1"/>
                <w:w w:val="95"/>
                <w:highlight w:val="none"/>
              </w:rPr>
              <w:t>送</w:t>
            </w:r>
            <w:r>
              <w:rPr>
                <w:rFonts w:hAnsi="宋体"/>
                <w:spacing w:val="1"/>
                <w:w w:val="95"/>
                <w:highlight w:val="none"/>
              </w:rPr>
              <w:t>管</w:t>
            </w:r>
            <w:r>
              <w:rPr>
                <w:rFonts w:hAnsi="宋体"/>
                <w:spacing w:val="-1"/>
                <w:w w:val="95"/>
                <w:highlight w:val="none"/>
              </w:rPr>
              <w:t>线</w:t>
            </w:r>
            <w:r>
              <w:rPr>
                <w:rFonts w:hAnsi="宋体"/>
                <w:spacing w:val="-49"/>
                <w:w w:val="95"/>
                <w:highlight w:val="none"/>
              </w:rPr>
              <w:t>、</w:t>
            </w:r>
            <w:r>
              <w:rPr>
                <w:rFonts w:hAnsi="宋体"/>
                <w:spacing w:val="-1"/>
                <w:w w:val="95"/>
                <w:highlight w:val="none"/>
              </w:rPr>
              <w:t>回</w:t>
            </w:r>
            <w:r>
              <w:rPr>
                <w:rFonts w:hAnsi="宋体"/>
                <w:spacing w:val="1"/>
                <w:w w:val="95"/>
                <w:highlight w:val="none"/>
              </w:rPr>
              <w:t>水</w:t>
            </w:r>
            <w:r>
              <w:rPr>
                <w:rFonts w:hAnsi="宋体"/>
                <w:spacing w:val="-1"/>
                <w:w w:val="95"/>
                <w:highlight w:val="none"/>
              </w:rPr>
              <w:t>管</w:t>
            </w:r>
            <w:r>
              <w:rPr>
                <w:rFonts w:hAnsi="宋体"/>
                <w:spacing w:val="1"/>
                <w:w w:val="95"/>
                <w:highlight w:val="none"/>
              </w:rPr>
              <w:t>线</w:t>
            </w:r>
            <w:r>
              <w:rPr>
                <w:rFonts w:hAnsi="宋体"/>
                <w:spacing w:val="-1"/>
                <w:w w:val="95"/>
                <w:highlight w:val="none"/>
              </w:rPr>
              <w:t>涉</w:t>
            </w:r>
            <w:r>
              <w:rPr>
                <w:rFonts w:hAnsi="宋体"/>
                <w:spacing w:val="1"/>
                <w:w w:val="95"/>
                <w:highlight w:val="none"/>
              </w:rPr>
              <w:t>及</w:t>
            </w:r>
            <w:r>
              <w:rPr>
                <w:rFonts w:hAnsi="宋体"/>
                <w:spacing w:val="-1"/>
                <w:w w:val="95"/>
                <w:highlight w:val="none"/>
              </w:rPr>
              <w:t>穿</w:t>
            </w:r>
            <w:r>
              <w:rPr>
                <w:rFonts w:hAnsi="宋体"/>
                <w:spacing w:val="1"/>
                <w:w w:val="95"/>
                <w:highlight w:val="none"/>
              </w:rPr>
              <w:t>越</w:t>
            </w:r>
            <w:r>
              <w:rPr>
                <w:rFonts w:hAnsi="宋体" w:cs="hakuyoxingshu7000"/>
                <w:spacing w:val="2"/>
                <w:w w:val="95"/>
                <w:highlight w:val="none"/>
              </w:rPr>
              <w:t>”</w:t>
            </w:r>
            <w:r>
              <w:rPr>
                <w:rFonts w:hAnsi="宋体"/>
                <w:spacing w:val="-1"/>
                <w:w w:val="95"/>
                <w:highlight w:val="none"/>
              </w:rPr>
              <w:t>敏</w:t>
            </w:r>
            <w:r>
              <w:rPr>
                <w:rFonts w:hAnsi="宋体"/>
                <w:spacing w:val="1"/>
                <w:w w:val="95"/>
                <w:highlight w:val="none"/>
              </w:rPr>
              <w:t>感</w:t>
            </w:r>
            <w:r>
              <w:rPr>
                <w:rFonts w:hAnsi="宋体"/>
                <w:spacing w:val="-1"/>
                <w:w w:val="95"/>
                <w:highlight w:val="none"/>
              </w:rPr>
              <w:t>性</w:t>
            </w:r>
            <w:r>
              <w:rPr>
                <w:rFonts w:hAnsi="宋体"/>
                <w:spacing w:val="1"/>
                <w:w w:val="95"/>
                <w:highlight w:val="none"/>
              </w:rPr>
              <w:t>情</w:t>
            </w:r>
            <w:r>
              <w:rPr>
                <w:rFonts w:hAnsi="宋体"/>
                <w:spacing w:val="-1"/>
                <w:w w:val="95"/>
                <w:highlight w:val="none"/>
              </w:rPr>
              <w:t>况</w:t>
            </w:r>
            <w:r>
              <w:rPr>
                <w:rFonts w:hAnsi="宋体"/>
                <w:spacing w:val="1"/>
                <w:w w:val="95"/>
                <w:highlight w:val="none"/>
              </w:rPr>
              <w:t>共</w:t>
            </w:r>
            <w:r>
              <w:rPr>
                <w:rFonts w:hAnsi="宋体"/>
                <w:w w:val="95"/>
                <w:highlight w:val="none"/>
              </w:rPr>
              <w:t>计</w:t>
            </w:r>
            <w:r>
              <w:rPr>
                <w:rFonts w:hAnsi="宋体" w:cs="hakuyoxingshu7000"/>
                <w:w w:val="95"/>
                <w:highlight w:val="none"/>
              </w:rPr>
              <w:t>4</w:t>
            </w:r>
            <w:r>
              <w:rPr>
                <w:rFonts w:hAnsi="宋体"/>
                <w:w w:val="95"/>
                <w:highlight w:val="none"/>
              </w:rPr>
              <w:t>方面</w:t>
            </w:r>
            <w:r>
              <w:rPr>
                <w:rFonts w:hAnsi="宋体" w:cs="hakuyoxingshu7000"/>
                <w:w w:val="95"/>
                <w:highlight w:val="none"/>
              </w:rPr>
              <w:t>24</w:t>
            </w:r>
            <w:r>
              <w:rPr>
                <w:rFonts w:hAnsi="宋体"/>
                <w:spacing w:val="-1"/>
                <w:w w:val="95"/>
                <w:highlight w:val="none"/>
              </w:rPr>
              <w:t>种</w:t>
            </w:r>
            <w:r>
              <w:rPr>
                <w:rFonts w:hAnsi="宋体"/>
                <w:spacing w:val="1"/>
                <w:w w:val="95"/>
                <w:highlight w:val="none"/>
              </w:rPr>
              <w:t>的</w:t>
            </w:r>
            <w:r>
              <w:rPr>
                <w:rFonts w:hAnsi="宋体"/>
                <w:spacing w:val="-1"/>
                <w:w w:val="95"/>
                <w:highlight w:val="none"/>
              </w:rPr>
              <w:t>情</w:t>
            </w:r>
            <w:r>
              <w:rPr>
                <w:rFonts w:hAnsi="宋体"/>
                <w:spacing w:val="1"/>
                <w:w w:val="95"/>
                <w:highlight w:val="none"/>
              </w:rPr>
              <w:t>形</w:t>
            </w:r>
            <w:r>
              <w:rPr>
                <w:rFonts w:hAnsi="宋体"/>
                <w:spacing w:val="-10"/>
                <w:w w:val="95"/>
                <w:highlight w:val="none"/>
              </w:rPr>
              <w:t>。</w:t>
            </w:r>
            <w:r>
              <w:rPr>
                <w:rFonts w:hAnsi="宋体"/>
                <w:spacing w:val="-1"/>
                <w:w w:val="95"/>
                <w:highlight w:val="none"/>
              </w:rPr>
              <w:t>评</w:t>
            </w:r>
            <w:r>
              <w:rPr>
                <w:rFonts w:hAnsi="宋体"/>
                <w:spacing w:val="1"/>
                <w:w w:val="95"/>
                <w:highlight w:val="none"/>
              </w:rPr>
              <w:t>估</w:t>
            </w:r>
            <w:r>
              <w:rPr>
                <w:rFonts w:hAnsi="宋体"/>
                <w:spacing w:val="-1"/>
                <w:w w:val="95"/>
                <w:highlight w:val="none"/>
              </w:rPr>
              <w:t>时</w:t>
            </w:r>
            <w:r>
              <w:rPr>
                <w:rFonts w:hAnsi="宋体"/>
                <w:spacing w:val="1"/>
                <w:w w:val="95"/>
                <w:highlight w:val="none"/>
              </w:rPr>
              <w:t>需</w:t>
            </w:r>
            <w:r>
              <w:rPr>
                <w:rFonts w:hAnsi="宋体"/>
                <w:spacing w:val="-1"/>
                <w:w w:val="95"/>
                <w:highlight w:val="none"/>
              </w:rPr>
              <w:t>要</w:t>
            </w:r>
            <w:r>
              <w:rPr>
                <w:rFonts w:hAnsi="宋体"/>
                <w:spacing w:val="1"/>
                <w:w w:val="95"/>
                <w:highlight w:val="none"/>
              </w:rPr>
              <w:t>综</w:t>
            </w:r>
            <w:r>
              <w:rPr>
                <w:rFonts w:hAnsi="宋体"/>
                <w:spacing w:val="-1"/>
                <w:w w:val="95"/>
                <w:highlight w:val="none"/>
              </w:rPr>
              <w:t>合</w:t>
            </w:r>
            <w:r>
              <w:rPr>
                <w:rFonts w:hAnsi="宋体"/>
                <w:spacing w:val="1"/>
                <w:w w:val="95"/>
                <w:highlight w:val="none"/>
              </w:rPr>
              <w:t>考</w:t>
            </w:r>
            <w:r>
              <w:rPr>
                <w:rFonts w:hAnsi="宋体"/>
                <w:spacing w:val="-1"/>
                <w:w w:val="95"/>
                <w:highlight w:val="none"/>
              </w:rPr>
              <w:t>虑</w:t>
            </w:r>
            <w:r>
              <w:rPr>
                <w:rFonts w:hAnsi="宋体"/>
                <w:w w:val="95"/>
                <w:highlight w:val="none"/>
              </w:rPr>
              <w:t>这</w:t>
            </w:r>
            <w:r>
              <w:rPr>
                <w:rFonts w:hAnsi="宋体" w:cs="hakuyoxingshu7000"/>
                <w:w w:val="95"/>
                <w:highlight w:val="none"/>
              </w:rPr>
              <w:t>4</w:t>
            </w:r>
            <w:r>
              <w:rPr>
                <w:rFonts w:hAnsi="宋体"/>
                <w:spacing w:val="-1"/>
                <w:w w:val="95"/>
                <w:highlight w:val="none"/>
              </w:rPr>
              <w:t>方</w:t>
            </w:r>
            <w:r>
              <w:rPr>
                <w:rFonts w:hAnsi="宋体"/>
                <w:spacing w:val="1"/>
                <w:w w:val="95"/>
                <w:highlight w:val="none"/>
              </w:rPr>
              <w:t>面</w:t>
            </w:r>
            <w:r>
              <w:rPr>
                <w:rFonts w:hAnsi="宋体"/>
                <w:spacing w:val="-1"/>
                <w:w w:val="95"/>
                <w:highlight w:val="none"/>
              </w:rPr>
              <w:t>情</w:t>
            </w:r>
            <w:r>
              <w:rPr>
                <w:rFonts w:hAnsi="宋体"/>
                <w:spacing w:val="1"/>
                <w:w w:val="95"/>
                <w:highlight w:val="none"/>
              </w:rPr>
              <w:t>况</w:t>
            </w:r>
            <w:r>
              <w:rPr>
                <w:rFonts w:hAnsi="宋体"/>
                <w:spacing w:val="-10"/>
                <w:w w:val="95"/>
                <w:highlight w:val="none"/>
              </w:rPr>
              <w:t>，</w:t>
            </w:r>
            <w:r>
              <w:rPr>
                <w:rFonts w:hAnsi="宋体"/>
                <w:spacing w:val="-1"/>
                <w:w w:val="95"/>
                <w:highlight w:val="none"/>
              </w:rPr>
              <w:t>取</w:t>
            </w:r>
            <w:r>
              <w:rPr>
                <w:rFonts w:hAnsi="宋体"/>
                <w:spacing w:val="1"/>
                <w:w w:val="95"/>
                <w:highlight w:val="none"/>
              </w:rPr>
              <w:t>其</w:t>
            </w:r>
            <w:r>
              <w:rPr>
                <w:rFonts w:hAnsi="宋体"/>
                <w:spacing w:val="-1"/>
                <w:w w:val="95"/>
                <w:highlight w:val="none"/>
              </w:rPr>
              <w:t>中</w:t>
            </w:r>
            <w:r>
              <w:rPr>
                <w:rFonts w:hAnsi="宋体"/>
                <w:spacing w:val="1"/>
                <w:w w:val="95"/>
                <w:highlight w:val="none"/>
              </w:rPr>
              <w:t>得</w:t>
            </w:r>
            <w:r>
              <w:rPr>
                <w:rFonts w:hAnsi="宋体"/>
                <w:spacing w:val="-1"/>
                <w:w w:val="95"/>
                <w:highlight w:val="none"/>
              </w:rPr>
              <w:t>分</w:t>
            </w:r>
            <w:r>
              <w:rPr>
                <w:rFonts w:hAnsi="宋体"/>
                <w:spacing w:val="1"/>
                <w:w w:val="95"/>
                <w:highlight w:val="none"/>
              </w:rPr>
              <w:t>最</w:t>
            </w:r>
            <w:r>
              <w:rPr>
                <w:rFonts w:hAnsi="宋体"/>
                <w:spacing w:val="-1"/>
                <w:w w:val="95"/>
                <w:highlight w:val="none"/>
              </w:rPr>
              <w:t>高</w:t>
            </w:r>
            <w:r>
              <w:rPr>
                <w:rFonts w:hAnsi="宋体"/>
                <w:spacing w:val="1"/>
                <w:w w:val="95"/>
                <w:highlight w:val="none"/>
              </w:rPr>
              <w:t>的</w:t>
            </w:r>
            <w:r>
              <w:rPr>
                <w:rFonts w:hAnsi="宋体"/>
                <w:spacing w:val="-1"/>
                <w:w w:val="95"/>
                <w:highlight w:val="none"/>
              </w:rPr>
              <w:t>作</w:t>
            </w:r>
            <w:r>
              <w:rPr>
                <w:rFonts w:hAnsi="宋体"/>
                <w:spacing w:val="1"/>
                <w:w w:val="95"/>
                <w:highlight w:val="none"/>
              </w:rPr>
              <w:t>为</w:t>
            </w:r>
            <w:r>
              <w:rPr>
                <w:rFonts w:hAnsi="宋体"/>
                <w:spacing w:val="-1"/>
                <w:w w:val="95"/>
                <w:highlight w:val="none"/>
              </w:rPr>
              <w:t>最</w:t>
            </w:r>
            <w:r>
              <w:rPr>
                <w:rFonts w:hAnsi="宋体"/>
                <w:spacing w:val="1"/>
                <w:w w:val="95"/>
                <w:highlight w:val="none"/>
              </w:rPr>
              <w:t>后</w:t>
            </w:r>
            <w:r>
              <w:rPr>
                <w:rFonts w:hAnsi="宋体" w:cs="hakuyoxingshu7000"/>
                <w:spacing w:val="2"/>
                <w:w w:val="95"/>
                <w:highlight w:val="none"/>
              </w:rPr>
              <w:t>“</w:t>
            </w:r>
            <w:r>
              <w:rPr>
                <w:rFonts w:hAnsi="宋体"/>
                <w:spacing w:val="-1"/>
                <w:w w:val="95"/>
                <w:highlight w:val="none"/>
              </w:rPr>
              <w:t>周</w:t>
            </w:r>
            <w:r>
              <w:rPr>
                <w:rFonts w:hAnsi="宋体"/>
                <w:spacing w:val="1"/>
                <w:w w:val="95"/>
                <w:highlight w:val="none"/>
              </w:rPr>
              <w:t>边</w:t>
            </w:r>
            <w:r>
              <w:rPr>
                <w:rFonts w:hAnsi="宋体"/>
                <w:spacing w:val="-1"/>
                <w:w w:val="95"/>
                <w:highlight w:val="none"/>
              </w:rPr>
              <w:t>环</w:t>
            </w:r>
            <w:r>
              <w:rPr>
                <w:rFonts w:hAnsi="宋体"/>
                <w:spacing w:val="1"/>
                <w:w w:val="95"/>
                <w:highlight w:val="none"/>
              </w:rPr>
              <w:t>境</w:t>
            </w:r>
            <w:r>
              <w:rPr>
                <w:rFonts w:hAnsi="宋体"/>
                <w:spacing w:val="-1"/>
                <w:w w:val="95"/>
                <w:highlight w:val="none"/>
              </w:rPr>
              <w:t>风</w:t>
            </w:r>
            <w:r>
              <w:rPr>
                <w:rFonts w:hAnsi="宋体"/>
                <w:spacing w:val="1"/>
                <w:w w:val="95"/>
                <w:highlight w:val="none"/>
              </w:rPr>
              <w:t>险</w:t>
            </w:r>
            <w:r>
              <w:rPr>
                <w:rFonts w:hAnsi="宋体"/>
                <w:spacing w:val="-1"/>
                <w:w w:val="95"/>
                <w:highlight w:val="none"/>
              </w:rPr>
              <w:t>受</w:t>
            </w:r>
            <w:r>
              <w:rPr>
                <w:rFonts w:hAnsi="宋体"/>
                <w:spacing w:val="1"/>
                <w:w w:val="95"/>
                <w:highlight w:val="none"/>
              </w:rPr>
              <w:t>体</w:t>
            </w:r>
            <w:r>
              <w:rPr>
                <w:rFonts w:hAnsi="宋体"/>
                <w:spacing w:val="-1"/>
                <w:w w:val="95"/>
                <w:highlight w:val="none"/>
              </w:rPr>
              <w:t>情</w:t>
            </w:r>
            <w:r>
              <w:rPr>
                <w:rFonts w:hAnsi="宋体"/>
                <w:spacing w:val="1"/>
                <w:w w:val="95"/>
                <w:highlight w:val="none"/>
              </w:rPr>
              <w:t>况</w:t>
            </w:r>
            <w:r>
              <w:rPr>
                <w:rFonts w:hAnsi="宋体" w:cs="hakuyoxingshu7000"/>
                <w:spacing w:val="2"/>
                <w:w w:val="95"/>
                <w:highlight w:val="none"/>
              </w:rPr>
              <w:t>”</w:t>
            </w:r>
            <w:r>
              <w:rPr>
                <w:rFonts w:hAnsi="宋体"/>
                <w:spacing w:val="-1"/>
                <w:w w:val="95"/>
                <w:highlight w:val="none"/>
              </w:rPr>
              <w:t>的</w:t>
            </w:r>
            <w:r>
              <w:rPr>
                <w:rFonts w:hAnsi="宋体"/>
                <w:spacing w:val="1"/>
                <w:w w:val="95"/>
                <w:highlight w:val="none"/>
              </w:rPr>
              <w:t>得</w:t>
            </w:r>
            <w:r>
              <w:rPr>
                <w:rFonts w:hAnsi="宋体"/>
                <w:spacing w:val="-1"/>
                <w:w w:val="95"/>
                <w:highlight w:val="none"/>
              </w:rPr>
              <w:t>分</w:t>
            </w:r>
            <w:r>
              <w:rPr>
                <w:rFonts w:hAnsi="宋体"/>
                <w:w w:val="95"/>
                <w:highlight w:val="none"/>
              </w:rPr>
              <w:t>。</w:t>
            </w:r>
          </w:p>
          <w:p>
            <w:pPr>
              <w:pStyle w:val="64"/>
              <w:jc w:val="left"/>
              <w:rPr>
                <w:rFonts w:hAnsi="宋体"/>
                <w:highlight w:val="none"/>
              </w:rPr>
            </w:pPr>
            <w:r>
              <w:rPr>
                <w:rFonts w:hAnsi="宋体"/>
                <w:spacing w:val="-1"/>
                <w:w w:val="95"/>
                <w:highlight w:val="none"/>
              </w:rPr>
              <w:t>（</w:t>
            </w:r>
            <w:r>
              <w:rPr>
                <w:rFonts w:hAnsi="宋体" w:cs="hakuyoxingshu7000"/>
                <w:w w:val="95"/>
                <w:highlight w:val="none"/>
              </w:rPr>
              <w:t>3</w:t>
            </w:r>
            <w:r>
              <w:rPr>
                <w:rFonts w:hAnsi="宋体"/>
                <w:w w:val="95"/>
                <w:highlight w:val="none"/>
              </w:rPr>
              <w:t>）</w:t>
            </w:r>
            <w:r>
              <w:rPr>
                <w:rFonts w:hAnsi="宋体"/>
                <w:spacing w:val="-1"/>
                <w:w w:val="95"/>
                <w:highlight w:val="none"/>
              </w:rPr>
              <w:t>下</w:t>
            </w:r>
            <w:r>
              <w:rPr>
                <w:rFonts w:hAnsi="宋体"/>
                <w:spacing w:val="1"/>
                <w:w w:val="95"/>
                <w:highlight w:val="none"/>
              </w:rPr>
              <w:t>游</w:t>
            </w:r>
            <w:r>
              <w:rPr>
                <w:rFonts w:hAnsi="宋体"/>
                <w:spacing w:val="-1"/>
                <w:w w:val="95"/>
                <w:highlight w:val="none"/>
              </w:rPr>
              <w:t>水</w:t>
            </w:r>
            <w:r>
              <w:rPr>
                <w:rFonts w:hAnsi="宋体"/>
                <w:spacing w:val="1"/>
                <w:w w:val="95"/>
                <w:highlight w:val="none"/>
              </w:rPr>
              <w:t>体</w:t>
            </w:r>
            <w:r>
              <w:rPr>
                <w:rFonts w:hAnsi="宋体"/>
                <w:spacing w:val="-17"/>
                <w:w w:val="95"/>
                <w:highlight w:val="none"/>
              </w:rPr>
              <w:t>：</w:t>
            </w:r>
            <w:r>
              <w:rPr>
                <w:rFonts w:hAnsi="宋体"/>
                <w:spacing w:val="-1"/>
                <w:w w:val="95"/>
                <w:highlight w:val="none"/>
              </w:rPr>
              <w:t>主</w:t>
            </w:r>
            <w:r>
              <w:rPr>
                <w:rFonts w:hAnsi="宋体"/>
                <w:spacing w:val="1"/>
                <w:w w:val="95"/>
                <w:highlight w:val="none"/>
              </w:rPr>
              <w:t>要</w:t>
            </w:r>
            <w:r>
              <w:rPr>
                <w:rFonts w:hAnsi="宋体"/>
                <w:spacing w:val="-1"/>
                <w:w w:val="95"/>
                <w:highlight w:val="none"/>
              </w:rPr>
              <w:t>考</w:t>
            </w:r>
            <w:r>
              <w:rPr>
                <w:rFonts w:hAnsi="宋体"/>
                <w:spacing w:val="1"/>
                <w:w w:val="95"/>
                <w:highlight w:val="none"/>
              </w:rPr>
              <w:t>虑</w:t>
            </w:r>
            <w:r>
              <w:rPr>
                <w:rFonts w:hAnsi="宋体"/>
                <w:spacing w:val="-1"/>
                <w:w w:val="95"/>
                <w:highlight w:val="none"/>
              </w:rPr>
              <w:t>地</w:t>
            </w:r>
            <w:r>
              <w:rPr>
                <w:rFonts w:hAnsi="宋体"/>
                <w:spacing w:val="1"/>
                <w:w w:val="95"/>
                <w:highlight w:val="none"/>
              </w:rPr>
              <w:t>表水</w:t>
            </w:r>
            <w:r>
              <w:rPr>
                <w:rFonts w:hAnsi="宋体"/>
                <w:spacing w:val="-17"/>
                <w:w w:val="95"/>
                <w:highlight w:val="none"/>
              </w:rPr>
              <w:t>。</w:t>
            </w:r>
            <w:r>
              <w:rPr>
                <w:rFonts w:hAnsi="宋体"/>
                <w:spacing w:val="-1"/>
                <w:w w:val="95"/>
                <w:highlight w:val="none"/>
              </w:rPr>
              <w:t>如</w:t>
            </w:r>
            <w:r>
              <w:rPr>
                <w:rFonts w:hAnsi="宋体"/>
                <w:spacing w:val="1"/>
                <w:w w:val="95"/>
                <w:highlight w:val="none"/>
              </w:rPr>
              <w:t>果</w:t>
            </w:r>
            <w:r>
              <w:rPr>
                <w:rFonts w:hAnsi="宋体"/>
                <w:spacing w:val="-1"/>
                <w:w w:val="95"/>
                <w:highlight w:val="none"/>
              </w:rPr>
              <w:t>下</w:t>
            </w:r>
            <w:r>
              <w:rPr>
                <w:rFonts w:hAnsi="宋体"/>
                <w:spacing w:val="1"/>
                <w:w w:val="95"/>
                <w:highlight w:val="none"/>
              </w:rPr>
              <w:t>游</w:t>
            </w:r>
            <w:r>
              <w:rPr>
                <w:rFonts w:hAnsi="宋体"/>
                <w:spacing w:val="-1"/>
                <w:w w:val="95"/>
                <w:highlight w:val="none"/>
              </w:rPr>
              <w:t>同</w:t>
            </w:r>
            <w:r>
              <w:rPr>
                <w:rFonts w:hAnsi="宋体"/>
                <w:spacing w:val="1"/>
                <w:w w:val="95"/>
                <w:highlight w:val="none"/>
              </w:rPr>
              <w:t>时</w:t>
            </w:r>
            <w:r>
              <w:rPr>
                <w:rFonts w:hAnsi="宋体"/>
                <w:spacing w:val="-1"/>
                <w:w w:val="95"/>
                <w:highlight w:val="none"/>
              </w:rPr>
              <w:t>还</w:t>
            </w:r>
            <w:r>
              <w:rPr>
                <w:rFonts w:hAnsi="宋体"/>
                <w:spacing w:val="1"/>
                <w:w w:val="95"/>
                <w:highlight w:val="none"/>
              </w:rPr>
              <w:t>涉</w:t>
            </w:r>
            <w:r>
              <w:rPr>
                <w:rFonts w:hAnsi="宋体"/>
                <w:spacing w:val="-1"/>
                <w:w w:val="95"/>
                <w:highlight w:val="none"/>
              </w:rPr>
              <w:t>及</w:t>
            </w:r>
            <w:r>
              <w:rPr>
                <w:rFonts w:hAnsi="宋体"/>
                <w:spacing w:val="1"/>
                <w:w w:val="95"/>
                <w:highlight w:val="none"/>
              </w:rPr>
              <w:t>海</w:t>
            </w:r>
            <w:r>
              <w:rPr>
                <w:rFonts w:hAnsi="宋体"/>
                <w:spacing w:val="-1"/>
                <w:w w:val="95"/>
                <w:highlight w:val="none"/>
              </w:rPr>
              <w:t>水</w:t>
            </w:r>
            <w:r>
              <w:rPr>
                <w:rFonts w:hAnsi="宋体"/>
                <w:spacing w:val="-15"/>
                <w:w w:val="95"/>
                <w:highlight w:val="none"/>
              </w:rPr>
              <w:t>，</w:t>
            </w:r>
            <w:r>
              <w:rPr>
                <w:rFonts w:hAnsi="宋体"/>
                <w:spacing w:val="-1"/>
                <w:w w:val="95"/>
                <w:highlight w:val="none"/>
              </w:rPr>
              <w:t>则</w:t>
            </w:r>
            <w:r>
              <w:rPr>
                <w:rFonts w:hAnsi="宋体"/>
                <w:spacing w:val="1"/>
                <w:w w:val="95"/>
                <w:highlight w:val="none"/>
              </w:rPr>
              <w:t>评</w:t>
            </w:r>
            <w:r>
              <w:rPr>
                <w:rFonts w:hAnsi="宋体"/>
                <w:spacing w:val="-1"/>
                <w:w w:val="95"/>
                <w:highlight w:val="none"/>
              </w:rPr>
              <w:t>估</w:t>
            </w:r>
            <w:r>
              <w:rPr>
                <w:rFonts w:hAnsi="宋体"/>
                <w:spacing w:val="1"/>
                <w:w w:val="95"/>
                <w:highlight w:val="none"/>
              </w:rPr>
              <w:t>时</w:t>
            </w:r>
            <w:r>
              <w:rPr>
                <w:rFonts w:hAnsi="宋体"/>
                <w:spacing w:val="-1"/>
                <w:w w:val="95"/>
                <w:highlight w:val="none"/>
              </w:rPr>
              <w:t>需</w:t>
            </w:r>
            <w:r>
              <w:rPr>
                <w:rFonts w:hAnsi="宋体"/>
                <w:spacing w:val="1"/>
                <w:w w:val="95"/>
                <w:highlight w:val="none"/>
              </w:rPr>
              <w:t>综</w:t>
            </w:r>
            <w:r>
              <w:rPr>
                <w:rFonts w:hAnsi="宋体"/>
                <w:spacing w:val="-1"/>
                <w:w w:val="95"/>
                <w:highlight w:val="none"/>
              </w:rPr>
              <w:t>合</w:t>
            </w:r>
            <w:r>
              <w:rPr>
                <w:rFonts w:hAnsi="宋体" w:cs="hakuyoxingshu7000"/>
                <w:spacing w:val="2"/>
                <w:w w:val="95"/>
                <w:highlight w:val="none"/>
              </w:rPr>
              <w:t>“</w:t>
            </w:r>
            <w:r>
              <w:rPr>
                <w:rFonts w:hAnsi="宋体"/>
                <w:spacing w:val="-1"/>
                <w:w w:val="95"/>
                <w:highlight w:val="none"/>
              </w:rPr>
              <w:t>地</w:t>
            </w:r>
            <w:r>
              <w:rPr>
                <w:rFonts w:hAnsi="宋体"/>
                <w:spacing w:val="1"/>
                <w:w w:val="95"/>
                <w:highlight w:val="none"/>
              </w:rPr>
              <w:t>表水</w:t>
            </w:r>
            <w:r>
              <w:rPr>
                <w:rFonts w:hAnsi="宋体" w:cs="hakuyoxingshu7000"/>
                <w:spacing w:val="-5"/>
                <w:w w:val="95"/>
                <w:highlight w:val="none"/>
              </w:rPr>
              <w:t>”</w:t>
            </w:r>
            <w:r>
              <w:rPr>
                <w:rFonts w:hAnsi="宋体"/>
                <w:spacing w:val="-15"/>
                <w:w w:val="95"/>
                <w:highlight w:val="none"/>
              </w:rPr>
              <w:t>、</w:t>
            </w:r>
            <w:r>
              <w:rPr>
                <w:rFonts w:hAnsi="宋体" w:cs="hakuyoxingshu7000"/>
                <w:spacing w:val="-5"/>
                <w:w w:val="95"/>
                <w:highlight w:val="none"/>
              </w:rPr>
              <w:t>“</w:t>
            </w:r>
            <w:r>
              <w:rPr>
                <w:rFonts w:hAnsi="宋体"/>
                <w:spacing w:val="-1"/>
                <w:w w:val="95"/>
                <w:highlight w:val="none"/>
              </w:rPr>
              <w:t>海</w:t>
            </w:r>
            <w:r>
              <w:rPr>
                <w:rFonts w:hAnsi="宋体"/>
                <w:spacing w:val="1"/>
                <w:w w:val="95"/>
                <w:highlight w:val="none"/>
              </w:rPr>
              <w:t>水</w:t>
            </w:r>
            <w:r>
              <w:rPr>
                <w:rFonts w:hAnsi="宋体" w:cs="hakuyoxingshu7000"/>
                <w:spacing w:val="2"/>
                <w:w w:val="95"/>
                <w:highlight w:val="none"/>
              </w:rPr>
              <w:t>”</w:t>
            </w:r>
            <w:r>
              <w:rPr>
                <w:rFonts w:hAnsi="宋体"/>
                <w:spacing w:val="-1"/>
                <w:w w:val="95"/>
                <w:highlight w:val="none"/>
              </w:rPr>
              <w:t>两</w:t>
            </w:r>
            <w:r>
              <w:rPr>
                <w:rFonts w:hAnsi="宋体"/>
                <w:spacing w:val="1"/>
                <w:w w:val="95"/>
                <w:highlight w:val="none"/>
              </w:rPr>
              <w:t>方</w:t>
            </w:r>
            <w:r>
              <w:rPr>
                <w:rFonts w:hAnsi="宋体"/>
                <w:spacing w:val="-1"/>
                <w:w w:val="95"/>
                <w:highlight w:val="none"/>
              </w:rPr>
              <w:t>面</w:t>
            </w:r>
            <w:r>
              <w:rPr>
                <w:rFonts w:hAnsi="宋体"/>
                <w:spacing w:val="1"/>
                <w:w w:val="95"/>
                <w:highlight w:val="none"/>
              </w:rPr>
              <w:t>得分</w:t>
            </w:r>
            <w:r>
              <w:rPr>
                <w:rFonts w:hAnsi="宋体"/>
                <w:spacing w:val="-17"/>
                <w:w w:val="95"/>
                <w:highlight w:val="none"/>
              </w:rPr>
              <w:t>，</w:t>
            </w:r>
            <w:r>
              <w:rPr>
                <w:rFonts w:hAnsi="宋体"/>
                <w:spacing w:val="-1"/>
                <w:w w:val="95"/>
                <w:highlight w:val="none"/>
              </w:rPr>
              <w:t>取</w:t>
            </w:r>
            <w:r>
              <w:rPr>
                <w:rFonts w:hAnsi="宋体"/>
                <w:w w:val="95"/>
                <w:highlight w:val="none"/>
              </w:rPr>
              <w:t>其</w:t>
            </w:r>
            <w:r>
              <w:rPr>
                <w:rFonts w:hAnsi="宋体"/>
                <w:spacing w:val="-1"/>
                <w:w w:val="95"/>
                <w:highlight w:val="none"/>
              </w:rPr>
              <w:t>中</w:t>
            </w:r>
            <w:r>
              <w:rPr>
                <w:rFonts w:hAnsi="宋体"/>
                <w:spacing w:val="1"/>
                <w:w w:val="95"/>
                <w:highlight w:val="none"/>
              </w:rPr>
              <w:t>得</w:t>
            </w:r>
            <w:r>
              <w:rPr>
                <w:rFonts w:hAnsi="宋体"/>
                <w:spacing w:val="-1"/>
                <w:w w:val="95"/>
                <w:highlight w:val="none"/>
              </w:rPr>
              <w:t>分</w:t>
            </w:r>
            <w:r>
              <w:rPr>
                <w:rFonts w:hAnsi="宋体"/>
                <w:spacing w:val="1"/>
                <w:w w:val="95"/>
                <w:highlight w:val="none"/>
              </w:rPr>
              <w:t>最</w:t>
            </w:r>
            <w:r>
              <w:rPr>
                <w:rFonts w:hAnsi="宋体"/>
                <w:spacing w:val="-1"/>
                <w:w w:val="95"/>
                <w:highlight w:val="none"/>
              </w:rPr>
              <w:t>高</w:t>
            </w:r>
            <w:r>
              <w:rPr>
                <w:rFonts w:hAnsi="宋体"/>
                <w:spacing w:val="1"/>
                <w:w w:val="95"/>
                <w:highlight w:val="none"/>
              </w:rPr>
              <w:t>的</w:t>
            </w:r>
            <w:r>
              <w:rPr>
                <w:rFonts w:hAnsi="宋体"/>
                <w:spacing w:val="-1"/>
                <w:w w:val="95"/>
                <w:highlight w:val="none"/>
              </w:rPr>
              <w:t>作</w:t>
            </w:r>
            <w:r>
              <w:rPr>
                <w:rFonts w:hAnsi="宋体"/>
                <w:spacing w:val="1"/>
                <w:w w:val="95"/>
                <w:highlight w:val="none"/>
              </w:rPr>
              <w:t>为</w:t>
            </w:r>
            <w:r>
              <w:rPr>
                <w:rFonts w:hAnsi="宋体"/>
                <w:spacing w:val="-1"/>
                <w:w w:val="95"/>
                <w:highlight w:val="none"/>
              </w:rPr>
              <w:t>最</w:t>
            </w:r>
            <w:r>
              <w:rPr>
                <w:rFonts w:hAnsi="宋体"/>
                <w:spacing w:val="1"/>
                <w:w w:val="95"/>
                <w:highlight w:val="none"/>
              </w:rPr>
              <w:t>后</w:t>
            </w:r>
            <w:r>
              <w:rPr>
                <w:rFonts w:hAnsi="宋体" w:cs="hakuyoxingshu7000"/>
                <w:spacing w:val="2"/>
                <w:w w:val="95"/>
                <w:highlight w:val="none"/>
              </w:rPr>
              <w:t>“</w:t>
            </w:r>
            <w:r>
              <w:rPr>
                <w:rFonts w:hAnsi="宋体"/>
                <w:spacing w:val="-1"/>
                <w:w w:val="95"/>
                <w:highlight w:val="none"/>
              </w:rPr>
              <w:t>下</w:t>
            </w:r>
            <w:r>
              <w:rPr>
                <w:rFonts w:hAnsi="宋体"/>
                <w:spacing w:val="1"/>
                <w:w w:val="95"/>
                <w:highlight w:val="none"/>
              </w:rPr>
              <w:t>游</w:t>
            </w:r>
            <w:r>
              <w:rPr>
                <w:rFonts w:hAnsi="宋体"/>
                <w:spacing w:val="-1"/>
                <w:w w:val="95"/>
                <w:highlight w:val="none"/>
              </w:rPr>
              <w:t>水</w:t>
            </w:r>
            <w:r>
              <w:rPr>
                <w:rFonts w:hAnsi="宋体"/>
                <w:spacing w:val="1"/>
                <w:w w:val="95"/>
                <w:highlight w:val="none"/>
              </w:rPr>
              <w:t>体</w:t>
            </w:r>
            <w:r>
              <w:rPr>
                <w:rFonts w:hAnsi="宋体" w:cs="hakuyoxingshu7000"/>
                <w:spacing w:val="-5"/>
                <w:w w:val="95"/>
                <w:highlight w:val="none"/>
              </w:rPr>
              <w:t>”</w:t>
            </w:r>
            <w:r>
              <w:rPr>
                <w:rFonts w:hAnsi="宋体"/>
                <w:spacing w:val="-1"/>
                <w:w w:val="95"/>
                <w:highlight w:val="none"/>
              </w:rPr>
              <w:t>方</w:t>
            </w:r>
            <w:r>
              <w:rPr>
                <w:rFonts w:hAnsi="宋体"/>
                <w:spacing w:val="1"/>
                <w:w w:val="95"/>
                <w:highlight w:val="none"/>
              </w:rPr>
              <w:t>面</w:t>
            </w:r>
            <w:r>
              <w:rPr>
                <w:rFonts w:hAnsi="宋体"/>
                <w:spacing w:val="-1"/>
                <w:w w:val="95"/>
                <w:highlight w:val="none"/>
              </w:rPr>
              <w:t>得</w:t>
            </w:r>
            <w:r>
              <w:rPr>
                <w:rFonts w:hAnsi="宋体"/>
                <w:spacing w:val="1"/>
                <w:w w:val="95"/>
                <w:highlight w:val="none"/>
              </w:rPr>
              <w:t>分</w:t>
            </w:r>
            <w:r>
              <w:rPr>
                <w:rFonts w:hAnsi="宋体"/>
                <w:w w:val="95"/>
                <w:highlight w:val="none"/>
              </w:rPr>
              <w:t>。</w:t>
            </w:r>
          </w:p>
          <w:p>
            <w:pPr>
              <w:pStyle w:val="64"/>
              <w:jc w:val="left"/>
              <w:rPr>
                <w:rFonts w:hAnsi="宋体"/>
                <w:highlight w:val="none"/>
              </w:rPr>
            </w:pPr>
            <w:r>
              <w:rPr>
                <w:rFonts w:hAnsi="宋体"/>
                <w:spacing w:val="-1"/>
                <w:w w:val="95"/>
                <w:highlight w:val="none"/>
              </w:rPr>
              <w:t>（</w:t>
            </w:r>
            <w:r>
              <w:rPr>
                <w:rFonts w:hAnsi="宋体" w:cs="hakuyoxingshu7000"/>
                <w:w w:val="95"/>
                <w:highlight w:val="none"/>
              </w:rPr>
              <w:t>4</w:t>
            </w:r>
            <w:r>
              <w:rPr>
                <w:rFonts w:hAnsi="宋体"/>
                <w:w w:val="95"/>
                <w:highlight w:val="none"/>
              </w:rPr>
              <w:t>）</w:t>
            </w:r>
            <w:r>
              <w:rPr>
                <w:rFonts w:hAnsi="宋体"/>
                <w:spacing w:val="-1"/>
                <w:w w:val="95"/>
                <w:highlight w:val="none"/>
              </w:rPr>
              <w:t>一</w:t>
            </w:r>
            <w:r>
              <w:rPr>
                <w:rFonts w:hAnsi="宋体"/>
                <w:spacing w:val="1"/>
                <w:w w:val="95"/>
                <w:highlight w:val="none"/>
              </w:rPr>
              <w:t>般</w:t>
            </w:r>
            <w:r>
              <w:rPr>
                <w:rFonts w:hAnsi="宋体"/>
                <w:spacing w:val="-1"/>
                <w:w w:val="95"/>
                <w:highlight w:val="none"/>
              </w:rPr>
              <w:t>、</w:t>
            </w:r>
            <w:r>
              <w:rPr>
                <w:rFonts w:hAnsi="宋体"/>
                <w:spacing w:val="1"/>
                <w:w w:val="95"/>
                <w:highlight w:val="none"/>
              </w:rPr>
              <w:t>较</w:t>
            </w:r>
            <w:r>
              <w:rPr>
                <w:rFonts w:hAnsi="宋体"/>
                <w:spacing w:val="-1"/>
                <w:w w:val="95"/>
                <w:highlight w:val="none"/>
              </w:rPr>
              <w:t>大</w:t>
            </w:r>
            <w:r>
              <w:rPr>
                <w:rFonts w:hAnsi="宋体"/>
                <w:spacing w:val="1"/>
                <w:w w:val="95"/>
                <w:highlight w:val="none"/>
              </w:rPr>
              <w:t>、</w:t>
            </w:r>
            <w:r>
              <w:rPr>
                <w:rFonts w:hAnsi="宋体"/>
                <w:spacing w:val="-1"/>
                <w:w w:val="95"/>
                <w:highlight w:val="none"/>
              </w:rPr>
              <w:t>重</w:t>
            </w:r>
            <w:r>
              <w:rPr>
                <w:rFonts w:hAnsi="宋体"/>
                <w:spacing w:val="1"/>
                <w:w w:val="95"/>
                <w:highlight w:val="none"/>
              </w:rPr>
              <w:t>大</w:t>
            </w:r>
            <w:r>
              <w:rPr>
                <w:rFonts w:hAnsi="宋体"/>
                <w:spacing w:val="-1"/>
                <w:w w:val="95"/>
                <w:highlight w:val="none"/>
              </w:rPr>
              <w:t>环</w:t>
            </w:r>
            <w:r>
              <w:rPr>
                <w:rFonts w:hAnsi="宋体"/>
                <w:spacing w:val="1"/>
                <w:w w:val="95"/>
                <w:highlight w:val="none"/>
              </w:rPr>
              <w:t>境</w:t>
            </w:r>
            <w:r>
              <w:rPr>
                <w:rFonts w:hAnsi="宋体"/>
                <w:spacing w:val="-1"/>
                <w:w w:val="95"/>
                <w:highlight w:val="none"/>
              </w:rPr>
              <w:t>风</w:t>
            </w:r>
            <w:r>
              <w:rPr>
                <w:rFonts w:hAnsi="宋体"/>
                <w:spacing w:val="1"/>
                <w:w w:val="95"/>
                <w:highlight w:val="none"/>
              </w:rPr>
              <w:t>险</w:t>
            </w:r>
            <w:r>
              <w:rPr>
                <w:rFonts w:hAnsi="宋体"/>
                <w:spacing w:val="-1"/>
                <w:w w:val="95"/>
                <w:highlight w:val="none"/>
              </w:rPr>
              <w:t>源</w:t>
            </w:r>
            <w:r>
              <w:rPr>
                <w:rFonts w:hAnsi="宋体"/>
                <w:spacing w:val="1"/>
                <w:w w:val="95"/>
                <w:highlight w:val="none"/>
              </w:rPr>
              <w:t>企</w:t>
            </w:r>
            <w:r>
              <w:rPr>
                <w:rFonts w:hAnsi="宋体"/>
                <w:spacing w:val="-1"/>
                <w:w w:val="95"/>
                <w:highlight w:val="none"/>
              </w:rPr>
              <w:t>业</w:t>
            </w:r>
            <w:r>
              <w:rPr>
                <w:rFonts w:hAnsi="宋体"/>
                <w:spacing w:val="1"/>
                <w:w w:val="95"/>
                <w:highlight w:val="none"/>
              </w:rPr>
              <w:t>：</w:t>
            </w:r>
            <w:r>
              <w:rPr>
                <w:rFonts w:hAnsi="宋体"/>
                <w:spacing w:val="-1"/>
                <w:w w:val="95"/>
                <w:highlight w:val="none"/>
              </w:rPr>
              <w:t>指</w:t>
            </w:r>
            <w:r>
              <w:rPr>
                <w:rFonts w:hAnsi="宋体"/>
                <w:spacing w:val="1"/>
                <w:w w:val="95"/>
                <w:highlight w:val="none"/>
              </w:rPr>
              <w:t>依</w:t>
            </w:r>
            <w:r>
              <w:rPr>
                <w:rFonts w:hAnsi="宋体"/>
                <w:spacing w:val="-1"/>
                <w:w w:val="95"/>
                <w:highlight w:val="none"/>
              </w:rPr>
              <w:t>据</w:t>
            </w:r>
            <w:r>
              <w:rPr>
                <w:rFonts w:hAnsi="宋体"/>
                <w:spacing w:val="1"/>
                <w:w w:val="95"/>
                <w:highlight w:val="none"/>
              </w:rPr>
              <w:t>《</w:t>
            </w:r>
            <w:r>
              <w:rPr>
                <w:rFonts w:hAnsi="宋体"/>
                <w:spacing w:val="-1"/>
                <w:w w:val="95"/>
                <w:highlight w:val="none"/>
              </w:rPr>
              <w:t>企</w:t>
            </w:r>
            <w:r>
              <w:rPr>
                <w:rFonts w:hAnsi="宋体"/>
                <w:spacing w:val="1"/>
                <w:w w:val="95"/>
                <w:highlight w:val="none"/>
              </w:rPr>
              <w:t>业</w:t>
            </w:r>
            <w:r>
              <w:rPr>
                <w:rFonts w:hAnsi="宋体"/>
                <w:spacing w:val="-1"/>
                <w:w w:val="95"/>
                <w:highlight w:val="none"/>
              </w:rPr>
              <w:t>突</w:t>
            </w:r>
            <w:r>
              <w:rPr>
                <w:rFonts w:hAnsi="宋体"/>
                <w:spacing w:val="1"/>
                <w:w w:val="95"/>
                <w:highlight w:val="none"/>
              </w:rPr>
              <w:t>发</w:t>
            </w:r>
            <w:r>
              <w:rPr>
                <w:rFonts w:hAnsi="宋体"/>
                <w:spacing w:val="-1"/>
                <w:w w:val="95"/>
                <w:highlight w:val="none"/>
              </w:rPr>
              <w:t>环</w:t>
            </w:r>
            <w:r>
              <w:rPr>
                <w:rFonts w:hAnsi="宋体"/>
                <w:spacing w:val="1"/>
                <w:w w:val="95"/>
                <w:highlight w:val="none"/>
              </w:rPr>
              <w:t>境</w:t>
            </w:r>
            <w:r>
              <w:rPr>
                <w:rFonts w:hAnsi="宋体"/>
                <w:spacing w:val="-1"/>
                <w:w w:val="95"/>
                <w:highlight w:val="none"/>
              </w:rPr>
              <w:t>事</w:t>
            </w:r>
            <w:r>
              <w:rPr>
                <w:rFonts w:hAnsi="宋体"/>
                <w:spacing w:val="1"/>
                <w:w w:val="95"/>
                <w:highlight w:val="none"/>
              </w:rPr>
              <w:t>件</w:t>
            </w:r>
            <w:r>
              <w:rPr>
                <w:rFonts w:hAnsi="宋体"/>
                <w:spacing w:val="-1"/>
                <w:w w:val="95"/>
                <w:highlight w:val="none"/>
              </w:rPr>
              <w:t>风</w:t>
            </w:r>
            <w:r>
              <w:rPr>
                <w:rFonts w:hAnsi="宋体"/>
                <w:spacing w:val="1"/>
                <w:w w:val="95"/>
                <w:highlight w:val="none"/>
              </w:rPr>
              <w:t>险</w:t>
            </w:r>
            <w:r>
              <w:rPr>
                <w:rFonts w:hAnsi="宋体"/>
                <w:spacing w:val="-1"/>
                <w:w w:val="95"/>
                <w:highlight w:val="none"/>
              </w:rPr>
              <w:t>评</w:t>
            </w:r>
            <w:r>
              <w:rPr>
                <w:rFonts w:hAnsi="宋体"/>
                <w:spacing w:val="1"/>
                <w:w w:val="95"/>
                <w:highlight w:val="none"/>
              </w:rPr>
              <w:t>估</w:t>
            </w:r>
            <w:r>
              <w:rPr>
                <w:rFonts w:hAnsi="宋体"/>
                <w:spacing w:val="-1"/>
                <w:w w:val="95"/>
                <w:highlight w:val="none"/>
              </w:rPr>
              <w:t>指</w:t>
            </w:r>
            <w:r>
              <w:rPr>
                <w:rFonts w:hAnsi="宋体"/>
                <w:spacing w:val="1"/>
                <w:w w:val="95"/>
                <w:highlight w:val="none"/>
              </w:rPr>
              <w:t>南</w:t>
            </w:r>
            <w:r>
              <w:rPr>
                <w:rFonts w:hAnsi="宋体"/>
                <w:spacing w:val="-1"/>
                <w:w w:val="95"/>
                <w:highlight w:val="none"/>
              </w:rPr>
              <w:t>（</w:t>
            </w:r>
            <w:r>
              <w:rPr>
                <w:rFonts w:hAnsi="宋体"/>
                <w:spacing w:val="1"/>
                <w:w w:val="95"/>
                <w:highlight w:val="none"/>
              </w:rPr>
              <w:t>试</w:t>
            </w:r>
            <w:r>
              <w:rPr>
                <w:rFonts w:hAnsi="宋体"/>
                <w:spacing w:val="-1"/>
                <w:w w:val="95"/>
                <w:highlight w:val="none"/>
              </w:rPr>
              <w:t>行</w:t>
            </w:r>
            <w:r>
              <w:rPr>
                <w:rFonts w:hAnsi="宋体"/>
                <w:spacing w:val="1"/>
                <w:w w:val="95"/>
                <w:highlight w:val="none"/>
              </w:rPr>
              <w:t>）</w:t>
            </w:r>
            <w:r>
              <w:rPr>
                <w:rFonts w:hAnsi="宋体"/>
                <w:spacing w:val="-1"/>
                <w:w w:val="95"/>
                <w:highlight w:val="none"/>
              </w:rPr>
              <w:t>》</w:t>
            </w:r>
            <w:r>
              <w:rPr>
                <w:rFonts w:hAnsi="宋体"/>
                <w:spacing w:val="1"/>
                <w:w w:val="95"/>
                <w:highlight w:val="none"/>
              </w:rPr>
              <w:t>评</w:t>
            </w:r>
            <w:r>
              <w:rPr>
                <w:rFonts w:hAnsi="宋体"/>
                <w:spacing w:val="-1"/>
                <w:w w:val="95"/>
                <w:highlight w:val="none"/>
              </w:rPr>
              <w:t>估</w:t>
            </w:r>
            <w:r>
              <w:rPr>
                <w:rFonts w:hAnsi="宋体"/>
                <w:spacing w:val="1"/>
                <w:w w:val="95"/>
                <w:highlight w:val="none"/>
              </w:rPr>
              <w:t>具</w:t>
            </w:r>
            <w:r>
              <w:rPr>
                <w:rFonts w:hAnsi="宋体"/>
                <w:spacing w:val="-1"/>
                <w:w w:val="95"/>
                <w:highlight w:val="none"/>
              </w:rPr>
              <w:t>有</w:t>
            </w:r>
            <w:r>
              <w:rPr>
                <w:rFonts w:hAnsi="宋体"/>
                <w:spacing w:val="1"/>
                <w:w w:val="95"/>
                <w:highlight w:val="none"/>
              </w:rPr>
              <w:t>一</w:t>
            </w:r>
            <w:r>
              <w:rPr>
                <w:rFonts w:hAnsi="宋体"/>
                <w:spacing w:val="-1"/>
                <w:w w:val="95"/>
                <w:highlight w:val="none"/>
              </w:rPr>
              <w:t>般</w:t>
            </w:r>
            <w:r>
              <w:rPr>
                <w:rFonts w:hAnsi="宋体"/>
                <w:spacing w:val="1"/>
                <w:w w:val="95"/>
                <w:highlight w:val="none"/>
              </w:rPr>
              <w:t>、</w:t>
            </w:r>
            <w:r>
              <w:rPr>
                <w:rFonts w:hAnsi="宋体"/>
                <w:w w:val="95"/>
                <w:highlight w:val="none"/>
              </w:rPr>
              <w:t>较</w:t>
            </w:r>
            <w:r>
              <w:rPr>
                <w:rFonts w:hAnsi="宋体"/>
                <w:spacing w:val="-1"/>
                <w:highlight w:val="none"/>
              </w:rPr>
              <w:t>大</w:t>
            </w:r>
            <w:r>
              <w:rPr>
                <w:rFonts w:hAnsi="宋体"/>
                <w:spacing w:val="2"/>
                <w:highlight w:val="none"/>
              </w:rPr>
              <w:t>、</w:t>
            </w:r>
            <w:r>
              <w:rPr>
                <w:rFonts w:hAnsi="宋体"/>
                <w:spacing w:val="-1"/>
                <w:highlight w:val="none"/>
              </w:rPr>
              <w:t>重</w:t>
            </w:r>
            <w:r>
              <w:rPr>
                <w:rFonts w:hAnsi="宋体"/>
                <w:spacing w:val="2"/>
                <w:highlight w:val="none"/>
              </w:rPr>
              <w:t>大</w:t>
            </w:r>
            <w:r>
              <w:rPr>
                <w:rFonts w:hAnsi="宋体"/>
                <w:spacing w:val="-1"/>
                <w:highlight w:val="none"/>
              </w:rPr>
              <w:t>环</w:t>
            </w:r>
            <w:r>
              <w:rPr>
                <w:rFonts w:hAnsi="宋体"/>
                <w:spacing w:val="2"/>
                <w:highlight w:val="none"/>
              </w:rPr>
              <w:t>境</w:t>
            </w:r>
            <w:r>
              <w:rPr>
                <w:rFonts w:hAnsi="宋体"/>
                <w:spacing w:val="-1"/>
                <w:highlight w:val="none"/>
              </w:rPr>
              <w:t>风</w:t>
            </w:r>
            <w:r>
              <w:rPr>
                <w:rFonts w:hAnsi="宋体"/>
                <w:spacing w:val="2"/>
                <w:highlight w:val="none"/>
              </w:rPr>
              <w:t>险</w:t>
            </w:r>
            <w:r>
              <w:rPr>
                <w:rFonts w:hAnsi="宋体"/>
                <w:spacing w:val="-1"/>
                <w:highlight w:val="none"/>
              </w:rPr>
              <w:t>等</w:t>
            </w:r>
            <w:r>
              <w:rPr>
                <w:rFonts w:hAnsi="宋体"/>
                <w:spacing w:val="2"/>
                <w:highlight w:val="none"/>
              </w:rPr>
              <w:t>级</w:t>
            </w:r>
            <w:r>
              <w:rPr>
                <w:rFonts w:hAnsi="宋体"/>
                <w:spacing w:val="-1"/>
                <w:highlight w:val="none"/>
              </w:rPr>
              <w:t>的</w:t>
            </w:r>
            <w:r>
              <w:rPr>
                <w:rFonts w:hAnsi="宋体"/>
                <w:spacing w:val="2"/>
                <w:highlight w:val="none"/>
              </w:rPr>
              <w:t>企</w:t>
            </w:r>
            <w:r>
              <w:rPr>
                <w:rFonts w:hAnsi="宋体"/>
                <w:spacing w:val="-1"/>
                <w:highlight w:val="none"/>
              </w:rPr>
              <w:t>业</w:t>
            </w:r>
            <w:r>
              <w:rPr>
                <w:rFonts w:hAnsi="宋体"/>
                <w:highlight w:val="none"/>
              </w:rPr>
              <w:t>。</w:t>
            </w:r>
          </w:p>
          <w:p>
            <w:pPr>
              <w:pStyle w:val="64"/>
              <w:jc w:val="left"/>
              <w:rPr>
                <w:rFonts w:hAnsi="宋体"/>
                <w:highlight w:val="none"/>
              </w:rPr>
            </w:pPr>
            <w:r>
              <w:rPr>
                <w:rFonts w:hAnsi="宋体"/>
                <w:spacing w:val="-1"/>
                <w:w w:val="95"/>
                <w:highlight w:val="none"/>
              </w:rPr>
              <w:t>（</w:t>
            </w:r>
            <w:r>
              <w:rPr>
                <w:rFonts w:hAnsi="宋体" w:cs="hakuyoxingshu7000"/>
                <w:w w:val="95"/>
                <w:highlight w:val="none"/>
              </w:rPr>
              <w:t>5</w:t>
            </w:r>
            <w:r>
              <w:rPr>
                <w:rFonts w:hAnsi="宋体"/>
                <w:w w:val="95"/>
                <w:highlight w:val="none"/>
              </w:rPr>
              <w:t>）</w:t>
            </w:r>
            <w:r>
              <w:rPr>
                <w:rFonts w:hAnsi="宋体"/>
                <w:spacing w:val="-1"/>
                <w:w w:val="95"/>
                <w:highlight w:val="none"/>
              </w:rPr>
              <w:t>重</w:t>
            </w:r>
            <w:r>
              <w:rPr>
                <w:rFonts w:hAnsi="宋体"/>
                <w:spacing w:val="1"/>
                <w:w w:val="95"/>
                <w:highlight w:val="none"/>
              </w:rPr>
              <w:t>大</w:t>
            </w:r>
            <w:r>
              <w:rPr>
                <w:rFonts w:hAnsi="宋体"/>
                <w:spacing w:val="-1"/>
                <w:w w:val="95"/>
                <w:highlight w:val="none"/>
              </w:rPr>
              <w:t>二</w:t>
            </w:r>
            <w:r>
              <w:rPr>
                <w:rFonts w:hAnsi="宋体"/>
                <w:spacing w:val="1"/>
                <w:w w:val="95"/>
                <w:highlight w:val="none"/>
              </w:rPr>
              <w:t>次</w:t>
            </w:r>
            <w:r>
              <w:rPr>
                <w:rFonts w:hAnsi="宋体"/>
                <w:spacing w:val="-1"/>
                <w:w w:val="95"/>
                <w:highlight w:val="none"/>
              </w:rPr>
              <w:t>环</w:t>
            </w:r>
            <w:r>
              <w:rPr>
                <w:rFonts w:hAnsi="宋体"/>
                <w:spacing w:val="1"/>
                <w:w w:val="95"/>
                <w:highlight w:val="none"/>
              </w:rPr>
              <w:t>境</w:t>
            </w:r>
            <w:r>
              <w:rPr>
                <w:rFonts w:hAnsi="宋体"/>
                <w:spacing w:val="-1"/>
                <w:w w:val="95"/>
                <w:highlight w:val="none"/>
              </w:rPr>
              <w:t>污</w:t>
            </w:r>
            <w:r>
              <w:rPr>
                <w:rFonts w:hAnsi="宋体"/>
                <w:spacing w:val="1"/>
                <w:w w:val="95"/>
                <w:highlight w:val="none"/>
              </w:rPr>
              <w:t>染</w:t>
            </w:r>
            <w:r>
              <w:rPr>
                <w:rFonts w:hAnsi="宋体"/>
                <w:spacing w:val="-1"/>
                <w:w w:val="95"/>
                <w:highlight w:val="none"/>
              </w:rPr>
              <w:t>源</w:t>
            </w:r>
            <w:r>
              <w:rPr>
                <w:rFonts w:hAnsi="宋体"/>
                <w:spacing w:val="1"/>
                <w:w w:val="95"/>
                <w:highlight w:val="none"/>
              </w:rPr>
              <w:t>、</w:t>
            </w:r>
            <w:r>
              <w:rPr>
                <w:rFonts w:hAnsi="宋体"/>
                <w:spacing w:val="-1"/>
                <w:w w:val="95"/>
                <w:highlight w:val="none"/>
              </w:rPr>
              <w:t>风</w:t>
            </w:r>
            <w:r>
              <w:rPr>
                <w:rFonts w:hAnsi="宋体"/>
                <w:spacing w:val="1"/>
                <w:w w:val="95"/>
                <w:highlight w:val="none"/>
              </w:rPr>
              <w:t>险</w:t>
            </w:r>
            <w:r>
              <w:rPr>
                <w:rFonts w:hAnsi="宋体"/>
                <w:spacing w:val="-1"/>
                <w:w w:val="95"/>
                <w:highlight w:val="none"/>
              </w:rPr>
              <w:t>源</w:t>
            </w:r>
            <w:r>
              <w:rPr>
                <w:rFonts w:hAnsi="宋体"/>
                <w:spacing w:val="1"/>
                <w:w w:val="95"/>
                <w:highlight w:val="none"/>
              </w:rPr>
              <w:t>：</w:t>
            </w:r>
            <w:r>
              <w:rPr>
                <w:rFonts w:hAnsi="宋体"/>
                <w:spacing w:val="-1"/>
                <w:w w:val="95"/>
                <w:highlight w:val="none"/>
              </w:rPr>
              <w:t>指</w:t>
            </w:r>
            <w:r>
              <w:rPr>
                <w:rFonts w:hAnsi="宋体"/>
                <w:spacing w:val="1"/>
                <w:w w:val="95"/>
                <w:highlight w:val="none"/>
              </w:rPr>
              <w:t>尾</w:t>
            </w:r>
            <w:r>
              <w:rPr>
                <w:rFonts w:hAnsi="宋体"/>
                <w:spacing w:val="-1"/>
                <w:w w:val="95"/>
                <w:highlight w:val="none"/>
              </w:rPr>
              <w:t>矿</w:t>
            </w:r>
            <w:r>
              <w:rPr>
                <w:rFonts w:hAnsi="宋体"/>
                <w:spacing w:val="1"/>
                <w:w w:val="95"/>
                <w:highlight w:val="none"/>
              </w:rPr>
              <w:t>库</w:t>
            </w:r>
            <w:r>
              <w:rPr>
                <w:rFonts w:hAnsi="宋体"/>
                <w:spacing w:val="-1"/>
                <w:w w:val="95"/>
                <w:highlight w:val="none"/>
              </w:rPr>
              <w:t>下</w:t>
            </w:r>
            <w:r>
              <w:rPr>
                <w:rFonts w:hAnsi="宋体"/>
                <w:spacing w:val="1"/>
                <w:w w:val="95"/>
                <w:highlight w:val="none"/>
              </w:rPr>
              <w:t>游</w:t>
            </w:r>
            <w:r>
              <w:rPr>
                <w:rFonts w:hAnsi="宋体"/>
                <w:spacing w:val="-1"/>
                <w:w w:val="95"/>
                <w:highlight w:val="none"/>
              </w:rPr>
              <w:t>可</w:t>
            </w:r>
            <w:r>
              <w:rPr>
                <w:rFonts w:hAnsi="宋体"/>
                <w:spacing w:val="1"/>
                <w:w w:val="95"/>
                <w:highlight w:val="none"/>
              </w:rPr>
              <w:t>能</w:t>
            </w:r>
            <w:r>
              <w:rPr>
                <w:rFonts w:hAnsi="宋体"/>
                <w:spacing w:val="-1"/>
                <w:w w:val="95"/>
                <w:highlight w:val="none"/>
              </w:rPr>
              <w:t>危</w:t>
            </w:r>
            <w:r>
              <w:rPr>
                <w:rFonts w:hAnsi="宋体"/>
                <w:spacing w:val="1"/>
                <w:w w:val="95"/>
                <w:highlight w:val="none"/>
              </w:rPr>
              <w:t>及</w:t>
            </w:r>
            <w:r>
              <w:rPr>
                <w:rFonts w:hAnsi="宋体"/>
                <w:spacing w:val="-1"/>
                <w:w w:val="95"/>
                <w:highlight w:val="none"/>
              </w:rPr>
              <w:t>的</w:t>
            </w:r>
            <w:r>
              <w:rPr>
                <w:rFonts w:hAnsi="宋体"/>
                <w:spacing w:val="1"/>
                <w:w w:val="95"/>
                <w:highlight w:val="none"/>
              </w:rPr>
              <w:t>，</w:t>
            </w:r>
            <w:r>
              <w:rPr>
                <w:rFonts w:hAnsi="宋体"/>
                <w:spacing w:val="-1"/>
                <w:w w:val="95"/>
                <w:highlight w:val="none"/>
              </w:rPr>
              <w:t>依</w:t>
            </w:r>
            <w:r>
              <w:rPr>
                <w:rFonts w:hAnsi="宋体"/>
                <w:spacing w:val="1"/>
                <w:w w:val="95"/>
                <w:highlight w:val="none"/>
              </w:rPr>
              <w:t>据</w:t>
            </w:r>
            <w:r>
              <w:rPr>
                <w:rFonts w:hAnsi="宋体"/>
                <w:spacing w:val="-1"/>
                <w:w w:val="95"/>
                <w:highlight w:val="none"/>
              </w:rPr>
              <w:t>当</w:t>
            </w:r>
            <w:r>
              <w:rPr>
                <w:rFonts w:hAnsi="宋体"/>
                <w:spacing w:val="1"/>
                <w:w w:val="95"/>
                <w:highlight w:val="none"/>
              </w:rPr>
              <w:t>地</w:t>
            </w:r>
            <w:r>
              <w:rPr>
                <w:rFonts w:hAnsi="宋体"/>
                <w:spacing w:val="-1"/>
                <w:w w:val="95"/>
                <w:highlight w:val="none"/>
              </w:rPr>
              <w:t>地</w:t>
            </w:r>
            <w:r>
              <w:rPr>
                <w:rFonts w:hAnsi="宋体"/>
                <w:spacing w:val="1"/>
                <w:w w:val="95"/>
                <w:highlight w:val="none"/>
              </w:rPr>
              <w:t>方</w:t>
            </w:r>
            <w:r>
              <w:rPr>
                <w:rFonts w:hAnsi="宋体"/>
                <w:spacing w:val="-1"/>
                <w:w w:val="95"/>
                <w:highlight w:val="none"/>
              </w:rPr>
              <w:t>相</w:t>
            </w:r>
            <w:r>
              <w:rPr>
                <w:rFonts w:hAnsi="宋体"/>
                <w:spacing w:val="1"/>
                <w:w w:val="95"/>
                <w:highlight w:val="none"/>
              </w:rPr>
              <w:t>关</w:t>
            </w:r>
            <w:r>
              <w:rPr>
                <w:rFonts w:hAnsi="宋体"/>
                <w:spacing w:val="-1"/>
                <w:w w:val="95"/>
                <w:highlight w:val="none"/>
              </w:rPr>
              <w:t>标</w:t>
            </w:r>
            <w:r>
              <w:rPr>
                <w:rFonts w:hAnsi="宋体"/>
                <w:spacing w:val="1"/>
                <w:w w:val="95"/>
                <w:highlight w:val="none"/>
              </w:rPr>
              <w:t>准</w:t>
            </w:r>
            <w:r>
              <w:rPr>
                <w:rFonts w:hAnsi="宋体"/>
                <w:spacing w:val="-1"/>
                <w:w w:val="95"/>
                <w:highlight w:val="none"/>
              </w:rPr>
              <w:t>、</w:t>
            </w:r>
            <w:r>
              <w:rPr>
                <w:rFonts w:hAnsi="宋体"/>
                <w:spacing w:val="1"/>
                <w:w w:val="95"/>
                <w:highlight w:val="none"/>
              </w:rPr>
              <w:t>文</w:t>
            </w:r>
            <w:r>
              <w:rPr>
                <w:rFonts w:hAnsi="宋体"/>
                <w:spacing w:val="-1"/>
                <w:w w:val="95"/>
                <w:highlight w:val="none"/>
              </w:rPr>
              <w:t>件</w:t>
            </w:r>
            <w:r>
              <w:rPr>
                <w:rFonts w:hAnsi="宋体"/>
                <w:spacing w:val="1"/>
                <w:w w:val="95"/>
                <w:highlight w:val="none"/>
              </w:rPr>
              <w:t>或</w:t>
            </w:r>
            <w:r>
              <w:rPr>
                <w:rFonts w:hAnsi="宋体"/>
                <w:spacing w:val="-1"/>
                <w:w w:val="95"/>
                <w:highlight w:val="none"/>
              </w:rPr>
              <w:t>其</w:t>
            </w:r>
            <w:r>
              <w:rPr>
                <w:rFonts w:hAnsi="宋体"/>
                <w:spacing w:val="1"/>
                <w:w w:val="95"/>
                <w:highlight w:val="none"/>
              </w:rPr>
              <w:t>他</w:t>
            </w:r>
            <w:r>
              <w:rPr>
                <w:rFonts w:hAnsi="宋体"/>
                <w:spacing w:val="-1"/>
                <w:w w:val="95"/>
                <w:highlight w:val="none"/>
              </w:rPr>
              <w:t>行</w:t>
            </w:r>
            <w:r>
              <w:rPr>
                <w:rFonts w:hAnsi="宋体"/>
                <w:spacing w:val="1"/>
                <w:w w:val="95"/>
                <w:highlight w:val="none"/>
              </w:rPr>
              <w:t>业</w:t>
            </w:r>
            <w:r>
              <w:rPr>
                <w:rFonts w:hAnsi="宋体"/>
                <w:spacing w:val="-1"/>
                <w:w w:val="95"/>
                <w:highlight w:val="none"/>
              </w:rPr>
              <w:t>标</w:t>
            </w:r>
            <w:r>
              <w:rPr>
                <w:rFonts w:hAnsi="宋体"/>
                <w:spacing w:val="1"/>
                <w:w w:val="95"/>
                <w:highlight w:val="none"/>
              </w:rPr>
              <w:t>准</w:t>
            </w:r>
            <w:r>
              <w:rPr>
                <w:rFonts w:hAnsi="宋体"/>
                <w:w w:val="95"/>
                <w:highlight w:val="none"/>
              </w:rPr>
              <w:t>被</w:t>
            </w:r>
            <w:r>
              <w:rPr>
                <w:rFonts w:hAnsi="宋体"/>
                <w:spacing w:val="-1"/>
                <w:highlight w:val="none"/>
              </w:rPr>
              <w:t>划</w:t>
            </w:r>
            <w:r>
              <w:rPr>
                <w:rFonts w:hAnsi="宋体"/>
                <w:spacing w:val="2"/>
                <w:highlight w:val="none"/>
              </w:rPr>
              <w:t>分</w:t>
            </w:r>
            <w:r>
              <w:rPr>
                <w:rFonts w:hAnsi="宋体"/>
                <w:spacing w:val="-1"/>
                <w:highlight w:val="none"/>
              </w:rPr>
              <w:t>为</w:t>
            </w:r>
            <w:r>
              <w:rPr>
                <w:rFonts w:hAnsi="宋体"/>
                <w:spacing w:val="2"/>
                <w:highlight w:val="none"/>
              </w:rPr>
              <w:t>具</w:t>
            </w:r>
            <w:r>
              <w:rPr>
                <w:rFonts w:hAnsi="宋体"/>
                <w:spacing w:val="-1"/>
                <w:highlight w:val="none"/>
              </w:rPr>
              <w:t>有</w:t>
            </w:r>
            <w:r>
              <w:rPr>
                <w:rFonts w:hAnsi="宋体"/>
                <w:spacing w:val="2"/>
                <w:highlight w:val="none"/>
              </w:rPr>
              <w:t>重</w:t>
            </w:r>
            <w:r>
              <w:rPr>
                <w:rFonts w:hAnsi="宋体"/>
                <w:spacing w:val="-1"/>
                <w:highlight w:val="none"/>
              </w:rPr>
              <w:t>大</w:t>
            </w:r>
            <w:r>
              <w:rPr>
                <w:rFonts w:hAnsi="宋体"/>
                <w:spacing w:val="2"/>
                <w:highlight w:val="none"/>
              </w:rPr>
              <w:t>等</w:t>
            </w:r>
            <w:r>
              <w:rPr>
                <w:rFonts w:hAnsi="宋体"/>
                <w:spacing w:val="-1"/>
                <w:highlight w:val="none"/>
              </w:rPr>
              <w:t>级</w:t>
            </w:r>
            <w:r>
              <w:rPr>
                <w:rFonts w:hAnsi="宋体"/>
                <w:spacing w:val="2"/>
                <w:highlight w:val="none"/>
              </w:rPr>
              <w:t>的</w:t>
            </w:r>
            <w:r>
              <w:rPr>
                <w:rFonts w:hAnsi="宋体"/>
                <w:spacing w:val="-1"/>
                <w:highlight w:val="none"/>
              </w:rPr>
              <w:t>环</w:t>
            </w:r>
            <w:r>
              <w:rPr>
                <w:rFonts w:hAnsi="宋体"/>
                <w:spacing w:val="2"/>
                <w:highlight w:val="none"/>
              </w:rPr>
              <w:t>境</w:t>
            </w:r>
            <w:r>
              <w:rPr>
                <w:rFonts w:hAnsi="宋体"/>
                <w:spacing w:val="-1"/>
                <w:highlight w:val="none"/>
              </w:rPr>
              <w:t>污</w:t>
            </w:r>
            <w:r>
              <w:rPr>
                <w:rFonts w:hAnsi="宋体"/>
                <w:spacing w:val="2"/>
                <w:highlight w:val="none"/>
              </w:rPr>
              <w:t>染</w:t>
            </w:r>
            <w:r>
              <w:rPr>
                <w:rFonts w:hAnsi="宋体"/>
                <w:spacing w:val="-1"/>
                <w:highlight w:val="none"/>
              </w:rPr>
              <w:t>源</w:t>
            </w:r>
            <w:r>
              <w:rPr>
                <w:rFonts w:hAnsi="宋体"/>
                <w:spacing w:val="2"/>
                <w:highlight w:val="none"/>
              </w:rPr>
              <w:t>或</w:t>
            </w:r>
            <w:r>
              <w:rPr>
                <w:rFonts w:hAnsi="宋体"/>
                <w:spacing w:val="-1"/>
                <w:highlight w:val="none"/>
              </w:rPr>
              <w:t>风</w:t>
            </w:r>
            <w:r>
              <w:rPr>
                <w:rFonts w:hAnsi="宋体"/>
                <w:spacing w:val="2"/>
                <w:highlight w:val="none"/>
              </w:rPr>
              <w:t>险</w:t>
            </w:r>
            <w:r>
              <w:rPr>
                <w:rFonts w:hAnsi="宋体"/>
                <w:spacing w:val="-1"/>
                <w:highlight w:val="none"/>
              </w:rPr>
              <w:t>源</w:t>
            </w:r>
            <w:r>
              <w:rPr>
                <w:rFonts w:hAnsi="宋体"/>
                <w:highlight w:val="none"/>
              </w:rPr>
              <w:t>。</w:t>
            </w:r>
          </w:p>
          <w:p>
            <w:pPr>
              <w:pStyle w:val="64"/>
              <w:jc w:val="left"/>
              <w:rPr>
                <w:rFonts w:hAnsi="宋体"/>
                <w:highlight w:val="none"/>
              </w:rPr>
            </w:pPr>
            <w:r>
              <w:rPr>
                <w:rFonts w:hAnsi="宋体"/>
                <w:spacing w:val="-1"/>
                <w:highlight w:val="none"/>
              </w:rPr>
              <w:t>（</w:t>
            </w:r>
            <w:r>
              <w:rPr>
                <w:rFonts w:hAnsi="宋体" w:cs="hakuyoxingshu7000"/>
                <w:spacing w:val="1"/>
                <w:highlight w:val="none"/>
              </w:rPr>
              <w:t>6</w:t>
            </w:r>
            <w:r>
              <w:rPr>
                <w:rFonts w:hAnsi="宋体"/>
                <w:highlight w:val="none"/>
              </w:rPr>
              <w:t>）</w:t>
            </w:r>
            <w:r>
              <w:rPr>
                <w:rFonts w:hAnsi="宋体"/>
                <w:spacing w:val="-1"/>
                <w:highlight w:val="none"/>
              </w:rPr>
              <w:t>其</w:t>
            </w:r>
            <w:r>
              <w:rPr>
                <w:rFonts w:hAnsi="宋体"/>
                <w:spacing w:val="2"/>
                <w:highlight w:val="none"/>
              </w:rPr>
              <w:t>他</w:t>
            </w:r>
            <w:r>
              <w:rPr>
                <w:rFonts w:hAnsi="宋体"/>
                <w:spacing w:val="-1"/>
                <w:highlight w:val="none"/>
              </w:rPr>
              <w:t>二</w:t>
            </w:r>
            <w:r>
              <w:rPr>
                <w:rFonts w:hAnsi="宋体"/>
                <w:spacing w:val="2"/>
                <w:highlight w:val="none"/>
              </w:rPr>
              <w:t>次</w:t>
            </w:r>
            <w:r>
              <w:rPr>
                <w:rFonts w:hAnsi="宋体"/>
                <w:spacing w:val="-1"/>
                <w:highlight w:val="none"/>
              </w:rPr>
              <w:t>环</w:t>
            </w:r>
            <w:r>
              <w:rPr>
                <w:rFonts w:hAnsi="宋体"/>
                <w:spacing w:val="2"/>
                <w:highlight w:val="none"/>
              </w:rPr>
              <w:t>境</w:t>
            </w:r>
            <w:r>
              <w:rPr>
                <w:rFonts w:hAnsi="宋体"/>
                <w:spacing w:val="-1"/>
                <w:highlight w:val="none"/>
              </w:rPr>
              <w:t>污</w:t>
            </w:r>
            <w:r>
              <w:rPr>
                <w:rFonts w:hAnsi="宋体"/>
                <w:spacing w:val="2"/>
                <w:highlight w:val="none"/>
              </w:rPr>
              <w:t>染</w:t>
            </w:r>
            <w:r>
              <w:rPr>
                <w:rFonts w:hAnsi="宋体"/>
                <w:spacing w:val="-1"/>
                <w:highlight w:val="none"/>
              </w:rPr>
              <w:t>源</w:t>
            </w:r>
            <w:r>
              <w:rPr>
                <w:rFonts w:hAnsi="宋体"/>
                <w:highlight w:val="none"/>
              </w:rPr>
              <w:t>、</w:t>
            </w:r>
            <w:r>
              <w:rPr>
                <w:rFonts w:hAnsi="宋体"/>
                <w:spacing w:val="-1"/>
                <w:highlight w:val="none"/>
              </w:rPr>
              <w:t>风</w:t>
            </w:r>
            <w:r>
              <w:rPr>
                <w:rFonts w:hAnsi="宋体"/>
                <w:spacing w:val="2"/>
                <w:highlight w:val="none"/>
              </w:rPr>
              <w:t>险</w:t>
            </w:r>
            <w:r>
              <w:rPr>
                <w:rFonts w:hAnsi="宋体"/>
                <w:spacing w:val="-1"/>
                <w:highlight w:val="none"/>
              </w:rPr>
              <w:t>源</w:t>
            </w:r>
            <w:r>
              <w:rPr>
                <w:rFonts w:hAnsi="宋体"/>
                <w:highlight w:val="none"/>
              </w:rPr>
              <w:t>：</w:t>
            </w:r>
            <w:r>
              <w:rPr>
                <w:rFonts w:hAnsi="宋体"/>
                <w:spacing w:val="-1"/>
                <w:highlight w:val="none"/>
              </w:rPr>
              <w:t>指</w:t>
            </w:r>
            <w:r>
              <w:rPr>
                <w:rFonts w:hAnsi="宋体"/>
                <w:spacing w:val="2"/>
                <w:highlight w:val="none"/>
              </w:rPr>
              <w:t>尾</w:t>
            </w:r>
            <w:r>
              <w:rPr>
                <w:rFonts w:hAnsi="宋体"/>
                <w:spacing w:val="-1"/>
                <w:highlight w:val="none"/>
              </w:rPr>
              <w:t>矿</w:t>
            </w:r>
            <w:r>
              <w:rPr>
                <w:rFonts w:hAnsi="宋体"/>
                <w:spacing w:val="2"/>
                <w:highlight w:val="none"/>
              </w:rPr>
              <w:t>库</w:t>
            </w:r>
            <w:r>
              <w:rPr>
                <w:rFonts w:hAnsi="宋体"/>
                <w:spacing w:val="-1"/>
                <w:highlight w:val="none"/>
              </w:rPr>
              <w:t>下</w:t>
            </w:r>
            <w:r>
              <w:rPr>
                <w:rFonts w:hAnsi="宋体"/>
                <w:spacing w:val="2"/>
                <w:highlight w:val="none"/>
              </w:rPr>
              <w:t>游</w:t>
            </w:r>
            <w:r>
              <w:rPr>
                <w:rFonts w:hAnsi="宋体"/>
                <w:spacing w:val="-1"/>
                <w:highlight w:val="none"/>
              </w:rPr>
              <w:t>可</w:t>
            </w:r>
            <w:r>
              <w:rPr>
                <w:rFonts w:hAnsi="宋体"/>
                <w:spacing w:val="2"/>
                <w:highlight w:val="none"/>
              </w:rPr>
              <w:t>能</w:t>
            </w:r>
            <w:r>
              <w:rPr>
                <w:rFonts w:hAnsi="宋体"/>
                <w:spacing w:val="-1"/>
                <w:highlight w:val="none"/>
              </w:rPr>
              <w:t>危</w:t>
            </w:r>
            <w:r>
              <w:rPr>
                <w:rFonts w:hAnsi="宋体"/>
                <w:spacing w:val="2"/>
                <w:highlight w:val="none"/>
              </w:rPr>
              <w:t>及</w:t>
            </w:r>
            <w:r>
              <w:rPr>
                <w:rFonts w:hAnsi="宋体"/>
                <w:spacing w:val="-1"/>
                <w:highlight w:val="none"/>
              </w:rPr>
              <w:t>的</w:t>
            </w:r>
            <w:r>
              <w:rPr>
                <w:rFonts w:hAnsi="宋体"/>
                <w:highlight w:val="none"/>
              </w:rPr>
              <w:t>，</w:t>
            </w:r>
            <w:r>
              <w:rPr>
                <w:rFonts w:hAnsi="宋体"/>
                <w:spacing w:val="-1"/>
                <w:highlight w:val="none"/>
              </w:rPr>
              <w:t>依</w:t>
            </w:r>
            <w:r>
              <w:rPr>
                <w:rFonts w:hAnsi="宋体"/>
                <w:spacing w:val="2"/>
                <w:highlight w:val="none"/>
              </w:rPr>
              <w:t>据</w:t>
            </w:r>
            <w:r>
              <w:rPr>
                <w:rFonts w:hAnsi="宋体"/>
                <w:spacing w:val="-1"/>
                <w:highlight w:val="none"/>
              </w:rPr>
              <w:t>当</w:t>
            </w:r>
            <w:r>
              <w:rPr>
                <w:rFonts w:hAnsi="宋体"/>
                <w:spacing w:val="2"/>
                <w:highlight w:val="none"/>
              </w:rPr>
              <w:t>地</w:t>
            </w:r>
            <w:r>
              <w:rPr>
                <w:rFonts w:hAnsi="宋体"/>
                <w:spacing w:val="-1"/>
                <w:highlight w:val="none"/>
              </w:rPr>
              <w:t>地</w:t>
            </w:r>
            <w:r>
              <w:rPr>
                <w:rFonts w:hAnsi="宋体"/>
                <w:spacing w:val="2"/>
                <w:highlight w:val="none"/>
              </w:rPr>
              <w:t>方</w:t>
            </w:r>
            <w:r>
              <w:rPr>
                <w:rFonts w:hAnsi="宋体"/>
                <w:spacing w:val="-1"/>
                <w:highlight w:val="none"/>
              </w:rPr>
              <w:t>相</w:t>
            </w:r>
            <w:r>
              <w:rPr>
                <w:rFonts w:hAnsi="宋体"/>
                <w:spacing w:val="2"/>
                <w:highlight w:val="none"/>
              </w:rPr>
              <w:t>关</w:t>
            </w:r>
            <w:r>
              <w:rPr>
                <w:rFonts w:hAnsi="宋体"/>
                <w:spacing w:val="-1"/>
                <w:highlight w:val="none"/>
              </w:rPr>
              <w:t>标</w:t>
            </w:r>
            <w:r>
              <w:rPr>
                <w:rFonts w:hAnsi="宋体"/>
                <w:spacing w:val="2"/>
                <w:highlight w:val="none"/>
              </w:rPr>
              <w:t>准</w:t>
            </w:r>
            <w:r>
              <w:rPr>
                <w:rFonts w:hAnsi="宋体"/>
                <w:highlight w:val="none"/>
              </w:rPr>
              <w:t>、</w:t>
            </w:r>
            <w:r>
              <w:rPr>
                <w:rFonts w:hAnsi="宋体"/>
                <w:spacing w:val="-1"/>
                <w:highlight w:val="none"/>
              </w:rPr>
              <w:t>文</w:t>
            </w:r>
            <w:r>
              <w:rPr>
                <w:rFonts w:hAnsi="宋体"/>
                <w:spacing w:val="2"/>
                <w:highlight w:val="none"/>
              </w:rPr>
              <w:t>件</w:t>
            </w:r>
            <w:r>
              <w:rPr>
                <w:rFonts w:hAnsi="宋体"/>
                <w:spacing w:val="-1"/>
                <w:highlight w:val="none"/>
              </w:rPr>
              <w:t>或</w:t>
            </w:r>
            <w:r>
              <w:rPr>
                <w:rFonts w:hAnsi="宋体"/>
                <w:spacing w:val="2"/>
                <w:highlight w:val="none"/>
              </w:rPr>
              <w:t>其</w:t>
            </w:r>
            <w:r>
              <w:rPr>
                <w:rFonts w:hAnsi="宋体"/>
                <w:spacing w:val="-1"/>
                <w:highlight w:val="none"/>
              </w:rPr>
              <w:t>他</w:t>
            </w:r>
            <w:r>
              <w:rPr>
                <w:rFonts w:hAnsi="宋体"/>
                <w:spacing w:val="2"/>
                <w:highlight w:val="none"/>
              </w:rPr>
              <w:t>行</w:t>
            </w:r>
            <w:r>
              <w:rPr>
                <w:rFonts w:hAnsi="宋体"/>
                <w:spacing w:val="-1"/>
                <w:highlight w:val="none"/>
              </w:rPr>
              <w:t>业</w:t>
            </w:r>
            <w:r>
              <w:rPr>
                <w:rFonts w:hAnsi="宋体"/>
                <w:highlight w:val="none"/>
              </w:rPr>
              <w:t>标</w:t>
            </w:r>
            <w:r>
              <w:rPr>
                <w:rFonts w:hAnsi="宋体"/>
                <w:spacing w:val="-1"/>
                <w:highlight w:val="none"/>
              </w:rPr>
              <w:t>准</w:t>
            </w:r>
            <w:r>
              <w:rPr>
                <w:rFonts w:hAnsi="宋体"/>
                <w:spacing w:val="2"/>
                <w:highlight w:val="none"/>
              </w:rPr>
              <w:t>被</w:t>
            </w:r>
            <w:r>
              <w:rPr>
                <w:rFonts w:hAnsi="宋体"/>
                <w:spacing w:val="-1"/>
                <w:highlight w:val="none"/>
              </w:rPr>
              <w:t>划</w:t>
            </w:r>
            <w:r>
              <w:rPr>
                <w:rFonts w:hAnsi="宋体"/>
                <w:spacing w:val="2"/>
                <w:highlight w:val="none"/>
              </w:rPr>
              <w:t>分</w:t>
            </w:r>
            <w:r>
              <w:rPr>
                <w:rFonts w:hAnsi="宋体"/>
                <w:spacing w:val="-1"/>
                <w:highlight w:val="none"/>
              </w:rPr>
              <w:t>为</w:t>
            </w:r>
            <w:r>
              <w:rPr>
                <w:rFonts w:hAnsi="宋体"/>
                <w:spacing w:val="2"/>
                <w:highlight w:val="none"/>
              </w:rPr>
              <w:t>具</w:t>
            </w:r>
            <w:r>
              <w:rPr>
                <w:rFonts w:hAnsi="宋体"/>
                <w:spacing w:val="-1"/>
                <w:highlight w:val="none"/>
              </w:rPr>
              <w:t>有</w:t>
            </w:r>
            <w:r>
              <w:rPr>
                <w:rFonts w:hAnsi="宋体"/>
                <w:spacing w:val="2"/>
                <w:highlight w:val="none"/>
              </w:rPr>
              <w:t>除</w:t>
            </w:r>
            <w:r>
              <w:rPr>
                <w:rFonts w:hAnsi="宋体"/>
                <w:spacing w:val="-1"/>
                <w:highlight w:val="none"/>
              </w:rPr>
              <w:t>重</w:t>
            </w:r>
            <w:r>
              <w:rPr>
                <w:rFonts w:hAnsi="宋体"/>
                <w:spacing w:val="2"/>
                <w:highlight w:val="none"/>
              </w:rPr>
              <w:t>大</w:t>
            </w:r>
            <w:r>
              <w:rPr>
                <w:rFonts w:hAnsi="宋体"/>
                <w:spacing w:val="-1"/>
                <w:highlight w:val="none"/>
              </w:rPr>
              <w:t>等</w:t>
            </w:r>
            <w:r>
              <w:rPr>
                <w:rFonts w:hAnsi="宋体"/>
                <w:spacing w:val="2"/>
                <w:highlight w:val="none"/>
              </w:rPr>
              <w:t>级</w:t>
            </w:r>
            <w:r>
              <w:rPr>
                <w:rFonts w:hAnsi="宋体"/>
                <w:spacing w:val="-1"/>
                <w:highlight w:val="none"/>
              </w:rPr>
              <w:t>之</w:t>
            </w:r>
            <w:r>
              <w:rPr>
                <w:rFonts w:hAnsi="宋体"/>
                <w:spacing w:val="2"/>
                <w:highlight w:val="none"/>
              </w:rPr>
              <w:t>外</w:t>
            </w:r>
            <w:r>
              <w:rPr>
                <w:rFonts w:hAnsi="宋体"/>
                <w:spacing w:val="-1"/>
                <w:highlight w:val="none"/>
              </w:rPr>
              <w:t>的</w:t>
            </w:r>
            <w:r>
              <w:rPr>
                <w:rFonts w:hAnsi="宋体"/>
                <w:spacing w:val="2"/>
                <w:highlight w:val="none"/>
              </w:rPr>
              <w:t>其</w:t>
            </w:r>
            <w:r>
              <w:rPr>
                <w:rFonts w:hAnsi="宋体"/>
                <w:spacing w:val="-1"/>
                <w:highlight w:val="none"/>
              </w:rPr>
              <w:t>他</w:t>
            </w:r>
            <w:r>
              <w:rPr>
                <w:rFonts w:hAnsi="宋体"/>
                <w:spacing w:val="2"/>
                <w:highlight w:val="none"/>
              </w:rPr>
              <w:t>等</w:t>
            </w:r>
            <w:r>
              <w:rPr>
                <w:rFonts w:hAnsi="宋体"/>
                <w:spacing w:val="-1"/>
                <w:highlight w:val="none"/>
              </w:rPr>
              <w:t>级</w:t>
            </w:r>
            <w:r>
              <w:rPr>
                <w:rFonts w:hAnsi="宋体"/>
                <w:spacing w:val="2"/>
                <w:highlight w:val="none"/>
              </w:rPr>
              <w:t>的</w:t>
            </w:r>
            <w:r>
              <w:rPr>
                <w:rFonts w:hAnsi="宋体"/>
                <w:spacing w:val="-1"/>
                <w:highlight w:val="none"/>
              </w:rPr>
              <w:t>环</w:t>
            </w:r>
            <w:r>
              <w:rPr>
                <w:rFonts w:hAnsi="宋体"/>
                <w:spacing w:val="2"/>
                <w:highlight w:val="none"/>
              </w:rPr>
              <w:t>境</w:t>
            </w:r>
            <w:r>
              <w:rPr>
                <w:rFonts w:hAnsi="宋体"/>
                <w:spacing w:val="-1"/>
                <w:highlight w:val="none"/>
              </w:rPr>
              <w:t>污</w:t>
            </w:r>
            <w:r>
              <w:rPr>
                <w:rFonts w:hAnsi="宋体"/>
                <w:spacing w:val="2"/>
                <w:highlight w:val="none"/>
              </w:rPr>
              <w:t>染</w:t>
            </w:r>
            <w:r>
              <w:rPr>
                <w:rFonts w:hAnsi="宋体"/>
                <w:spacing w:val="-1"/>
                <w:highlight w:val="none"/>
              </w:rPr>
              <w:t>源</w:t>
            </w:r>
            <w:r>
              <w:rPr>
                <w:rFonts w:hAnsi="宋体"/>
                <w:spacing w:val="2"/>
                <w:highlight w:val="none"/>
              </w:rPr>
              <w:t>或</w:t>
            </w:r>
            <w:r>
              <w:rPr>
                <w:rFonts w:hAnsi="宋体"/>
                <w:spacing w:val="-1"/>
                <w:highlight w:val="none"/>
              </w:rPr>
              <w:t>风</w:t>
            </w:r>
            <w:r>
              <w:rPr>
                <w:rFonts w:hAnsi="宋体"/>
                <w:spacing w:val="2"/>
                <w:highlight w:val="none"/>
              </w:rPr>
              <w:t>险</w:t>
            </w:r>
            <w:r>
              <w:rPr>
                <w:rFonts w:hAnsi="宋体"/>
                <w:spacing w:val="-1"/>
                <w:highlight w:val="none"/>
              </w:rPr>
              <w:t>源</w:t>
            </w:r>
            <w:r>
              <w:rPr>
                <w:rFonts w:hAnsi="宋体"/>
                <w:highlight w:val="none"/>
              </w:rPr>
              <w:t>。</w:t>
            </w:r>
          </w:p>
          <w:p>
            <w:pPr>
              <w:pStyle w:val="64"/>
              <w:jc w:val="left"/>
              <w:rPr>
                <w:rFonts w:hAnsi="宋体"/>
                <w:highlight w:val="none"/>
              </w:rPr>
            </w:pPr>
            <w:r>
              <w:rPr>
                <w:rFonts w:hAnsi="宋体"/>
                <w:spacing w:val="-1"/>
                <w:w w:val="95"/>
                <w:highlight w:val="none"/>
              </w:rPr>
              <w:t>（</w:t>
            </w:r>
            <w:r>
              <w:rPr>
                <w:rFonts w:hAnsi="宋体" w:cs="hakuyoxingshu7000"/>
                <w:w w:val="95"/>
                <w:highlight w:val="none"/>
              </w:rPr>
              <w:t>7</w:t>
            </w:r>
            <w:r>
              <w:rPr>
                <w:rFonts w:hAnsi="宋体"/>
                <w:w w:val="95"/>
                <w:highlight w:val="none"/>
              </w:rPr>
              <w:t>）</w:t>
            </w:r>
            <w:r>
              <w:rPr>
                <w:rFonts w:hAnsi="宋体"/>
                <w:spacing w:val="-1"/>
                <w:w w:val="95"/>
                <w:highlight w:val="none"/>
              </w:rPr>
              <w:t>周</w:t>
            </w:r>
            <w:r>
              <w:rPr>
                <w:rFonts w:hAnsi="宋体"/>
                <w:spacing w:val="1"/>
                <w:w w:val="95"/>
                <w:highlight w:val="none"/>
              </w:rPr>
              <w:t>边</w:t>
            </w:r>
            <w:r>
              <w:rPr>
                <w:rFonts w:hAnsi="宋体"/>
                <w:spacing w:val="-1"/>
                <w:w w:val="95"/>
                <w:highlight w:val="none"/>
              </w:rPr>
              <w:t>环</w:t>
            </w:r>
            <w:r>
              <w:rPr>
                <w:rFonts w:hAnsi="宋体"/>
                <w:spacing w:val="1"/>
                <w:w w:val="95"/>
                <w:highlight w:val="none"/>
              </w:rPr>
              <w:t>境</w:t>
            </w:r>
            <w:r>
              <w:rPr>
                <w:rFonts w:hAnsi="宋体"/>
                <w:spacing w:val="-1"/>
                <w:w w:val="95"/>
                <w:highlight w:val="none"/>
              </w:rPr>
              <w:t>风</w:t>
            </w:r>
            <w:r>
              <w:rPr>
                <w:rFonts w:hAnsi="宋体"/>
                <w:spacing w:val="1"/>
                <w:w w:val="95"/>
                <w:highlight w:val="none"/>
              </w:rPr>
              <w:t>险</w:t>
            </w:r>
            <w:r>
              <w:rPr>
                <w:rFonts w:hAnsi="宋体"/>
                <w:spacing w:val="-1"/>
                <w:w w:val="95"/>
                <w:highlight w:val="none"/>
              </w:rPr>
              <w:t>受</w:t>
            </w:r>
            <w:r>
              <w:rPr>
                <w:rFonts w:hAnsi="宋体"/>
                <w:spacing w:val="1"/>
                <w:w w:val="95"/>
                <w:highlight w:val="none"/>
              </w:rPr>
              <w:t>体</w:t>
            </w:r>
            <w:r>
              <w:rPr>
                <w:rFonts w:hAnsi="宋体"/>
                <w:spacing w:val="-1"/>
                <w:w w:val="95"/>
                <w:highlight w:val="none"/>
              </w:rPr>
              <w:t>情</w:t>
            </w:r>
            <w:r>
              <w:rPr>
                <w:rFonts w:hAnsi="宋体"/>
                <w:spacing w:val="1"/>
                <w:w w:val="95"/>
                <w:highlight w:val="none"/>
              </w:rPr>
              <w:t>况</w:t>
            </w:r>
            <w:r>
              <w:rPr>
                <w:rFonts w:hAnsi="宋体"/>
                <w:spacing w:val="-1"/>
                <w:w w:val="95"/>
                <w:highlight w:val="none"/>
              </w:rPr>
              <w:t>评</w:t>
            </w:r>
            <w:r>
              <w:rPr>
                <w:rFonts w:hAnsi="宋体"/>
                <w:spacing w:val="1"/>
                <w:w w:val="95"/>
                <w:highlight w:val="none"/>
              </w:rPr>
              <w:t>分</w:t>
            </w:r>
            <w:r>
              <w:rPr>
                <w:rFonts w:hAnsi="宋体"/>
                <w:spacing w:val="-1"/>
                <w:w w:val="95"/>
                <w:highlight w:val="none"/>
              </w:rPr>
              <w:t>时</w:t>
            </w:r>
            <w:r>
              <w:rPr>
                <w:rFonts w:hAnsi="宋体"/>
                <w:spacing w:val="1"/>
                <w:w w:val="95"/>
                <w:highlight w:val="none"/>
              </w:rPr>
              <w:t>：</w:t>
            </w:r>
            <w:r>
              <w:rPr>
                <w:rFonts w:hAnsi="宋体"/>
                <w:spacing w:val="-1"/>
                <w:w w:val="95"/>
                <w:highlight w:val="none"/>
              </w:rPr>
              <w:t>如</w:t>
            </w:r>
            <w:r>
              <w:rPr>
                <w:rFonts w:hAnsi="宋体"/>
                <w:spacing w:val="1"/>
                <w:w w:val="95"/>
                <w:highlight w:val="none"/>
              </w:rPr>
              <w:t>果</w:t>
            </w:r>
            <w:r>
              <w:rPr>
                <w:rFonts w:hAnsi="宋体"/>
                <w:spacing w:val="-1"/>
                <w:w w:val="95"/>
                <w:highlight w:val="none"/>
              </w:rPr>
              <w:t>涉</w:t>
            </w:r>
            <w:r>
              <w:rPr>
                <w:rFonts w:hAnsi="宋体"/>
                <w:spacing w:val="1"/>
                <w:w w:val="95"/>
                <w:highlight w:val="none"/>
              </w:rPr>
              <w:t>及</w:t>
            </w:r>
            <w:r>
              <w:rPr>
                <w:rFonts w:hAnsi="宋体"/>
                <w:spacing w:val="-1"/>
                <w:w w:val="95"/>
                <w:highlight w:val="none"/>
              </w:rPr>
              <w:t>多</w:t>
            </w:r>
            <w:r>
              <w:rPr>
                <w:rFonts w:hAnsi="宋体"/>
                <w:spacing w:val="1"/>
                <w:w w:val="95"/>
                <w:highlight w:val="none"/>
              </w:rPr>
              <w:t>种</w:t>
            </w:r>
            <w:r>
              <w:rPr>
                <w:rFonts w:hAnsi="宋体"/>
                <w:spacing w:val="-1"/>
                <w:w w:val="95"/>
                <w:highlight w:val="none"/>
              </w:rPr>
              <w:t>情</w:t>
            </w:r>
            <w:r>
              <w:rPr>
                <w:rFonts w:hAnsi="宋体"/>
                <w:spacing w:val="1"/>
                <w:w w:val="95"/>
                <w:highlight w:val="none"/>
              </w:rPr>
              <w:t>况</w:t>
            </w:r>
            <w:r>
              <w:rPr>
                <w:rFonts w:hAnsi="宋体"/>
                <w:spacing w:val="-1"/>
                <w:w w:val="95"/>
                <w:highlight w:val="none"/>
              </w:rPr>
              <w:t>，</w:t>
            </w:r>
            <w:r>
              <w:rPr>
                <w:rFonts w:hAnsi="宋体"/>
                <w:spacing w:val="1"/>
                <w:w w:val="95"/>
                <w:highlight w:val="none"/>
              </w:rPr>
              <w:t>则</w:t>
            </w:r>
            <w:r>
              <w:rPr>
                <w:rFonts w:hAnsi="宋体"/>
                <w:spacing w:val="-1"/>
                <w:w w:val="95"/>
                <w:highlight w:val="none"/>
              </w:rPr>
              <w:t>按</w:t>
            </w:r>
            <w:r>
              <w:rPr>
                <w:rFonts w:hAnsi="宋体"/>
                <w:spacing w:val="1"/>
                <w:w w:val="95"/>
                <w:highlight w:val="none"/>
              </w:rPr>
              <w:t>最</w:t>
            </w:r>
            <w:r>
              <w:rPr>
                <w:rFonts w:hAnsi="宋体"/>
                <w:spacing w:val="-1"/>
                <w:w w:val="95"/>
                <w:highlight w:val="none"/>
              </w:rPr>
              <w:t>高</w:t>
            </w:r>
            <w:r>
              <w:rPr>
                <w:rFonts w:hAnsi="宋体"/>
                <w:spacing w:val="1"/>
                <w:w w:val="95"/>
                <w:highlight w:val="none"/>
              </w:rPr>
              <w:t>分</w:t>
            </w:r>
            <w:r>
              <w:rPr>
                <w:rFonts w:hAnsi="宋体"/>
                <w:spacing w:val="-1"/>
                <w:w w:val="95"/>
                <w:highlight w:val="none"/>
              </w:rPr>
              <w:t>计</w:t>
            </w:r>
            <w:r>
              <w:rPr>
                <w:rFonts w:hAnsi="宋体"/>
                <w:spacing w:val="1"/>
                <w:w w:val="95"/>
                <w:highlight w:val="none"/>
              </w:rPr>
              <w:t>算</w:t>
            </w:r>
            <w:r>
              <w:rPr>
                <w:rFonts w:hAnsi="宋体"/>
                <w:w w:val="95"/>
                <w:highlight w:val="none"/>
              </w:rPr>
              <w:t>。</w:t>
            </w:r>
          </w:p>
          <w:p>
            <w:pPr>
              <w:pStyle w:val="64"/>
              <w:jc w:val="left"/>
              <w:rPr>
                <w:rFonts w:hAnsi="宋体"/>
                <w:spacing w:val="4"/>
                <w:highlight w:val="none"/>
              </w:rPr>
            </w:pPr>
            <w:r>
              <w:rPr>
                <w:rFonts w:hAnsi="宋体"/>
                <w:spacing w:val="-1"/>
                <w:w w:val="90"/>
                <w:highlight w:val="none"/>
              </w:rPr>
              <w:t>（</w:t>
            </w:r>
            <w:r>
              <w:rPr>
                <w:rFonts w:hAnsi="宋体" w:cs="hakuyoxingshu7000"/>
                <w:w w:val="90"/>
                <w:highlight w:val="none"/>
              </w:rPr>
              <w:t>8</w:t>
            </w:r>
            <w:r>
              <w:rPr>
                <w:rFonts w:hAnsi="宋体"/>
                <w:w w:val="90"/>
                <w:highlight w:val="none"/>
              </w:rPr>
              <w:t>）</w:t>
            </w:r>
            <w:r>
              <w:rPr>
                <w:rFonts w:hAnsi="宋体"/>
                <w:spacing w:val="-1"/>
                <w:w w:val="90"/>
                <w:highlight w:val="none"/>
              </w:rPr>
              <w:t>表</w:t>
            </w:r>
            <w:r>
              <w:rPr>
                <w:rFonts w:hAnsi="宋体"/>
                <w:spacing w:val="1"/>
                <w:w w:val="90"/>
                <w:highlight w:val="none"/>
              </w:rPr>
              <w:t>中</w:t>
            </w:r>
            <w:r>
              <w:rPr>
                <w:rFonts w:hAnsi="宋体"/>
                <w:spacing w:val="-1"/>
                <w:w w:val="90"/>
                <w:highlight w:val="none"/>
              </w:rPr>
              <w:t>复</w:t>
            </w:r>
            <w:r>
              <w:rPr>
                <w:rFonts w:hAnsi="宋体"/>
                <w:spacing w:val="1"/>
                <w:w w:val="90"/>
                <w:highlight w:val="none"/>
              </w:rPr>
              <w:t>选框</w:t>
            </w:r>
            <w:r>
              <w:rPr>
                <w:rFonts w:hAnsi="宋体" w:cs="hakuyoxingshu7000"/>
                <w:spacing w:val="2"/>
                <w:w w:val="90"/>
                <w:highlight w:val="none"/>
              </w:rPr>
              <w:t>“</w:t>
            </w:r>
            <w:r>
              <w:rPr>
                <w:rFonts w:hAnsi="宋体" w:cs="hakuyoxingshu7000"/>
                <w:w w:val="90"/>
                <w:highlight w:val="none"/>
              </w:rPr>
              <w:t>□</w:t>
            </w:r>
            <w:r>
              <w:rPr>
                <w:rFonts w:hAnsi="宋体" w:cs="hakuyoxingshu7000"/>
                <w:spacing w:val="-5"/>
                <w:w w:val="90"/>
                <w:highlight w:val="none"/>
              </w:rPr>
              <w:t>”</w:t>
            </w:r>
            <w:r>
              <w:rPr>
                <w:rFonts w:hAnsi="宋体"/>
                <w:spacing w:val="-1"/>
                <w:w w:val="90"/>
                <w:highlight w:val="none"/>
              </w:rPr>
              <w:t>表</w:t>
            </w:r>
            <w:r>
              <w:rPr>
                <w:rFonts w:hAnsi="宋体"/>
                <w:spacing w:val="1"/>
                <w:w w:val="90"/>
                <w:highlight w:val="none"/>
              </w:rPr>
              <w:t>示</w:t>
            </w:r>
            <w:r>
              <w:rPr>
                <w:rFonts w:hAnsi="宋体"/>
                <w:spacing w:val="-1"/>
                <w:w w:val="90"/>
                <w:highlight w:val="none"/>
              </w:rPr>
              <w:t>可</w:t>
            </w:r>
            <w:r>
              <w:rPr>
                <w:rFonts w:hAnsi="宋体"/>
                <w:spacing w:val="1"/>
                <w:w w:val="90"/>
                <w:highlight w:val="none"/>
              </w:rPr>
              <w:t>以</w:t>
            </w:r>
            <w:r>
              <w:rPr>
                <w:rFonts w:hAnsi="宋体"/>
                <w:spacing w:val="-1"/>
                <w:w w:val="90"/>
                <w:highlight w:val="none"/>
              </w:rPr>
              <w:t>多</w:t>
            </w:r>
            <w:r>
              <w:rPr>
                <w:rFonts w:hAnsi="宋体"/>
                <w:spacing w:val="1"/>
                <w:w w:val="90"/>
                <w:highlight w:val="none"/>
              </w:rPr>
              <w:t>选</w:t>
            </w:r>
            <w:r>
              <w:rPr>
                <w:rFonts w:hAnsi="宋体"/>
                <w:spacing w:val="-1"/>
                <w:w w:val="90"/>
                <w:highlight w:val="none"/>
              </w:rPr>
              <w:t>，</w:t>
            </w:r>
            <w:r>
              <w:rPr>
                <w:rFonts w:hAnsi="宋体"/>
                <w:spacing w:val="1"/>
                <w:w w:val="90"/>
                <w:highlight w:val="none"/>
              </w:rPr>
              <w:t>按</w:t>
            </w:r>
            <w:r>
              <w:rPr>
                <w:rFonts w:hAnsi="宋体"/>
                <w:spacing w:val="-1"/>
                <w:w w:val="90"/>
                <w:highlight w:val="none"/>
              </w:rPr>
              <w:t>其</w:t>
            </w:r>
            <w:r>
              <w:rPr>
                <w:rFonts w:hAnsi="宋体"/>
                <w:spacing w:val="1"/>
                <w:w w:val="90"/>
                <w:highlight w:val="none"/>
              </w:rPr>
              <w:t>中</w:t>
            </w:r>
            <w:r>
              <w:rPr>
                <w:rFonts w:hAnsi="宋体"/>
                <w:spacing w:val="-1"/>
                <w:w w:val="90"/>
                <w:highlight w:val="none"/>
              </w:rPr>
              <w:t>最</w:t>
            </w:r>
            <w:r>
              <w:rPr>
                <w:rFonts w:hAnsi="宋体"/>
                <w:spacing w:val="1"/>
                <w:w w:val="90"/>
                <w:highlight w:val="none"/>
              </w:rPr>
              <w:t>高</w:t>
            </w:r>
            <w:r>
              <w:rPr>
                <w:rFonts w:hAnsi="宋体"/>
                <w:spacing w:val="-1"/>
                <w:w w:val="90"/>
                <w:highlight w:val="none"/>
              </w:rPr>
              <w:t>得</w:t>
            </w:r>
            <w:r>
              <w:rPr>
                <w:rFonts w:hAnsi="宋体"/>
                <w:spacing w:val="1"/>
                <w:w w:val="90"/>
                <w:highlight w:val="none"/>
              </w:rPr>
              <w:t>分</w:t>
            </w:r>
            <w:r>
              <w:rPr>
                <w:rFonts w:hAnsi="宋体"/>
                <w:spacing w:val="-1"/>
                <w:w w:val="90"/>
                <w:highlight w:val="none"/>
              </w:rPr>
              <w:t>计</w:t>
            </w:r>
            <w:r>
              <w:rPr>
                <w:rFonts w:hAnsi="宋体"/>
                <w:spacing w:val="1"/>
                <w:w w:val="90"/>
                <w:highlight w:val="none"/>
              </w:rPr>
              <w:t>算</w:t>
            </w:r>
            <w:r>
              <w:rPr>
                <w:rFonts w:hAnsi="宋体"/>
                <w:spacing w:val="-1"/>
                <w:w w:val="90"/>
                <w:highlight w:val="none"/>
              </w:rPr>
              <w:t>；</w:t>
            </w:r>
            <w:r>
              <w:rPr>
                <w:rFonts w:hAnsi="宋体"/>
                <w:spacing w:val="1"/>
                <w:w w:val="90"/>
                <w:highlight w:val="none"/>
              </w:rPr>
              <w:t>单</w:t>
            </w:r>
            <w:r>
              <w:rPr>
                <w:rFonts w:hAnsi="宋体"/>
                <w:spacing w:val="-1"/>
                <w:w w:val="90"/>
                <w:highlight w:val="none"/>
              </w:rPr>
              <w:t>选</w:t>
            </w:r>
            <w:r>
              <w:rPr>
                <w:rFonts w:hAnsi="宋体"/>
                <w:spacing w:val="1"/>
                <w:w w:val="90"/>
                <w:highlight w:val="none"/>
              </w:rPr>
              <w:t>框</w:t>
            </w:r>
            <w:r>
              <w:rPr>
                <w:rFonts w:hAnsi="宋体" w:cs="hakuyoxingshu7000"/>
                <w:spacing w:val="2"/>
                <w:w w:val="90"/>
                <w:highlight w:val="none"/>
              </w:rPr>
              <w:t>“</w:t>
            </w:r>
            <w:r>
              <w:rPr>
                <w:rFonts w:hAnsi="宋体" w:cs="hakuyoxingshu7000"/>
                <w:w w:val="90"/>
                <w:highlight w:val="none"/>
              </w:rPr>
              <w:t>○</w:t>
            </w:r>
            <w:r>
              <w:rPr>
                <w:rFonts w:hAnsi="宋体" w:cs="hakuyoxingshu7000"/>
                <w:spacing w:val="2"/>
                <w:w w:val="90"/>
                <w:highlight w:val="none"/>
              </w:rPr>
              <w:t>”</w:t>
            </w:r>
            <w:r>
              <w:rPr>
                <w:rFonts w:hAnsi="宋体"/>
                <w:spacing w:val="-1"/>
                <w:w w:val="90"/>
                <w:highlight w:val="none"/>
              </w:rPr>
              <w:t>表</w:t>
            </w:r>
            <w:r>
              <w:rPr>
                <w:rFonts w:hAnsi="宋体"/>
                <w:spacing w:val="1"/>
                <w:w w:val="90"/>
                <w:highlight w:val="none"/>
              </w:rPr>
              <w:t>示</w:t>
            </w:r>
            <w:r>
              <w:rPr>
                <w:rFonts w:hAnsi="宋体"/>
                <w:spacing w:val="-1"/>
                <w:w w:val="90"/>
                <w:highlight w:val="none"/>
              </w:rPr>
              <w:t>只</w:t>
            </w:r>
            <w:r>
              <w:rPr>
                <w:rFonts w:hAnsi="宋体"/>
                <w:spacing w:val="1"/>
                <w:w w:val="90"/>
                <w:highlight w:val="none"/>
              </w:rPr>
              <w:t>能</w:t>
            </w:r>
            <w:r>
              <w:rPr>
                <w:rFonts w:hAnsi="宋体"/>
                <w:spacing w:val="-1"/>
                <w:w w:val="90"/>
                <w:highlight w:val="none"/>
              </w:rPr>
              <w:t>单</w:t>
            </w:r>
            <w:r>
              <w:rPr>
                <w:rFonts w:hAnsi="宋体"/>
                <w:spacing w:val="1"/>
                <w:w w:val="90"/>
                <w:highlight w:val="none"/>
              </w:rPr>
              <w:t>选</w:t>
            </w:r>
            <w:r>
              <w:rPr>
                <w:rFonts w:hAnsi="宋体"/>
                <w:w w:val="90"/>
                <w:highlight w:val="none"/>
              </w:rPr>
              <w:t>。</w:t>
            </w:r>
          </w:p>
        </w:tc>
      </w:tr>
    </w:tbl>
    <w:p>
      <w:pPr>
        <w:spacing w:line="271" w:lineRule="exact"/>
        <w:ind w:firstLine="0" w:firstLineChars="0"/>
        <w:jc w:val="left"/>
        <w:rPr>
          <w:rFonts w:ascii="宋体" w:hAnsi="宋体" w:cs="宋体"/>
          <w:kern w:val="0"/>
          <w:sz w:val="21"/>
          <w:szCs w:val="21"/>
          <w:highlight w:val="none"/>
        </w:rPr>
        <w:sectPr>
          <w:pgSz w:w="16838" w:h="11920" w:orient="landscape"/>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2"/>
        <w:ind w:firstLine="480"/>
        <w:rPr>
          <w:rFonts w:hAnsi="宋体"/>
          <w:highlight w:val="none"/>
        </w:rPr>
      </w:pPr>
      <w:r>
        <w:rPr>
          <w:rFonts w:hAnsi="宋体"/>
          <w:highlight w:val="none"/>
        </w:rPr>
        <w:t>根据尾矿库周边敏感性评分表可知，本项目尾矿库周边敏感性评分为</w:t>
      </w:r>
      <w:r>
        <w:rPr>
          <w:rFonts w:hint="eastAsia" w:hAnsi="宋体"/>
          <w:highlight w:val="none"/>
        </w:rPr>
        <w:t>14</w:t>
      </w:r>
      <w:r>
        <w:rPr>
          <w:rFonts w:hAnsi="宋体"/>
          <w:highlight w:val="none"/>
        </w:rPr>
        <w:t>.5分。根据尾矿库周边敏感性等别划分表，表5</w:t>
      </w:r>
      <w:r>
        <w:rPr>
          <w:rFonts w:hint="eastAsia" w:hAnsi="宋体"/>
          <w:highlight w:val="none"/>
        </w:rPr>
        <w:t>.7</w:t>
      </w:r>
      <w:r>
        <w:rPr>
          <w:rFonts w:hAnsi="宋体"/>
          <w:highlight w:val="none"/>
        </w:rPr>
        <w:t>-6所示，本项目尾矿库周边敏感性等别为S3。</w:t>
      </w:r>
    </w:p>
    <w:p>
      <w:pPr>
        <w:spacing w:line="345" w:lineRule="exact"/>
        <w:ind w:left="2183" w:firstLine="0" w:firstLineChars="0"/>
        <w:jc w:val="left"/>
        <w:rPr>
          <w:rFonts w:ascii="宋体" w:hAnsi="宋体"/>
          <w:kern w:val="0"/>
          <w:highlight w:val="none"/>
        </w:rPr>
      </w:pPr>
      <w:r>
        <w:rPr>
          <w:rFonts w:ascii="宋体" w:hAnsi="宋体"/>
          <w:kern w:val="0"/>
          <w:highlight w:val="none"/>
        </w:rPr>
        <w:t>表</w:t>
      </w:r>
      <w:r>
        <w:rPr>
          <w:rFonts w:ascii="宋体" w:hAnsi="宋体"/>
          <w:spacing w:val="2"/>
          <w:kern w:val="0"/>
          <w:highlight w:val="none"/>
        </w:rPr>
        <w:t>5</w:t>
      </w:r>
      <w:r>
        <w:rPr>
          <w:rFonts w:hint="eastAsia" w:ascii="宋体" w:hAnsi="宋体"/>
          <w:spacing w:val="2"/>
          <w:kern w:val="0"/>
          <w:highlight w:val="none"/>
        </w:rPr>
        <w:t>.7</w:t>
      </w:r>
      <w:r>
        <w:rPr>
          <w:rFonts w:ascii="宋体" w:hAnsi="宋体"/>
          <w:kern w:val="0"/>
          <w:highlight w:val="none"/>
        </w:rPr>
        <w:t>-6</w:t>
      </w:r>
      <w:r>
        <w:rPr>
          <w:rFonts w:hint="eastAsia" w:ascii="宋体" w:hAnsi="宋体"/>
          <w:kern w:val="0"/>
          <w:highlight w:val="none"/>
        </w:rPr>
        <w:t xml:space="preserve">  </w:t>
      </w:r>
      <w:r>
        <w:rPr>
          <w:rFonts w:ascii="宋体" w:hAnsi="宋体"/>
          <w:kern w:val="0"/>
          <w:highlight w:val="none"/>
        </w:rPr>
        <w:t>尾矿库周</w:t>
      </w:r>
      <w:r>
        <w:rPr>
          <w:rFonts w:ascii="宋体" w:hAnsi="宋体"/>
          <w:spacing w:val="2"/>
          <w:kern w:val="0"/>
          <w:highlight w:val="none"/>
        </w:rPr>
        <w:t>边</w:t>
      </w:r>
      <w:r>
        <w:rPr>
          <w:rFonts w:ascii="宋体" w:hAnsi="宋体"/>
          <w:kern w:val="0"/>
          <w:highlight w:val="none"/>
        </w:rPr>
        <w:t>敏</w:t>
      </w:r>
      <w:r>
        <w:rPr>
          <w:rFonts w:ascii="宋体" w:hAnsi="宋体"/>
          <w:spacing w:val="2"/>
          <w:kern w:val="0"/>
          <w:highlight w:val="none"/>
        </w:rPr>
        <w:t>感</w:t>
      </w:r>
      <w:r>
        <w:rPr>
          <w:rFonts w:ascii="宋体" w:hAnsi="宋体"/>
          <w:kern w:val="0"/>
          <w:highlight w:val="none"/>
        </w:rPr>
        <w:t>性</w:t>
      </w:r>
      <w:r>
        <w:rPr>
          <w:rFonts w:ascii="宋体" w:hAnsi="宋体"/>
          <w:spacing w:val="2"/>
          <w:kern w:val="0"/>
          <w:highlight w:val="none"/>
        </w:rPr>
        <w:t>（</w:t>
      </w:r>
      <w:r>
        <w:rPr>
          <w:rFonts w:ascii="宋体" w:hAnsi="宋体"/>
          <w:kern w:val="0"/>
          <w:highlight w:val="none"/>
        </w:rPr>
        <w:t>S）</w:t>
      </w:r>
      <w:r>
        <w:rPr>
          <w:rFonts w:ascii="宋体" w:hAnsi="宋体"/>
          <w:spacing w:val="2"/>
          <w:kern w:val="0"/>
          <w:highlight w:val="none"/>
        </w:rPr>
        <w:t>等</w:t>
      </w:r>
      <w:r>
        <w:rPr>
          <w:rFonts w:ascii="宋体" w:hAnsi="宋体"/>
          <w:kern w:val="0"/>
          <w:highlight w:val="none"/>
        </w:rPr>
        <w:t>别</w:t>
      </w:r>
      <w:r>
        <w:rPr>
          <w:rFonts w:ascii="宋体" w:hAnsi="宋体"/>
          <w:spacing w:val="2"/>
          <w:kern w:val="0"/>
          <w:highlight w:val="none"/>
        </w:rPr>
        <w:t>划</w:t>
      </w:r>
      <w:r>
        <w:rPr>
          <w:rFonts w:ascii="宋体" w:hAnsi="宋体"/>
          <w:kern w:val="0"/>
          <w:highlight w:val="none"/>
        </w:rPr>
        <w:t>分表</w:t>
      </w:r>
    </w:p>
    <w:tbl>
      <w:tblPr>
        <w:tblStyle w:val="44"/>
        <w:tblW w:w="906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530"/>
        <w:gridCol w:w="453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30" w:type="dxa"/>
            <w:vAlign w:val="center"/>
          </w:tcPr>
          <w:p>
            <w:pPr>
              <w:pStyle w:val="64"/>
              <w:rPr>
                <w:rFonts w:hAnsi="宋体"/>
                <w:highlight w:val="none"/>
              </w:rPr>
            </w:pPr>
            <w:r>
              <w:rPr>
                <w:rFonts w:hAnsi="宋体"/>
                <w:highlight w:val="none"/>
              </w:rPr>
              <w:t>尾矿库周边环境敏感性得分（Ds）</w:t>
            </w:r>
          </w:p>
        </w:tc>
        <w:tc>
          <w:tcPr>
            <w:tcW w:w="4530" w:type="dxa"/>
            <w:vAlign w:val="center"/>
          </w:tcPr>
          <w:p>
            <w:pPr>
              <w:pStyle w:val="64"/>
              <w:rPr>
                <w:rFonts w:hAnsi="宋体"/>
                <w:highlight w:val="none"/>
              </w:rPr>
            </w:pPr>
            <w:r>
              <w:rPr>
                <w:rFonts w:hAnsi="宋体"/>
                <w:highlight w:val="none"/>
              </w:rPr>
              <w:t>尾矿库周边敏感性（S）等别代码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30" w:type="dxa"/>
            <w:vAlign w:val="center"/>
          </w:tcPr>
          <w:p>
            <w:pPr>
              <w:pStyle w:val="64"/>
              <w:rPr>
                <w:rFonts w:hAnsi="宋体"/>
                <w:highlight w:val="none"/>
              </w:rPr>
            </w:pPr>
            <w:r>
              <w:rPr>
                <w:rFonts w:hAnsi="宋体"/>
                <w:highlight w:val="none"/>
              </w:rPr>
              <w:t>Ds&gt;60</w:t>
            </w:r>
          </w:p>
        </w:tc>
        <w:tc>
          <w:tcPr>
            <w:tcW w:w="4530" w:type="dxa"/>
            <w:vAlign w:val="center"/>
          </w:tcPr>
          <w:p>
            <w:pPr>
              <w:pStyle w:val="64"/>
              <w:rPr>
                <w:rFonts w:hAnsi="宋体"/>
                <w:highlight w:val="none"/>
              </w:rPr>
            </w:pPr>
            <w:r>
              <w:rPr>
                <w:rFonts w:hAnsi="宋体"/>
                <w:highlight w:val="none"/>
              </w:rPr>
              <w:t>S1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30" w:type="dxa"/>
            <w:vAlign w:val="center"/>
          </w:tcPr>
          <w:p>
            <w:pPr>
              <w:pStyle w:val="64"/>
              <w:rPr>
                <w:rFonts w:hAnsi="宋体"/>
                <w:highlight w:val="none"/>
              </w:rPr>
            </w:pPr>
            <w:r>
              <w:rPr>
                <w:rFonts w:hAnsi="宋体"/>
                <w:highlight w:val="none"/>
              </w:rPr>
              <w:t>30&lt;Ds≤60</w:t>
            </w:r>
          </w:p>
        </w:tc>
        <w:tc>
          <w:tcPr>
            <w:tcW w:w="4530" w:type="dxa"/>
            <w:vAlign w:val="center"/>
          </w:tcPr>
          <w:p>
            <w:pPr>
              <w:pStyle w:val="64"/>
              <w:rPr>
                <w:rFonts w:hAnsi="宋体"/>
                <w:highlight w:val="none"/>
              </w:rPr>
            </w:pPr>
            <w:r>
              <w:rPr>
                <w:rFonts w:hAnsi="宋体"/>
                <w:highlight w:val="none"/>
              </w:rPr>
              <w:t>S2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530" w:type="dxa"/>
            <w:vAlign w:val="center"/>
          </w:tcPr>
          <w:p>
            <w:pPr>
              <w:pStyle w:val="64"/>
              <w:rPr>
                <w:rFonts w:hAnsi="宋体"/>
                <w:highlight w:val="none"/>
              </w:rPr>
            </w:pPr>
            <w:r>
              <w:rPr>
                <w:rFonts w:hAnsi="宋体"/>
                <w:highlight w:val="none"/>
              </w:rPr>
              <w:t>Ds≤30</w:t>
            </w:r>
          </w:p>
        </w:tc>
        <w:tc>
          <w:tcPr>
            <w:tcW w:w="4530" w:type="dxa"/>
            <w:vAlign w:val="center"/>
          </w:tcPr>
          <w:p>
            <w:pPr>
              <w:pStyle w:val="64"/>
              <w:rPr>
                <w:rFonts w:hAnsi="宋体"/>
                <w:highlight w:val="none"/>
              </w:rPr>
            </w:pPr>
            <w:r>
              <w:rPr>
                <w:rFonts w:hAnsi="宋体"/>
                <w:highlight w:val="none"/>
              </w:rPr>
              <w:t>S3</w:t>
            </w:r>
          </w:p>
        </w:tc>
      </w:tr>
    </w:tbl>
    <w:p>
      <w:pPr>
        <w:pStyle w:val="62"/>
        <w:ind w:firstLine="480"/>
        <w:rPr>
          <w:rFonts w:hAnsi="宋体"/>
          <w:highlight w:val="none"/>
        </w:rPr>
      </w:pPr>
      <w:r>
        <w:rPr>
          <w:rFonts w:hint="eastAsia" w:hAnsi="宋体"/>
          <w:highlight w:val="none"/>
        </w:rPr>
        <w:t>3、</w:t>
      </w:r>
      <w:r>
        <w:rPr>
          <w:rFonts w:hAnsi="宋体"/>
          <w:highlight w:val="none"/>
        </w:rPr>
        <w:t>控制机制可靠性</w:t>
      </w:r>
    </w:p>
    <w:p>
      <w:pPr>
        <w:pStyle w:val="62"/>
        <w:ind w:firstLine="480"/>
        <w:rPr>
          <w:rFonts w:hAnsi="宋体"/>
          <w:highlight w:val="none"/>
        </w:rPr>
      </w:pPr>
      <w:r>
        <w:rPr>
          <w:rFonts w:hAnsi="宋体"/>
          <w:highlight w:val="none"/>
        </w:rPr>
        <w:t>本项目采用评分方法，对尾矿库的基本情况、自然条件情况、生产安全情况、环境保护情况和历史事件情况五方面指标进行评分与累加求和，评估尾矿库控制机制可靠性（R）。</w:t>
      </w:r>
    </w:p>
    <w:p>
      <w:pPr>
        <w:pStyle w:val="62"/>
        <w:ind w:firstLine="480"/>
        <w:rPr>
          <w:rFonts w:hAnsi="宋体"/>
          <w:highlight w:val="none"/>
        </w:rPr>
      </w:pPr>
      <w:r>
        <w:rPr>
          <w:rFonts w:hAnsi="宋体"/>
          <w:highlight w:val="none"/>
        </w:rPr>
        <w:t>尾矿库控制机制可靠性评分表见表5</w:t>
      </w:r>
      <w:r>
        <w:rPr>
          <w:rFonts w:hint="eastAsia" w:hAnsi="宋体"/>
          <w:highlight w:val="none"/>
        </w:rPr>
        <w:t>.7</w:t>
      </w:r>
      <w:r>
        <w:rPr>
          <w:rFonts w:hAnsi="宋体"/>
          <w:highlight w:val="none"/>
        </w:rPr>
        <w:t>-</w:t>
      </w:r>
      <w:r>
        <w:rPr>
          <w:rFonts w:hint="eastAsia" w:hAnsi="宋体"/>
          <w:highlight w:val="none"/>
        </w:rPr>
        <w:t>7</w:t>
      </w:r>
      <w:r>
        <w:rPr>
          <w:rFonts w:hAnsi="宋体"/>
          <w:highlight w:val="none"/>
        </w:rPr>
        <w:t>。</w:t>
      </w:r>
    </w:p>
    <w:p>
      <w:pPr>
        <w:pStyle w:val="62"/>
        <w:ind w:firstLine="480"/>
        <w:rPr>
          <w:rFonts w:hAnsi="宋体"/>
          <w:highlight w:val="none"/>
        </w:rPr>
      </w:pPr>
    </w:p>
    <w:p>
      <w:pPr>
        <w:pStyle w:val="62"/>
        <w:ind w:firstLine="480"/>
        <w:rPr>
          <w:rFonts w:hAnsi="宋体"/>
          <w:highlight w:val="none"/>
        </w:rPr>
      </w:pPr>
    </w:p>
    <w:p>
      <w:pPr>
        <w:pStyle w:val="62"/>
        <w:ind w:firstLine="480"/>
        <w:rPr>
          <w:rFonts w:hAnsi="宋体"/>
          <w:highlight w:val="none"/>
        </w:rPr>
      </w:pPr>
    </w:p>
    <w:p>
      <w:pPr>
        <w:pStyle w:val="62"/>
        <w:ind w:firstLine="480"/>
        <w:rPr>
          <w:rFonts w:hAnsi="宋体"/>
          <w:highlight w:val="none"/>
        </w:rPr>
      </w:pPr>
    </w:p>
    <w:p>
      <w:pPr>
        <w:pStyle w:val="62"/>
        <w:ind w:firstLine="360"/>
        <w:rPr>
          <w:rFonts w:hAnsi="宋体" w:cs="宋体"/>
          <w:kern w:val="0"/>
          <w:sz w:val="18"/>
          <w:szCs w:val="18"/>
          <w:highlight w:val="none"/>
        </w:rPr>
        <w:sectPr>
          <w:pgSz w:w="11906" w:h="16840"/>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5"/>
        <w:rPr>
          <w:rFonts w:hAnsi="宋体"/>
          <w:highlight w:val="none"/>
        </w:rPr>
      </w:pPr>
      <w:r>
        <w:rPr>
          <w:rFonts w:hAnsi="宋体"/>
          <w:highlight w:val="none"/>
        </w:rPr>
        <w:t>表5</w:t>
      </w:r>
      <w:r>
        <w:rPr>
          <w:rFonts w:hint="eastAsia" w:hAnsi="宋体"/>
          <w:highlight w:val="none"/>
        </w:rPr>
        <w:t>.7</w:t>
      </w:r>
      <w:r>
        <w:rPr>
          <w:rFonts w:hAnsi="宋体"/>
          <w:highlight w:val="none"/>
        </w:rPr>
        <w:t>-</w:t>
      </w:r>
      <w:r>
        <w:rPr>
          <w:rFonts w:hint="eastAsia" w:hAnsi="宋体"/>
          <w:highlight w:val="none"/>
        </w:rPr>
        <w:t xml:space="preserve">7  </w:t>
      </w:r>
      <w:r>
        <w:rPr>
          <w:rFonts w:hAnsi="宋体"/>
          <w:highlight w:val="none"/>
        </w:rPr>
        <w:t>控制机制可靠性指标评分表</w:t>
      </w:r>
    </w:p>
    <w:p>
      <w:pPr>
        <w:spacing w:before="6" w:line="30" w:lineRule="exact"/>
        <w:ind w:firstLine="0" w:firstLineChars="0"/>
        <w:jc w:val="left"/>
        <w:rPr>
          <w:rFonts w:ascii="宋体" w:hAnsi="宋体"/>
          <w:kern w:val="0"/>
          <w:sz w:val="4"/>
          <w:szCs w:val="4"/>
          <w:highlight w:val="none"/>
        </w:rPr>
      </w:pPr>
    </w:p>
    <w:tbl>
      <w:tblPr>
        <w:tblStyle w:val="44"/>
        <w:tblW w:w="1399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860"/>
        <w:gridCol w:w="982"/>
        <w:gridCol w:w="1242"/>
        <w:gridCol w:w="2183"/>
        <w:gridCol w:w="3820"/>
        <w:gridCol w:w="17"/>
        <w:gridCol w:w="820"/>
        <w:gridCol w:w="674"/>
        <w:gridCol w:w="339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084" w:type="dxa"/>
            <w:gridSpan w:val="3"/>
            <w:vAlign w:val="center"/>
          </w:tcPr>
          <w:p>
            <w:pPr>
              <w:pStyle w:val="64"/>
              <w:rPr>
                <w:rFonts w:hAnsi="宋体"/>
                <w:szCs w:val="21"/>
                <w:highlight w:val="none"/>
              </w:rPr>
            </w:pPr>
            <w:r>
              <w:rPr>
                <w:rFonts w:hAnsi="宋体"/>
                <w:szCs w:val="21"/>
                <w:highlight w:val="none"/>
              </w:rPr>
              <w:t>指标因子</w:t>
            </w:r>
          </w:p>
        </w:tc>
        <w:tc>
          <w:tcPr>
            <w:tcW w:w="6003" w:type="dxa"/>
            <w:gridSpan w:val="2"/>
            <w:vAlign w:val="center"/>
          </w:tcPr>
          <w:p>
            <w:pPr>
              <w:pStyle w:val="64"/>
              <w:rPr>
                <w:rFonts w:hAnsi="宋体"/>
                <w:szCs w:val="21"/>
                <w:highlight w:val="none"/>
              </w:rPr>
            </w:pPr>
            <w:r>
              <w:rPr>
                <w:rFonts w:hAnsi="宋体"/>
                <w:szCs w:val="21"/>
                <w:highlight w:val="none"/>
              </w:rPr>
              <w:t>评分依据</w:t>
            </w:r>
          </w:p>
        </w:tc>
        <w:tc>
          <w:tcPr>
            <w:tcW w:w="837" w:type="dxa"/>
            <w:gridSpan w:val="2"/>
            <w:vAlign w:val="center"/>
          </w:tcPr>
          <w:p>
            <w:pPr>
              <w:pStyle w:val="64"/>
              <w:rPr>
                <w:rFonts w:hAnsi="宋体"/>
                <w:szCs w:val="21"/>
                <w:highlight w:val="none"/>
              </w:rPr>
            </w:pPr>
            <w:r>
              <w:rPr>
                <w:rFonts w:hAnsi="宋体"/>
                <w:szCs w:val="21"/>
                <w:highlight w:val="none"/>
              </w:rPr>
              <w:t>评分</w:t>
            </w:r>
          </w:p>
        </w:tc>
        <w:tc>
          <w:tcPr>
            <w:tcW w:w="674" w:type="dxa"/>
            <w:vAlign w:val="center"/>
          </w:tcPr>
          <w:p>
            <w:pPr>
              <w:pStyle w:val="64"/>
              <w:rPr>
                <w:rFonts w:hAnsi="宋体"/>
                <w:szCs w:val="21"/>
                <w:highlight w:val="none"/>
              </w:rPr>
            </w:pPr>
            <w:r>
              <w:rPr>
                <w:rFonts w:hAnsi="宋体"/>
                <w:szCs w:val="21"/>
                <w:highlight w:val="none"/>
              </w:rPr>
              <w:t>自评分</w:t>
            </w:r>
          </w:p>
        </w:tc>
        <w:tc>
          <w:tcPr>
            <w:tcW w:w="3394" w:type="dxa"/>
            <w:vAlign w:val="center"/>
          </w:tcPr>
          <w:p>
            <w:pPr>
              <w:pStyle w:val="64"/>
              <w:rPr>
                <w:rFonts w:hAnsi="宋体"/>
                <w:szCs w:val="21"/>
                <w:highlight w:val="none"/>
              </w:rPr>
            </w:pPr>
            <w:r>
              <w:rPr>
                <w:rFonts w:hAnsi="宋体"/>
                <w:szCs w:val="21"/>
                <w:highlight w:val="none"/>
              </w:rPr>
              <w:t>相关说明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restart"/>
            <w:vAlign w:val="center"/>
          </w:tcPr>
          <w:p>
            <w:pPr>
              <w:pStyle w:val="64"/>
              <w:rPr>
                <w:rFonts w:hAnsi="宋体"/>
                <w:szCs w:val="21"/>
                <w:highlight w:val="none"/>
              </w:rPr>
            </w:pPr>
            <w:r>
              <w:rPr>
                <w:rFonts w:hAnsi="宋体"/>
                <w:szCs w:val="21"/>
                <w:highlight w:val="none"/>
              </w:rPr>
              <w:t>基本情况（</w:t>
            </w:r>
            <w:r>
              <w:rPr>
                <w:rFonts w:hAnsi="宋体"/>
                <w:spacing w:val="1"/>
                <w:szCs w:val="21"/>
                <w:highlight w:val="none"/>
              </w:rPr>
              <w:t>1</w:t>
            </w:r>
            <w:r>
              <w:rPr>
                <w:rFonts w:hAnsi="宋体"/>
                <w:spacing w:val="-2"/>
                <w:szCs w:val="21"/>
                <w:highlight w:val="none"/>
              </w:rPr>
              <w:t>5</w:t>
            </w:r>
            <w:r>
              <w:rPr>
                <w:rFonts w:hAnsi="宋体"/>
                <w:szCs w:val="21"/>
                <w:highlight w:val="none"/>
              </w:rPr>
              <w:t>分）</w:t>
            </w:r>
          </w:p>
        </w:tc>
        <w:tc>
          <w:tcPr>
            <w:tcW w:w="982" w:type="dxa"/>
            <w:vMerge w:val="restart"/>
            <w:vAlign w:val="center"/>
          </w:tcPr>
          <w:p>
            <w:pPr>
              <w:pStyle w:val="64"/>
              <w:rPr>
                <w:rFonts w:hAnsi="宋体"/>
                <w:szCs w:val="21"/>
                <w:highlight w:val="none"/>
              </w:rPr>
            </w:pPr>
            <w:r>
              <w:rPr>
                <w:rFonts w:hAnsi="宋体"/>
                <w:szCs w:val="21"/>
                <w:highlight w:val="none"/>
              </w:rPr>
              <w:t>堆存</w:t>
            </w:r>
          </w:p>
          <w:p>
            <w:pPr>
              <w:pStyle w:val="64"/>
              <w:rPr>
                <w:rFonts w:hAnsi="宋体"/>
                <w:szCs w:val="21"/>
                <w:highlight w:val="none"/>
              </w:rPr>
            </w:pPr>
            <w:r>
              <w:rPr>
                <w:rFonts w:hAnsi="宋体"/>
                <w:szCs w:val="21"/>
                <w:highlight w:val="none"/>
              </w:rPr>
              <w:t>（</w:t>
            </w:r>
            <w:r>
              <w:rPr>
                <w:rFonts w:hAnsi="宋体"/>
                <w:spacing w:val="1"/>
                <w:szCs w:val="21"/>
                <w:highlight w:val="none"/>
              </w:rPr>
              <w:t>4</w:t>
            </w:r>
            <w:r>
              <w:rPr>
                <w:rFonts w:hAnsi="宋体"/>
                <w:spacing w:val="-2"/>
                <w:szCs w:val="21"/>
                <w:highlight w:val="none"/>
              </w:rPr>
              <w:t>.</w:t>
            </w:r>
            <w:r>
              <w:rPr>
                <w:rFonts w:hAnsi="宋体"/>
                <w:spacing w:val="1"/>
                <w:szCs w:val="21"/>
                <w:highlight w:val="none"/>
              </w:rPr>
              <w:t>5</w:t>
            </w:r>
            <w:r>
              <w:rPr>
                <w:rFonts w:hAnsi="宋体"/>
                <w:szCs w:val="21"/>
                <w:highlight w:val="none"/>
              </w:rPr>
              <w:t>分）</w:t>
            </w:r>
          </w:p>
        </w:tc>
        <w:tc>
          <w:tcPr>
            <w:tcW w:w="1242" w:type="dxa"/>
            <w:vMerge w:val="restart"/>
            <w:vAlign w:val="center"/>
          </w:tcPr>
          <w:p>
            <w:pPr>
              <w:pStyle w:val="64"/>
              <w:rPr>
                <w:rFonts w:hAnsi="宋体"/>
                <w:szCs w:val="21"/>
                <w:highlight w:val="none"/>
              </w:rPr>
            </w:pPr>
            <w:r>
              <w:rPr>
                <w:rFonts w:hAnsi="宋体"/>
                <w:szCs w:val="21"/>
                <w:highlight w:val="none"/>
              </w:rPr>
              <w:t>堆存（</w:t>
            </w:r>
            <w:r>
              <w:rPr>
                <w:rFonts w:hAnsi="宋体"/>
                <w:spacing w:val="1"/>
                <w:szCs w:val="21"/>
                <w:highlight w:val="none"/>
              </w:rPr>
              <w:t>1</w:t>
            </w:r>
            <w:r>
              <w:rPr>
                <w:rFonts w:hAnsi="宋体"/>
                <w:spacing w:val="-2"/>
                <w:szCs w:val="21"/>
                <w:highlight w:val="none"/>
              </w:rPr>
              <w:t>.5</w:t>
            </w:r>
            <w:r>
              <w:rPr>
                <w:rFonts w:hAnsi="宋体"/>
                <w:szCs w:val="21"/>
                <w:highlight w:val="none"/>
              </w:rPr>
              <w:t>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w:t>
            </w:r>
            <w:r>
              <w:rPr>
                <w:rFonts w:hAnsi="宋体"/>
                <w:spacing w:val="2"/>
                <w:szCs w:val="21"/>
                <w:highlight w:val="none"/>
              </w:rPr>
              <w:t>○混合</w:t>
            </w:r>
            <w:r>
              <w:rPr>
                <w:rFonts w:hAnsi="宋体"/>
                <w:szCs w:val="21"/>
                <w:highlight w:val="none"/>
              </w:rPr>
              <w:t>多</w:t>
            </w:r>
            <w:r>
              <w:rPr>
                <w:rFonts w:hAnsi="宋体"/>
                <w:spacing w:val="2"/>
                <w:szCs w:val="21"/>
                <w:highlight w:val="none"/>
              </w:rPr>
              <w:t>用途：多种</w:t>
            </w:r>
            <w:r>
              <w:rPr>
                <w:rFonts w:hAnsi="宋体"/>
                <w:szCs w:val="21"/>
                <w:highlight w:val="none"/>
              </w:rPr>
              <w:t>不</w:t>
            </w:r>
            <w:r>
              <w:rPr>
                <w:rFonts w:hAnsi="宋体"/>
                <w:spacing w:val="2"/>
                <w:szCs w:val="21"/>
                <w:highlight w:val="none"/>
              </w:rPr>
              <w:t>同类型的尾</w:t>
            </w:r>
            <w:r>
              <w:rPr>
                <w:rFonts w:hAnsi="宋体"/>
                <w:szCs w:val="21"/>
                <w:highlight w:val="none"/>
              </w:rPr>
              <w:t>矿</w:t>
            </w:r>
            <w:r>
              <w:rPr>
                <w:rFonts w:hAnsi="宋体"/>
                <w:spacing w:val="2"/>
                <w:szCs w:val="21"/>
                <w:highlight w:val="none"/>
              </w:rPr>
              <w:t>或固体废物</w:t>
            </w:r>
            <w:r>
              <w:rPr>
                <w:rFonts w:hAnsi="宋体"/>
                <w:szCs w:val="21"/>
                <w:highlight w:val="none"/>
              </w:rPr>
              <w:t>、</w:t>
            </w:r>
            <w:r>
              <w:rPr>
                <w:rFonts w:hAnsi="宋体"/>
                <w:spacing w:val="2"/>
                <w:szCs w:val="21"/>
                <w:highlight w:val="none"/>
              </w:rPr>
              <w:t>废水的排放</w:t>
            </w:r>
            <w:r>
              <w:rPr>
                <w:rFonts w:hAnsi="宋体"/>
                <w:szCs w:val="21"/>
                <w:highlight w:val="none"/>
              </w:rPr>
              <w:t>场所。</w:t>
            </w:r>
          </w:p>
        </w:tc>
        <w:tc>
          <w:tcPr>
            <w:tcW w:w="837" w:type="dxa"/>
            <w:gridSpan w:val="2"/>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pacing w:val="-227"/>
                <w:position w:val="-2"/>
                <w:szCs w:val="21"/>
                <w:highlight w:val="none"/>
              </w:rPr>
              <w:t>○</w:t>
            </w:r>
            <w:r>
              <w:rPr>
                <w:rFonts w:hAnsi="宋体"/>
                <w:szCs w:val="21"/>
                <w:highlight w:val="none"/>
              </w:rPr>
              <w:t>√单一用途：仅一种类型尾矿或固体废物、废水的排放场所。</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堆存方式（</w:t>
            </w:r>
            <w:r>
              <w:rPr>
                <w:rFonts w:hAnsi="宋体"/>
                <w:spacing w:val="1"/>
                <w:szCs w:val="21"/>
                <w:highlight w:val="none"/>
              </w:rPr>
              <w:t>1</w:t>
            </w:r>
            <w:r>
              <w:rPr>
                <w:rFonts w:hAnsi="宋体"/>
                <w:szCs w:val="21"/>
                <w:highlight w:val="none"/>
              </w:rPr>
              <w:t>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.○湿法堆存。</w:t>
            </w:r>
          </w:p>
        </w:tc>
        <w:tc>
          <w:tcPr>
            <w:tcW w:w="837" w:type="dxa"/>
            <w:gridSpan w:val="2"/>
            <w:vAlign w:val="center"/>
          </w:tcPr>
          <w:p>
            <w:pPr>
              <w:pStyle w:val="64"/>
              <w:rPr>
                <w:rFonts w:hAnsi="宋体"/>
                <w:szCs w:val="21"/>
                <w:highlight w:val="none"/>
              </w:rPr>
            </w:pPr>
            <w:r>
              <w:rPr>
                <w:rFonts w:hAnsi="宋体"/>
                <w:szCs w:val="21"/>
                <w:highlight w:val="none"/>
              </w:rPr>
              <w:t>1</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pacing w:val="-227"/>
                <w:position w:val="-2"/>
                <w:szCs w:val="21"/>
                <w:highlight w:val="none"/>
              </w:rPr>
              <w:t>○</w:t>
            </w:r>
            <w:r>
              <w:rPr>
                <w:rFonts w:hAnsi="宋体"/>
                <w:szCs w:val="21"/>
                <w:highlight w:val="none"/>
              </w:rPr>
              <w:t>√干法堆存。</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坝体透水情况（2分）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.○透水坝，无渗滤液收集设施。</w:t>
            </w:r>
          </w:p>
        </w:tc>
        <w:tc>
          <w:tcPr>
            <w:tcW w:w="837" w:type="dxa"/>
            <w:gridSpan w:val="2"/>
            <w:vAlign w:val="center"/>
          </w:tcPr>
          <w:p>
            <w:pPr>
              <w:pStyle w:val="64"/>
              <w:rPr>
                <w:rFonts w:hAnsi="宋体"/>
                <w:szCs w:val="21"/>
                <w:highlight w:val="none"/>
              </w:rPr>
            </w:pPr>
            <w:r>
              <w:rPr>
                <w:rFonts w:hAnsi="宋体"/>
                <w:szCs w:val="21"/>
                <w:highlight w:val="none"/>
              </w:rPr>
              <w:t>2</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.○透水坝，但有渗滤液收集设施。</w:t>
            </w:r>
          </w:p>
        </w:tc>
        <w:tc>
          <w:tcPr>
            <w:tcW w:w="837" w:type="dxa"/>
            <w:gridSpan w:val="2"/>
            <w:vAlign w:val="center"/>
          </w:tcPr>
          <w:p>
            <w:pPr>
              <w:pStyle w:val="64"/>
              <w:rPr>
                <w:rFonts w:hAnsi="宋体"/>
                <w:szCs w:val="21"/>
                <w:highlight w:val="none"/>
              </w:rPr>
            </w:pP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√不透水坝。</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restart"/>
            <w:vAlign w:val="center"/>
          </w:tcPr>
          <w:p>
            <w:pPr>
              <w:pStyle w:val="64"/>
              <w:rPr>
                <w:rFonts w:hAnsi="宋体"/>
                <w:szCs w:val="21"/>
                <w:highlight w:val="none"/>
              </w:rPr>
            </w:pPr>
            <w:r>
              <w:rPr>
                <w:rFonts w:hAnsi="宋体"/>
                <w:szCs w:val="21"/>
                <w:highlight w:val="none"/>
              </w:rPr>
              <w:t>输送（</w:t>
            </w:r>
            <w:r>
              <w:rPr>
                <w:rFonts w:hAnsi="宋体"/>
                <w:spacing w:val="-2"/>
                <w:szCs w:val="21"/>
                <w:highlight w:val="none"/>
              </w:rPr>
              <w:t>4</w:t>
            </w:r>
            <w:r>
              <w:rPr>
                <w:rFonts w:hAnsi="宋体"/>
                <w:szCs w:val="21"/>
                <w:highlight w:val="none"/>
              </w:rPr>
              <w:t>分）</w:t>
            </w:r>
          </w:p>
        </w:tc>
        <w:tc>
          <w:tcPr>
            <w:tcW w:w="1242" w:type="dxa"/>
            <w:vMerge w:val="restart"/>
            <w:vAlign w:val="center"/>
          </w:tcPr>
          <w:p>
            <w:pPr>
              <w:pStyle w:val="64"/>
              <w:rPr>
                <w:rFonts w:hAnsi="宋体"/>
                <w:szCs w:val="21"/>
                <w:highlight w:val="none"/>
              </w:rPr>
            </w:pPr>
            <w:r>
              <w:rPr>
                <w:rFonts w:hAnsi="宋体"/>
                <w:szCs w:val="21"/>
                <w:highlight w:val="none"/>
              </w:rPr>
              <w:t>输送方式（</w:t>
            </w:r>
            <w:r>
              <w:rPr>
                <w:rFonts w:hAnsi="宋体"/>
                <w:spacing w:val="1"/>
                <w:szCs w:val="21"/>
                <w:highlight w:val="none"/>
              </w:rPr>
              <w:t>1</w:t>
            </w:r>
            <w:r>
              <w:rPr>
                <w:rFonts w:hAnsi="宋体"/>
                <w:spacing w:val="-2"/>
                <w:szCs w:val="21"/>
                <w:highlight w:val="none"/>
              </w:rPr>
              <w:t>.</w:t>
            </w:r>
            <w:r>
              <w:rPr>
                <w:rFonts w:hAnsi="宋体"/>
                <w:szCs w:val="21"/>
                <w:highlight w:val="none"/>
              </w:rPr>
              <w:t>5分）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.○沟槽+自流（无人为加压）。</w:t>
            </w:r>
          </w:p>
        </w:tc>
        <w:tc>
          <w:tcPr>
            <w:tcW w:w="837" w:type="dxa"/>
            <w:gridSpan w:val="2"/>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.○管道输送+泵站加压。</w:t>
            </w:r>
          </w:p>
        </w:tc>
        <w:tc>
          <w:tcPr>
            <w:tcW w:w="837" w:type="dxa"/>
            <w:gridSpan w:val="2"/>
            <w:vAlign w:val="center"/>
          </w:tcPr>
          <w:p>
            <w:pPr>
              <w:pStyle w:val="64"/>
              <w:rPr>
                <w:rFonts w:hAnsi="宋体"/>
                <w:szCs w:val="21"/>
                <w:highlight w:val="none"/>
              </w:rPr>
            </w:pP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.○管道输送+自流（无人为加压）。</w:t>
            </w:r>
          </w:p>
        </w:tc>
        <w:tc>
          <w:tcPr>
            <w:tcW w:w="837" w:type="dxa"/>
            <w:gridSpan w:val="2"/>
            <w:vAlign w:val="center"/>
          </w:tcPr>
          <w:p>
            <w:pPr>
              <w:pStyle w:val="64"/>
              <w:rPr>
                <w:rFonts w:hAnsi="宋体"/>
                <w:szCs w:val="21"/>
                <w:highlight w:val="none"/>
              </w:rPr>
            </w:pPr>
            <w:r>
              <w:rPr>
                <w:rFonts w:hAnsi="宋体"/>
                <w:spacing w:val="1"/>
                <w:szCs w:val="21"/>
                <w:highlight w:val="none"/>
              </w:rPr>
              <w:t>0</w:t>
            </w:r>
            <w:r>
              <w:rPr>
                <w:rFonts w:hAnsi="宋体"/>
                <w:spacing w:val="-2"/>
                <w:szCs w:val="21"/>
                <w:highlight w:val="none"/>
              </w:rPr>
              <w:t>.</w:t>
            </w:r>
            <w:r>
              <w:rPr>
                <w:rFonts w:hAnsi="宋体"/>
                <w:szCs w:val="21"/>
                <w:highlight w:val="none"/>
              </w:rPr>
              <w:t>5</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4</w:t>
            </w:r>
            <w:r>
              <w:rPr>
                <w:rFonts w:hAnsi="宋体"/>
                <w:szCs w:val="21"/>
                <w:highlight w:val="none"/>
              </w:rPr>
              <w:t>.</w:t>
            </w:r>
            <w:r>
              <w:rPr>
                <w:rFonts w:hAnsi="宋体"/>
                <w:spacing w:val="-227"/>
                <w:position w:val="-2"/>
                <w:szCs w:val="21"/>
                <w:highlight w:val="none"/>
              </w:rPr>
              <w:t>○</w:t>
            </w:r>
            <w:r>
              <w:rPr>
                <w:rFonts w:hAnsi="宋体"/>
                <w:szCs w:val="21"/>
                <w:highlight w:val="none"/>
              </w:rPr>
              <w:t>√车辆运输。</w:t>
            </w:r>
          </w:p>
          <w:p>
            <w:pPr>
              <w:pStyle w:val="64"/>
              <w:jc w:val="left"/>
              <w:rPr>
                <w:rFonts w:hAnsi="宋体"/>
                <w:szCs w:val="21"/>
                <w:highlight w:val="none"/>
              </w:rPr>
            </w:pPr>
            <w:r>
              <w:rPr>
                <w:rFonts w:hAnsi="宋体"/>
                <w:spacing w:val="1"/>
                <w:szCs w:val="21"/>
                <w:highlight w:val="none"/>
              </w:rPr>
              <w:t>5</w:t>
            </w:r>
            <w:r>
              <w:rPr>
                <w:rFonts w:hAnsi="宋体"/>
                <w:szCs w:val="21"/>
                <w:highlight w:val="none"/>
              </w:rPr>
              <w:t>.○传送带运输。</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输送量（1分）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pacing w:val="-2"/>
                <w:szCs w:val="21"/>
                <w:highlight w:val="none"/>
              </w:rPr>
              <w:t>0</w:t>
            </w:r>
            <w:r>
              <w:rPr>
                <w:rFonts w:hAnsi="宋体"/>
                <w:szCs w:val="21"/>
                <w:highlight w:val="none"/>
              </w:rPr>
              <w:t>0方</w:t>
            </w:r>
            <w:r>
              <w:rPr>
                <w:rFonts w:hAnsi="宋体"/>
                <w:spacing w:val="-2"/>
                <w:szCs w:val="21"/>
                <w:highlight w:val="none"/>
              </w:rPr>
              <w:t>/</w:t>
            </w:r>
            <w:r>
              <w:rPr>
                <w:rFonts w:hAnsi="宋体"/>
                <w:szCs w:val="21"/>
                <w:highlight w:val="none"/>
              </w:rPr>
              <w:t>日。</w:t>
            </w:r>
          </w:p>
        </w:tc>
        <w:tc>
          <w:tcPr>
            <w:tcW w:w="837" w:type="dxa"/>
            <w:gridSpan w:val="2"/>
            <w:vAlign w:val="center"/>
          </w:tcPr>
          <w:p>
            <w:pPr>
              <w:pStyle w:val="64"/>
              <w:rPr>
                <w:rFonts w:hAnsi="宋体"/>
                <w:szCs w:val="21"/>
                <w:highlight w:val="none"/>
              </w:rPr>
            </w:pPr>
            <w:r>
              <w:rPr>
                <w:rFonts w:hAnsi="宋体"/>
                <w:szCs w:val="21"/>
                <w:highlight w:val="none"/>
              </w:rPr>
              <w:t>1</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zCs w:val="21"/>
                <w:highlight w:val="none"/>
              </w:rPr>
              <w:t>0方</w:t>
            </w:r>
            <w:r>
              <w:rPr>
                <w:rFonts w:hAnsi="宋体"/>
                <w:spacing w:val="1"/>
                <w:szCs w:val="21"/>
                <w:highlight w:val="none"/>
              </w:rPr>
              <w:t>/</w:t>
            </w:r>
            <w:r>
              <w:rPr>
                <w:rFonts w:hAnsi="宋体"/>
                <w:szCs w:val="21"/>
                <w:highlight w:val="none"/>
              </w:rPr>
              <w:t>日，小于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pacing w:val="-2"/>
                <w:szCs w:val="21"/>
                <w:highlight w:val="none"/>
              </w:rPr>
              <w:t>0</w:t>
            </w:r>
            <w:r>
              <w:rPr>
                <w:rFonts w:hAnsi="宋体"/>
                <w:szCs w:val="21"/>
                <w:highlight w:val="none"/>
              </w:rPr>
              <w:t>0方</w:t>
            </w:r>
            <w:r>
              <w:rPr>
                <w:rFonts w:hAnsi="宋体"/>
                <w:spacing w:val="1"/>
                <w:szCs w:val="21"/>
                <w:highlight w:val="none"/>
              </w:rPr>
              <w:t>/</w:t>
            </w:r>
            <w:r>
              <w:rPr>
                <w:rFonts w:hAnsi="宋体"/>
                <w:szCs w:val="21"/>
                <w:highlight w:val="none"/>
              </w:rPr>
              <w:t>日。</w:t>
            </w:r>
          </w:p>
        </w:tc>
        <w:tc>
          <w:tcPr>
            <w:tcW w:w="837" w:type="dxa"/>
            <w:gridSpan w:val="2"/>
            <w:vAlign w:val="center"/>
          </w:tcPr>
          <w:p>
            <w:pPr>
              <w:pStyle w:val="64"/>
              <w:rPr>
                <w:rFonts w:hAnsi="宋体"/>
                <w:szCs w:val="21"/>
                <w:highlight w:val="none"/>
              </w:rPr>
            </w:pPr>
            <w:r>
              <w:rPr>
                <w:rFonts w:hAnsi="宋体"/>
                <w:spacing w:val="1"/>
                <w:szCs w:val="21"/>
                <w:highlight w:val="none"/>
              </w:rPr>
              <w:t>0</w:t>
            </w:r>
            <w:r>
              <w:rPr>
                <w:rFonts w:hAnsi="宋体"/>
                <w:spacing w:val="-2"/>
                <w:szCs w:val="21"/>
                <w:highlight w:val="none"/>
              </w:rPr>
              <w:t>.</w:t>
            </w:r>
            <w:r>
              <w:rPr>
                <w:rFonts w:hAnsi="宋体"/>
                <w:szCs w:val="21"/>
                <w:highlight w:val="none"/>
              </w:rPr>
              <w:t>5</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√小于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zCs w:val="21"/>
                <w:highlight w:val="none"/>
              </w:rPr>
              <w:t>0方</w:t>
            </w:r>
            <w:r>
              <w:rPr>
                <w:rFonts w:hAnsi="宋体"/>
                <w:spacing w:val="-2"/>
                <w:szCs w:val="21"/>
                <w:highlight w:val="none"/>
              </w:rPr>
              <w:t>/</w:t>
            </w:r>
            <w:r>
              <w:rPr>
                <w:rFonts w:hAnsi="宋体"/>
                <w:szCs w:val="21"/>
                <w:highlight w:val="none"/>
              </w:rPr>
              <w:t>日。</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输送距离（</w:t>
            </w:r>
            <w:r>
              <w:rPr>
                <w:rFonts w:hAnsi="宋体"/>
                <w:spacing w:val="1"/>
                <w:szCs w:val="21"/>
                <w:highlight w:val="none"/>
              </w:rPr>
              <w:t>1</w:t>
            </w:r>
            <w:r>
              <w:rPr>
                <w:rFonts w:hAnsi="宋体"/>
                <w:spacing w:val="-2"/>
                <w:szCs w:val="21"/>
                <w:highlight w:val="none"/>
              </w:rPr>
              <w:t>.</w:t>
            </w:r>
            <w:r>
              <w:rPr>
                <w:rFonts w:hAnsi="宋体"/>
                <w:szCs w:val="21"/>
                <w:highlight w:val="none"/>
              </w:rPr>
              <w:t>5分）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zCs w:val="21"/>
                <w:highlight w:val="none"/>
              </w:rPr>
              <w:t>千米。</w:t>
            </w:r>
          </w:p>
        </w:tc>
        <w:tc>
          <w:tcPr>
            <w:tcW w:w="837" w:type="dxa"/>
            <w:gridSpan w:val="2"/>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r>
              <w:rPr>
                <w:rFonts w:hint="eastAsia" w:hAnsi="宋体"/>
                <w:szCs w:val="21"/>
                <w:highlight w:val="none"/>
              </w:rPr>
              <w:t>最远运输</w:t>
            </w:r>
            <w:r>
              <w:rPr>
                <w:rFonts w:hAnsi="宋体"/>
                <w:szCs w:val="21"/>
                <w:highlight w:val="none"/>
              </w:rPr>
              <w:t>距离</w:t>
            </w:r>
            <w:r>
              <w:rPr>
                <w:rFonts w:hint="eastAsia" w:hAnsi="宋体"/>
                <w:szCs w:val="21"/>
                <w:highlight w:val="none"/>
              </w:rPr>
              <w:t>约为500m</w:t>
            </w:r>
            <w:r>
              <w:rPr>
                <w:rFonts w:hAnsi="宋体"/>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.○大于等于</w:t>
            </w:r>
            <w:r>
              <w:rPr>
                <w:rFonts w:hAnsi="宋体"/>
                <w:spacing w:val="1"/>
                <w:szCs w:val="21"/>
                <w:highlight w:val="none"/>
              </w:rPr>
              <w:t>2</w:t>
            </w:r>
            <w:r>
              <w:rPr>
                <w:rFonts w:hAnsi="宋体"/>
                <w:szCs w:val="21"/>
                <w:highlight w:val="none"/>
              </w:rPr>
              <w:t>千米而小于</w:t>
            </w:r>
            <w:r>
              <w:rPr>
                <w:rFonts w:hAnsi="宋体"/>
                <w:spacing w:val="1"/>
                <w:szCs w:val="21"/>
                <w:highlight w:val="none"/>
              </w:rPr>
              <w:t>1</w:t>
            </w:r>
            <w:r>
              <w:rPr>
                <w:rFonts w:hAnsi="宋体"/>
                <w:spacing w:val="-2"/>
                <w:szCs w:val="21"/>
                <w:highlight w:val="none"/>
              </w:rPr>
              <w:t>0</w:t>
            </w:r>
            <w:r>
              <w:rPr>
                <w:rFonts w:hAnsi="宋体"/>
                <w:szCs w:val="21"/>
                <w:highlight w:val="none"/>
              </w:rPr>
              <w:t>千米。</w:t>
            </w:r>
          </w:p>
        </w:tc>
        <w:tc>
          <w:tcPr>
            <w:tcW w:w="837" w:type="dxa"/>
            <w:gridSpan w:val="2"/>
            <w:vAlign w:val="center"/>
          </w:tcPr>
          <w:p>
            <w:pPr>
              <w:pStyle w:val="64"/>
              <w:rPr>
                <w:rFonts w:hAnsi="宋体"/>
                <w:szCs w:val="21"/>
                <w:highlight w:val="none"/>
              </w:rPr>
            </w:pPr>
            <w:r>
              <w:rPr>
                <w:rFonts w:hAnsi="宋体"/>
                <w:spacing w:val="1"/>
                <w:szCs w:val="21"/>
                <w:highlight w:val="none"/>
              </w:rPr>
              <w:t>0</w:t>
            </w:r>
            <w:r>
              <w:rPr>
                <w:rFonts w:hAnsi="宋体"/>
                <w:spacing w:val="-2"/>
                <w:szCs w:val="21"/>
                <w:highlight w:val="none"/>
              </w:rPr>
              <w:t>.</w:t>
            </w:r>
            <w:r>
              <w:rPr>
                <w:rFonts w:hAnsi="宋体"/>
                <w:spacing w:val="1"/>
                <w:szCs w:val="21"/>
                <w:highlight w:val="none"/>
              </w:rPr>
              <w:t>7</w:t>
            </w:r>
            <w:r>
              <w:rPr>
                <w:rFonts w:hAnsi="宋体"/>
                <w:szCs w:val="21"/>
                <w:highlight w:val="none"/>
              </w:rPr>
              <w:t>5</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√小于</w:t>
            </w:r>
            <w:r>
              <w:rPr>
                <w:rFonts w:hAnsi="宋体"/>
                <w:spacing w:val="-2"/>
                <w:szCs w:val="21"/>
                <w:highlight w:val="none"/>
              </w:rPr>
              <w:t>2</w:t>
            </w:r>
            <w:r>
              <w:rPr>
                <w:rFonts w:hAnsi="宋体"/>
                <w:szCs w:val="21"/>
                <w:highlight w:val="none"/>
              </w:rPr>
              <w:t>千米。</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restart"/>
            <w:vAlign w:val="center"/>
          </w:tcPr>
          <w:p>
            <w:pPr>
              <w:pStyle w:val="64"/>
              <w:rPr>
                <w:rFonts w:hAnsi="宋体"/>
                <w:szCs w:val="21"/>
                <w:highlight w:val="none"/>
              </w:rPr>
            </w:pPr>
            <w:r>
              <w:rPr>
                <w:rFonts w:hAnsi="宋体"/>
                <w:szCs w:val="21"/>
                <w:highlight w:val="none"/>
              </w:rPr>
              <w:t>回水（</w:t>
            </w:r>
            <w:r>
              <w:rPr>
                <w:rFonts w:hAnsi="宋体"/>
                <w:spacing w:val="1"/>
                <w:szCs w:val="21"/>
                <w:highlight w:val="none"/>
              </w:rPr>
              <w:t>2</w:t>
            </w:r>
            <w:r>
              <w:rPr>
                <w:rFonts w:hAnsi="宋体"/>
                <w:spacing w:val="-2"/>
                <w:szCs w:val="21"/>
                <w:highlight w:val="none"/>
              </w:rPr>
              <w:t>.</w:t>
            </w:r>
            <w:r>
              <w:rPr>
                <w:rFonts w:hAnsi="宋体"/>
                <w:spacing w:val="1"/>
                <w:szCs w:val="21"/>
                <w:highlight w:val="none"/>
              </w:rPr>
              <w:t>5</w:t>
            </w:r>
            <w:r>
              <w:rPr>
                <w:rFonts w:hAnsi="宋体"/>
                <w:szCs w:val="21"/>
                <w:highlight w:val="none"/>
              </w:rPr>
              <w:t>分）仅在有回水系统时计</w:t>
            </w:r>
          </w:p>
        </w:tc>
        <w:tc>
          <w:tcPr>
            <w:tcW w:w="1242" w:type="dxa"/>
            <w:vMerge w:val="restart"/>
            <w:vAlign w:val="center"/>
          </w:tcPr>
          <w:p>
            <w:pPr>
              <w:pStyle w:val="64"/>
              <w:rPr>
                <w:rFonts w:hAnsi="宋体"/>
                <w:szCs w:val="21"/>
                <w:highlight w:val="none"/>
              </w:rPr>
            </w:pPr>
            <w:r>
              <w:rPr>
                <w:rFonts w:hAnsi="宋体"/>
                <w:szCs w:val="21"/>
                <w:highlight w:val="none"/>
              </w:rPr>
              <w:t>回水方式（</w:t>
            </w:r>
            <w:r>
              <w:rPr>
                <w:rFonts w:hAnsi="宋体"/>
                <w:spacing w:val="1"/>
                <w:szCs w:val="21"/>
                <w:highlight w:val="none"/>
              </w:rPr>
              <w:t>1</w:t>
            </w:r>
            <w:r>
              <w:rPr>
                <w:rFonts w:hAnsi="宋体"/>
                <w:szCs w:val="21"/>
                <w:highlight w:val="none"/>
              </w:rPr>
              <w:t>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.○沟槽+自流（无人为加压）。</w:t>
            </w:r>
          </w:p>
        </w:tc>
        <w:tc>
          <w:tcPr>
            <w:tcW w:w="837" w:type="dxa"/>
            <w:gridSpan w:val="2"/>
            <w:vAlign w:val="center"/>
          </w:tcPr>
          <w:p>
            <w:pPr>
              <w:pStyle w:val="64"/>
              <w:rPr>
                <w:rFonts w:hAnsi="宋体"/>
                <w:szCs w:val="21"/>
                <w:highlight w:val="none"/>
              </w:rPr>
            </w:pPr>
            <w:r>
              <w:rPr>
                <w:rFonts w:hAnsi="宋体"/>
                <w:szCs w:val="21"/>
                <w:highlight w:val="none"/>
              </w:rPr>
              <w:t>1</w:t>
            </w:r>
          </w:p>
        </w:tc>
        <w:tc>
          <w:tcPr>
            <w:tcW w:w="674" w:type="dxa"/>
            <w:vMerge w:val="restart"/>
            <w:vAlign w:val="center"/>
          </w:tcPr>
          <w:p>
            <w:pPr>
              <w:pStyle w:val="64"/>
              <w:rPr>
                <w:rFonts w:hAnsi="宋体"/>
                <w:szCs w:val="21"/>
                <w:highlight w:val="none"/>
              </w:rPr>
            </w:pPr>
            <w:r>
              <w:rPr>
                <w:rFonts w:hAnsi="宋体"/>
                <w:szCs w:val="21"/>
                <w:highlight w:val="none"/>
              </w:rPr>
              <w:t>/</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.○管道输送+泵站加压。</w:t>
            </w:r>
          </w:p>
        </w:tc>
        <w:tc>
          <w:tcPr>
            <w:tcW w:w="837" w:type="dxa"/>
            <w:gridSpan w:val="2"/>
            <w:vAlign w:val="center"/>
          </w:tcPr>
          <w:p>
            <w:pPr>
              <w:pStyle w:val="64"/>
              <w:rPr>
                <w:rFonts w:hAnsi="宋体"/>
                <w:szCs w:val="21"/>
                <w:highlight w:val="none"/>
              </w:rPr>
            </w:pPr>
            <w:r>
              <w:rPr>
                <w:rFonts w:hAnsi="宋体"/>
                <w:spacing w:val="1"/>
                <w:szCs w:val="21"/>
                <w:highlight w:val="none"/>
              </w:rPr>
              <w:t>0</w:t>
            </w:r>
            <w:r>
              <w:rPr>
                <w:rFonts w:hAnsi="宋体"/>
                <w:spacing w:val="-2"/>
                <w:szCs w:val="21"/>
                <w:highlight w:val="none"/>
              </w:rPr>
              <w:t>.</w:t>
            </w:r>
            <w:r>
              <w:rPr>
                <w:rFonts w:hAnsi="宋体"/>
                <w:szCs w:val="21"/>
                <w:highlight w:val="none"/>
              </w:rPr>
              <w:t>5</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.○管道输送+自流（无人为加压）。</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回水量（</w:t>
            </w:r>
            <w:r>
              <w:rPr>
                <w:rFonts w:hAnsi="宋体"/>
                <w:spacing w:val="1"/>
                <w:szCs w:val="21"/>
                <w:highlight w:val="none"/>
              </w:rPr>
              <w:t>0</w:t>
            </w:r>
            <w:r>
              <w:rPr>
                <w:rFonts w:hAnsi="宋体"/>
                <w:spacing w:val="-2"/>
                <w:szCs w:val="21"/>
                <w:highlight w:val="none"/>
              </w:rPr>
              <w:t>.</w:t>
            </w:r>
            <w:r>
              <w:rPr>
                <w:rFonts w:hAnsi="宋体"/>
                <w:szCs w:val="21"/>
                <w:highlight w:val="none"/>
              </w:rPr>
              <w:t>5分）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pacing w:val="-2"/>
                <w:szCs w:val="21"/>
                <w:highlight w:val="none"/>
              </w:rPr>
              <w:t>0</w:t>
            </w:r>
            <w:r>
              <w:rPr>
                <w:rFonts w:hAnsi="宋体"/>
                <w:szCs w:val="21"/>
                <w:highlight w:val="none"/>
              </w:rPr>
              <w:t>0方</w:t>
            </w:r>
            <w:r>
              <w:rPr>
                <w:rFonts w:hAnsi="宋体"/>
                <w:spacing w:val="-2"/>
                <w:szCs w:val="21"/>
                <w:highlight w:val="none"/>
              </w:rPr>
              <w:t>/</w:t>
            </w:r>
            <w:r>
              <w:rPr>
                <w:rFonts w:hAnsi="宋体"/>
                <w:szCs w:val="21"/>
                <w:highlight w:val="none"/>
              </w:rPr>
              <w:t>日。</w:t>
            </w:r>
          </w:p>
        </w:tc>
        <w:tc>
          <w:tcPr>
            <w:tcW w:w="837" w:type="dxa"/>
            <w:gridSpan w:val="2"/>
            <w:vAlign w:val="center"/>
          </w:tcPr>
          <w:p>
            <w:pPr>
              <w:pStyle w:val="64"/>
              <w:rPr>
                <w:rFonts w:hAnsi="宋体"/>
                <w:szCs w:val="21"/>
                <w:highlight w:val="none"/>
              </w:rPr>
            </w:pPr>
            <w:r>
              <w:rPr>
                <w:rFonts w:hAnsi="宋体"/>
                <w:spacing w:val="1"/>
                <w:szCs w:val="21"/>
                <w:highlight w:val="none"/>
              </w:rPr>
              <w:t>0</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pacing w:val="-2"/>
                <w:szCs w:val="21"/>
                <w:highlight w:val="none"/>
              </w:rPr>
              <w:t>0</w:t>
            </w:r>
            <w:r>
              <w:rPr>
                <w:rFonts w:hAnsi="宋体"/>
                <w:szCs w:val="21"/>
                <w:highlight w:val="none"/>
              </w:rPr>
              <w:t>方</w:t>
            </w:r>
            <w:r>
              <w:rPr>
                <w:rFonts w:hAnsi="宋体"/>
                <w:spacing w:val="1"/>
                <w:szCs w:val="21"/>
                <w:highlight w:val="none"/>
              </w:rPr>
              <w:t>/</w:t>
            </w:r>
            <w:r>
              <w:rPr>
                <w:rFonts w:hAnsi="宋体"/>
                <w:szCs w:val="21"/>
                <w:highlight w:val="none"/>
              </w:rPr>
              <w:t>日，小于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pacing w:val="-2"/>
                <w:szCs w:val="21"/>
                <w:highlight w:val="none"/>
              </w:rPr>
              <w:t>00</w:t>
            </w:r>
            <w:r>
              <w:rPr>
                <w:rFonts w:hAnsi="宋体"/>
                <w:szCs w:val="21"/>
                <w:highlight w:val="none"/>
              </w:rPr>
              <w:t>方</w:t>
            </w:r>
            <w:r>
              <w:rPr>
                <w:rFonts w:hAnsi="宋体"/>
                <w:spacing w:val="1"/>
                <w:szCs w:val="21"/>
                <w:highlight w:val="none"/>
              </w:rPr>
              <w:t>/</w:t>
            </w:r>
            <w:r>
              <w:rPr>
                <w:rFonts w:hAnsi="宋体"/>
                <w:szCs w:val="21"/>
                <w:highlight w:val="none"/>
              </w:rPr>
              <w:t>日。</w:t>
            </w:r>
          </w:p>
        </w:tc>
        <w:tc>
          <w:tcPr>
            <w:tcW w:w="837" w:type="dxa"/>
            <w:gridSpan w:val="2"/>
            <w:vAlign w:val="center"/>
          </w:tcPr>
          <w:p>
            <w:pPr>
              <w:pStyle w:val="64"/>
              <w:rPr>
                <w:rFonts w:hAnsi="宋体"/>
                <w:szCs w:val="21"/>
                <w:highlight w:val="none"/>
              </w:rPr>
            </w:pPr>
            <w:r>
              <w:rPr>
                <w:rFonts w:hAnsi="宋体"/>
                <w:szCs w:val="21"/>
                <w:highlight w:val="none"/>
              </w:rPr>
              <w:t>0.25</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.○小于</w:t>
            </w:r>
            <w:r>
              <w:rPr>
                <w:rFonts w:hAnsi="宋体"/>
                <w:spacing w:val="1"/>
                <w:szCs w:val="21"/>
                <w:highlight w:val="none"/>
              </w:rPr>
              <w:t>1</w:t>
            </w:r>
            <w:r>
              <w:rPr>
                <w:rFonts w:hAnsi="宋体"/>
                <w:spacing w:val="-2"/>
                <w:szCs w:val="21"/>
                <w:highlight w:val="none"/>
              </w:rPr>
              <w:t>0</w:t>
            </w:r>
            <w:r>
              <w:rPr>
                <w:rFonts w:hAnsi="宋体"/>
                <w:spacing w:val="1"/>
                <w:szCs w:val="21"/>
                <w:highlight w:val="none"/>
              </w:rPr>
              <w:t>0</w:t>
            </w:r>
            <w:r>
              <w:rPr>
                <w:rFonts w:hAnsi="宋体"/>
                <w:spacing w:val="-2"/>
                <w:szCs w:val="21"/>
                <w:highlight w:val="none"/>
              </w:rPr>
              <w:t>0</w:t>
            </w:r>
            <w:r>
              <w:rPr>
                <w:rFonts w:hAnsi="宋体"/>
                <w:szCs w:val="21"/>
                <w:highlight w:val="none"/>
              </w:rPr>
              <w:t>方</w:t>
            </w:r>
            <w:r>
              <w:rPr>
                <w:rFonts w:hAnsi="宋体"/>
                <w:spacing w:val="1"/>
                <w:szCs w:val="21"/>
                <w:highlight w:val="none"/>
              </w:rPr>
              <w:t>/</w:t>
            </w:r>
            <w:r>
              <w:rPr>
                <w:rFonts w:hAnsi="宋体"/>
                <w:szCs w:val="21"/>
                <w:highlight w:val="none"/>
              </w:rPr>
              <w:t>日。</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回水距离（1分）</w:t>
            </w:r>
          </w:p>
        </w:tc>
        <w:tc>
          <w:tcPr>
            <w:tcW w:w="6003"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.○大于等于</w:t>
            </w:r>
            <w:r>
              <w:rPr>
                <w:rFonts w:hAnsi="宋体"/>
                <w:spacing w:val="1"/>
                <w:szCs w:val="21"/>
                <w:highlight w:val="none"/>
              </w:rPr>
              <w:t>1</w:t>
            </w:r>
            <w:r>
              <w:rPr>
                <w:rFonts w:hAnsi="宋体"/>
                <w:spacing w:val="-2"/>
                <w:szCs w:val="21"/>
                <w:highlight w:val="none"/>
              </w:rPr>
              <w:t>0</w:t>
            </w:r>
            <w:r>
              <w:rPr>
                <w:rFonts w:hAnsi="宋体"/>
                <w:szCs w:val="21"/>
                <w:highlight w:val="none"/>
              </w:rPr>
              <w:t>千米。</w:t>
            </w:r>
          </w:p>
        </w:tc>
        <w:tc>
          <w:tcPr>
            <w:tcW w:w="837" w:type="dxa"/>
            <w:gridSpan w:val="2"/>
            <w:vAlign w:val="center"/>
          </w:tcPr>
          <w:p>
            <w:pPr>
              <w:pStyle w:val="64"/>
              <w:rPr>
                <w:rFonts w:hAnsi="宋体"/>
                <w:szCs w:val="21"/>
                <w:highlight w:val="none"/>
              </w:rPr>
            </w:pPr>
            <w:r>
              <w:rPr>
                <w:rFonts w:hAnsi="宋体"/>
                <w:szCs w:val="21"/>
                <w:highlight w:val="none"/>
              </w:rPr>
              <w:t>1</w:t>
            </w:r>
          </w:p>
        </w:tc>
        <w:tc>
          <w:tcPr>
            <w:tcW w:w="674" w:type="dxa"/>
            <w:vMerge w:val="restart"/>
            <w:vAlign w:val="center"/>
          </w:tcPr>
          <w:p>
            <w:pPr>
              <w:pStyle w:val="64"/>
              <w:rPr>
                <w:rFonts w:hAnsi="宋体"/>
                <w:szCs w:val="21"/>
                <w:highlight w:val="none"/>
              </w:rPr>
            </w:pPr>
            <w:r>
              <w:rPr>
                <w:rFonts w:hAnsi="宋体"/>
                <w:szCs w:val="21"/>
                <w:highlight w:val="none"/>
              </w:rPr>
              <w:t>/</w:t>
            </w:r>
          </w:p>
        </w:tc>
        <w:tc>
          <w:tcPr>
            <w:tcW w:w="3394" w:type="dxa"/>
            <w:vMerge w:val="restart"/>
            <w:vAlign w:val="center"/>
          </w:tcPr>
          <w:p>
            <w:pPr>
              <w:pStyle w:val="64"/>
              <w:rPr>
                <w:rFonts w:hAnsi="宋体"/>
                <w:szCs w:val="21"/>
                <w:highlight w:val="none"/>
              </w:rPr>
            </w:pPr>
            <w:r>
              <w:rPr>
                <w:rFonts w:hAnsi="宋体"/>
                <w:szCs w:val="21"/>
                <w:highlight w:val="none"/>
              </w:rPr>
              <w:t>指实际的曲线距离。</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.○大于等于</w:t>
            </w:r>
            <w:r>
              <w:rPr>
                <w:rFonts w:hAnsi="宋体"/>
                <w:spacing w:val="1"/>
                <w:szCs w:val="21"/>
                <w:highlight w:val="none"/>
              </w:rPr>
              <w:t>2</w:t>
            </w:r>
            <w:r>
              <w:rPr>
                <w:rFonts w:hAnsi="宋体"/>
                <w:szCs w:val="21"/>
                <w:highlight w:val="none"/>
              </w:rPr>
              <w:t>千米而小于</w:t>
            </w:r>
            <w:r>
              <w:rPr>
                <w:rFonts w:hAnsi="宋体"/>
                <w:spacing w:val="1"/>
                <w:szCs w:val="21"/>
                <w:highlight w:val="none"/>
              </w:rPr>
              <w:t>1</w:t>
            </w:r>
            <w:r>
              <w:rPr>
                <w:rFonts w:hAnsi="宋体"/>
                <w:spacing w:val="-2"/>
                <w:szCs w:val="21"/>
                <w:highlight w:val="none"/>
              </w:rPr>
              <w:t>0</w:t>
            </w:r>
            <w:r>
              <w:rPr>
                <w:rFonts w:hAnsi="宋体"/>
                <w:szCs w:val="21"/>
                <w:highlight w:val="none"/>
              </w:rPr>
              <w:t>千米。</w:t>
            </w:r>
          </w:p>
        </w:tc>
        <w:tc>
          <w:tcPr>
            <w:tcW w:w="837" w:type="dxa"/>
            <w:gridSpan w:val="2"/>
            <w:vAlign w:val="center"/>
          </w:tcPr>
          <w:p>
            <w:pPr>
              <w:pStyle w:val="64"/>
              <w:rPr>
                <w:rFonts w:hAnsi="宋体"/>
                <w:szCs w:val="21"/>
                <w:highlight w:val="none"/>
              </w:rPr>
            </w:pPr>
            <w:r>
              <w:rPr>
                <w:rFonts w:hAnsi="宋体"/>
                <w:szCs w:val="21"/>
                <w:highlight w:val="none"/>
              </w:rPr>
              <w:t>0.5</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03"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.○小于</w:t>
            </w:r>
            <w:r>
              <w:rPr>
                <w:rFonts w:hAnsi="宋体"/>
                <w:spacing w:val="1"/>
                <w:szCs w:val="21"/>
                <w:highlight w:val="none"/>
              </w:rPr>
              <w:t>2</w:t>
            </w:r>
            <w:r>
              <w:rPr>
                <w:rFonts w:hAnsi="宋体"/>
                <w:szCs w:val="21"/>
                <w:highlight w:val="none"/>
              </w:rPr>
              <w:t>千米。</w:t>
            </w:r>
          </w:p>
        </w:tc>
        <w:tc>
          <w:tcPr>
            <w:tcW w:w="837" w:type="dxa"/>
            <w:gridSpan w:val="2"/>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restart"/>
            <w:vAlign w:val="center"/>
          </w:tcPr>
          <w:p>
            <w:pPr>
              <w:pStyle w:val="64"/>
              <w:rPr>
                <w:rFonts w:hAnsi="宋体"/>
                <w:szCs w:val="21"/>
                <w:highlight w:val="none"/>
              </w:rPr>
            </w:pPr>
            <w:r>
              <w:rPr>
                <w:rFonts w:hAnsi="宋体"/>
                <w:szCs w:val="21"/>
                <w:highlight w:val="none"/>
              </w:rPr>
              <w:t>防洪</w:t>
            </w:r>
          </w:p>
          <w:p>
            <w:pPr>
              <w:pStyle w:val="64"/>
              <w:rPr>
                <w:rFonts w:hAnsi="宋体"/>
                <w:szCs w:val="21"/>
                <w:highlight w:val="none"/>
              </w:rPr>
            </w:pPr>
            <w:r>
              <w:rPr>
                <w:rFonts w:hAnsi="宋体"/>
                <w:szCs w:val="21"/>
                <w:highlight w:val="none"/>
              </w:rPr>
              <w:t>（4分）</w:t>
            </w:r>
          </w:p>
        </w:tc>
        <w:tc>
          <w:tcPr>
            <w:tcW w:w="1242" w:type="dxa"/>
            <w:vMerge w:val="restart"/>
            <w:vAlign w:val="center"/>
          </w:tcPr>
          <w:p>
            <w:pPr>
              <w:pStyle w:val="64"/>
              <w:rPr>
                <w:rFonts w:hAnsi="宋体"/>
                <w:szCs w:val="21"/>
                <w:highlight w:val="none"/>
              </w:rPr>
            </w:pPr>
            <w:r>
              <w:rPr>
                <w:rFonts w:hAnsi="宋体"/>
                <w:szCs w:val="21"/>
                <w:highlight w:val="none"/>
              </w:rPr>
              <w:t>库外截洪设施</w:t>
            </w:r>
          </w:p>
          <w:p>
            <w:pPr>
              <w:pStyle w:val="64"/>
              <w:rPr>
                <w:rFonts w:hAnsi="宋体"/>
                <w:szCs w:val="21"/>
                <w:highlight w:val="none"/>
              </w:rPr>
            </w:pPr>
            <w:r>
              <w:rPr>
                <w:rFonts w:hAnsi="宋体"/>
                <w:szCs w:val="21"/>
                <w:highlight w:val="none"/>
              </w:rPr>
              <w:t>（2分）</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.○无。</w:t>
            </w:r>
          </w:p>
        </w:tc>
        <w:tc>
          <w:tcPr>
            <w:tcW w:w="820" w:type="dxa"/>
            <w:vAlign w:val="center"/>
          </w:tcPr>
          <w:p>
            <w:pPr>
              <w:pStyle w:val="64"/>
              <w:rPr>
                <w:rFonts w:hAnsi="宋体"/>
                <w:szCs w:val="21"/>
                <w:highlight w:val="none"/>
              </w:rPr>
            </w:pPr>
            <w:r>
              <w:rPr>
                <w:rFonts w:hAnsi="宋体"/>
                <w:szCs w:val="21"/>
                <w:highlight w:val="none"/>
              </w:rPr>
              <w:t>2</w:t>
            </w:r>
          </w:p>
        </w:tc>
        <w:tc>
          <w:tcPr>
            <w:tcW w:w="674" w:type="dxa"/>
            <w:vMerge w:val="restart"/>
            <w:vAlign w:val="center"/>
          </w:tcPr>
          <w:p>
            <w:pPr>
              <w:pStyle w:val="64"/>
              <w:rPr>
                <w:rFonts w:hAnsi="宋体"/>
                <w:szCs w:val="21"/>
                <w:highlight w:val="none"/>
              </w:rPr>
            </w:pPr>
            <w:r>
              <w:rPr>
                <w:rFonts w:hint="eastAsia" w:hAnsi="宋体"/>
                <w:szCs w:val="21"/>
                <w:highlight w:val="none"/>
              </w:rPr>
              <w:t>0</w:t>
            </w:r>
          </w:p>
        </w:tc>
        <w:tc>
          <w:tcPr>
            <w:tcW w:w="3394" w:type="dxa"/>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.○有，雨污不分流。</w:t>
            </w:r>
          </w:p>
        </w:tc>
        <w:tc>
          <w:tcPr>
            <w:tcW w:w="820" w:type="dxa"/>
            <w:vAlign w:val="center"/>
          </w:tcPr>
          <w:p>
            <w:pPr>
              <w:pStyle w:val="64"/>
              <w:rPr>
                <w:rFonts w:hAnsi="宋体"/>
                <w:szCs w:val="21"/>
                <w:highlight w:val="none"/>
              </w:rPr>
            </w:pP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r>
              <w:rPr>
                <w:rFonts w:hAnsi="宋体"/>
                <w:spacing w:val="4"/>
                <w:szCs w:val="21"/>
                <w:highlight w:val="none"/>
              </w:rPr>
              <w:t>指外部雨水未能通</w:t>
            </w:r>
            <w:r>
              <w:rPr>
                <w:rFonts w:hAnsi="宋体"/>
                <w:spacing w:val="2"/>
                <w:szCs w:val="21"/>
                <w:highlight w:val="none"/>
              </w:rPr>
              <w:t>过</w:t>
            </w:r>
            <w:r>
              <w:rPr>
                <w:rFonts w:hAnsi="宋体"/>
                <w:spacing w:val="4"/>
                <w:szCs w:val="21"/>
                <w:highlight w:val="none"/>
              </w:rPr>
              <w:t>截洪沟直接流</w:t>
            </w:r>
            <w:r>
              <w:rPr>
                <w:rFonts w:hAnsi="宋体"/>
                <w:szCs w:val="21"/>
                <w:highlight w:val="none"/>
              </w:rPr>
              <w:t>向外界</w:t>
            </w:r>
            <w:r>
              <w:rPr>
                <w:rFonts w:hAnsi="宋体"/>
                <w:spacing w:val="-20"/>
                <w:szCs w:val="21"/>
                <w:highlight w:val="none"/>
              </w:rPr>
              <w:t>，</w:t>
            </w:r>
            <w:r>
              <w:rPr>
                <w:rFonts w:hAnsi="宋体"/>
                <w:szCs w:val="21"/>
                <w:highlight w:val="none"/>
              </w:rPr>
              <w:t>而是进入尾矿库渗滤液收集池、事故池等设施。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fldChar w:fldCharType="begin"/>
            </w:r>
            <w:r>
              <w:rPr>
                <w:rFonts w:hAnsi="宋体"/>
                <w:szCs w:val="21"/>
                <w:highlight w:val="none"/>
              </w:rPr>
              <w:instrText xml:space="preserve"> </w:instrText>
            </w:r>
            <w:r>
              <w:rPr>
                <w:rFonts w:hint="eastAsia" w:hAnsi="宋体"/>
                <w:szCs w:val="21"/>
                <w:highlight w:val="none"/>
              </w:rPr>
              <w:instrText xml:space="preserve">eq \o\ac(○,</w:instrText>
            </w:r>
            <w:r>
              <w:rPr>
                <w:rFonts w:hint="eastAsia" w:hAnsi="宋体"/>
                <w:position w:val="2"/>
                <w:sz w:val="14"/>
                <w:szCs w:val="21"/>
                <w:highlight w:val="none"/>
              </w:rPr>
              <w:instrText xml:space="preserve">√</w:instrText>
            </w:r>
            <w:r>
              <w:rPr>
                <w:rFonts w:hint="eastAsia" w:hAnsi="宋体"/>
                <w:szCs w:val="21"/>
                <w:highlight w:val="none"/>
              </w:rPr>
              <w:instrText xml:space="preserve">)</w:instrText>
            </w:r>
            <w:r>
              <w:rPr>
                <w:rFonts w:hAnsi="宋体"/>
                <w:szCs w:val="21"/>
                <w:highlight w:val="none"/>
              </w:rPr>
              <w:fldChar w:fldCharType="end"/>
            </w:r>
            <w:r>
              <w:rPr>
                <w:rFonts w:hAnsi="宋体"/>
                <w:szCs w:val="21"/>
                <w:highlight w:val="none"/>
              </w:rPr>
              <w:t>有，雨污分流。</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r>
              <w:rPr>
                <w:rFonts w:hAnsi="宋体"/>
                <w:spacing w:val="4"/>
                <w:szCs w:val="21"/>
                <w:highlight w:val="none"/>
              </w:rPr>
              <w:t>指外部雨水能直接</w:t>
            </w:r>
            <w:r>
              <w:rPr>
                <w:rFonts w:hAnsi="宋体"/>
                <w:spacing w:val="2"/>
                <w:szCs w:val="21"/>
                <w:highlight w:val="none"/>
              </w:rPr>
              <w:t>通</w:t>
            </w:r>
            <w:r>
              <w:rPr>
                <w:rFonts w:hAnsi="宋体"/>
                <w:spacing w:val="4"/>
                <w:szCs w:val="21"/>
                <w:highlight w:val="none"/>
              </w:rPr>
              <w:t>过截洪沟流向</w:t>
            </w:r>
            <w:r>
              <w:rPr>
                <w:rFonts w:hAnsi="宋体"/>
                <w:szCs w:val="21"/>
                <w:highlight w:val="none"/>
              </w:rPr>
              <w:t>外</w:t>
            </w:r>
            <w:r>
              <w:rPr>
                <w:rFonts w:hAnsi="宋体"/>
                <w:spacing w:val="4"/>
                <w:szCs w:val="21"/>
                <w:highlight w:val="none"/>
              </w:rPr>
              <w:t>界，而不进入尾矿</w:t>
            </w:r>
            <w:r>
              <w:rPr>
                <w:rFonts w:hAnsi="宋体"/>
                <w:spacing w:val="2"/>
                <w:szCs w:val="21"/>
                <w:highlight w:val="none"/>
              </w:rPr>
              <w:t>库</w:t>
            </w:r>
            <w:r>
              <w:rPr>
                <w:rFonts w:hAnsi="宋体"/>
                <w:spacing w:val="4"/>
                <w:szCs w:val="21"/>
                <w:highlight w:val="none"/>
              </w:rPr>
              <w:t>相关设施（比</w:t>
            </w:r>
            <w:r>
              <w:rPr>
                <w:rFonts w:hAnsi="宋体"/>
                <w:szCs w:val="21"/>
                <w:highlight w:val="none"/>
              </w:rPr>
              <w:t>如库区、渗滤液收集池、事故池等）。</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库内排洪设施</w:t>
            </w:r>
          </w:p>
          <w:p>
            <w:pPr>
              <w:pStyle w:val="64"/>
              <w:rPr>
                <w:rFonts w:hAnsi="宋体"/>
                <w:szCs w:val="21"/>
                <w:highlight w:val="none"/>
              </w:rPr>
            </w:pPr>
            <w:r>
              <w:rPr>
                <w:rFonts w:hAnsi="宋体"/>
                <w:szCs w:val="21"/>
                <w:highlight w:val="none"/>
              </w:rPr>
              <w:t>（2分）</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.○无。</w:t>
            </w:r>
          </w:p>
        </w:tc>
        <w:tc>
          <w:tcPr>
            <w:tcW w:w="820" w:type="dxa"/>
            <w:vAlign w:val="center"/>
          </w:tcPr>
          <w:p>
            <w:pPr>
              <w:pStyle w:val="64"/>
              <w:rPr>
                <w:rFonts w:hAnsi="宋体"/>
                <w:szCs w:val="21"/>
                <w:highlight w:val="none"/>
              </w:rPr>
            </w:pPr>
            <w:r>
              <w:rPr>
                <w:rFonts w:hAnsi="宋体"/>
                <w:szCs w:val="21"/>
                <w:highlight w:val="none"/>
              </w:rPr>
              <w:t>2</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Align w:val="center"/>
          </w:tcPr>
          <w:p>
            <w:pPr>
              <w:pStyle w:val="64"/>
              <w:rPr>
                <w:rFonts w:hAnsi="宋体"/>
                <w:szCs w:val="21"/>
                <w:highlight w:val="none"/>
              </w:rPr>
            </w:pPr>
            <w:r>
              <w:rPr>
                <w:rFonts w:hAnsi="宋体"/>
                <w:spacing w:val="4"/>
                <w:szCs w:val="21"/>
                <w:highlight w:val="none"/>
              </w:rPr>
              <w:t>指不仅作为排洪通</w:t>
            </w:r>
            <w:r>
              <w:rPr>
                <w:rFonts w:hAnsi="宋体"/>
                <w:spacing w:val="2"/>
                <w:szCs w:val="21"/>
                <w:highlight w:val="none"/>
              </w:rPr>
              <w:t>道</w:t>
            </w:r>
            <w:r>
              <w:rPr>
                <w:rFonts w:hAnsi="宋体"/>
                <w:spacing w:val="4"/>
                <w:szCs w:val="21"/>
                <w:highlight w:val="none"/>
              </w:rPr>
              <w:t>，还作为日常</w:t>
            </w:r>
            <w:r>
              <w:rPr>
                <w:rFonts w:hAnsi="宋体"/>
                <w:szCs w:val="21"/>
                <w:highlight w:val="none"/>
              </w:rPr>
              <w:t>回水或排水道。</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.○有，作为日常尾矿库排水或回水通道。</w:t>
            </w:r>
          </w:p>
        </w:tc>
        <w:tc>
          <w:tcPr>
            <w:tcW w:w="820" w:type="dxa"/>
            <w:vAlign w:val="center"/>
          </w:tcPr>
          <w:p>
            <w:pPr>
              <w:pStyle w:val="64"/>
              <w:rPr>
                <w:rFonts w:hAnsi="宋体"/>
                <w:szCs w:val="21"/>
                <w:highlight w:val="none"/>
              </w:rPr>
            </w:pP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r>
              <w:rPr>
                <w:rFonts w:hAnsi="宋体"/>
                <w:spacing w:val="4"/>
                <w:szCs w:val="21"/>
                <w:highlight w:val="none"/>
              </w:rPr>
              <w:t>作为日常尾矿水排</w:t>
            </w:r>
            <w:r>
              <w:rPr>
                <w:rFonts w:hAnsi="宋体"/>
                <w:spacing w:val="2"/>
                <w:szCs w:val="21"/>
                <w:highlight w:val="none"/>
              </w:rPr>
              <w:t>放</w:t>
            </w:r>
            <w:r>
              <w:rPr>
                <w:rFonts w:hAnsi="宋体"/>
                <w:spacing w:val="4"/>
                <w:szCs w:val="21"/>
                <w:highlight w:val="none"/>
              </w:rPr>
              <w:t>或回水通道。</w:t>
            </w:r>
            <w:r>
              <w:rPr>
                <w:rFonts w:hAnsi="宋体"/>
                <w:szCs w:val="21"/>
                <w:highlight w:val="none"/>
              </w:rPr>
              <w:t>指</w:t>
            </w:r>
            <w:r>
              <w:rPr>
                <w:rFonts w:hAnsi="宋体"/>
                <w:spacing w:val="4"/>
                <w:szCs w:val="21"/>
                <w:highlight w:val="none"/>
              </w:rPr>
              <w:t>汛期作为库区泄洪</w:t>
            </w:r>
            <w:r>
              <w:rPr>
                <w:rFonts w:hAnsi="宋体"/>
                <w:spacing w:val="2"/>
                <w:szCs w:val="21"/>
                <w:highlight w:val="none"/>
              </w:rPr>
              <w:t>通</w:t>
            </w:r>
            <w:r>
              <w:rPr>
                <w:rFonts w:hAnsi="宋体"/>
                <w:spacing w:val="4"/>
                <w:szCs w:val="21"/>
                <w:highlight w:val="none"/>
              </w:rPr>
              <w:t>道，而日常生</w:t>
            </w:r>
            <w:r>
              <w:rPr>
                <w:rFonts w:hAnsi="宋体"/>
                <w:szCs w:val="21"/>
                <w:highlight w:val="none"/>
              </w:rPr>
              <w:t>产</w:t>
            </w:r>
            <w:r>
              <w:rPr>
                <w:rFonts w:hAnsi="宋体"/>
                <w:spacing w:val="4"/>
                <w:szCs w:val="21"/>
                <w:highlight w:val="none"/>
              </w:rPr>
              <w:t>中，通过库内排洪</w:t>
            </w:r>
            <w:r>
              <w:rPr>
                <w:rFonts w:hAnsi="宋体"/>
                <w:spacing w:val="2"/>
                <w:szCs w:val="21"/>
                <w:highlight w:val="none"/>
              </w:rPr>
              <w:t>设</w:t>
            </w:r>
            <w:r>
              <w:rPr>
                <w:rFonts w:hAnsi="宋体"/>
                <w:spacing w:val="4"/>
                <w:szCs w:val="21"/>
                <w:highlight w:val="none"/>
              </w:rPr>
              <w:t>施将库区澄清</w:t>
            </w:r>
            <w:r>
              <w:rPr>
                <w:rFonts w:hAnsi="宋体"/>
                <w:szCs w:val="21"/>
                <w:highlight w:val="none"/>
              </w:rPr>
              <w:t>水引到渗滤液收集池等设施。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√有，仅作为排洪通道。</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Align w:val="center"/>
          </w:tcPr>
          <w:p>
            <w:pPr>
              <w:pStyle w:val="64"/>
              <w:rPr>
                <w:rFonts w:hAnsi="宋体"/>
                <w:szCs w:val="21"/>
                <w:highlight w:val="none"/>
              </w:rPr>
            </w:pPr>
            <w:r>
              <w:rPr>
                <w:rFonts w:hAnsi="宋体"/>
                <w:spacing w:val="4"/>
                <w:szCs w:val="21"/>
                <w:highlight w:val="none"/>
              </w:rPr>
              <w:t>仅作为排洪通道。</w:t>
            </w:r>
            <w:r>
              <w:rPr>
                <w:rFonts w:hAnsi="宋体"/>
                <w:spacing w:val="2"/>
                <w:szCs w:val="21"/>
                <w:highlight w:val="none"/>
              </w:rPr>
              <w:t>指</w:t>
            </w:r>
            <w:r>
              <w:rPr>
                <w:rFonts w:hAnsi="宋体"/>
                <w:spacing w:val="4"/>
                <w:szCs w:val="21"/>
                <w:highlight w:val="none"/>
              </w:rPr>
              <w:t>通常情况下该</w:t>
            </w:r>
            <w:r>
              <w:rPr>
                <w:rFonts w:hAnsi="宋体"/>
                <w:szCs w:val="21"/>
                <w:highlight w:val="none"/>
              </w:rPr>
              <w:t>通</w:t>
            </w:r>
            <w:r>
              <w:rPr>
                <w:rFonts w:hAnsi="宋体"/>
                <w:spacing w:val="4"/>
                <w:szCs w:val="21"/>
                <w:highlight w:val="none"/>
              </w:rPr>
              <w:t>道关闭，不连通外</w:t>
            </w:r>
            <w:r>
              <w:rPr>
                <w:rFonts w:hAnsi="宋体"/>
                <w:spacing w:val="2"/>
                <w:szCs w:val="21"/>
                <w:highlight w:val="none"/>
              </w:rPr>
              <w:t>界</w:t>
            </w:r>
            <w:r>
              <w:rPr>
                <w:rFonts w:hAnsi="宋体"/>
                <w:spacing w:val="4"/>
                <w:szCs w:val="21"/>
                <w:highlight w:val="none"/>
              </w:rPr>
              <w:t>，仅在汛期紧</w:t>
            </w:r>
            <w:r>
              <w:rPr>
                <w:rFonts w:hAnsi="宋体"/>
                <w:szCs w:val="21"/>
                <w:highlight w:val="none"/>
              </w:rPr>
              <w:t>要情况下连通外界。</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084" w:type="dxa"/>
            <w:gridSpan w:val="3"/>
            <w:vMerge w:val="restart"/>
            <w:vAlign w:val="center"/>
          </w:tcPr>
          <w:p>
            <w:pPr>
              <w:pStyle w:val="64"/>
              <w:rPr>
                <w:rFonts w:hAnsi="宋体"/>
                <w:szCs w:val="21"/>
                <w:highlight w:val="none"/>
              </w:rPr>
            </w:pPr>
            <w:r>
              <w:rPr>
                <w:rFonts w:hAnsi="宋体"/>
                <w:szCs w:val="21"/>
                <w:highlight w:val="none"/>
              </w:rPr>
              <w:t>自然条件情况</w:t>
            </w:r>
          </w:p>
          <w:p>
            <w:pPr>
              <w:pStyle w:val="64"/>
              <w:rPr>
                <w:rFonts w:hAnsi="宋体"/>
                <w:szCs w:val="21"/>
                <w:highlight w:val="none"/>
              </w:rPr>
            </w:pPr>
            <w:r>
              <w:rPr>
                <w:rFonts w:hAnsi="宋体"/>
                <w:szCs w:val="21"/>
                <w:highlight w:val="none"/>
              </w:rPr>
              <w:t>（9分）</w:t>
            </w:r>
          </w:p>
        </w:tc>
        <w:tc>
          <w:tcPr>
            <w:tcW w:w="2183" w:type="dxa"/>
            <w:vMerge w:val="restart"/>
            <w:vAlign w:val="center"/>
          </w:tcPr>
          <w:p>
            <w:pPr>
              <w:pStyle w:val="64"/>
              <w:rPr>
                <w:rFonts w:hAnsi="宋体"/>
                <w:szCs w:val="21"/>
                <w:highlight w:val="none"/>
              </w:rPr>
            </w:pPr>
            <w:r>
              <w:rPr>
                <w:rFonts w:hAnsi="宋体"/>
                <w:spacing w:val="1"/>
                <w:szCs w:val="21"/>
                <w:highlight w:val="none"/>
              </w:rPr>
              <w:t>1</w:t>
            </w:r>
            <w:r>
              <w:rPr>
                <w:rFonts w:hAnsi="宋体"/>
                <w:szCs w:val="21"/>
                <w:highlight w:val="none"/>
              </w:rPr>
              <w:t>.</w:t>
            </w:r>
            <w:r>
              <w:rPr>
                <w:rFonts w:hAnsi="宋体"/>
                <w:spacing w:val="-229"/>
                <w:position w:val="-2"/>
                <w:szCs w:val="21"/>
                <w:highlight w:val="none"/>
              </w:rPr>
              <w:t>○</w:t>
            </w:r>
            <w:r>
              <w:rPr>
                <w:rFonts w:hAnsi="宋体"/>
                <w:szCs w:val="21"/>
                <w:highlight w:val="none"/>
              </w:rPr>
              <w:t>○</w:t>
            </w:r>
            <w:r>
              <w:rPr>
                <w:rFonts w:hAnsi="宋体"/>
                <w:spacing w:val="12"/>
                <w:szCs w:val="21"/>
                <w:highlight w:val="none"/>
              </w:rPr>
              <w:t>开展</w:t>
            </w:r>
            <w:r>
              <w:rPr>
                <w:rFonts w:hAnsi="宋体"/>
                <w:spacing w:val="9"/>
                <w:szCs w:val="21"/>
                <w:highlight w:val="none"/>
              </w:rPr>
              <w:t>了</w:t>
            </w:r>
            <w:r>
              <w:rPr>
                <w:rFonts w:hAnsi="宋体"/>
                <w:spacing w:val="12"/>
                <w:szCs w:val="21"/>
                <w:highlight w:val="none"/>
              </w:rPr>
              <w:t>地</w:t>
            </w:r>
            <w:r>
              <w:rPr>
                <w:rFonts w:hAnsi="宋体"/>
                <w:szCs w:val="21"/>
                <w:highlight w:val="none"/>
              </w:rPr>
              <w:t>质灾害危险性评估</w:t>
            </w:r>
          </w:p>
        </w:tc>
        <w:tc>
          <w:tcPr>
            <w:tcW w:w="3837" w:type="dxa"/>
            <w:gridSpan w:val="2"/>
            <w:vAlign w:val="center"/>
          </w:tcPr>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pacing w:val="1"/>
                <w:szCs w:val="21"/>
                <w:highlight w:val="none"/>
              </w:rPr>
              <w:t>A</w:t>
            </w:r>
            <w:r>
              <w:rPr>
                <w:rFonts w:hAnsi="宋体"/>
                <w:szCs w:val="21"/>
                <w:highlight w:val="none"/>
              </w:rPr>
              <w:t>.○危害性中等或危害性较大。</w:t>
            </w:r>
          </w:p>
        </w:tc>
        <w:tc>
          <w:tcPr>
            <w:tcW w:w="820" w:type="dxa"/>
            <w:vAlign w:val="center"/>
          </w:tcPr>
          <w:p>
            <w:pPr>
              <w:pStyle w:val="64"/>
              <w:rPr>
                <w:rFonts w:hAnsi="宋体"/>
                <w:szCs w:val="21"/>
                <w:highlight w:val="none"/>
              </w:rPr>
            </w:pPr>
            <w:r>
              <w:rPr>
                <w:rFonts w:hAnsi="宋体"/>
                <w:szCs w:val="21"/>
                <w:highlight w:val="none"/>
              </w:rPr>
              <w:t>9</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084" w:type="dxa"/>
            <w:gridSpan w:val="3"/>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pacing w:val="1"/>
                <w:szCs w:val="21"/>
                <w:highlight w:val="none"/>
              </w:rPr>
              <w:t>B</w:t>
            </w:r>
            <w:r>
              <w:rPr>
                <w:rFonts w:hAnsi="宋体"/>
                <w:szCs w:val="21"/>
                <w:highlight w:val="none"/>
              </w:rPr>
              <w:t>.</w:t>
            </w:r>
            <w:r>
              <w:rPr>
                <w:rFonts w:hAnsi="宋体"/>
                <w:spacing w:val="-227"/>
                <w:position w:val="-2"/>
                <w:szCs w:val="21"/>
                <w:highlight w:val="none"/>
              </w:rPr>
              <w:t>○</w:t>
            </w:r>
            <w:r>
              <w:rPr>
                <w:rFonts w:hAnsi="宋体"/>
                <w:szCs w:val="21"/>
                <w:highlight w:val="none"/>
              </w:rPr>
              <w:t>○危害性小。</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3084" w:type="dxa"/>
            <w:gridSpan w:val="3"/>
            <w:vMerge w:val="continue"/>
            <w:vAlign w:val="center"/>
          </w:tcPr>
          <w:p>
            <w:pPr>
              <w:pStyle w:val="64"/>
              <w:rPr>
                <w:rFonts w:hAnsi="宋体"/>
                <w:szCs w:val="21"/>
                <w:highlight w:val="none"/>
              </w:rPr>
            </w:pPr>
          </w:p>
        </w:tc>
        <w:tc>
          <w:tcPr>
            <w:tcW w:w="2183" w:type="dxa"/>
            <w:vMerge w:val="restart"/>
            <w:vAlign w:val="center"/>
          </w:tcPr>
          <w:p>
            <w:pPr>
              <w:pStyle w:val="64"/>
              <w:rPr>
                <w:rFonts w:hAnsi="宋体"/>
                <w:szCs w:val="21"/>
                <w:highlight w:val="none"/>
              </w:rPr>
            </w:pPr>
            <w:r>
              <w:rPr>
                <w:rFonts w:hAnsi="宋体"/>
                <w:spacing w:val="1"/>
                <w:szCs w:val="21"/>
                <w:highlight w:val="none"/>
              </w:rPr>
              <w:t>2</w:t>
            </w:r>
            <w:r>
              <w:rPr>
                <w:rFonts w:hAnsi="宋体"/>
                <w:szCs w:val="21"/>
                <w:highlight w:val="none"/>
              </w:rPr>
              <w:t>.</w:t>
            </w:r>
            <w:r>
              <w:rPr>
                <w:rFonts w:hAnsi="宋体"/>
                <w:szCs w:val="21"/>
                <w:highlight w:val="none"/>
              </w:rPr>
              <w:fldChar w:fldCharType="begin"/>
            </w:r>
            <w:r>
              <w:rPr>
                <w:rFonts w:hAnsi="宋体"/>
                <w:szCs w:val="21"/>
                <w:highlight w:val="none"/>
              </w:rPr>
              <w:instrText xml:space="preserve"> </w:instrText>
            </w:r>
            <w:r>
              <w:rPr>
                <w:rFonts w:hint="eastAsia" w:hAnsi="宋体"/>
                <w:szCs w:val="21"/>
                <w:highlight w:val="none"/>
              </w:rPr>
              <w:instrText xml:space="preserve">eq \o\ac(○,</w:instrText>
            </w:r>
            <w:r>
              <w:rPr>
                <w:rFonts w:hint="eastAsia" w:hAnsi="宋体"/>
                <w:position w:val="2"/>
                <w:sz w:val="14"/>
                <w:szCs w:val="21"/>
                <w:highlight w:val="none"/>
              </w:rPr>
              <w:instrText xml:space="preserve">√</w:instrText>
            </w:r>
            <w:r>
              <w:rPr>
                <w:rFonts w:hint="eastAsia" w:hAnsi="宋体"/>
                <w:szCs w:val="21"/>
                <w:highlight w:val="none"/>
              </w:rPr>
              <w:instrText xml:space="preserve">)</w:instrText>
            </w:r>
            <w:r>
              <w:rPr>
                <w:rFonts w:hAnsi="宋体"/>
                <w:szCs w:val="21"/>
                <w:highlight w:val="none"/>
              </w:rPr>
              <w:fldChar w:fldCharType="end"/>
            </w:r>
            <w:r>
              <w:rPr>
                <w:rFonts w:hAnsi="宋体"/>
                <w:szCs w:val="21"/>
                <w:highlight w:val="none"/>
              </w:rPr>
              <w:t>未开展地质灾害危险性评估</w:t>
            </w:r>
          </w:p>
        </w:tc>
        <w:tc>
          <w:tcPr>
            <w:tcW w:w="3837" w:type="dxa"/>
            <w:gridSpan w:val="2"/>
            <w:vAlign w:val="center"/>
          </w:tcPr>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w:t>
            </w:r>
            <w:r>
              <w:rPr>
                <w:rFonts w:hAnsi="宋体"/>
                <w:spacing w:val="1"/>
                <w:szCs w:val="21"/>
                <w:highlight w:val="none"/>
              </w:rPr>
              <w:t>A</w:t>
            </w:r>
            <w:r>
              <w:rPr>
                <w:rFonts w:hAnsi="宋体"/>
                <w:szCs w:val="21"/>
                <w:highlight w:val="none"/>
              </w:rPr>
              <w:t>.○处于地质灾害易灾区或岩溶（喀斯特）地貌区。</w:t>
            </w:r>
          </w:p>
        </w:tc>
        <w:tc>
          <w:tcPr>
            <w:tcW w:w="820" w:type="dxa"/>
            <w:vAlign w:val="center"/>
          </w:tcPr>
          <w:p>
            <w:pPr>
              <w:pStyle w:val="64"/>
              <w:rPr>
                <w:rFonts w:hAnsi="宋体"/>
                <w:szCs w:val="21"/>
                <w:highlight w:val="none"/>
              </w:rPr>
            </w:pPr>
            <w:r>
              <w:rPr>
                <w:rFonts w:hAnsi="宋体"/>
                <w:szCs w:val="21"/>
                <w:highlight w:val="none"/>
              </w:rPr>
              <w:t>9</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084" w:type="dxa"/>
            <w:gridSpan w:val="3"/>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2</w:t>
            </w:r>
            <w:r>
              <w:rPr>
                <w:rFonts w:hAnsi="宋体"/>
                <w:spacing w:val="-2"/>
                <w:szCs w:val="21"/>
                <w:highlight w:val="none"/>
              </w:rPr>
              <w:t>-</w:t>
            </w:r>
            <w:r>
              <w:rPr>
                <w:rFonts w:hAnsi="宋体"/>
                <w:spacing w:val="1"/>
                <w:szCs w:val="21"/>
                <w:highlight w:val="none"/>
              </w:rPr>
              <w:t>B</w:t>
            </w:r>
            <w:r>
              <w:rPr>
                <w:rFonts w:hAnsi="宋体"/>
                <w:szCs w:val="21"/>
                <w:highlight w:val="none"/>
              </w:rPr>
              <w:t>.</w:t>
            </w:r>
            <w:r>
              <w:rPr>
                <w:rFonts w:hAnsi="宋体"/>
                <w:szCs w:val="21"/>
                <w:highlight w:val="none"/>
              </w:rPr>
              <w:fldChar w:fldCharType="begin"/>
            </w:r>
            <w:r>
              <w:rPr>
                <w:rFonts w:hAnsi="宋体"/>
                <w:szCs w:val="21"/>
                <w:highlight w:val="none"/>
              </w:rPr>
              <w:instrText xml:space="preserve"> </w:instrText>
            </w:r>
            <w:r>
              <w:rPr>
                <w:rFonts w:hint="eastAsia" w:hAnsi="宋体"/>
                <w:szCs w:val="21"/>
                <w:highlight w:val="none"/>
              </w:rPr>
              <w:instrText xml:space="preserve">eq \o\ac(○,</w:instrText>
            </w:r>
            <w:r>
              <w:rPr>
                <w:rFonts w:hint="eastAsia" w:hAnsi="宋体"/>
                <w:position w:val="2"/>
                <w:sz w:val="14"/>
                <w:szCs w:val="21"/>
                <w:highlight w:val="none"/>
              </w:rPr>
              <w:instrText xml:space="preserve">√</w:instrText>
            </w:r>
            <w:r>
              <w:rPr>
                <w:rFonts w:hint="eastAsia" w:hAnsi="宋体"/>
                <w:szCs w:val="21"/>
                <w:highlight w:val="none"/>
              </w:rPr>
              <w:instrText xml:space="preserve">)</w:instrText>
            </w:r>
            <w:r>
              <w:rPr>
                <w:rFonts w:hAnsi="宋体"/>
                <w:szCs w:val="21"/>
                <w:highlight w:val="none"/>
              </w:rPr>
              <w:fldChar w:fldCharType="end"/>
            </w:r>
            <w:r>
              <w:rPr>
                <w:rFonts w:hAnsi="宋体"/>
                <w:spacing w:val="9"/>
                <w:szCs w:val="21"/>
                <w:highlight w:val="none"/>
              </w:rPr>
              <w:t>不</w:t>
            </w:r>
            <w:r>
              <w:rPr>
                <w:rFonts w:hAnsi="宋体"/>
                <w:spacing w:val="7"/>
                <w:szCs w:val="21"/>
                <w:highlight w:val="none"/>
              </w:rPr>
              <w:t>处</w:t>
            </w:r>
            <w:r>
              <w:rPr>
                <w:rFonts w:hAnsi="宋体"/>
                <w:spacing w:val="9"/>
                <w:szCs w:val="21"/>
                <w:highlight w:val="none"/>
              </w:rPr>
              <w:t>于</w:t>
            </w:r>
            <w:r>
              <w:rPr>
                <w:rFonts w:hAnsi="宋体"/>
                <w:spacing w:val="7"/>
                <w:szCs w:val="21"/>
                <w:highlight w:val="none"/>
              </w:rPr>
              <w:t>地</w:t>
            </w:r>
            <w:r>
              <w:rPr>
                <w:rFonts w:hAnsi="宋体"/>
                <w:spacing w:val="9"/>
                <w:szCs w:val="21"/>
                <w:highlight w:val="none"/>
              </w:rPr>
              <w:t>质</w:t>
            </w:r>
            <w:r>
              <w:rPr>
                <w:rFonts w:hAnsi="宋体"/>
                <w:spacing w:val="7"/>
                <w:szCs w:val="21"/>
                <w:highlight w:val="none"/>
              </w:rPr>
              <w:t>灾</w:t>
            </w:r>
            <w:r>
              <w:rPr>
                <w:rFonts w:hAnsi="宋体"/>
                <w:spacing w:val="9"/>
                <w:szCs w:val="21"/>
                <w:highlight w:val="none"/>
              </w:rPr>
              <w:t>害</w:t>
            </w:r>
            <w:r>
              <w:rPr>
                <w:rFonts w:hAnsi="宋体"/>
                <w:spacing w:val="7"/>
                <w:szCs w:val="21"/>
                <w:highlight w:val="none"/>
              </w:rPr>
              <w:t>易</w:t>
            </w:r>
            <w:r>
              <w:rPr>
                <w:rFonts w:hAnsi="宋体"/>
                <w:spacing w:val="9"/>
                <w:szCs w:val="21"/>
                <w:highlight w:val="none"/>
              </w:rPr>
              <w:t>灾</w:t>
            </w:r>
            <w:r>
              <w:rPr>
                <w:rFonts w:hAnsi="宋体"/>
                <w:spacing w:val="7"/>
                <w:szCs w:val="21"/>
                <w:highlight w:val="none"/>
              </w:rPr>
              <w:t>区</w:t>
            </w:r>
            <w:r>
              <w:rPr>
                <w:rFonts w:hAnsi="宋体"/>
                <w:spacing w:val="9"/>
                <w:szCs w:val="21"/>
                <w:highlight w:val="none"/>
              </w:rPr>
              <w:t>或</w:t>
            </w:r>
            <w:r>
              <w:rPr>
                <w:rFonts w:hAnsi="宋体"/>
                <w:spacing w:val="7"/>
                <w:szCs w:val="21"/>
                <w:highlight w:val="none"/>
              </w:rPr>
              <w:t>岩</w:t>
            </w:r>
            <w:r>
              <w:rPr>
                <w:rFonts w:hAnsi="宋体"/>
                <w:spacing w:val="9"/>
                <w:szCs w:val="21"/>
                <w:highlight w:val="none"/>
              </w:rPr>
              <w:t>溶</w:t>
            </w:r>
            <w:r>
              <w:rPr>
                <w:rFonts w:hAnsi="宋体"/>
                <w:spacing w:val="7"/>
                <w:szCs w:val="21"/>
                <w:highlight w:val="none"/>
              </w:rPr>
              <w:t>（</w:t>
            </w:r>
            <w:r>
              <w:rPr>
                <w:rFonts w:hAnsi="宋体"/>
                <w:spacing w:val="9"/>
                <w:szCs w:val="21"/>
                <w:highlight w:val="none"/>
              </w:rPr>
              <w:t>喀</w:t>
            </w:r>
            <w:r>
              <w:rPr>
                <w:rFonts w:hAnsi="宋体"/>
                <w:szCs w:val="21"/>
                <w:highlight w:val="none"/>
              </w:rPr>
              <w:t>斯特）区地貌区。</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restart"/>
            <w:vAlign w:val="center"/>
          </w:tcPr>
          <w:p>
            <w:pPr>
              <w:pStyle w:val="64"/>
              <w:rPr>
                <w:rFonts w:hAnsi="宋体"/>
                <w:szCs w:val="21"/>
                <w:highlight w:val="none"/>
              </w:rPr>
            </w:pPr>
            <w:r>
              <w:rPr>
                <w:rFonts w:hAnsi="宋体"/>
                <w:szCs w:val="21"/>
                <w:highlight w:val="none"/>
              </w:rPr>
              <w:t>生产安全情况</w:t>
            </w:r>
          </w:p>
          <w:p>
            <w:pPr>
              <w:pStyle w:val="64"/>
              <w:rPr>
                <w:rFonts w:hAnsi="宋体"/>
                <w:szCs w:val="21"/>
                <w:highlight w:val="none"/>
              </w:rPr>
            </w:pPr>
            <w:r>
              <w:rPr>
                <w:rFonts w:hAnsi="宋体"/>
                <w:szCs w:val="21"/>
                <w:highlight w:val="none"/>
              </w:rPr>
              <w:t>（</w:t>
            </w:r>
            <w:r>
              <w:rPr>
                <w:rFonts w:hAnsi="宋体"/>
                <w:spacing w:val="1"/>
                <w:szCs w:val="21"/>
                <w:highlight w:val="none"/>
              </w:rPr>
              <w:t>1</w:t>
            </w:r>
            <w:r>
              <w:rPr>
                <w:rFonts w:hAnsi="宋体"/>
                <w:spacing w:val="-2"/>
                <w:szCs w:val="21"/>
                <w:highlight w:val="none"/>
              </w:rPr>
              <w:t>5</w:t>
            </w:r>
            <w:r>
              <w:rPr>
                <w:rFonts w:hAnsi="宋体"/>
                <w:szCs w:val="21"/>
                <w:highlight w:val="none"/>
              </w:rPr>
              <w:t>分）</w:t>
            </w:r>
          </w:p>
        </w:tc>
        <w:tc>
          <w:tcPr>
            <w:tcW w:w="2224" w:type="dxa"/>
            <w:gridSpan w:val="2"/>
            <w:vMerge w:val="restart"/>
            <w:vAlign w:val="center"/>
          </w:tcPr>
          <w:p>
            <w:pPr>
              <w:pStyle w:val="64"/>
              <w:rPr>
                <w:rFonts w:hAnsi="宋体"/>
                <w:szCs w:val="21"/>
                <w:highlight w:val="none"/>
              </w:rPr>
            </w:pPr>
            <w:r>
              <w:rPr>
                <w:rFonts w:hAnsi="宋体"/>
                <w:szCs w:val="21"/>
                <w:highlight w:val="none"/>
              </w:rPr>
              <w:t>尾矿库安全度等别</w:t>
            </w:r>
          </w:p>
          <w:p>
            <w:pPr>
              <w:pStyle w:val="64"/>
              <w:rPr>
                <w:rFonts w:hAnsi="宋体"/>
                <w:szCs w:val="21"/>
                <w:highlight w:val="none"/>
              </w:rPr>
            </w:pPr>
            <w:r>
              <w:rPr>
                <w:rFonts w:hAnsi="宋体"/>
                <w:szCs w:val="21"/>
                <w:highlight w:val="none"/>
              </w:rPr>
              <w:t>（</w:t>
            </w:r>
            <w:r>
              <w:rPr>
                <w:rFonts w:hAnsi="宋体"/>
                <w:spacing w:val="1"/>
                <w:szCs w:val="21"/>
                <w:highlight w:val="none"/>
              </w:rPr>
              <w:t>1</w:t>
            </w:r>
            <w:r>
              <w:rPr>
                <w:rFonts w:hAnsi="宋体"/>
                <w:szCs w:val="21"/>
                <w:highlight w:val="none"/>
              </w:rPr>
              <w:t>5分）</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.○危库。</w:t>
            </w:r>
          </w:p>
        </w:tc>
        <w:tc>
          <w:tcPr>
            <w:tcW w:w="820" w:type="dxa"/>
            <w:vAlign w:val="center"/>
          </w:tcPr>
          <w:p>
            <w:pPr>
              <w:pStyle w:val="64"/>
              <w:rPr>
                <w:rFonts w:hAnsi="宋体"/>
                <w:szCs w:val="21"/>
                <w:highlight w:val="none"/>
              </w:rPr>
            </w:pPr>
            <w:r>
              <w:rPr>
                <w:rFonts w:hAnsi="宋体"/>
                <w:spacing w:val="1"/>
                <w:szCs w:val="21"/>
                <w:highlight w:val="none"/>
              </w:rPr>
              <w:t>1</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r>
              <w:rPr>
                <w:rFonts w:hAnsi="宋体"/>
                <w:szCs w:val="21"/>
                <w:highlight w:val="none"/>
              </w:rPr>
              <w:t>未核定则按最高分进行评分。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2224" w:type="dxa"/>
            <w:gridSpan w:val="2"/>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.○险库。</w:t>
            </w:r>
          </w:p>
        </w:tc>
        <w:tc>
          <w:tcPr>
            <w:tcW w:w="820" w:type="dxa"/>
            <w:vAlign w:val="center"/>
          </w:tcPr>
          <w:p>
            <w:pPr>
              <w:pStyle w:val="64"/>
              <w:rPr>
                <w:rFonts w:hAnsi="宋体"/>
                <w:szCs w:val="21"/>
                <w:highlight w:val="none"/>
              </w:rPr>
            </w:pPr>
            <w:r>
              <w:rPr>
                <w:rFonts w:hAnsi="宋体"/>
                <w:spacing w:val="1"/>
                <w:szCs w:val="21"/>
                <w:highlight w:val="none"/>
              </w:rPr>
              <w:t>1</w:t>
            </w: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2224" w:type="dxa"/>
            <w:gridSpan w:val="2"/>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.○病库。</w:t>
            </w:r>
          </w:p>
        </w:tc>
        <w:tc>
          <w:tcPr>
            <w:tcW w:w="820" w:type="dxa"/>
            <w:vAlign w:val="center"/>
          </w:tcPr>
          <w:p>
            <w:pPr>
              <w:pStyle w:val="64"/>
              <w:rPr>
                <w:rFonts w:hAnsi="宋体"/>
                <w:szCs w:val="21"/>
                <w:highlight w:val="none"/>
              </w:rPr>
            </w:pPr>
            <w:r>
              <w:rPr>
                <w:rFonts w:hAnsi="宋体"/>
                <w:szCs w:val="21"/>
                <w:highlight w:val="none"/>
              </w:rPr>
              <w:t>7</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2224" w:type="dxa"/>
            <w:gridSpan w:val="2"/>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4</w:t>
            </w:r>
            <w:r>
              <w:rPr>
                <w:rFonts w:hAnsi="宋体"/>
                <w:szCs w:val="21"/>
                <w:highlight w:val="none"/>
              </w:rPr>
              <w:t>.</w:t>
            </w:r>
            <w:r>
              <w:rPr>
                <w:rFonts w:hAnsi="宋体"/>
                <w:spacing w:val="-227"/>
                <w:position w:val="-2"/>
                <w:szCs w:val="21"/>
                <w:highlight w:val="none"/>
              </w:rPr>
              <w:t>○</w:t>
            </w:r>
            <w:r>
              <w:rPr>
                <w:rFonts w:hAnsi="宋体"/>
                <w:szCs w:val="21"/>
                <w:highlight w:val="none"/>
              </w:rPr>
              <w:t>√正常库。</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restart"/>
            <w:vAlign w:val="center"/>
          </w:tcPr>
          <w:p>
            <w:pPr>
              <w:pStyle w:val="64"/>
              <w:rPr>
                <w:rFonts w:hAnsi="宋体"/>
                <w:szCs w:val="21"/>
                <w:highlight w:val="none"/>
              </w:rPr>
            </w:pPr>
            <w:r>
              <w:rPr>
                <w:rFonts w:hAnsi="宋体"/>
                <w:szCs w:val="21"/>
                <w:highlight w:val="none"/>
              </w:rPr>
              <w:t>环境保护情况（</w:t>
            </w:r>
            <w:r>
              <w:rPr>
                <w:rFonts w:hAnsi="宋体"/>
                <w:spacing w:val="1"/>
                <w:szCs w:val="21"/>
                <w:highlight w:val="none"/>
              </w:rPr>
              <w:t>5</w:t>
            </w:r>
            <w:r>
              <w:rPr>
                <w:rFonts w:hAnsi="宋体"/>
                <w:szCs w:val="21"/>
                <w:highlight w:val="none"/>
              </w:rPr>
              <w:t>0分）</w:t>
            </w:r>
          </w:p>
        </w:tc>
        <w:tc>
          <w:tcPr>
            <w:tcW w:w="982" w:type="dxa"/>
            <w:vMerge w:val="restart"/>
            <w:vAlign w:val="center"/>
          </w:tcPr>
          <w:p>
            <w:pPr>
              <w:pStyle w:val="64"/>
              <w:rPr>
                <w:rFonts w:hAnsi="宋体"/>
                <w:szCs w:val="21"/>
                <w:highlight w:val="none"/>
              </w:rPr>
            </w:pPr>
            <w:r>
              <w:rPr>
                <w:rFonts w:hAnsi="宋体"/>
                <w:szCs w:val="21"/>
                <w:highlight w:val="none"/>
              </w:rPr>
              <w:t>环保审批（</w:t>
            </w:r>
            <w:r>
              <w:rPr>
                <w:rFonts w:hAnsi="宋体"/>
                <w:spacing w:val="1"/>
                <w:szCs w:val="21"/>
                <w:highlight w:val="none"/>
              </w:rPr>
              <w:t>8</w:t>
            </w:r>
            <w:r>
              <w:rPr>
                <w:rFonts w:hAnsi="宋体"/>
                <w:szCs w:val="21"/>
                <w:highlight w:val="none"/>
              </w:rPr>
              <w:t>分）</w:t>
            </w:r>
          </w:p>
        </w:tc>
        <w:tc>
          <w:tcPr>
            <w:tcW w:w="1242" w:type="dxa"/>
            <w:vMerge w:val="restart"/>
            <w:vAlign w:val="center"/>
          </w:tcPr>
          <w:p>
            <w:pPr>
              <w:pStyle w:val="64"/>
              <w:rPr>
                <w:rFonts w:hAnsi="宋体"/>
                <w:szCs w:val="21"/>
                <w:highlight w:val="none"/>
              </w:rPr>
            </w:pPr>
            <w:r>
              <w:rPr>
                <w:rFonts w:hAnsi="宋体"/>
                <w:szCs w:val="21"/>
                <w:highlight w:val="none"/>
              </w:rPr>
              <w:t>是否通</w:t>
            </w:r>
            <w:r>
              <w:rPr>
                <w:rFonts w:hAnsi="宋体"/>
                <w:spacing w:val="-15"/>
                <w:szCs w:val="21"/>
                <w:highlight w:val="none"/>
              </w:rPr>
              <w:t>过</w:t>
            </w:r>
            <w:r>
              <w:rPr>
                <w:rFonts w:hAnsi="宋体"/>
                <w:szCs w:val="21"/>
                <w:highlight w:val="none"/>
              </w:rPr>
              <w:t>“三同时”验收（8分）</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w:t>
            </w:r>
            <w:r>
              <w:rPr>
                <w:rFonts w:hAnsi="宋体"/>
                <w:spacing w:val="-227"/>
                <w:position w:val="-2"/>
                <w:szCs w:val="21"/>
                <w:highlight w:val="none"/>
              </w:rPr>
              <w:t>○</w:t>
            </w:r>
            <w:r>
              <w:rPr>
                <w:rFonts w:hAnsi="宋体"/>
                <w:szCs w:val="21"/>
                <w:highlight w:val="none"/>
              </w:rPr>
              <w:t>√否。</w:t>
            </w:r>
          </w:p>
        </w:tc>
        <w:tc>
          <w:tcPr>
            <w:tcW w:w="820" w:type="dxa"/>
            <w:vAlign w:val="center"/>
          </w:tcPr>
          <w:p>
            <w:pPr>
              <w:pStyle w:val="64"/>
              <w:rPr>
                <w:rFonts w:hAnsi="宋体"/>
                <w:szCs w:val="21"/>
                <w:highlight w:val="none"/>
              </w:rPr>
            </w:pPr>
            <w:r>
              <w:rPr>
                <w:rFonts w:hAnsi="宋体"/>
                <w:szCs w:val="21"/>
                <w:highlight w:val="none"/>
              </w:rPr>
              <w:t>8</w:t>
            </w:r>
          </w:p>
        </w:tc>
        <w:tc>
          <w:tcPr>
            <w:tcW w:w="674" w:type="dxa"/>
            <w:vMerge w:val="restart"/>
            <w:vAlign w:val="center"/>
          </w:tcPr>
          <w:p>
            <w:pPr>
              <w:pStyle w:val="64"/>
              <w:rPr>
                <w:rFonts w:hAnsi="宋体"/>
                <w:szCs w:val="21"/>
                <w:highlight w:val="none"/>
              </w:rPr>
            </w:pPr>
            <w:r>
              <w:rPr>
                <w:rFonts w:hAnsi="宋体"/>
                <w:szCs w:val="21"/>
                <w:highlight w:val="none"/>
              </w:rPr>
              <w:t>8</w:t>
            </w:r>
          </w:p>
        </w:tc>
        <w:tc>
          <w:tcPr>
            <w:tcW w:w="3394" w:type="dxa"/>
            <w:vMerge w:val="restart"/>
            <w:vAlign w:val="center"/>
          </w:tcPr>
          <w:p>
            <w:pPr>
              <w:pStyle w:val="64"/>
              <w:rPr>
                <w:rFonts w:hAnsi="宋体"/>
                <w:szCs w:val="21"/>
                <w:highlight w:val="none"/>
              </w:rPr>
            </w:pPr>
            <w:r>
              <w:rPr>
                <w:rFonts w:hAnsi="宋体"/>
                <w:szCs w:val="21"/>
                <w:highlight w:val="none"/>
              </w:rPr>
              <w:t>是否有环评报告书或报告表，且通过了“三同时”验收及相关批复。</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.○是。</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restart"/>
            <w:vAlign w:val="center"/>
          </w:tcPr>
          <w:p>
            <w:pPr>
              <w:pStyle w:val="64"/>
              <w:rPr>
                <w:rFonts w:hAnsi="宋体"/>
                <w:szCs w:val="21"/>
                <w:highlight w:val="none"/>
              </w:rPr>
            </w:pPr>
            <w:r>
              <w:rPr>
                <w:rFonts w:hAnsi="宋体"/>
                <w:szCs w:val="21"/>
                <w:highlight w:val="none"/>
              </w:rPr>
              <w:t>污染防治（</w:t>
            </w:r>
            <w:r>
              <w:rPr>
                <w:rFonts w:hAnsi="宋体"/>
                <w:spacing w:val="1"/>
                <w:szCs w:val="21"/>
                <w:highlight w:val="none"/>
              </w:rPr>
              <w:t>8</w:t>
            </w:r>
            <w:r>
              <w:rPr>
                <w:rFonts w:hAnsi="宋体"/>
                <w:spacing w:val="-2"/>
                <w:szCs w:val="21"/>
                <w:highlight w:val="none"/>
              </w:rPr>
              <w:t>.</w:t>
            </w:r>
            <w:r>
              <w:rPr>
                <w:rFonts w:hAnsi="宋体"/>
                <w:szCs w:val="21"/>
                <w:highlight w:val="none"/>
              </w:rPr>
              <w:t>5分）</w:t>
            </w:r>
          </w:p>
        </w:tc>
        <w:tc>
          <w:tcPr>
            <w:tcW w:w="1242" w:type="dxa"/>
            <w:vMerge w:val="restart"/>
            <w:vAlign w:val="center"/>
          </w:tcPr>
          <w:p>
            <w:pPr>
              <w:pStyle w:val="64"/>
              <w:rPr>
                <w:rFonts w:hAnsi="宋体"/>
                <w:szCs w:val="21"/>
                <w:highlight w:val="none"/>
              </w:rPr>
            </w:pPr>
            <w:r>
              <w:rPr>
                <w:rFonts w:hAnsi="宋体"/>
                <w:szCs w:val="21"/>
                <w:highlight w:val="none"/>
              </w:rPr>
              <w:t>水排放情况（3分）</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.○不达标排放。</w:t>
            </w:r>
          </w:p>
        </w:tc>
        <w:tc>
          <w:tcPr>
            <w:tcW w:w="820" w:type="dxa"/>
            <w:vAlign w:val="center"/>
          </w:tcPr>
          <w:p>
            <w:pPr>
              <w:pStyle w:val="64"/>
              <w:rPr>
                <w:rFonts w:hAnsi="宋体"/>
                <w:szCs w:val="21"/>
                <w:highlight w:val="none"/>
              </w:rPr>
            </w:pPr>
            <w:r>
              <w:rPr>
                <w:rFonts w:hAnsi="宋体"/>
                <w:szCs w:val="21"/>
                <w:highlight w:val="none"/>
              </w:rPr>
              <w:t>3</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r>
              <w:rPr>
                <w:rFonts w:hAnsi="宋体"/>
                <w:szCs w:val="21"/>
                <w:highlight w:val="none"/>
              </w:rPr>
              <w:t>未知则按最高分进行评分。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.○达标排放，但不满足总量控制要求。</w:t>
            </w:r>
          </w:p>
        </w:tc>
        <w:tc>
          <w:tcPr>
            <w:tcW w:w="820" w:type="dxa"/>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.○达标排放，且满足总量控制要求。</w:t>
            </w:r>
          </w:p>
        </w:tc>
        <w:tc>
          <w:tcPr>
            <w:tcW w:w="820" w:type="dxa"/>
            <w:vAlign w:val="center"/>
          </w:tcPr>
          <w:p>
            <w:pPr>
              <w:pStyle w:val="64"/>
              <w:rPr>
                <w:rFonts w:hAnsi="宋体"/>
                <w:szCs w:val="21"/>
                <w:highlight w:val="none"/>
              </w:rPr>
            </w:pPr>
            <w:r>
              <w:rPr>
                <w:rFonts w:hAnsi="宋体"/>
                <w:spacing w:val="1"/>
                <w:szCs w:val="21"/>
                <w:highlight w:val="none"/>
              </w:rPr>
              <w:t>0</w:t>
            </w:r>
            <w:r>
              <w:rPr>
                <w:rFonts w:hAnsi="宋体"/>
                <w:spacing w:val="-2"/>
                <w:szCs w:val="21"/>
                <w:highlight w:val="none"/>
              </w:rPr>
              <w:t>.</w:t>
            </w:r>
            <w:r>
              <w:rPr>
                <w:rFonts w:hAnsi="宋体"/>
                <w:spacing w:val="1"/>
                <w:szCs w:val="21"/>
                <w:highlight w:val="none"/>
              </w:rPr>
              <w:t>7</w:t>
            </w:r>
            <w:r>
              <w:rPr>
                <w:rFonts w:hAnsi="宋体"/>
                <w:szCs w:val="21"/>
                <w:highlight w:val="none"/>
              </w:rPr>
              <w:t>5</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4</w:t>
            </w:r>
            <w:r>
              <w:rPr>
                <w:rFonts w:hAnsi="宋体"/>
                <w:szCs w:val="21"/>
                <w:highlight w:val="none"/>
              </w:rPr>
              <w:t>.</w:t>
            </w:r>
            <w:r>
              <w:rPr>
                <w:rFonts w:hAnsi="宋体"/>
                <w:spacing w:val="-227"/>
                <w:position w:val="-2"/>
                <w:szCs w:val="21"/>
                <w:highlight w:val="none"/>
              </w:rPr>
              <w:t>○</w:t>
            </w:r>
            <w:r>
              <w:rPr>
                <w:rFonts w:hAnsi="宋体"/>
                <w:szCs w:val="21"/>
                <w:highlight w:val="none"/>
              </w:rPr>
              <w:t>√不对外排放尾矿水或渗滤液等。</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防流失情况（</w:t>
            </w:r>
            <w:r>
              <w:rPr>
                <w:rFonts w:hAnsi="宋体"/>
                <w:spacing w:val="1"/>
                <w:szCs w:val="21"/>
                <w:highlight w:val="none"/>
              </w:rPr>
              <w:t>1</w:t>
            </w:r>
            <w:r>
              <w:rPr>
                <w:rFonts w:hAnsi="宋体"/>
                <w:spacing w:val="-2"/>
                <w:szCs w:val="21"/>
                <w:highlight w:val="none"/>
              </w:rPr>
              <w:t>.5</w:t>
            </w:r>
            <w:r>
              <w:rPr>
                <w:rFonts w:hAnsi="宋体"/>
                <w:szCs w:val="21"/>
                <w:highlight w:val="none"/>
              </w:rPr>
              <w:t>）</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.○不符合环评等相关要求。</w:t>
            </w:r>
          </w:p>
        </w:tc>
        <w:tc>
          <w:tcPr>
            <w:tcW w:w="820" w:type="dxa"/>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r>
              <w:rPr>
                <w:rFonts w:hAnsi="宋体"/>
                <w:szCs w:val="21"/>
                <w:highlight w:val="none"/>
              </w:rPr>
              <w:t>主要针对堆积坝及其他可能流失尾矿的位置。参照设计、环评及相关批复等文件的相关要求进行评分。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zCs w:val="21"/>
                <w:highlight w:val="none"/>
              </w:rPr>
              <w:fldChar w:fldCharType="begin"/>
            </w:r>
            <w:r>
              <w:rPr>
                <w:rFonts w:hAnsi="宋体"/>
                <w:szCs w:val="21"/>
                <w:highlight w:val="none"/>
              </w:rPr>
              <w:instrText xml:space="preserve"> </w:instrText>
            </w:r>
            <w:r>
              <w:rPr>
                <w:rFonts w:hint="eastAsia" w:hAnsi="宋体"/>
                <w:szCs w:val="21"/>
                <w:highlight w:val="none"/>
              </w:rPr>
              <w:instrText xml:space="preserve">eq \o\ac(○,</w:instrText>
            </w:r>
            <w:r>
              <w:rPr>
                <w:rFonts w:hint="eastAsia" w:hAnsi="宋体"/>
                <w:position w:val="2"/>
                <w:sz w:val="14"/>
                <w:szCs w:val="21"/>
                <w:highlight w:val="none"/>
              </w:rPr>
              <w:instrText xml:space="preserve">√</w:instrText>
            </w:r>
            <w:r>
              <w:rPr>
                <w:rFonts w:hint="eastAsia" w:hAnsi="宋体"/>
                <w:szCs w:val="21"/>
                <w:highlight w:val="none"/>
              </w:rPr>
              <w:instrText xml:space="preserve">)</w:instrText>
            </w:r>
            <w:r>
              <w:rPr>
                <w:rFonts w:hAnsi="宋体"/>
                <w:szCs w:val="21"/>
                <w:highlight w:val="none"/>
              </w:rPr>
              <w:fldChar w:fldCharType="end"/>
            </w:r>
            <w:r>
              <w:rPr>
                <w:rFonts w:hAnsi="宋体"/>
                <w:szCs w:val="21"/>
                <w:highlight w:val="none"/>
              </w:rPr>
              <w:t>符合环评等相关要求。</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防渗漏情况（</w:t>
            </w:r>
            <w:r>
              <w:rPr>
                <w:rFonts w:hAnsi="宋体"/>
                <w:spacing w:val="1"/>
                <w:szCs w:val="21"/>
                <w:highlight w:val="none"/>
              </w:rPr>
              <w:t>2</w:t>
            </w:r>
            <w:r>
              <w:rPr>
                <w:rFonts w:hAnsi="宋体"/>
                <w:spacing w:val="-2"/>
                <w:szCs w:val="21"/>
                <w:highlight w:val="none"/>
              </w:rPr>
              <w:t>.5</w:t>
            </w:r>
            <w:r>
              <w:rPr>
                <w:rFonts w:hAnsi="宋体"/>
                <w:szCs w:val="21"/>
                <w:highlight w:val="none"/>
              </w:rPr>
              <w:t>）</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.○不符合环评等相关要求。</w:t>
            </w:r>
          </w:p>
        </w:tc>
        <w:tc>
          <w:tcPr>
            <w:tcW w:w="820" w:type="dxa"/>
            <w:vAlign w:val="center"/>
          </w:tcPr>
          <w:p>
            <w:pPr>
              <w:pStyle w:val="64"/>
              <w:rPr>
                <w:rFonts w:hAnsi="宋体"/>
                <w:szCs w:val="21"/>
                <w:highlight w:val="none"/>
              </w:rPr>
            </w:pPr>
            <w:r>
              <w:rPr>
                <w:rFonts w:hAnsi="宋体"/>
                <w:spacing w:val="1"/>
                <w:szCs w:val="21"/>
                <w:highlight w:val="none"/>
              </w:rPr>
              <w:t>2</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r>
              <w:rPr>
                <w:rFonts w:hAnsi="宋体"/>
                <w:szCs w:val="21"/>
                <w:highlight w:val="none"/>
              </w:rPr>
              <w:t>主要针对库区底部及库区内边坡。参照设计、环评及相关批复等文件的相关要求进行评分。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zCs w:val="21"/>
                <w:highlight w:val="none"/>
              </w:rPr>
              <w:fldChar w:fldCharType="begin"/>
            </w:r>
            <w:r>
              <w:rPr>
                <w:rFonts w:hAnsi="宋体"/>
                <w:szCs w:val="21"/>
                <w:highlight w:val="none"/>
              </w:rPr>
              <w:instrText xml:space="preserve"> </w:instrText>
            </w:r>
            <w:r>
              <w:rPr>
                <w:rFonts w:hint="eastAsia" w:hAnsi="宋体"/>
                <w:szCs w:val="21"/>
                <w:highlight w:val="none"/>
              </w:rPr>
              <w:instrText xml:space="preserve">eq \o\ac(○,</w:instrText>
            </w:r>
            <w:r>
              <w:rPr>
                <w:rFonts w:hint="eastAsia" w:hAnsi="宋体"/>
                <w:position w:val="2"/>
                <w:sz w:val="14"/>
                <w:szCs w:val="21"/>
                <w:highlight w:val="none"/>
              </w:rPr>
              <w:instrText xml:space="preserve">√</w:instrText>
            </w:r>
            <w:r>
              <w:rPr>
                <w:rFonts w:hint="eastAsia" w:hAnsi="宋体"/>
                <w:szCs w:val="21"/>
                <w:highlight w:val="none"/>
              </w:rPr>
              <w:instrText xml:space="preserve">)</w:instrText>
            </w:r>
            <w:r>
              <w:rPr>
                <w:rFonts w:hAnsi="宋体"/>
                <w:szCs w:val="21"/>
                <w:highlight w:val="none"/>
              </w:rPr>
              <w:fldChar w:fldCharType="end"/>
            </w:r>
            <w:r>
              <w:rPr>
                <w:rFonts w:hAnsi="宋体"/>
                <w:szCs w:val="21"/>
                <w:highlight w:val="none"/>
              </w:rPr>
              <w:t>符合环评等相关要求。</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restart"/>
            <w:vAlign w:val="center"/>
          </w:tcPr>
          <w:p>
            <w:pPr>
              <w:pStyle w:val="64"/>
              <w:rPr>
                <w:rFonts w:hAnsi="宋体"/>
                <w:szCs w:val="21"/>
                <w:highlight w:val="none"/>
              </w:rPr>
            </w:pPr>
            <w:r>
              <w:rPr>
                <w:rFonts w:hAnsi="宋体"/>
                <w:szCs w:val="21"/>
                <w:highlight w:val="none"/>
              </w:rPr>
              <w:t>防扬散情况（</w:t>
            </w:r>
            <w:r>
              <w:rPr>
                <w:rFonts w:hAnsi="宋体"/>
                <w:spacing w:val="1"/>
                <w:szCs w:val="21"/>
                <w:highlight w:val="none"/>
              </w:rPr>
              <w:t>1</w:t>
            </w:r>
            <w:r>
              <w:rPr>
                <w:rFonts w:hAnsi="宋体"/>
                <w:spacing w:val="-2"/>
                <w:szCs w:val="21"/>
                <w:highlight w:val="none"/>
              </w:rPr>
              <w:t>.5</w:t>
            </w:r>
            <w:r>
              <w:rPr>
                <w:rFonts w:hAnsi="宋体"/>
                <w:szCs w:val="21"/>
                <w:highlight w:val="none"/>
              </w:rPr>
              <w:t>）</w:t>
            </w:r>
          </w:p>
        </w:tc>
        <w:tc>
          <w:tcPr>
            <w:tcW w:w="6020" w:type="dxa"/>
            <w:gridSpan w:val="3"/>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.○不符合环评等相关要求。</w:t>
            </w:r>
          </w:p>
        </w:tc>
        <w:tc>
          <w:tcPr>
            <w:tcW w:w="820" w:type="dxa"/>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0</w:t>
            </w:r>
          </w:p>
        </w:tc>
        <w:tc>
          <w:tcPr>
            <w:tcW w:w="3394" w:type="dxa"/>
            <w:vMerge w:val="restart"/>
            <w:vAlign w:val="center"/>
          </w:tcPr>
          <w:p>
            <w:pPr>
              <w:pStyle w:val="64"/>
              <w:rPr>
                <w:rFonts w:hAnsi="宋体"/>
                <w:szCs w:val="21"/>
                <w:highlight w:val="none"/>
              </w:rPr>
            </w:pPr>
            <w:r>
              <w:rPr>
                <w:rFonts w:hAnsi="宋体"/>
                <w:szCs w:val="21"/>
                <w:highlight w:val="none"/>
              </w:rPr>
              <w:t>主要针对库区干滩及堆积坝体边坡。参照设计、环评及相关批复等文件的相关要求进行评分。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6020" w:type="dxa"/>
            <w:gridSpan w:val="3"/>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w:t>
            </w:r>
            <w:r>
              <w:rPr>
                <w:rFonts w:hAnsi="宋体"/>
                <w:szCs w:val="21"/>
                <w:highlight w:val="none"/>
              </w:rPr>
              <w:fldChar w:fldCharType="begin"/>
            </w:r>
            <w:r>
              <w:rPr>
                <w:rFonts w:hAnsi="宋体"/>
                <w:szCs w:val="21"/>
                <w:highlight w:val="none"/>
              </w:rPr>
              <w:instrText xml:space="preserve"> </w:instrText>
            </w:r>
            <w:r>
              <w:rPr>
                <w:rFonts w:hint="eastAsia" w:hAnsi="宋体"/>
                <w:szCs w:val="21"/>
                <w:highlight w:val="none"/>
              </w:rPr>
              <w:instrText xml:space="preserve">eq \o\ac(○,</w:instrText>
            </w:r>
            <w:r>
              <w:rPr>
                <w:rFonts w:hint="eastAsia" w:hAnsi="宋体"/>
                <w:position w:val="2"/>
                <w:sz w:val="14"/>
                <w:szCs w:val="21"/>
                <w:highlight w:val="none"/>
              </w:rPr>
              <w:instrText xml:space="preserve">√</w:instrText>
            </w:r>
            <w:r>
              <w:rPr>
                <w:rFonts w:hint="eastAsia" w:hAnsi="宋体"/>
                <w:szCs w:val="21"/>
                <w:highlight w:val="none"/>
              </w:rPr>
              <w:instrText xml:space="preserve">)</w:instrText>
            </w:r>
            <w:r>
              <w:rPr>
                <w:rFonts w:hAnsi="宋体"/>
                <w:szCs w:val="21"/>
                <w:highlight w:val="none"/>
              </w:rPr>
              <w:fldChar w:fldCharType="end"/>
            </w:r>
            <w:r>
              <w:rPr>
                <w:rFonts w:hAnsi="宋体"/>
                <w:szCs w:val="21"/>
                <w:highlight w:val="none"/>
              </w:rPr>
              <w:t>符合环评等相关要求。</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restart"/>
            <w:vAlign w:val="center"/>
          </w:tcPr>
          <w:p>
            <w:pPr>
              <w:pStyle w:val="64"/>
              <w:rPr>
                <w:rFonts w:hAnsi="宋体"/>
                <w:szCs w:val="21"/>
                <w:highlight w:val="none"/>
              </w:rPr>
            </w:pPr>
            <w:r>
              <w:rPr>
                <w:rFonts w:hAnsi="宋体"/>
                <w:szCs w:val="21"/>
                <w:highlight w:val="none"/>
              </w:rPr>
              <w:t>环境应急（</w:t>
            </w:r>
            <w:r>
              <w:rPr>
                <w:rFonts w:hAnsi="宋体"/>
                <w:spacing w:val="1"/>
                <w:szCs w:val="21"/>
                <w:highlight w:val="none"/>
              </w:rPr>
              <w:t>2</w:t>
            </w:r>
            <w:r>
              <w:rPr>
                <w:rFonts w:hAnsi="宋体"/>
                <w:spacing w:val="-2"/>
                <w:szCs w:val="21"/>
                <w:highlight w:val="none"/>
              </w:rPr>
              <w:t>6</w:t>
            </w:r>
            <w:r>
              <w:rPr>
                <w:rFonts w:hAnsi="宋体"/>
                <w:spacing w:val="1"/>
                <w:szCs w:val="21"/>
                <w:highlight w:val="none"/>
              </w:rPr>
              <w:t>.</w:t>
            </w:r>
            <w:r>
              <w:rPr>
                <w:rFonts w:hAnsi="宋体"/>
                <w:szCs w:val="21"/>
                <w:highlight w:val="none"/>
              </w:rPr>
              <w:t>5</w:t>
            </w:r>
          </w:p>
          <w:p>
            <w:pPr>
              <w:pStyle w:val="64"/>
              <w:rPr>
                <w:rFonts w:hAnsi="宋体"/>
                <w:szCs w:val="21"/>
                <w:highlight w:val="none"/>
              </w:rPr>
            </w:pPr>
            <w:r>
              <w:rPr>
                <w:rFonts w:hAnsi="宋体"/>
                <w:szCs w:val="21"/>
                <w:highlight w:val="none"/>
              </w:rPr>
              <w:t>分）</w:t>
            </w:r>
          </w:p>
        </w:tc>
        <w:tc>
          <w:tcPr>
            <w:tcW w:w="1242" w:type="dxa"/>
            <w:vMerge w:val="restart"/>
            <w:vAlign w:val="center"/>
          </w:tcPr>
          <w:p>
            <w:pPr>
              <w:pStyle w:val="64"/>
              <w:rPr>
                <w:rFonts w:hAnsi="宋体"/>
                <w:szCs w:val="21"/>
                <w:highlight w:val="none"/>
              </w:rPr>
            </w:pPr>
            <w:r>
              <w:rPr>
                <w:rFonts w:hAnsi="宋体"/>
                <w:szCs w:val="21"/>
                <w:highlight w:val="none"/>
              </w:rPr>
              <w:t>环境应急设施（</w:t>
            </w:r>
            <w:r>
              <w:rPr>
                <w:rFonts w:hAnsi="宋体"/>
                <w:spacing w:val="1"/>
                <w:szCs w:val="21"/>
                <w:highlight w:val="none"/>
              </w:rPr>
              <w:t>8</w:t>
            </w:r>
            <w:r>
              <w:rPr>
                <w:rFonts w:hAnsi="宋体"/>
                <w:spacing w:val="-2"/>
                <w:szCs w:val="21"/>
                <w:highlight w:val="none"/>
              </w:rPr>
              <w:t>.5</w:t>
            </w:r>
            <w:r>
              <w:rPr>
                <w:rFonts w:hAnsi="宋体"/>
                <w:szCs w:val="21"/>
                <w:highlight w:val="none"/>
              </w:rPr>
              <w:t>）</w:t>
            </w:r>
          </w:p>
        </w:tc>
        <w:tc>
          <w:tcPr>
            <w:tcW w:w="2183" w:type="dxa"/>
            <w:vMerge w:val="restart"/>
            <w:vAlign w:val="center"/>
          </w:tcPr>
          <w:p>
            <w:pPr>
              <w:pStyle w:val="64"/>
              <w:rPr>
                <w:rFonts w:hAnsi="宋体"/>
                <w:szCs w:val="21"/>
                <w:highlight w:val="none"/>
              </w:rPr>
            </w:pPr>
            <w:r>
              <w:rPr>
                <w:rFonts w:hAnsi="宋体"/>
                <w:spacing w:val="9"/>
                <w:szCs w:val="21"/>
                <w:highlight w:val="none"/>
              </w:rPr>
              <w:t>事故应急</w:t>
            </w:r>
            <w:r>
              <w:rPr>
                <w:rFonts w:hAnsi="宋体"/>
                <w:spacing w:val="12"/>
                <w:szCs w:val="21"/>
                <w:highlight w:val="none"/>
              </w:rPr>
              <w:t>池</w:t>
            </w:r>
            <w:r>
              <w:rPr>
                <w:rFonts w:hAnsi="宋体"/>
                <w:spacing w:val="9"/>
                <w:szCs w:val="21"/>
                <w:highlight w:val="none"/>
              </w:rPr>
              <w:t>建设</w:t>
            </w:r>
            <w:r>
              <w:rPr>
                <w:rFonts w:hAnsi="宋体"/>
                <w:szCs w:val="21"/>
                <w:highlight w:val="none"/>
              </w:rPr>
              <w:t>情况（</w:t>
            </w:r>
            <w:r>
              <w:rPr>
                <w:rFonts w:hAnsi="宋体"/>
                <w:spacing w:val="-2"/>
                <w:szCs w:val="21"/>
                <w:highlight w:val="none"/>
              </w:rPr>
              <w:t>5</w:t>
            </w:r>
            <w:r>
              <w:rPr>
                <w:rFonts w:hAnsi="宋体"/>
                <w:szCs w:val="21"/>
                <w:highlight w:val="none"/>
              </w:rPr>
              <w:t>）</w:t>
            </w:r>
          </w:p>
        </w:tc>
        <w:tc>
          <w:tcPr>
            <w:tcW w:w="3837"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w:t>
            </w:r>
            <w:r>
              <w:rPr>
                <w:rFonts w:hAnsi="宋体"/>
                <w:spacing w:val="-227"/>
                <w:position w:val="-2"/>
                <w:szCs w:val="21"/>
                <w:highlight w:val="none"/>
              </w:rPr>
              <w:t>○</w:t>
            </w:r>
            <w:r>
              <w:rPr>
                <w:rFonts w:hAnsi="宋体"/>
                <w:szCs w:val="21"/>
                <w:highlight w:val="none"/>
              </w:rPr>
              <w:t>√无。</w:t>
            </w:r>
          </w:p>
        </w:tc>
        <w:tc>
          <w:tcPr>
            <w:tcW w:w="820" w:type="dxa"/>
            <w:vAlign w:val="center"/>
          </w:tcPr>
          <w:p>
            <w:pPr>
              <w:pStyle w:val="64"/>
              <w:rPr>
                <w:rFonts w:hAnsi="宋体"/>
                <w:szCs w:val="21"/>
                <w:highlight w:val="none"/>
              </w:rPr>
            </w:pP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5</w:t>
            </w:r>
          </w:p>
        </w:tc>
        <w:tc>
          <w:tcPr>
            <w:tcW w:w="3394" w:type="dxa"/>
            <w:vMerge w:val="restart"/>
            <w:vAlign w:val="center"/>
          </w:tcPr>
          <w:p>
            <w:pPr>
              <w:pStyle w:val="64"/>
              <w:rPr>
                <w:rFonts w:hAnsi="宋体"/>
                <w:szCs w:val="21"/>
                <w:highlight w:val="none"/>
              </w:rPr>
            </w:pPr>
            <w:r>
              <w:rPr>
                <w:rFonts w:hAnsi="宋体"/>
                <w:szCs w:val="21"/>
                <w:highlight w:val="none"/>
              </w:rPr>
              <w:t>主要指针对库区和坝体防范措施建设情况。比如漫坝、坝体裂缝泄漏等。参照设计、环评及相关批复等文件的相关。</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.○有，但不符合环评等相关要求。</w:t>
            </w:r>
          </w:p>
        </w:tc>
        <w:tc>
          <w:tcPr>
            <w:tcW w:w="820" w:type="dxa"/>
            <w:vAlign w:val="center"/>
          </w:tcPr>
          <w:p>
            <w:pPr>
              <w:pStyle w:val="64"/>
              <w:rPr>
                <w:rFonts w:hAnsi="宋体"/>
                <w:szCs w:val="21"/>
                <w:highlight w:val="none"/>
              </w:rPr>
            </w:pPr>
            <w:r>
              <w:rPr>
                <w:rFonts w:hAnsi="宋体"/>
                <w:szCs w:val="21"/>
                <w:highlight w:val="none"/>
              </w:rPr>
              <w:t>3</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.○有，且符合环评等相关要求。</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restart"/>
            <w:vAlign w:val="center"/>
          </w:tcPr>
          <w:p>
            <w:pPr>
              <w:pStyle w:val="64"/>
              <w:rPr>
                <w:rFonts w:hAnsi="宋体"/>
                <w:szCs w:val="21"/>
                <w:highlight w:val="none"/>
              </w:rPr>
            </w:pPr>
            <w:r>
              <w:rPr>
                <w:rFonts w:hAnsi="宋体"/>
                <w:spacing w:val="9"/>
                <w:szCs w:val="21"/>
                <w:highlight w:val="none"/>
              </w:rPr>
              <w:t>输送系统</w:t>
            </w:r>
            <w:r>
              <w:rPr>
                <w:rFonts w:hAnsi="宋体"/>
                <w:spacing w:val="12"/>
                <w:szCs w:val="21"/>
                <w:highlight w:val="none"/>
              </w:rPr>
              <w:t>环</w:t>
            </w:r>
            <w:r>
              <w:rPr>
                <w:rFonts w:hAnsi="宋体"/>
                <w:spacing w:val="9"/>
                <w:szCs w:val="21"/>
                <w:highlight w:val="none"/>
              </w:rPr>
              <w:t>境应</w:t>
            </w:r>
            <w:r>
              <w:rPr>
                <w:rFonts w:hAnsi="宋体"/>
                <w:szCs w:val="21"/>
                <w:highlight w:val="none"/>
              </w:rPr>
              <w:t>急设施建设情况（</w:t>
            </w:r>
            <w:r>
              <w:rPr>
                <w:rFonts w:hAnsi="宋体"/>
                <w:spacing w:val="-2"/>
                <w:szCs w:val="21"/>
                <w:highlight w:val="none"/>
              </w:rPr>
              <w:t>2</w:t>
            </w:r>
            <w:r>
              <w:rPr>
                <w:rFonts w:hAnsi="宋体"/>
                <w:szCs w:val="21"/>
                <w:highlight w:val="none"/>
              </w:rPr>
              <w:t>）</w:t>
            </w:r>
            <w:r>
              <w:rPr>
                <w:rFonts w:hAnsi="宋体"/>
                <w:spacing w:val="9"/>
                <w:szCs w:val="21"/>
                <w:highlight w:val="none"/>
              </w:rPr>
              <w:t>（如果采</w:t>
            </w:r>
            <w:r>
              <w:rPr>
                <w:rFonts w:hAnsi="宋体"/>
                <w:spacing w:val="12"/>
                <w:szCs w:val="21"/>
                <w:highlight w:val="none"/>
              </w:rPr>
              <w:t>用</w:t>
            </w:r>
            <w:r>
              <w:rPr>
                <w:rFonts w:hAnsi="宋体"/>
                <w:spacing w:val="9"/>
                <w:szCs w:val="21"/>
                <w:highlight w:val="none"/>
              </w:rPr>
              <w:t>车辆</w:t>
            </w:r>
            <w:r>
              <w:rPr>
                <w:rFonts w:hAnsi="宋体"/>
                <w:szCs w:val="21"/>
                <w:highlight w:val="none"/>
              </w:rPr>
              <w:t>运输</w:t>
            </w:r>
            <w:r>
              <w:rPr>
                <w:rFonts w:hAnsi="宋体"/>
                <w:spacing w:val="-22"/>
                <w:szCs w:val="21"/>
                <w:highlight w:val="none"/>
              </w:rPr>
              <w:t>，</w:t>
            </w:r>
            <w:r>
              <w:rPr>
                <w:rFonts w:hAnsi="宋体"/>
                <w:szCs w:val="21"/>
                <w:highlight w:val="none"/>
              </w:rPr>
              <w:t>则不计算该项）</w:t>
            </w:r>
          </w:p>
        </w:tc>
        <w:tc>
          <w:tcPr>
            <w:tcW w:w="3837"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.○无。</w:t>
            </w:r>
          </w:p>
        </w:tc>
        <w:tc>
          <w:tcPr>
            <w:tcW w:w="820" w:type="dxa"/>
            <w:vAlign w:val="center"/>
          </w:tcPr>
          <w:p>
            <w:pPr>
              <w:pStyle w:val="64"/>
              <w:rPr>
                <w:rFonts w:hAnsi="宋体"/>
                <w:szCs w:val="21"/>
                <w:highlight w:val="none"/>
              </w:rPr>
            </w:pPr>
            <w:r>
              <w:rPr>
                <w:rFonts w:hAnsi="宋体"/>
                <w:szCs w:val="21"/>
                <w:highlight w:val="none"/>
              </w:rPr>
              <w:t>2</w:t>
            </w:r>
          </w:p>
        </w:tc>
        <w:tc>
          <w:tcPr>
            <w:tcW w:w="674" w:type="dxa"/>
            <w:vMerge w:val="restart"/>
            <w:vAlign w:val="center"/>
          </w:tcPr>
          <w:p>
            <w:pPr>
              <w:pStyle w:val="64"/>
              <w:rPr>
                <w:rFonts w:hAnsi="宋体"/>
                <w:szCs w:val="21"/>
                <w:highlight w:val="none"/>
              </w:rPr>
            </w:pPr>
            <w:r>
              <w:rPr>
                <w:rFonts w:hint="eastAsia" w:hAnsi="宋体"/>
                <w:szCs w:val="21"/>
                <w:highlight w:val="none"/>
              </w:rPr>
              <w:t>/</w:t>
            </w:r>
          </w:p>
        </w:tc>
        <w:tc>
          <w:tcPr>
            <w:tcW w:w="3394" w:type="dxa"/>
            <w:vMerge w:val="restart"/>
            <w:vAlign w:val="center"/>
          </w:tcPr>
          <w:p>
            <w:pPr>
              <w:pStyle w:val="64"/>
              <w:rPr>
                <w:rFonts w:hAnsi="宋体"/>
                <w:szCs w:val="21"/>
                <w:highlight w:val="none"/>
              </w:rPr>
            </w:pPr>
            <w:r>
              <w:rPr>
                <w:rFonts w:hAnsi="宋体"/>
                <w:szCs w:val="21"/>
                <w:highlight w:val="none"/>
              </w:rPr>
              <w:t>主要指针对输送管道等输送系统的防范措施建设情况。比如防止输送管线爆裂等。参照设计、环评及相关批复等文件的相关要求进行评分。</w:t>
            </w:r>
            <w:r>
              <w:rPr>
                <w:rFonts w:hint="eastAsia" w:hAnsi="宋体"/>
                <w:szCs w:val="21"/>
                <w:highlight w:val="none"/>
              </w:rPr>
              <w:t>本项目</w:t>
            </w:r>
            <w:r>
              <w:rPr>
                <w:rFonts w:hAnsi="宋体"/>
                <w:spacing w:val="9"/>
                <w:szCs w:val="21"/>
                <w:highlight w:val="none"/>
              </w:rPr>
              <w:t>车辆</w:t>
            </w:r>
            <w:r>
              <w:rPr>
                <w:rFonts w:hAnsi="宋体"/>
                <w:szCs w:val="21"/>
                <w:highlight w:val="none"/>
              </w:rPr>
              <w:t>运输</w:t>
            </w:r>
            <w:r>
              <w:rPr>
                <w:rFonts w:hint="eastAsia" w:hAnsi="宋体"/>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.○有，但不符合环评等相关要求。</w:t>
            </w:r>
          </w:p>
        </w:tc>
        <w:tc>
          <w:tcPr>
            <w:tcW w:w="820" w:type="dxa"/>
            <w:vAlign w:val="center"/>
          </w:tcPr>
          <w:p>
            <w:pPr>
              <w:pStyle w:val="64"/>
              <w:rPr>
                <w:rFonts w:hAnsi="宋体"/>
                <w:szCs w:val="21"/>
                <w:highlight w:val="none"/>
              </w:rPr>
            </w:pP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.○有，且符合环评等相关要求。</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restart"/>
            <w:vAlign w:val="center"/>
          </w:tcPr>
          <w:p>
            <w:pPr>
              <w:pStyle w:val="64"/>
              <w:rPr>
                <w:rFonts w:hAnsi="宋体"/>
                <w:szCs w:val="21"/>
                <w:highlight w:val="none"/>
              </w:rPr>
            </w:pPr>
            <w:r>
              <w:rPr>
                <w:rFonts w:hAnsi="宋体"/>
                <w:spacing w:val="9"/>
                <w:szCs w:val="21"/>
                <w:highlight w:val="none"/>
              </w:rPr>
              <w:t>回水系统</w:t>
            </w:r>
            <w:r>
              <w:rPr>
                <w:rFonts w:hAnsi="宋体"/>
                <w:spacing w:val="12"/>
                <w:szCs w:val="21"/>
                <w:highlight w:val="none"/>
              </w:rPr>
              <w:t>环</w:t>
            </w:r>
            <w:r>
              <w:rPr>
                <w:rFonts w:hAnsi="宋体"/>
                <w:spacing w:val="9"/>
                <w:szCs w:val="21"/>
                <w:highlight w:val="none"/>
              </w:rPr>
              <w:t>境应</w:t>
            </w:r>
            <w:r>
              <w:rPr>
                <w:rFonts w:hAnsi="宋体"/>
                <w:szCs w:val="21"/>
                <w:highlight w:val="none"/>
              </w:rPr>
              <w:t>急设施建设情</w:t>
            </w:r>
            <w:r>
              <w:rPr>
                <w:rFonts w:hAnsi="宋体"/>
                <w:spacing w:val="-22"/>
                <w:szCs w:val="21"/>
                <w:highlight w:val="none"/>
              </w:rPr>
              <w:t>况</w:t>
            </w:r>
            <w:r>
              <w:rPr>
                <w:rFonts w:hAnsi="宋体"/>
                <w:szCs w:val="21"/>
                <w:highlight w:val="none"/>
              </w:rPr>
              <w:t>（</w:t>
            </w:r>
            <w:r>
              <w:rPr>
                <w:rFonts w:hAnsi="宋体"/>
                <w:spacing w:val="1"/>
                <w:szCs w:val="21"/>
                <w:highlight w:val="none"/>
              </w:rPr>
              <w:t>1</w:t>
            </w:r>
            <w:r>
              <w:rPr>
                <w:rFonts w:hAnsi="宋体"/>
                <w:spacing w:val="-2"/>
                <w:szCs w:val="21"/>
                <w:highlight w:val="none"/>
              </w:rPr>
              <w:t>.</w:t>
            </w:r>
            <w:r>
              <w:rPr>
                <w:rFonts w:hAnsi="宋体"/>
                <w:szCs w:val="21"/>
                <w:highlight w:val="none"/>
              </w:rPr>
              <w:t>5</w:t>
            </w:r>
            <w:r>
              <w:rPr>
                <w:rFonts w:hAnsi="宋体"/>
                <w:spacing w:val="9"/>
                <w:szCs w:val="21"/>
                <w:highlight w:val="none"/>
              </w:rPr>
              <w:t>分）（仅</w:t>
            </w:r>
            <w:r>
              <w:rPr>
                <w:rFonts w:hAnsi="宋体"/>
                <w:spacing w:val="12"/>
                <w:szCs w:val="21"/>
                <w:highlight w:val="none"/>
              </w:rPr>
              <w:t>在</w:t>
            </w:r>
            <w:r>
              <w:rPr>
                <w:rFonts w:hAnsi="宋体"/>
                <w:spacing w:val="9"/>
                <w:szCs w:val="21"/>
                <w:highlight w:val="none"/>
              </w:rPr>
              <w:t>有回</w:t>
            </w:r>
            <w:r>
              <w:rPr>
                <w:rFonts w:hAnsi="宋体"/>
                <w:szCs w:val="21"/>
                <w:highlight w:val="none"/>
              </w:rPr>
              <w:t>水系统时计算该项）</w:t>
            </w:r>
          </w:p>
        </w:tc>
        <w:tc>
          <w:tcPr>
            <w:tcW w:w="3837" w:type="dxa"/>
            <w:gridSpan w:val="2"/>
            <w:vAlign w:val="center"/>
          </w:tcPr>
          <w:p>
            <w:pPr>
              <w:pStyle w:val="64"/>
              <w:jc w:val="left"/>
              <w:rPr>
                <w:rFonts w:hAnsi="宋体"/>
                <w:szCs w:val="21"/>
                <w:highlight w:val="none"/>
              </w:rPr>
            </w:pPr>
            <w:r>
              <w:rPr>
                <w:rFonts w:hAnsi="宋体"/>
                <w:spacing w:val="1"/>
                <w:szCs w:val="21"/>
                <w:highlight w:val="none"/>
              </w:rPr>
              <w:t>1</w:t>
            </w:r>
            <w:r>
              <w:rPr>
                <w:rFonts w:hAnsi="宋体"/>
                <w:szCs w:val="21"/>
                <w:highlight w:val="none"/>
              </w:rPr>
              <w:t>.○无。</w:t>
            </w:r>
          </w:p>
        </w:tc>
        <w:tc>
          <w:tcPr>
            <w:tcW w:w="820" w:type="dxa"/>
            <w:vAlign w:val="center"/>
          </w:tcPr>
          <w:p>
            <w:pPr>
              <w:pStyle w:val="64"/>
              <w:rPr>
                <w:rFonts w:hAnsi="宋体"/>
                <w:szCs w:val="21"/>
                <w:highlight w:val="none"/>
              </w:rPr>
            </w:pPr>
            <w:r>
              <w:rPr>
                <w:rFonts w:hAnsi="宋体"/>
                <w:spacing w:val="1"/>
                <w:szCs w:val="21"/>
                <w:highlight w:val="none"/>
              </w:rPr>
              <w:t>1</w:t>
            </w:r>
            <w:r>
              <w:rPr>
                <w:rFonts w:hAnsi="宋体"/>
                <w:spacing w:val="-2"/>
                <w:szCs w:val="21"/>
                <w:highlight w:val="none"/>
              </w:rPr>
              <w:t>.</w:t>
            </w:r>
            <w:r>
              <w:rPr>
                <w:rFonts w:hAnsi="宋体"/>
                <w:szCs w:val="21"/>
                <w:highlight w:val="none"/>
              </w:rPr>
              <w:t>5</w:t>
            </w:r>
          </w:p>
        </w:tc>
        <w:tc>
          <w:tcPr>
            <w:tcW w:w="674" w:type="dxa"/>
            <w:vMerge w:val="restart"/>
            <w:vAlign w:val="center"/>
          </w:tcPr>
          <w:p>
            <w:pPr>
              <w:pStyle w:val="64"/>
              <w:rPr>
                <w:rFonts w:hAnsi="宋体"/>
                <w:szCs w:val="21"/>
                <w:highlight w:val="none"/>
              </w:rPr>
            </w:pPr>
            <w:r>
              <w:rPr>
                <w:rFonts w:hAnsi="宋体"/>
                <w:szCs w:val="21"/>
                <w:highlight w:val="none"/>
              </w:rPr>
              <w:t>/</w:t>
            </w:r>
          </w:p>
        </w:tc>
        <w:tc>
          <w:tcPr>
            <w:tcW w:w="3394" w:type="dxa"/>
            <w:vMerge w:val="restart"/>
            <w:vAlign w:val="center"/>
          </w:tcPr>
          <w:p>
            <w:pPr>
              <w:pStyle w:val="64"/>
              <w:rPr>
                <w:rFonts w:hAnsi="宋体"/>
                <w:szCs w:val="21"/>
                <w:highlight w:val="none"/>
              </w:rPr>
            </w:pPr>
            <w:r>
              <w:rPr>
                <w:rFonts w:hAnsi="宋体"/>
                <w:szCs w:val="21"/>
                <w:highlight w:val="none"/>
              </w:rPr>
              <w:t>主要指针对回水管等回水系统的防范措施建设情况。比如防止回水管爆裂等。参照设计、环评及相关批复等文件的相关要求进行评分。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2</w:t>
            </w:r>
            <w:r>
              <w:rPr>
                <w:rFonts w:hAnsi="宋体"/>
                <w:szCs w:val="21"/>
                <w:highlight w:val="none"/>
              </w:rPr>
              <w:t>.○有，但不符合环评等相关要求。</w:t>
            </w:r>
          </w:p>
        </w:tc>
        <w:tc>
          <w:tcPr>
            <w:tcW w:w="820" w:type="dxa"/>
            <w:vAlign w:val="center"/>
          </w:tcPr>
          <w:p>
            <w:pPr>
              <w:pStyle w:val="64"/>
              <w:rPr>
                <w:rFonts w:hAnsi="宋体"/>
                <w:szCs w:val="21"/>
                <w:highlight w:val="none"/>
              </w:rPr>
            </w:pPr>
            <w:r>
              <w:rPr>
                <w:rFonts w:hAnsi="宋体"/>
                <w:szCs w:val="21"/>
                <w:highlight w:val="none"/>
              </w:rPr>
              <w:t>1</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1242" w:type="dxa"/>
            <w:vMerge w:val="continue"/>
            <w:vAlign w:val="center"/>
          </w:tcPr>
          <w:p>
            <w:pPr>
              <w:pStyle w:val="64"/>
              <w:rPr>
                <w:rFonts w:hAnsi="宋体"/>
                <w:szCs w:val="21"/>
                <w:highlight w:val="none"/>
              </w:rPr>
            </w:pPr>
          </w:p>
        </w:tc>
        <w:tc>
          <w:tcPr>
            <w:tcW w:w="2183" w:type="dxa"/>
            <w:vMerge w:val="continue"/>
            <w:vAlign w:val="center"/>
          </w:tcPr>
          <w:p>
            <w:pPr>
              <w:pStyle w:val="64"/>
              <w:rPr>
                <w:rFonts w:hAnsi="宋体"/>
                <w:szCs w:val="21"/>
                <w:highlight w:val="none"/>
              </w:rPr>
            </w:pPr>
          </w:p>
        </w:tc>
        <w:tc>
          <w:tcPr>
            <w:tcW w:w="3837" w:type="dxa"/>
            <w:gridSpan w:val="2"/>
            <w:vAlign w:val="center"/>
          </w:tcPr>
          <w:p>
            <w:pPr>
              <w:pStyle w:val="64"/>
              <w:jc w:val="left"/>
              <w:rPr>
                <w:rFonts w:hAnsi="宋体"/>
                <w:szCs w:val="21"/>
                <w:highlight w:val="none"/>
              </w:rPr>
            </w:pPr>
            <w:r>
              <w:rPr>
                <w:rFonts w:hAnsi="宋体"/>
                <w:spacing w:val="1"/>
                <w:szCs w:val="21"/>
                <w:highlight w:val="none"/>
              </w:rPr>
              <w:t>3</w:t>
            </w:r>
            <w:r>
              <w:rPr>
                <w:rFonts w:hAnsi="宋体"/>
                <w:szCs w:val="21"/>
                <w:highlight w:val="none"/>
              </w:rPr>
              <w:t>.</w:t>
            </w:r>
            <w:r>
              <w:rPr>
                <w:rFonts w:hAnsi="宋体"/>
                <w:spacing w:val="-227"/>
                <w:position w:val="-2"/>
                <w:szCs w:val="21"/>
                <w:highlight w:val="none"/>
              </w:rPr>
              <w:t>○</w:t>
            </w:r>
            <w:r>
              <w:rPr>
                <w:rFonts w:hAnsi="宋体"/>
                <w:szCs w:val="21"/>
                <w:highlight w:val="none"/>
              </w:rPr>
              <w:t>√有，且符合环评等相关要求。</w:t>
            </w:r>
          </w:p>
        </w:tc>
        <w:tc>
          <w:tcPr>
            <w:tcW w:w="820" w:type="dxa"/>
            <w:vAlign w:val="center"/>
          </w:tcPr>
          <w:p>
            <w:pPr>
              <w:pStyle w:val="64"/>
              <w:rPr>
                <w:rFonts w:hAnsi="宋体"/>
                <w:szCs w:val="21"/>
                <w:highlight w:val="none"/>
              </w:rPr>
            </w:pPr>
            <w:r>
              <w:rPr>
                <w:rFonts w:hAnsi="宋体"/>
                <w:szCs w:val="21"/>
                <w:highlight w:val="none"/>
              </w:rPr>
              <w:t>0</w:t>
            </w:r>
          </w:p>
        </w:tc>
        <w:tc>
          <w:tcPr>
            <w:tcW w:w="674" w:type="dxa"/>
            <w:vMerge w:val="continue"/>
            <w:vAlign w:val="center"/>
          </w:tcPr>
          <w:p>
            <w:pPr>
              <w:pStyle w:val="64"/>
              <w:rPr>
                <w:rFonts w:hAnsi="宋体"/>
                <w:szCs w:val="21"/>
                <w:highlight w:val="none"/>
              </w:rPr>
            </w:pPr>
          </w:p>
        </w:tc>
        <w:tc>
          <w:tcPr>
            <w:tcW w:w="3394" w:type="dxa"/>
            <w:vMerge w:val="continue"/>
            <w:vAlign w:val="center"/>
          </w:tcPr>
          <w:p>
            <w:pPr>
              <w:pStyle w:val="64"/>
              <w:rPr>
                <w:rFonts w:hAnsi="宋体"/>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7262" w:type="dxa"/>
            <w:gridSpan w:val="4"/>
            <w:vAlign w:val="center"/>
          </w:tcPr>
          <w:p>
            <w:pPr>
              <w:pStyle w:val="64"/>
              <w:jc w:val="left"/>
              <w:rPr>
                <w:rFonts w:hAnsi="宋体"/>
                <w:szCs w:val="21"/>
                <w:highlight w:val="none"/>
              </w:rPr>
            </w:pPr>
            <w:r>
              <w:rPr>
                <w:rFonts w:hAnsi="宋体"/>
                <w:szCs w:val="21"/>
                <w:highlight w:val="none"/>
              </w:rPr>
              <w:t>环境应急预案（</w:t>
            </w:r>
            <w:r>
              <w:rPr>
                <w:rFonts w:hAnsi="宋体"/>
                <w:spacing w:val="1"/>
                <w:szCs w:val="21"/>
                <w:highlight w:val="none"/>
              </w:rPr>
              <w:t>6</w:t>
            </w:r>
            <w:r>
              <w:rPr>
                <w:rFonts w:hAnsi="宋体"/>
                <w:spacing w:val="-2"/>
                <w:szCs w:val="21"/>
                <w:highlight w:val="none"/>
              </w:rPr>
              <w:t>.5</w:t>
            </w:r>
            <w:r>
              <w:rPr>
                <w:rFonts w:hAnsi="宋体"/>
                <w:szCs w:val="21"/>
                <w:highlight w:val="none"/>
              </w:rPr>
              <w:t>分）</w:t>
            </w:r>
          </w:p>
        </w:tc>
        <w:tc>
          <w:tcPr>
            <w:tcW w:w="820" w:type="dxa"/>
            <w:vAlign w:val="center"/>
          </w:tcPr>
          <w:p>
            <w:pPr>
              <w:pStyle w:val="64"/>
              <w:rPr>
                <w:rFonts w:hAnsi="宋体"/>
                <w:szCs w:val="21"/>
                <w:highlight w:val="none"/>
              </w:rPr>
            </w:pPr>
            <w:r>
              <w:rPr>
                <w:rFonts w:hAnsi="宋体"/>
                <w:spacing w:val="1"/>
                <w:szCs w:val="21"/>
                <w:highlight w:val="none"/>
              </w:rPr>
              <w:t>6</w:t>
            </w:r>
            <w:r>
              <w:rPr>
                <w:rFonts w:hAnsi="宋体"/>
                <w:spacing w:val="-2"/>
                <w:szCs w:val="21"/>
                <w:highlight w:val="none"/>
              </w:rPr>
              <w:t>.</w:t>
            </w:r>
            <w:r>
              <w:rPr>
                <w:rFonts w:hAnsi="宋体"/>
                <w:szCs w:val="21"/>
                <w:highlight w:val="none"/>
              </w:rPr>
              <w:t>5</w:t>
            </w:r>
          </w:p>
        </w:tc>
        <w:tc>
          <w:tcPr>
            <w:tcW w:w="674" w:type="dxa"/>
            <w:vAlign w:val="center"/>
          </w:tcPr>
          <w:p>
            <w:pPr>
              <w:pStyle w:val="64"/>
              <w:rPr>
                <w:rFonts w:hAnsi="宋体"/>
                <w:szCs w:val="21"/>
                <w:highlight w:val="none"/>
              </w:rPr>
            </w:pPr>
            <w:r>
              <w:rPr>
                <w:rFonts w:hAnsi="宋体"/>
                <w:spacing w:val="1"/>
                <w:szCs w:val="21"/>
                <w:highlight w:val="none"/>
              </w:rPr>
              <w:t>6</w:t>
            </w:r>
            <w:r>
              <w:rPr>
                <w:rFonts w:hAnsi="宋体"/>
                <w:spacing w:val="-2"/>
                <w:szCs w:val="21"/>
                <w:highlight w:val="none"/>
              </w:rPr>
              <w:t>.</w:t>
            </w:r>
            <w:r>
              <w:rPr>
                <w:rFonts w:hAnsi="宋体"/>
                <w:szCs w:val="21"/>
                <w:highlight w:val="none"/>
              </w:rPr>
              <w:t>5</w:t>
            </w:r>
          </w:p>
        </w:tc>
        <w:tc>
          <w:tcPr>
            <w:tcW w:w="3394" w:type="dxa"/>
            <w:vAlign w:val="center"/>
          </w:tcPr>
          <w:p>
            <w:pPr>
              <w:pStyle w:val="64"/>
              <w:rPr>
                <w:rFonts w:hAnsi="宋体"/>
                <w:szCs w:val="21"/>
                <w:highlight w:val="none"/>
              </w:rPr>
            </w:pPr>
            <w:r>
              <w:rPr>
                <w:rFonts w:hAnsi="宋体"/>
                <w:szCs w:val="21"/>
                <w:highlight w:val="none"/>
              </w:rPr>
              <w:t>按照环境应急预案的编制、报备及落实等情况进行综合评分。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7262" w:type="dxa"/>
            <w:gridSpan w:val="4"/>
            <w:vAlign w:val="center"/>
          </w:tcPr>
          <w:p>
            <w:pPr>
              <w:pStyle w:val="64"/>
              <w:jc w:val="left"/>
              <w:rPr>
                <w:rFonts w:hAnsi="宋体"/>
                <w:szCs w:val="21"/>
                <w:highlight w:val="none"/>
              </w:rPr>
            </w:pPr>
            <w:r>
              <w:rPr>
                <w:rFonts w:hAnsi="宋体"/>
                <w:szCs w:val="21"/>
                <w:highlight w:val="none"/>
              </w:rPr>
              <w:t>环境应急资源（2分）</w:t>
            </w:r>
          </w:p>
        </w:tc>
        <w:tc>
          <w:tcPr>
            <w:tcW w:w="820" w:type="dxa"/>
            <w:vAlign w:val="center"/>
          </w:tcPr>
          <w:p>
            <w:pPr>
              <w:pStyle w:val="64"/>
              <w:rPr>
                <w:rFonts w:hAnsi="宋体"/>
                <w:szCs w:val="21"/>
                <w:highlight w:val="none"/>
              </w:rPr>
            </w:pPr>
            <w:r>
              <w:rPr>
                <w:rFonts w:hAnsi="宋体"/>
                <w:szCs w:val="21"/>
                <w:highlight w:val="none"/>
              </w:rPr>
              <w:t>2</w:t>
            </w:r>
          </w:p>
        </w:tc>
        <w:tc>
          <w:tcPr>
            <w:tcW w:w="674" w:type="dxa"/>
            <w:vAlign w:val="center"/>
          </w:tcPr>
          <w:p>
            <w:pPr>
              <w:pStyle w:val="64"/>
              <w:rPr>
                <w:rFonts w:hAnsi="宋体"/>
                <w:szCs w:val="21"/>
                <w:highlight w:val="none"/>
              </w:rPr>
            </w:pPr>
            <w:r>
              <w:rPr>
                <w:rFonts w:hAnsi="宋体"/>
                <w:szCs w:val="21"/>
                <w:highlight w:val="none"/>
              </w:rPr>
              <w:t>2</w:t>
            </w:r>
          </w:p>
        </w:tc>
        <w:tc>
          <w:tcPr>
            <w:tcW w:w="3394" w:type="dxa"/>
            <w:vAlign w:val="center"/>
          </w:tcPr>
          <w:p>
            <w:pPr>
              <w:pStyle w:val="64"/>
              <w:rPr>
                <w:rFonts w:hAnsi="宋体"/>
                <w:szCs w:val="21"/>
                <w:highlight w:val="none"/>
              </w:rPr>
            </w:pPr>
            <w:r>
              <w:rPr>
                <w:rFonts w:hAnsi="宋体"/>
                <w:szCs w:val="21"/>
                <w:highlight w:val="none"/>
              </w:rPr>
              <w:t>按照应急资源的储备、管理、维护等情况进行综合评分。</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60" w:type="dxa"/>
            <w:vMerge w:val="continue"/>
            <w:vAlign w:val="center"/>
          </w:tcPr>
          <w:p>
            <w:pPr>
              <w:pStyle w:val="64"/>
              <w:rPr>
                <w:rFonts w:hAnsi="宋体"/>
                <w:szCs w:val="21"/>
                <w:highlight w:val="none"/>
              </w:rPr>
            </w:pPr>
          </w:p>
        </w:tc>
        <w:tc>
          <w:tcPr>
            <w:tcW w:w="982" w:type="dxa"/>
            <w:vMerge w:val="continue"/>
            <w:vAlign w:val="center"/>
          </w:tcPr>
          <w:p>
            <w:pPr>
              <w:pStyle w:val="64"/>
              <w:rPr>
                <w:rFonts w:hAnsi="宋体"/>
                <w:szCs w:val="21"/>
                <w:highlight w:val="none"/>
              </w:rPr>
            </w:pPr>
          </w:p>
        </w:tc>
        <w:tc>
          <w:tcPr>
            <w:tcW w:w="3425" w:type="dxa"/>
            <w:gridSpan w:val="2"/>
            <w:vAlign w:val="center"/>
          </w:tcPr>
          <w:p>
            <w:pPr>
              <w:pStyle w:val="64"/>
              <w:rPr>
                <w:rFonts w:hAnsi="宋体"/>
                <w:szCs w:val="21"/>
                <w:highlight w:val="none"/>
              </w:rPr>
            </w:pPr>
            <w:r>
              <w:rPr>
                <w:rFonts w:hAnsi="宋体"/>
                <w:szCs w:val="21"/>
                <w:highlight w:val="none"/>
              </w:rPr>
              <w:t>环境监测预警与日常检查（4分）</w:t>
            </w:r>
          </w:p>
        </w:tc>
        <w:tc>
          <w:tcPr>
            <w:tcW w:w="3837" w:type="dxa"/>
            <w:gridSpan w:val="2"/>
            <w:vAlign w:val="center"/>
          </w:tcPr>
          <w:p>
            <w:pPr>
              <w:pStyle w:val="64"/>
              <w:rPr>
                <w:rFonts w:hAnsi="宋体"/>
                <w:szCs w:val="21"/>
                <w:highlight w:val="none"/>
              </w:rPr>
            </w:pPr>
            <w:r>
              <w:rPr>
                <w:rFonts w:hAnsi="宋体"/>
                <w:szCs w:val="21"/>
                <w:highlight w:val="none"/>
              </w:rPr>
              <w:t>监测预警（</w:t>
            </w:r>
            <w:r>
              <w:rPr>
                <w:rFonts w:hAnsi="宋体"/>
                <w:spacing w:val="1"/>
                <w:szCs w:val="21"/>
                <w:highlight w:val="none"/>
              </w:rPr>
              <w:t>2</w:t>
            </w:r>
            <w:r>
              <w:rPr>
                <w:rFonts w:hAnsi="宋体"/>
                <w:szCs w:val="21"/>
                <w:highlight w:val="none"/>
              </w:rPr>
              <w:t>）</w:t>
            </w:r>
          </w:p>
        </w:tc>
        <w:tc>
          <w:tcPr>
            <w:tcW w:w="820" w:type="dxa"/>
            <w:vAlign w:val="center"/>
          </w:tcPr>
          <w:p>
            <w:pPr>
              <w:pStyle w:val="64"/>
              <w:rPr>
                <w:rFonts w:hAnsi="宋体"/>
                <w:szCs w:val="21"/>
                <w:highlight w:val="none"/>
              </w:rPr>
            </w:pPr>
            <w:r>
              <w:rPr>
                <w:rFonts w:hAnsi="宋体"/>
                <w:szCs w:val="21"/>
                <w:highlight w:val="none"/>
              </w:rPr>
              <w:t>2</w:t>
            </w:r>
          </w:p>
        </w:tc>
        <w:tc>
          <w:tcPr>
            <w:tcW w:w="674" w:type="dxa"/>
            <w:vAlign w:val="center"/>
          </w:tcPr>
          <w:p>
            <w:pPr>
              <w:pStyle w:val="64"/>
              <w:rPr>
                <w:rFonts w:hAnsi="宋体"/>
                <w:szCs w:val="21"/>
                <w:highlight w:val="none"/>
              </w:rPr>
            </w:pPr>
            <w:r>
              <w:rPr>
                <w:rFonts w:hAnsi="宋体"/>
                <w:szCs w:val="21"/>
                <w:highlight w:val="none"/>
              </w:rPr>
              <w:t>2</w:t>
            </w:r>
          </w:p>
        </w:tc>
        <w:tc>
          <w:tcPr>
            <w:tcW w:w="3394" w:type="dxa"/>
            <w:vAlign w:val="center"/>
          </w:tcPr>
          <w:p>
            <w:pPr>
              <w:pStyle w:val="64"/>
              <w:rPr>
                <w:rFonts w:hAnsi="宋体"/>
                <w:szCs w:val="21"/>
                <w:highlight w:val="none"/>
              </w:rPr>
            </w:pPr>
            <w:r>
              <w:rPr>
                <w:rFonts w:hAnsi="宋体"/>
                <w:szCs w:val="21"/>
                <w:highlight w:val="none"/>
              </w:rPr>
              <w:t>按照监测预警方案的制定、开展及相关台账等情况进行综合评分。</w:t>
            </w:r>
          </w:p>
        </w:tc>
      </w:tr>
    </w:tbl>
    <w:p>
      <w:pPr>
        <w:spacing w:line="233" w:lineRule="exact"/>
        <w:ind w:firstLine="0" w:firstLineChars="0"/>
        <w:jc w:val="left"/>
        <w:rPr>
          <w:rFonts w:ascii="宋体" w:hAnsi="宋体" w:cs="宋体"/>
          <w:kern w:val="0"/>
          <w:sz w:val="18"/>
          <w:szCs w:val="18"/>
          <w:highlight w:val="none"/>
        </w:rPr>
        <w:sectPr>
          <w:pgSz w:w="16838" w:h="11920" w:orient="landscape"/>
          <w:pgMar w:top="1588" w:right="1588"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62"/>
        <w:ind w:firstLine="480"/>
        <w:rPr>
          <w:rFonts w:hAnsi="宋体"/>
          <w:highlight w:val="none"/>
        </w:rPr>
      </w:pPr>
      <w:r>
        <w:rPr>
          <w:rFonts w:hAnsi="宋体"/>
          <w:highlight w:val="none"/>
        </w:rPr>
        <w:t>根据尾矿库控制机制可靠性评分表可知，本项目尾矿库控制机制可靠性评分为2</w:t>
      </w:r>
      <w:r>
        <w:rPr>
          <w:rFonts w:hint="eastAsia" w:hAnsi="宋体"/>
          <w:highlight w:val="none"/>
        </w:rPr>
        <w:t>3</w:t>
      </w:r>
      <w:r>
        <w:rPr>
          <w:rFonts w:hAnsi="宋体"/>
          <w:highlight w:val="none"/>
        </w:rPr>
        <w:t>.5分。根据尾矿库控制机制可靠性等别划分表，表5</w:t>
      </w:r>
      <w:r>
        <w:rPr>
          <w:rFonts w:hint="eastAsia" w:hAnsi="宋体"/>
          <w:highlight w:val="none"/>
        </w:rPr>
        <w:t>.7</w:t>
      </w:r>
      <w:r>
        <w:rPr>
          <w:rFonts w:hAnsi="宋体"/>
          <w:highlight w:val="none"/>
        </w:rPr>
        <w:t>-8所示，本项目尾矿库控制机制可靠性等别为R3。</w:t>
      </w:r>
    </w:p>
    <w:p>
      <w:pPr>
        <w:pStyle w:val="65"/>
        <w:rPr>
          <w:rFonts w:hAnsi="宋体"/>
          <w:highlight w:val="none"/>
        </w:rPr>
      </w:pPr>
      <w:r>
        <w:rPr>
          <w:rFonts w:hAnsi="宋体"/>
          <w:highlight w:val="none"/>
        </w:rPr>
        <w:t>表5</w:t>
      </w:r>
      <w:r>
        <w:rPr>
          <w:rFonts w:hint="eastAsia" w:hAnsi="宋体"/>
          <w:highlight w:val="none"/>
        </w:rPr>
        <w:t>.7</w:t>
      </w:r>
      <w:r>
        <w:rPr>
          <w:rFonts w:hAnsi="宋体"/>
          <w:highlight w:val="none"/>
        </w:rPr>
        <w:t>-8</w:t>
      </w:r>
      <w:r>
        <w:rPr>
          <w:rFonts w:hint="eastAsia" w:hAnsi="宋体"/>
          <w:highlight w:val="none"/>
        </w:rPr>
        <w:t xml:space="preserve">  </w:t>
      </w:r>
      <w:r>
        <w:rPr>
          <w:rFonts w:hAnsi="宋体"/>
          <w:highlight w:val="none"/>
        </w:rPr>
        <w:t>尾矿库控制机制可靠性（R）等别划分表</w:t>
      </w:r>
    </w:p>
    <w:p>
      <w:pPr>
        <w:spacing w:before="7" w:line="70" w:lineRule="exact"/>
        <w:ind w:firstLine="0" w:firstLineChars="0"/>
        <w:jc w:val="left"/>
        <w:rPr>
          <w:rFonts w:ascii="宋体" w:hAnsi="宋体"/>
          <w:kern w:val="0"/>
          <w:sz w:val="7"/>
          <w:szCs w:val="7"/>
          <w:highlight w:val="none"/>
        </w:rPr>
      </w:pPr>
    </w:p>
    <w:tbl>
      <w:tblPr>
        <w:tblStyle w:val="44"/>
        <w:tblW w:w="9178"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589"/>
        <w:gridCol w:w="458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89" w:type="dxa"/>
            <w:vAlign w:val="center"/>
          </w:tcPr>
          <w:p>
            <w:pPr>
              <w:pStyle w:val="64"/>
              <w:rPr>
                <w:rFonts w:hAnsi="宋体"/>
                <w:highlight w:val="none"/>
              </w:rPr>
            </w:pPr>
            <w:r>
              <w:rPr>
                <w:rFonts w:hAnsi="宋体"/>
                <w:highlight w:val="none"/>
              </w:rPr>
              <w:t>尾矿库控</w:t>
            </w:r>
            <w:r>
              <w:rPr>
                <w:rFonts w:hAnsi="宋体"/>
                <w:spacing w:val="2"/>
                <w:highlight w:val="none"/>
              </w:rPr>
              <w:t>制</w:t>
            </w:r>
            <w:r>
              <w:rPr>
                <w:rFonts w:hAnsi="宋体"/>
                <w:highlight w:val="none"/>
              </w:rPr>
              <w:t>机</w:t>
            </w:r>
            <w:r>
              <w:rPr>
                <w:rFonts w:hAnsi="宋体"/>
                <w:spacing w:val="2"/>
                <w:highlight w:val="none"/>
              </w:rPr>
              <w:t>制</w:t>
            </w:r>
            <w:r>
              <w:rPr>
                <w:rFonts w:hAnsi="宋体"/>
                <w:highlight w:val="none"/>
              </w:rPr>
              <w:t>可</w:t>
            </w:r>
            <w:r>
              <w:rPr>
                <w:rFonts w:hAnsi="宋体"/>
                <w:spacing w:val="2"/>
                <w:highlight w:val="none"/>
              </w:rPr>
              <w:t>靠</w:t>
            </w:r>
            <w:r>
              <w:rPr>
                <w:rFonts w:hAnsi="宋体"/>
                <w:highlight w:val="none"/>
              </w:rPr>
              <w:t>性</w:t>
            </w:r>
            <w:r>
              <w:rPr>
                <w:rFonts w:hAnsi="宋体"/>
                <w:spacing w:val="2"/>
                <w:highlight w:val="none"/>
              </w:rPr>
              <w:t>得</w:t>
            </w:r>
            <w:r>
              <w:rPr>
                <w:rFonts w:hAnsi="宋体"/>
                <w:highlight w:val="none"/>
              </w:rPr>
              <w:t>分</w:t>
            </w:r>
            <w:r>
              <w:rPr>
                <w:rFonts w:hAnsi="宋体"/>
                <w:spacing w:val="2"/>
                <w:highlight w:val="none"/>
              </w:rPr>
              <w:t>（</w:t>
            </w:r>
            <w:r>
              <w:rPr>
                <w:rFonts w:hAnsi="宋体" w:cs="hakuyoxingshu7000"/>
                <w:highlight w:val="none"/>
              </w:rPr>
              <w:t>D</w:t>
            </w:r>
            <w:r>
              <w:rPr>
                <w:rFonts w:hAnsi="宋体" w:cs="hakuyoxingshu7000"/>
                <w:sz w:val="13"/>
                <w:szCs w:val="13"/>
                <w:highlight w:val="none"/>
              </w:rPr>
              <w:t>R</w:t>
            </w:r>
            <w:r>
              <w:rPr>
                <w:rFonts w:hAnsi="宋体"/>
                <w:highlight w:val="none"/>
              </w:rPr>
              <w:t>）</w:t>
            </w:r>
          </w:p>
        </w:tc>
        <w:tc>
          <w:tcPr>
            <w:tcW w:w="4589" w:type="dxa"/>
            <w:vAlign w:val="center"/>
          </w:tcPr>
          <w:p>
            <w:pPr>
              <w:pStyle w:val="64"/>
              <w:rPr>
                <w:rFonts w:hAnsi="宋体"/>
                <w:highlight w:val="none"/>
              </w:rPr>
            </w:pPr>
            <w:r>
              <w:rPr>
                <w:rFonts w:hAnsi="宋体"/>
                <w:highlight w:val="none"/>
              </w:rPr>
              <w:t>尾矿库控</w:t>
            </w:r>
            <w:r>
              <w:rPr>
                <w:rFonts w:hAnsi="宋体"/>
                <w:spacing w:val="2"/>
                <w:highlight w:val="none"/>
              </w:rPr>
              <w:t>制</w:t>
            </w:r>
            <w:r>
              <w:rPr>
                <w:rFonts w:hAnsi="宋体"/>
                <w:highlight w:val="none"/>
              </w:rPr>
              <w:t>机</w:t>
            </w:r>
            <w:r>
              <w:rPr>
                <w:rFonts w:hAnsi="宋体"/>
                <w:spacing w:val="2"/>
                <w:highlight w:val="none"/>
              </w:rPr>
              <w:t>制</w:t>
            </w:r>
            <w:r>
              <w:rPr>
                <w:rFonts w:hAnsi="宋体"/>
                <w:highlight w:val="none"/>
              </w:rPr>
              <w:t>可</w:t>
            </w:r>
            <w:r>
              <w:rPr>
                <w:rFonts w:hAnsi="宋体"/>
                <w:spacing w:val="2"/>
                <w:highlight w:val="none"/>
              </w:rPr>
              <w:t>靠</w:t>
            </w:r>
            <w:r>
              <w:rPr>
                <w:rFonts w:hAnsi="宋体"/>
                <w:highlight w:val="none"/>
              </w:rPr>
              <w:t>性</w:t>
            </w:r>
            <w:r>
              <w:rPr>
                <w:rFonts w:hAnsi="宋体"/>
                <w:spacing w:val="2"/>
                <w:highlight w:val="none"/>
              </w:rPr>
              <w:t>（</w:t>
            </w:r>
            <w:r>
              <w:rPr>
                <w:rFonts w:hAnsi="宋体" w:cs="hakuyoxingshu7000"/>
                <w:highlight w:val="none"/>
              </w:rPr>
              <w:t>R</w:t>
            </w:r>
            <w:r>
              <w:rPr>
                <w:rFonts w:hAnsi="宋体"/>
                <w:highlight w:val="none"/>
              </w:rPr>
              <w:t>）</w:t>
            </w:r>
            <w:r>
              <w:rPr>
                <w:rFonts w:hAnsi="宋体"/>
                <w:spacing w:val="2"/>
                <w:highlight w:val="none"/>
              </w:rPr>
              <w:t>等</w:t>
            </w:r>
            <w:r>
              <w:rPr>
                <w:rFonts w:hAnsi="宋体"/>
                <w:highlight w:val="none"/>
              </w:rPr>
              <w:t>别</w:t>
            </w:r>
            <w:r>
              <w:rPr>
                <w:rFonts w:hAnsi="宋体"/>
                <w:spacing w:val="2"/>
                <w:highlight w:val="none"/>
              </w:rPr>
              <w:t>代</w:t>
            </w:r>
            <w:r>
              <w:rPr>
                <w:rFonts w:hAnsi="宋体"/>
                <w:highlight w:val="none"/>
              </w:rPr>
              <w:t>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89" w:type="dxa"/>
            <w:vAlign w:val="center"/>
          </w:tcPr>
          <w:p>
            <w:pPr>
              <w:pStyle w:val="64"/>
              <w:rPr>
                <w:rFonts w:hAnsi="宋体" w:cs="hakuyoxingshu7000"/>
                <w:highlight w:val="none"/>
              </w:rPr>
            </w:pPr>
            <w:r>
              <w:rPr>
                <w:rFonts w:hAnsi="宋体" w:cs="hakuyoxingshu7000"/>
                <w:w w:val="115"/>
                <w:highlight w:val="none"/>
              </w:rPr>
              <w:t>D</w:t>
            </w:r>
            <w:r>
              <w:rPr>
                <w:rFonts w:hAnsi="宋体" w:cs="hakuyoxingshu7000"/>
                <w:w w:val="115"/>
                <w:sz w:val="13"/>
                <w:szCs w:val="13"/>
                <w:highlight w:val="none"/>
              </w:rPr>
              <w:t>R</w:t>
            </w:r>
            <w:r>
              <w:rPr>
                <w:rFonts w:hAnsi="宋体" w:cs="hakuyoxingshu7000"/>
                <w:spacing w:val="-2"/>
                <w:w w:val="115"/>
                <w:highlight w:val="none"/>
              </w:rPr>
              <w:t>&gt;</w:t>
            </w:r>
            <w:r>
              <w:rPr>
                <w:rFonts w:hAnsi="宋体" w:cs="hakuyoxingshu7000"/>
                <w:spacing w:val="1"/>
                <w:w w:val="115"/>
                <w:highlight w:val="none"/>
              </w:rPr>
              <w:t>6</w:t>
            </w:r>
            <w:r>
              <w:rPr>
                <w:rFonts w:hAnsi="宋体" w:cs="hakuyoxingshu7000"/>
                <w:w w:val="115"/>
                <w:highlight w:val="none"/>
              </w:rPr>
              <w:t>0</w:t>
            </w:r>
          </w:p>
        </w:tc>
        <w:tc>
          <w:tcPr>
            <w:tcW w:w="4589" w:type="dxa"/>
            <w:vAlign w:val="center"/>
          </w:tcPr>
          <w:p>
            <w:pPr>
              <w:pStyle w:val="64"/>
              <w:rPr>
                <w:rFonts w:hAnsi="宋体" w:cs="hakuyoxingshu7000"/>
                <w:highlight w:val="none"/>
              </w:rPr>
            </w:pPr>
            <w:r>
              <w:rPr>
                <w:rFonts w:hAnsi="宋体" w:cs="hakuyoxingshu7000"/>
                <w:w w:val="115"/>
                <w:highlight w:val="none"/>
              </w:rPr>
              <w:t>R1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4589" w:type="dxa"/>
            <w:vAlign w:val="center"/>
          </w:tcPr>
          <w:p>
            <w:pPr>
              <w:pStyle w:val="64"/>
              <w:rPr>
                <w:rFonts w:hAnsi="宋体" w:cs="hakuyoxingshu7000"/>
                <w:highlight w:val="none"/>
              </w:rPr>
            </w:pPr>
            <w:r>
              <w:rPr>
                <w:rFonts w:hAnsi="宋体" w:cs="hakuyoxingshu7000"/>
                <w:spacing w:val="1"/>
                <w:highlight w:val="none"/>
              </w:rPr>
              <w:t>30</w:t>
            </w:r>
            <w:r>
              <w:rPr>
                <w:rFonts w:hAnsi="宋体" w:cs="hakuyoxingshu7000"/>
                <w:highlight w:val="none"/>
              </w:rPr>
              <w:t>&lt;D</w:t>
            </w:r>
            <w:r>
              <w:rPr>
                <w:rFonts w:hAnsi="宋体" w:cs="hakuyoxingshu7000"/>
                <w:spacing w:val="-3"/>
                <w:sz w:val="13"/>
                <w:szCs w:val="13"/>
                <w:highlight w:val="none"/>
              </w:rPr>
              <w:t>R</w:t>
            </w:r>
            <w:r>
              <w:rPr>
                <w:rFonts w:hAnsi="宋体" w:cs="hakuyoxingshu7000"/>
                <w:spacing w:val="5"/>
                <w:highlight w:val="none"/>
              </w:rPr>
              <w:t>≤</w:t>
            </w:r>
            <w:r>
              <w:rPr>
                <w:rFonts w:hAnsi="宋体" w:cs="hakuyoxingshu7000"/>
                <w:spacing w:val="1"/>
                <w:highlight w:val="none"/>
              </w:rPr>
              <w:t>6</w:t>
            </w:r>
            <w:r>
              <w:rPr>
                <w:rFonts w:hAnsi="宋体" w:cs="hakuyoxingshu7000"/>
                <w:highlight w:val="none"/>
              </w:rPr>
              <w:t>0</w:t>
            </w:r>
          </w:p>
        </w:tc>
        <w:tc>
          <w:tcPr>
            <w:tcW w:w="4589" w:type="dxa"/>
            <w:vAlign w:val="center"/>
          </w:tcPr>
          <w:p>
            <w:pPr>
              <w:pStyle w:val="64"/>
              <w:rPr>
                <w:rFonts w:hAnsi="宋体" w:cs="hakuyoxingshu7000"/>
                <w:highlight w:val="none"/>
              </w:rPr>
            </w:pPr>
            <w:r>
              <w:rPr>
                <w:rFonts w:hAnsi="宋体" w:cs="hakuyoxingshu7000"/>
                <w:w w:val="115"/>
                <w:highlight w:val="none"/>
              </w:rPr>
              <w:t>R2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4589" w:type="dxa"/>
            <w:vAlign w:val="center"/>
          </w:tcPr>
          <w:p>
            <w:pPr>
              <w:pStyle w:val="64"/>
              <w:rPr>
                <w:rFonts w:hAnsi="宋体" w:cs="hakuyoxingshu7000"/>
                <w:highlight w:val="none"/>
              </w:rPr>
            </w:pPr>
            <w:r>
              <w:rPr>
                <w:rFonts w:hAnsi="宋体" w:cs="hakuyoxingshu7000"/>
                <w:w w:val="95"/>
                <w:highlight w:val="none"/>
              </w:rPr>
              <w:t>D</w:t>
            </w:r>
            <w:r>
              <w:rPr>
                <w:rFonts w:hAnsi="宋体" w:cs="hakuyoxingshu7000"/>
                <w:w w:val="95"/>
                <w:sz w:val="13"/>
                <w:szCs w:val="13"/>
                <w:highlight w:val="none"/>
              </w:rPr>
              <w:t>R</w:t>
            </w:r>
            <w:r>
              <w:rPr>
                <w:rFonts w:hAnsi="宋体" w:cs="hakuyoxingshu7000"/>
                <w:w w:val="95"/>
                <w:highlight w:val="none"/>
              </w:rPr>
              <w:t>≤30</w:t>
            </w:r>
          </w:p>
        </w:tc>
        <w:tc>
          <w:tcPr>
            <w:tcW w:w="4589" w:type="dxa"/>
            <w:vAlign w:val="center"/>
          </w:tcPr>
          <w:p>
            <w:pPr>
              <w:pStyle w:val="64"/>
              <w:rPr>
                <w:rFonts w:hAnsi="宋体" w:cs="hakuyoxingshu7000"/>
                <w:highlight w:val="none"/>
              </w:rPr>
            </w:pPr>
            <w:r>
              <w:rPr>
                <w:rFonts w:hAnsi="宋体" w:cs="hakuyoxingshu7000"/>
                <w:w w:val="115"/>
                <w:highlight w:val="none"/>
              </w:rPr>
              <w:t>R3</w:t>
            </w:r>
          </w:p>
        </w:tc>
      </w:tr>
    </w:tbl>
    <w:p>
      <w:pPr>
        <w:keepNext/>
        <w:keepLines/>
        <w:ind w:firstLine="480"/>
        <w:outlineLvl w:val="3"/>
        <w:rPr>
          <w:rFonts w:ascii="宋体" w:hAnsi="宋体"/>
          <w:bCs/>
          <w:szCs w:val="28"/>
          <w:highlight w:val="none"/>
        </w:rPr>
      </w:pPr>
      <w:r>
        <w:rPr>
          <w:rFonts w:ascii="宋体" w:hAnsi="宋体"/>
          <w:bCs/>
          <w:szCs w:val="28"/>
          <w:highlight w:val="none"/>
        </w:rPr>
        <w:t>5.7.5.</w:t>
      </w:r>
      <w:r>
        <w:rPr>
          <w:rFonts w:hint="eastAsia" w:ascii="宋体" w:hAnsi="宋体"/>
          <w:bCs/>
          <w:szCs w:val="28"/>
          <w:highlight w:val="none"/>
        </w:rPr>
        <w:t>4</w:t>
      </w:r>
      <w:r>
        <w:rPr>
          <w:rFonts w:ascii="宋体" w:hAnsi="宋体"/>
          <w:bCs/>
          <w:szCs w:val="28"/>
          <w:highlight w:val="none"/>
        </w:rPr>
        <w:t>环境风险等级划分</w:t>
      </w:r>
    </w:p>
    <w:p>
      <w:pPr>
        <w:pStyle w:val="62"/>
        <w:ind w:firstLine="496"/>
        <w:rPr>
          <w:rFonts w:hAnsi="宋体"/>
          <w:highlight w:val="none"/>
        </w:rPr>
      </w:pPr>
      <w:r>
        <w:rPr>
          <w:rFonts w:hAnsi="宋体"/>
          <w:spacing w:val="4"/>
          <w:highlight w:val="none"/>
        </w:rPr>
        <w:t>根</w:t>
      </w:r>
      <w:r>
        <w:rPr>
          <w:rFonts w:hAnsi="宋体"/>
          <w:spacing w:val="2"/>
          <w:highlight w:val="none"/>
        </w:rPr>
        <w:t>据</w:t>
      </w:r>
      <w:r>
        <w:rPr>
          <w:rFonts w:hAnsi="宋体"/>
          <w:spacing w:val="4"/>
          <w:highlight w:val="none"/>
        </w:rPr>
        <w:t>《</w:t>
      </w:r>
      <w:r>
        <w:rPr>
          <w:rFonts w:hAnsi="宋体"/>
          <w:spacing w:val="2"/>
          <w:highlight w:val="none"/>
        </w:rPr>
        <w:t>尾</w:t>
      </w:r>
      <w:r>
        <w:rPr>
          <w:rFonts w:hAnsi="宋体"/>
          <w:spacing w:val="4"/>
          <w:highlight w:val="none"/>
        </w:rPr>
        <w:t>矿库</w:t>
      </w:r>
      <w:r>
        <w:rPr>
          <w:rFonts w:hAnsi="宋体"/>
          <w:spacing w:val="2"/>
          <w:highlight w:val="none"/>
        </w:rPr>
        <w:t>环</w:t>
      </w:r>
      <w:r>
        <w:rPr>
          <w:rFonts w:hAnsi="宋体"/>
          <w:spacing w:val="4"/>
          <w:highlight w:val="none"/>
        </w:rPr>
        <w:t>境</w:t>
      </w:r>
      <w:r>
        <w:rPr>
          <w:rFonts w:hAnsi="宋体"/>
          <w:spacing w:val="2"/>
          <w:highlight w:val="none"/>
        </w:rPr>
        <w:t>风</w:t>
      </w:r>
      <w:r>
        <w:rPr>
          <w:rFonts w:hAnsi="宋体"/>
          <w:spacing w:val="4"/>
          <w:highlight w:val="none"/>
        </w:rPr>
        <w:t>险评</w:t>
      </w:r>
      <w:r>
        <w:rPr>
          <w:rFonts w:hAnsi="宋体"/>
          <w:spacing w:val="2"/>
          <w:highlight w:val="none"/>
        </w:rPr>
        <w:t>估</w:t>
      </w:r>
      <w:r>
        <w:rPr>
          <w:rFonts w:hAnsi="宋体"/>
          <w:spacing w:val="4"/>
          <w:highlight w:val="none"/>
        </w:rPr>
        <w:t>技</w:t>
      </w:r>
      <w:r>
        <w:rPr>
          <w:rFonts w:hAnsi="宋体"/>
          <w:spacing w:val="2"/>
          <w:highlight w:val="none"/>
        </w:rPr>
        <w:t>术</w:t>
      </w:r>
      <w:r>
        <w:rPr>
          <w:rFonts w:hAnsi="宋体"/>
          <w:spacing w:val="4"/>
          <w:highlight w:val="none"/>
        </w:rPr>
        <w:t>导</w:t>
      </w:r>
      <w:r>
        <w:rPr>
          <w:rFonts w:hAnsi="宋体"/>
          <w:spacing w:val="2"/>
          <w:highlight w:val="none"/>
        </w:rPr>
        <w:t>则</w:t>
      </w:r>
      <w:r>
        <w:rPr>
          <w:rFonts w:hAnsi="宋体"/>
          <w:spacing w:val="4"/>
          <w:highlight w:val="none"/>
        </w:rPr>
        <w:t>》</w:t>
      </w:r>
      <w:r>
        <w:rPr>
          <w:rFonts w:hAnsi="宋体"/>
          <w:spacing w:val="2"/>
          <w:highlight w:val="none"/>
        </w:rPr>
        <w:t>（</w:t>
      </w:r>
      <w:r>
        <w:rPr>
          <w:rFonts w:hAnsi="宋体" w:cs="hakuyoxingshu7000"/>
          <w:spacing w:val="-1"/>
          <w:highlight w:val="none"/>
        </w:rPr>
        <w:t>H</w:t>
      </w:r>
      <w:r>
        <w:rPr>
          <w:rFonts w:hAnsi="宋体" w:cs="hakuyoxingshu7000"/>
          <w:highlight w:val="none"/>
        </w:rPr>
        <w:t>J740</w:t>
      </w:r>
      <w:r>
        <w:rPr>
          <w:rFonts w:hAnsi="宋体" w:cs="hakuyoxingshu7000"/>
          <w:spacing w:val="-2"/>
          <w:highlight w:val="none"/>
        </w:rPr>
        <w:t>-</w:t>
      </w:r>
      <w:r>
        <w:rPr>
          <w:rFonts w:hAnsi="宋体" w:cs="hakuyoxingshu7000"/>
          <w:highlight w:val="none"/>
        </w:rPr>
        <w:t>201</w:t>
      </w:r>
      <w:r>
        <w:rPr>
          <w:rFonts w:hAnsi="宋体" w:cs="hakuyoxingshu7000"/>
          <w:spacing w:val="4"/>
          <w:highlight w:val="none"/>
        </w:rPr>
        <w:t>5</w:t>
      </w:r>
      <w:r>
        <w:rPr>
          <w:rFonts w:hAnsi="宋体"/>
          <w:spacing w:val="4"/>
          <w:highlight w:val="none"/>
        </w:rPr>
        <w:t>）</w:t>
      </w:r>
      <w:r>
        <w:rPr>
          <w:rFonts w:hAnsi="宋体"/>
          <w:spacing w:val="2"/>
          <w:highlight w:val="none"/>
        </w:rPr>
        <w:t>，</w:t>
      </w:r>
      <w:r>
        <w:rPr>
          <w:rFonts w:hAnsi="宋体"/>
          <w:spacing w:val="4"/>
          <w:highlight w:val="none"/>
        </w:rPr>
        <w:t>综</w:t>
      </w:r>
      <w:r>
        <w:rPr>
          <w:rFonts w:hAnsi="宋体"/>
          <w:spacing w:val="2"/>
          <w:highlight w:val="none"/>
        </w:rPr>
        <w:t>合</w:t>
      </w:r>
      <w:r>
        <w:rPr>
          <w:rFonts w:hAnsi="宋体"/>
          <w:spacing w:val="4"/>
          <w:highlight w:val="none"/>
        </w:rPr>
        <w:t>尾矿库</w:t>
      </w:r>
      <w:r>
        <w:rPr>
          <w:rFonts w:hAnsi="宋体"/>
          <w:highlight w:val="none"/>
        </w:rPr>
        <w:t>环境危害性（</w:t>
      </w:r>
      <w:r>
        <w:rPr>
          <w:rFonts w:hAnsi="宋体" w:cs="hakuyoxingshu7000"/>
          <w:spacing w:val="-1"/>
          <w:highlight w:val="none"/>
        </w:rPr>
        <w:t>H</w:t>
      </w:r>
      <w:r>
        <w:rPr>
          <w:rFonts w:hAnsi="宋体"/>
          <w:highlight w:val="none"/>
        </w:rPr>
        <w:t>）、周边环境敏感性（</w:t>
      </w:r>
      <w:r>
        <w:rPr>
          <w:rFonts w:hAnsi="宋体" w:cs="hakuyoxingshu7000"/>
          <w:highlight w:val="none"/>
        </w:rPr>
        <w:t>S</w:t>
      </w:r>
      <w:r>
        <w:rPr>
          <w:rFonts w:hAnsi="宋体"/>
          <w:highlight w:val="none"/>
        </w:rPr>
        <w:t>）、控制机制可靠性（</w:t>
      </w:r>
      <w:r>
        <w:rPr>
          <w:rFonts w:hAnsi="宋体" w:cs="hakuyoxingshu7000"/>
          <w:spacing w:val="-2"/>
          <w:highlight w:val="none"/>
        </w:rPr>
        <w:t>R</w:t>
      </w:r>
      <w:r>
        <w:rPr>
          <w:rFonts w:hAnsi="宋体"/>
          <w:highlight w:val="none"/>
        </w:rPr>
        <w:t>）三方面的等别，对照环境风险等级划分矩阵</w:t>
      </w:r>
      <w:r>
        <w:rPr>
          <w:rFonts w:hAnsi="宋体"/>
          <w:spacing w:val="-29"/>
          <w:highlight w:val="none"/>
        </w:rPr>
        <w:t>，</w:t>
      </w:r>
      <w:r>
        <w:rPr>
          <w:rFonts w:hAnsi="宋体"/>
          <w:highlight w:val="none"/>
        </w:rPr>
        <w:t>将尾矿库环境风险划分为重大</w:t>
      </w:r>
      <w:r>
        <w:rPr>
          <w:rFonts w:hAnsi="宋体"/>
          <w:spacing w:val="-29"/>
          <w:highlight w:val="none"/>
        </w:rPr>
        <w:t>、</w:t>
      </w:r>
      <w:r>
        <w:rPr>
          <w:rFonts w:hAnsi="宋体"/>
          <w:highlight w:val="none"/>
        </w:rPr>
        <w:t>较大</w:t>
      </w:r>
      <w:r>
        <w:rPr>
          <w:rFonts w:hAnsi="宋体"/>
          <w:spacing w:val="-32"/>
          <w:highlight w:val="none"/>
        </w:rPr>
        <w:t>、</w:t>
      </w:r>
      <w:r>
        <w:rPr>
          <w:rFonts w:hAnsi="宋体"/>
          <w:highlight w:val="none"/>
        </w:rPr>
        <w:t>一般三个等级。</w:t>
      </w:r>
    </w:p>
    <w:p>
      <w:pPr>
        <w:pStyle w:val="62"/>
        <w:ind w:firstLine="480"/>
        <w:rPr>
          <w:rFonts w:hAnsi="宋体"/>
          <w:kern w:val="0"/>
          <w:sz w:val="14"/>
          <w:szCs w:val="14"/>
          <w:highlight w:val="none"/>
        </w:rPr>
      </w:pPr>
      <w:r>
        <w:rPr>
          <w:rFonts w:hAnsi="宋体"/>
          <w:highlight w:val="none"/>
        </w:rPr>
        <w:t>环境风险等级划分矩阵见表5</w:t>
      </w:r>
      <w:r>
        <w:rPr>
          <w:rFonts w:hint="eastAsia" w:hAnsi="宋体"/>
          <w:highlight w:val="none"/>
        </w:rPr>
        <w:t>.7</w:t>
      </w:r>
      <w:r>
        <w:rPr>
          <w:rFonts w:hAnsi="宋体"/>
          <w:highlight w:val="none"/>
        </w:rPr>
        <w:t>-</w:t>
      </w:r>
      <w:r>
        <w:rPr>
          <w:rFonts w:hint="eastAsia" w:hAnsi="宋体"/>
          <w:highlight w:val="none"/>
        </w:rPr>
        <w:t>9</w:t>
      </w:r>
      <w:r>
        <w:rPr>
          <w:rFonts w:hAnsi="宋体"/>
          <w:highlight w:val="none"/>
        </w:rPr>
        <w:t>。</w:t>
      </w:r>
    </w:p>
    <w:p>
      <w:pPr>
        <w:pStyle w:val="65"/>
        <w:rPr>
          <w:rFonts w:hAnsi="宋体"/>
          <w:highlight w:val="none"/>
        </w:rPr>
      </w:pPr>
      <w:r>
        <w:rPr>
          <w:rFonts w:hAnsi="宋体"/>
          <w:highlight w:val="none"/>
        </w:rPr>
        <w:t>表5</w:t>
      </w:r>
      <w:r>
        <w:rPr>
          <w:rFonts w:hint="eastAsia" w:hAnsi="宋体"/>
          <w:highlight w:val="none"/>
        </w:rPr>
        <w:t>.7</w:t>
      </w:r>
      <w:r>
        <w:rPr>
          <w:rFonts w:hAnsi="宋体"/>
          <w:highlight w:val="none"/>
        </w:rPr>
        <w:t>-</w:t>
      </w:r>
      <w:r>
        <w:rPr>
          <w:rFonts w:hint="eastAsia" w:hAnsi="宋体"/>
          <w:highlight w:val="none"/>
        </w:rPr>
        <w:t xml:space="preserve">9  </w:t>
      </w:r>
      <w:r>
        <w:rPr>
          <w:rFonts w:hAnsi="宋体"/>
          <w:highlight w:val="none"/>
        </w:rPr>
        <w:t>尾矿库环境风险等级划分矩阵</w:t>
      </w:r>
    </w:p>
    <w:p>
      <w:pPr>
        <w:spacing w:before="7" w:line="10" w:lineRule="exact"/>
        <w:ind w:firstLine="0" w:firstLineChars="0"/>
        <w:jc w:val="left"/>
        <w:rPr>
          <w:rFonts w:ascii="宋体" w:hAnsi="宋体"/>
          <w:kern w:val="0"/>
          <w:sz w:val="4"/>
          <w:szCs w:val="4"/>
          <w:highlight w:val="none"/>
        </w:rPr>
      </w:pPr>
    </w:p>
    <w:tbl>
      <w:tblPr>
        <w:tblStyle w:val="44"/>
        <w:tblW w:w="9178"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897"/>
        <w:gridCol w:w="2069"/>
        <w:gridCol w:w="2069"/>
        <w:gridCol w:w="2071"/>
        <w:gridCol w:w="207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Merge w:val="restart"/>
            <w:vAlign w:val="center"/>
          </w:tcPr>
          <w:p>
            <w:pPr>
              <w:pStyle w:val="64"/>
              <w:rPr>
                <w:rFonts w:hAnsi="宋体"/>
                <w:highlight w:val="none"/>
              </w:rPr>
            </w:pPr>
            <w:r>
              <w:rPr>
                <w:rFonts w:hAnsi="宋体"/>
                <w:spacing w:val="-1"/>
                <w:highlight w:val="none"/>
              </w:rPr>
              <w:t>序</w:t>
            </w:r>
            <w:r>
              <w:rPr>
                <w:rFonts w:hAnsi="宋体"/>
                <w:highlight w:val="none"/>
              </w:rPr>
              <w:t>号</w:t>
            </w:r>
          </w:p>
        </w:tc>
        <w:tc>
          <w:tcPr>
            <w:tcW w:w="6209" w:type="dxa"/>
            <w:gridSpan w:val="3"/>
            <w:vAlign w:val="center"/>
          </w:tcPr>
          <w:p>
            <w:pPr>
              <w:pStyle w:val="64"/>
              <w:rPr>
                <w:rFonts w:hAnsi="宋体"/>
                <w:highlight w:val="none"/>
              </w:rPr>
            </w:pPr>
            <w:r>
              <w:rPr>
                <w:rFonts w:hAnsi="宋体"/>
                <w:spacing w:val="-1"/>
                <w:highlight w:val="none"/>
              </w:rPr>
              <w:t>情</w:t>
            </w:r>
            <w:r>
              <w:rPr>
                <w:rFonts w:hAnsi="宋体"/>
                <w:highlight w:val="none"/>
              </w:rPr>
              <w:t>形</w:t>
            </w:r>
          </w:p>
        </w:tc>
        <w:tc>
          <w:tcPr>
            <w:tcW w:w="2072" w:type="dxa"/>
            <w:vMerge w:val="restart"/>
            <w:vAlign w:val="center"/>
          </w:tcPr>
          <w:p>
            <w:pPr>
              <w:pStyle w:val="64"/>
              <w:rPr>
                <w:rFonts w:hAnsi="宋体"/>
                <w:highlight w:val="none"/>
              </w:rPr>
            </w:pPr>
            <w:r>
              <w:rPr>
                <w:rFonts w:hAnsi="宋体"/>
                <w:spacing w:val="-1"/>
                <w:highlight w:val="none"/>
              </w:rPr>
              <w:t>环</w:t>
            </w:r>
            <w:r>
              <w:rPr>
                <w:rFonts w:hAnsi="宋体"/>
                <w:spacing w:val="2"/>
                <w:highlight w:val="none"/>
              </w:rPr>
              <w:t>境</w:t>
            </w:r>
            <w:r>
              <w:rPr>
                <w:rFonts w:hAnsi="宋体"/>
                <w:spacing w:val="-1"/>
                <w:highlight w:val="none"/>
              </w:rPr>
              <w:t>风</w:t>
            </w:r>
            <w:r>
              <w:rPr>
                <w:rFonts w:hAnsi="宋体"/>
                <w:spacing w:val="2"/>
                <w:highlight w:val="none"/>
              </w:rPr>
              <w:t>险</w:t>
            </w:r>
            <w:r>
              <w:rPr>
                <w:rFonts w:hAnsi="宋体"/>
                <w:spacing w:val="-1"/>
                <w:highlight w:val="none"/>
              </w:rPr>
              <w:t>等</w:t>
            </w:r>
            <w:r>
              <w:rPr>
                <w:rFonts w:hAnsi="宋体"/>
                <w:highlight w:val="none"/>
              </w:rPr>
              <w:t>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Merge w:val="continue"/>
            <w:vAlign w:val="center"/>
          </w:tcPr>
          <w:p>
            <w:pPr>
              <w:pStyle w:val="64"/>
              <w:rPr>
                <w:rFonts w:hAnsi="宋体"/>
                <w:sz w:val="22"/>
                <w:highlight w:val="none"/>
              </w:rPr>
            </w:pPr>
          </w:p>
        </w:tc>
        <w:tc>
          <w:tcPr>
            <w:tcW w:w="2069" w:type="dxa"/>
            <w:vAlign w:val="center"/>
          </w:tcPr>
          <w:p>
            <w:pPr>
              <w:pStyle w:val="64"/>
              <w:rPr>
                <w:rFonts w:hAnsi="宋体"/>
                <w:highlight w:val="none"/>
              </w:rPr>
            </w:pPr>
            <w:r>
              <w:rPr>
                <w:rFonts w:hAnsi="宋体"/>
                <w:spacing w:val="-1"/>
                <w:highlight w:val="none"/>
              </w:rPr>
              <w:t>环</w:t>
            </w:r>
            <w:r>
              <w:rPr>
                <w:rFonts w:hAnsi="宋体"/>
                <w:spacing w:val="2"/>
                <w:highlight w:val="none"/>
              </w:rPr>
              <w:t>境</w:t>
            </w:r>
            <w:r>
              <w:rPr>
                <w:rFonts w:hAnsi="宋体"/>
                <w:spacing w:val="-1"/>
                <w:highlight w:val="none"/>
              </w:rPr>
              <w:t>危</w:t>
            </w:r>
            <w:r>
              <w:rPr>
                <w:rFonts w:hAnsi="宋体"/>
                <w:spacing w:val="2"/>
                <w:highlight w:val="none"/>
              </w:rPr>
              <w:t>害</w:t>
            </w:r>
            <w:r>
              <w:rPr>
                <w:rFonts w:hAnsi="宋体"/>
                <w:spacing w:val="-1"/>
                <w:highlight w:val="none"/>
              </w:rPr>
              <w:t>性</w:t>
            </w:r>
            <w:r>
              <w:rPr>
                <w:rFonts w:hAnsi="宋体"/>
                <w:spacing w:val="2"/>
                <w:highlight w:val="none"/>
              </w:rPr>
              <w:t>（</w:t>
            </w:r>
            <w:r>
              <w:rPr>
                <w:rFonts w:hAnsi="宋体"/>
                <w:spacing w:val="1"/>
                <w:highlight w:val="none"/>
              </w:rPr>
              <w:t>H</w:t>
            </w:r>
            <w:r>
              <w:rPr>
                <w:rFonts w:hAnsi="宋体"/>
                <w:highlight w:val="none"/>
              </w:rPr>
              <w:t>）</w:t>
            </w:r>
          </w:p>
        </w:tc>
        <w:tc>
          <w:tcPr>
            <w:tcW w:w="2069" w:type="dxa"/>
            <w:vAlign w:val="center"/>
          </w:tcPr>
          <w:p>
            <w:pPr>
              <w:pStyle w:val="64"/>
              <w:rPr>
                <w:rFonts w:hAnsi="宋体"/>
                <w:highlight w:val="none"/>
              </w:rPr>
            </w:pPr>
            <w:r>
              <w:rPr>
                <w:rFonts w:hAnsi="宋体"/>
                <w:spacing w:val="-1"/>
                <w:w w:val="95"/>
                <w:highlight w:val="none"/>
              </w:rPr>
              <w:t>周</w:t>
            </w:r>
            <w:r>
              <w:rPr>
                <w:rFonts w:hAnsi="宋体"/>
                <w:spacing w:val="1"/>
                <w:w w:val="95"/>
                <w:highlight w:val="none"/>
              </w:rPr>
              <w:t>边</w:t>
            </w:r>
            <w:r>
              <w:rPr>
                <w:rFonts w:hAnsi="宋体"/>
                <w:spacing w:val="-1"/>
                <w:w w:val="95"/>
                <w:highlight w:val="none"/>
              </w:rPr>
              <w:t>环</w:t>
            </w:r>
            <w:r>
              <w:rPr>
                <w:rFonts w:hAnsi="宋体"/>
                <w:spacing w:val="1"/>
                <w:w w:val="95"/>
                <w:highlight w:val="none"/>
              </w:rPr>
              <w:t>境</w:t>
            </w:r>
            <w:r>
              <w:rPr>
                <w:rFonts w:hAnsi="宋体"/>
                <w:spacing w:val="-1"/>
                <w:w w:val="95"/>
                <w:highlight w:val="none"/>
              </w:rPr>
              <w:t>敏</w:t>
            </w:r>
            <w:r>
              <w:rPr>
                <w:rFonts w:hAnsi="宋体"/>
                <w:spacing w:val="1"/>
                <w:w w:val="95"/>
                <w:highlight w:val="none"/>
              </w:rPr>
              <w:t>感</w:t>
            </w:r>
            <w:r>
              <w:rPr>
                <w:rFonts w:hAnsi="宋体"/>
                <w:spacing w:val="-61"/>
                <w:w w:val="95"/>
                <w:highlight w:val="none"/>
              </w:rPr>
              <w:t>性</w:t>
            </w:r>
            <w:r>
              <w:rPr>
                <w:rFonts w:hAnsi="宋体"/>
                <w:spacing w:val="1"/>
                <w:w w:val="95"/>
                <w:highlight w:val="none"/>
              </w:rPr>
              <w:t>（</w:t>
            </w:r>
            <w:r>
              <w:rPr>
                <w:rFonts w:hAnsi="宋体"/>
                <w:w w:val="95"/>
                <w:highlight w:val="none"/>
              </w:rPr>
              <w:t>S）</w:t>
            </w:r>
          </w:p>
        </w:tc>
        <w:tc>
          <w:tcPr>
            <w:tcW w:w="2071" w:type="dxa"/>
            <w:vAlign w:val="center"/>
          </w:tcPr>
          <w:p>
            <w:pPr>
              <w:pStyle w:val="64"/>
              <w:rPr>
                <w:rFonts w:hAnsi="宋体"/>
                <w:highlight w:val="none"/>
              </w:rPr>
            </w:pPr>
            <w:r>
              <w:rPr>
                <w:rFonts w:hAnsi="宋体"/>
                <w:spacing w:val="-1"/>
                <w:w w:val="95"/>
                <w:highlight w:val="none"/>
              </w:rPr>
              <w:t>控</w:t>
            </w:r>
            <w:r>
              <w:rPr>
                <w:rFonts w:hAnsi="宋体"/>
                <w:spacing w:val="1"/>
                <w:w w:val="95"/>
                <w:highlight w:val="none"/>
              </w:rPr>
              <w:t>制</w:t>
            </w:r>
            <w:r>
              <w:rPr>
                <w:rFonts w:hAnsi="宋体"/>
                <w:spacing w:val="-1"/>
                <w:w w:val="95"/>
                <w:highlight w:val="none"/>
              </w:rPr>
              <w:t>机</w:t>
            </w:r>
            <w:r>
              <w:rPr>
                <w:rFonts w:hAnsi="宋体"/>
                <w:spacing w:val="1"/>
                <w:w w:val="95"/>
                <w:highlight w:val="none"/>
              </w:rPr>
              <w:t>制</w:t>
            </w:r>
            <w:r>
              <w:rPr>
                <w:rFonts w:hAnsi="宋体"/>
                <w:spacing w:val="-1"/>
                <w:w w:val="95"/>
                <w:highlight w:val="none"/>
              </w:rPr>
              <w:t>可</w:t>
            </w:r>
            <w:r>
              <w:rPr>
                <w:rFonts w:hAnsi="宋体"/>
                <w:spacing w:val="1"/>
                <w:w w:val="95"/>
                <w:highlight w:val="none"/>
              </w:rPr>
              <w:t>靠</w:t>
            </w:r>
            <w:r>
              <w:rPr>
                <w:rFonts w:hAnsi="宋体"/>
                <w:spacing w:val="-59"/>
                <w:w w:val="95"/>
                <w:highlight w:val="none"/>
              </w:rPr>
              <w:t>性</w:t>
            </w:r>
            <w:r>
              <w:rPr>
                <w:rFonts w:hAnsi="宋体"/>
                <w:spacing w:val="-1"/>
                <w:w w:val="95"/>
                <w:highlight w:val="none"/>
              </w:rPr>
              <w:t>（</w:t>
            </w:r>
            <w:r>
              <w:rPr>
                <w:rFonts w:hAnsi="宋体"/>
                <w:w w:val="95"/>
                <w:highlight w:val="none"/>
              </w:rPr>
              <w:t>R）</w:t>
            </w:r>
          </w:p>
        </w:tc>
        <w:tc>
          <w:tcPr>
            <w:tcW w:w="2072" w:type="dxa"/>
            <w:vMerge w:val="continue"/>
            <w:vAlign w:val="center"/>
          </w:tcPr>
          <w:p>
            <w:pPr>
              <w:pStyle w:val="64"/>
              <w:rPr>
                <w:rFonts w:hAnsi="宋体"/>
                <w:sz w:val="22"/>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1</w:t>
            </w:r>
          </w:p>
        </w:tc>
        <w:tc>
          <w:tcPr>
            <w:tcW w:w="2069" w:type="dxa"/>
            <w:vMerge w:val="restart"/>
            <w:vAlign w:val="center"/>
          </w:tcPr>
          <w:p>
            <w:pPr>
              <w:pStyle w:val="64"/>
              <w:rPr>
                <w:rFonts w:hAnsi="宋体"/>
                <w:highlight w:val="none"/>
              </w:rPr>
            </w:pPr>
            <w:r>
              <w:rPr>
                <w:rFonts w:hAnsi="宋体"/>
                <w:spacing w:val="1"/>
                <w:highlight w:val="none"/>
              </w:rPr>
              <w:t>H</w:t>
            </w:r>
            <w:r>
              <w:rPr>
                <w:rFonts w:hAnsi="宋体"/>
                <w:highlight w:val="none"/>
              </w:rPr>
              <w:t>1</w:t>
            </w: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1</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重</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highlight w:val="none"/>
              </w:rPr>
              <w:t>2</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重</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3</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4</w:t>
            </w:r>
          </w:p>
        </w:tc>
        <w:tc>
          <w:tcPr>
            <w:tcW w:w="2069" w:type="dxa"/>
            <w:vMerge w:val="continue"/>
            <w:vAlign w:val="center"/>
          </w:tcPr>
          <w:p>
            <w:pPr>
              <w:pStyle w:val="64"/>
              <w:rPr>
                <w:rFonts w:hAnsi="宋体"/>
                <w:sz w:val="22"/>
                <w:highlight w:val="none"/>
              </w:rPr>
            </w:pP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2</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重</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5</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highlight w:val="none"/>
              </w:rPr>
              <w:t>6</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7</w:t>
            </w:r>
          </w:p>
        </w:tc>
        <w:tc>
          <w:tcPr>
            <w:tcW w:w="2069" w:type="dxa"/>
            <w:vMerge w:val="continue"/>
            <w:vAlign w:val="center"/>
          </w:tcPr>
          <w:p>
            <w:pPr>
              <w:pStyle w:val="64"/>
              <w:rPr>
                <w:rFonts w:hAnsi="宋体"/>
                <w:sz w:val="22"/>
                <w:highlight w:val="none"/>
              </w:rPr>
            </w:pP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3</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重</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8</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highlight w:val="none"/>
              </w:rPr>
              <w:t>9</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spacing w:val="1"/>
                <w:highlight w:val="none"/>
              </w:rPr>
              <w:t>1</w:t>
            </w:r>
            <w:r>
              <w:rPr>
                <w:rFonts w:hAnsi="宋体"/>
                <w:highlight w:val="none"/>
              </w:rPr>
              <w:t>0</w:t>
            </w:r>
          </w:p>
        </w:tc>
        <w:tc>
          <w:tcPr>
            <w:tcW w:w="2069" w:type="dxa"/>
            <w:vMerge w:val="restart"/>
            <w:vAlign w:val="center"/>
          </w:tcPr>
          <w:p>
            <w:pPr>
              <w:pStyle w:val="64"/>
              <w:rPr>
                <w:rFonts w:hAnsi="宋体"/>
                <w:highlight w:val="none"/>
              </w:rPr>
            </w:pPr>
            <w:r>
              <w:rPr>
                <w:rFonts w:hAnsi="宋体"/>
                <w:spacing w:val="1"/>
                <w:highlight w:val="none"/>
              </w:rPr>
              <w:t>H</w:t>
            </w:r>
            <w:r>
              <w:rPr>
                <w:rFonts w:hAnsi="宋体"/>
                <w:highlight w:val="none"/>
              </w:rPr>
              <w:t>2</w:t>
            </w: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1</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重</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1</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2</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3</w:t>
            </w:r>
          </w:p>
        </w:tc>
        <w:tc>
          <w:tcPr>
            <w:tcW w:w="2069" w:type="dxa"/>
            <w:vMerge w:val="continue"/>
            <w:vAlign w:val="center"/>
          </w:tcPr>
          <w:p>
            <w:pPr>
              <w:pStyle w:val="64"/>
              <w:rPr>
                <w:rFonts w:hAnsi="宋体"/>
                <w:sz w:val="22"/>
                <w:highlight w:val="none"/>
              </w:rPr>
            </w:pP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2</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spacing w:val="1"/>
                <w:highlight w:val="none"/>
              </w:rPr>
              <w:t>1</w:t>
            </w:r>
            <w:r>
              <w:rPr>
                <w:rFonts w:hAnsi="宋体"/>
                <w:highlight w:val="none"/>
              </w:rPr>
              <w:t>4</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5</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6</w:t>
            </w:r>
          </w:p>
        </w:tc>
        <w:tc>
          <w:tcPr>
            <w:tcW w:w="2069" w:type="dxa"/>
            <w:vMerge w:val="continue"/>
            <w:vAlign w:val="center"/>
          </w:tcPr>
          <w:p>
            <w:pPr>
              <w:pStyle w:val="64"/>
              <w:rPr>
                <w:rFonts w:hAnsi="宋体"/>
                <w:sz w:val="22"/>
                <w:highlight w:val="none"/>
              </w:rPr>
            </w:pP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3</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7</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spacing w:val="1"/>
                <w:highlight w:val="none"/>
              </w:rPr>
              <w:t>1</w:t>
            </w:r>
            <w:r>
              <w:rPr>
                <w:rFonts w:hAnsi="宋体"/>
                <w:highlight w:val="none"/>
              </w:rPr>
              <w:t>8</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1</w:t>
            </w:r>
            <w:r>
              <w:rPr>
                <w:rFonts w:hAnsi="宋体"/>
                <w:highlight w:val="none"/>
              </w:rPr>
              <w:t>9</w:t>
            </w:r>
          </w:p>
        </w:tc>
        <w:tc>
          <w:tcPr>
            <w:tcW w:w="2069" w:type="dxa"/>
            <w:vMerge w:val="restart"/>
            <w:vAlign w:val="center"/>
          </w:tcPr>
          <w:p>
            <w:pPr>
              <w:pStyle w:val="64"/>
              <w:rPr>
                <w:rFonts w:hAnsi="宋体"/>
                <w:highlight w:val="none"/>
              </w:rPr>
            </w:pPr>
            <w:r>
              <w:rPr>
                <w:rFonts w:hAnsi="宋体"/>
                <w:spacing w:val="1"/>
                <w:highlight w:val="none"/>
              </w:rPr>
              <w:t>H</w:t>
            </w:r>
            <w:r>
              <w:rPr>
                <w:rFonts w:hAnsi="宋体"/>
                <w:highlight w:val="none"/>
              </w:rPr>
              <w:t>3</w:t>
            </w: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1</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2</w:t>
            </w:r>
            <w:r>
              <w:rPr>
                <w:rFonts w:hAnsi="宋体"/>
                <w:highlight w:val="none"/>
              </w:rPr>
              <w:t>0</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较</w:t>
            </w:r>
            <w:r>
              <w:rPr>
                <w:rFonts w:hAnsi="宋体"/>
                <w:highlight w:val="none"/>
              </w:rPr>
              <w:t>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2</w:t>
            </w:r>
            <w:r>
              <w:rPr>
                <w:rFonts w:hAnsi="宋体"/>
                <w:highlight w:val="none"/>
              </w:rPr>
              <w:t>1</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spacing w:val="1"/>
                <w:highlight w:val="none"/>
              </w:rPr>
              <w:t>2</w:t>
            </w:r>
            <w:r>
              <w:rPr>
                <w:rFonts w:hAnsi="宋体"/>
                <w:highlight w:val="none"/>
              </w:rPr>
              <w:t>2</w:t>
            </w:r>
          </w:p>
        </w:tc>
        <w:tc>
          <w:tcPr>
            <w:tcW w:w="2069" w:type="dxa"/>
            <w:vMerge w:val="continue"/>
            <w:vAlign w:val="center"/>
          </w:tcPr>
          <w:p>
            <w:pPr>
              <w:pStyle w:val="64"/>
              <w:rPr>
                <w:rFonts w:hAnsi="宋体"/>
                <w:sz w:val="22"/>
                <w:highlight w:val="none"/>
              </w:rPr>
            </w:pP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2</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2</w:t>
            </w:r>
            <w:r>
              <w:rPr>
                <w:rFonts w:hAnsi="宋体"/>
                <w:highlight w:val="none"/>
              </w:rPr>
              <w:t>3</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2</w:t>
            </w:r>
            <w:r>
              <w:rPr>
                <w:rFonts w:hAnsi="宋体"/>
                <w:highlight w:val="none"/>
              </w:rPr>
              <w:t>4</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2</w:t>
            </w:r>
            <w:r>
              <w:rPr>
                <w:rFonts w:hAnsi="宋体"/>
                <w:highlight w:val="none"/>
              </w:rPr>
              <w:t>5</w:t>
            </w:r>
          </w:p>
        </w:tc>
        <w:tc>
          <w:tcPr>
            <w:tcW w:w="2069" w:type="dxa"/>
            <w:vMerge w:val="continue"/>
            <w:vAlign w:val="center"/>
          </w:tcPr>
          <w:p>
            <w:pPr>
              <w:pStyle w:val="64"/>
              <w:rPr>
                <w:rFonts w:hAnsi="宋体"/>
                <w:sz w:val="22"/>
                <w:highlight w:val="none"/>
              </w:rPr>
            </w:pPr>
          </w:p>
        </w:tc>
        <w:tc>
          <w:tcPr>
            <w:tcW w:w="2069" w:type="dxa"/>
            <w:vMerge w:val="restart"/>
            <w:vAlign w:val="center"/>
          </w:tcPr>
          <w:p>
            <w:pPr>
              <w:pStyle w:val="64"/>
              <w:rPr>
                <w:rFonts w:hAnsi="宋体"/>
                <w:highlight w:val="none"/>
              </w:rPr>
            </w:pPr>
            <w:r>
              <w:rPr>
                <w:rFonts w:hAnsi="宋体"/>
                <w:spacing w:val="1"/>
                <w:highlight w:val="none"/>
              </w:rPr>
              <w:t>S</w:t>
            </w:r>
            <w:r>
              <w:rPr>
                <w:rFonts w:hAnsi="宋体"/>
                <w:highlight w:val="none"/>
              </w:rPr>
              <w:t>3</w:t>
            </w:r>
          </w:p>
        </w:tc>
        <w:tc>
          <w:tcPr>
            <w:tcW w:w="2071" w:type="dxa"/>
            <w:vAlign w:val="center"/>
          </w:tcPr>
          <w:p>
            <w:pPr>
              <w:pStyle w:val="64"/>
              <w:rPr>
                <w:rFonts w:hAnsi="宋体"/>
                <w:highlight w:val="none"/>
              </w:rPr>
            </w:pPr>
            <w:r>
              <w:rPr>
                <w:rFonts w:hAnsi="宋体"/>
                <w:spacing w:val="1"/>
                <w:highlight w:val="none"/>
              </w:rPr>
              <w:t>R</w:t>
            </w:r>
            <w:r>
              <w:rPr>
                <w:rFonts w:hAnsi="宋体"/>
                <w:highlight w:val="none"/>
              </w:rPr>
              <w:t>1</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897" w:type="dxa"/>
            <w:vAlign w:val="center"/>
          </w:tcPr>
          <w:p>
            <w:pPr>
              <w:pStyle w:val="64"/>
              <w:rPr>
                <w:rFonts w:hAnsi="宋体"/>
                <w:highlight w:val="none"/>
              </w:rPr>
            </w:pPr>
            <w:r>
              <w:rPr>
                <w:rFonts w:hAnsi="宋体"/>
                <w:spacing w:val="1"/>
                <w:highlight w:val="none"/>
              </w:rPr>
              <w:t>2</w:t>
            </w:r>
            <w:r>
              <w:rPr>
                <w:rFonts w:hAnsi="宋体"/>
                <w:highlight w:val="none"/>
              </w:rPr>
              <w:t>6</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2</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97" w:type="dxa"/>
            <w:vAlign w:val="center"/>
          </w:tcPr>
          <w:p>
            <w:pPr>
              <w:pStyle w:val="64"/>
              <w:rPr>
                <w:rFonts w:hAnsi="宋体"/>
                <w:highlight w:val="none"/>
              </w:rPr>
            </w:pPr>
            <w:r>
              <w:rPr>
                <w:rFonts w:hAnsi="宋体"/>
                <w:spacing w:val="1"/>
                <w:highlight w:val="none"/>
              </w:rPr>
              <w:t>2</w:t>
            </w:r>
            <w:r>
              <w:rPr>
                <w:rFonts w:hAnsi="宋体"/>
                <w:highlight w:val="none"/>
              </w:rPr>
              <w:t>7</w:t>
            </w:r>
          </w:p>
        </w:tc>
        <w:tc>
          <w:tcPr>
            <w:tcW w:w="2069" w:type="dxa"/>
            <w:vMerge w:val="continue"/>
            <w:vAlign w:val="center"/>
          </w:tcPr>
          <w:p>
            <w:pPr>
              <w:pStyle w:val="64"/>
              <w:rPr>
                <w:rFonts w:hAnsi="宋体"/>
                <w:sz w:val="22"/>
                <w:highlight w:val="none"/>
              </w:rPr>
            </w:pPr>
          </w:p>
        </w:tc>
        <w:tc>
          <w:tcPr>
            <w:tcW w:w="2069" w:type="dxa"/>
            <w:vMerge w:val="continue"/>
            <w:vAlign w:val="center"/>
          </w:tcPr>
          <w:p>
            <w:pPr>
              <w:pStyle w:val="64"/>
              <w:rPr>
                <w:rFonts w:hAnsi="宋体"/>
                <w:sz w:val="22"/>
                <w:highlight w:val="none"/>
              </w:rPr>
            </w:pPr>
          </w:p>
        </w:tc>
        <w:tc>
          <w:tcPr>
            <w:tcW w:w="2071" w:type="dxa"/>
            <w:vAlign w:val="center"/>
          </w:tcPr>
          <w:p>
            <w:pPr>
              <w:pStyle w:val="64"/>
              <w:rPr>
                <w:rFonts w:hAnsi="宋体"/>
                <w:highlight w:val="none"/>
              </w:rPr>
            </w:pPr>
            <w:r>
              <w:rPr>
                <w:rFonts w:hAnsi="宋体"/>
                <w:spacing w:val="1"/>
                <w:highlight w:val="none"/>
              </w:rPr>
              <w:t>R</w:t>
            </w:r>
            <w:r>
              <w:rPr>
                <w:rFonts w:hAnsi="宋体"/>
                <w:highlight w:val="none"/>
              </w:rPr>
              <w:t>3</w:t>
            </w:r>
          </w:p>
        </w:tc>
        <w:tc>
          <w:tcPr>
            <w:tcW w:w="2072" w:type="dxa"/>
            <w:vAlign w:val="center"/>
          </w:tcPr>
          <w:p>
            <w:pPr>
              <w:pStyle w:val="64"/>
              <w:rPr>
                <w:rFonts w:hAnsi="宋体"/>
                <w:highlight w:val="none"/>
              </w:rPr>
            </w:pPr>
            <w:r>
              <w:rPr>
                <w:rFonts w:hAnsi="宋体"/>
                <w:spacing w:val="-1"/>
                <w:highlight w:val="none"/>
              </w:rPr>
              <w:t>一</w:t>
            </w:r>
            <w:r>
              <w:rPr>
                <w:rFonts w:hAnsi="宋体"/>
                <w:highlight w:val="none"/>
              </w:rPr>
              <w:t>般</w:t>
            </w:r>
          </w:p>
        </w:tc>
      </w:tr>
    </w:tbl>
    <w:p>
      <w:pPr>
        <w:pStyle w:val="62"/>
        <w:ind w:firstLine="480"/>
        <w:rPr>
          <w:rFonts w:hAnsi="宋体"/>
          <w:kern w:val="0"/>
          <w:sz w:val="13"/>
          <w:szCs w:val="13"/>
          <w:highlight w:val="none"/>
        </w:rPr>
      </w:pPr>
      <w:r>
        <w:rPr>
          <w:rFonts w:hAnsi="宋体"/>
          <w:highlight w:val="none"/>
        </w:rPr>
        <w:t>根据前文分析，本项目尾矿库环境危害性为</w:t>
      </w:r>
      <w:r>
        <w:rPr>
          <w:rFonts w:hAnsi="宋体" w:cs="hakuyoxingshu7000"/>
          <w:spacing w:val="-1"/>
          <w:highlight w:val="none"/>
        </w:rPr>
        <w:t>H</w:t>
      </w:r>
      <w:r>
        <w:rPr>
          <w:rFonts w:hAnsi="宋体" w:cs="hakuyoxingshu7000"/>
          <w:highlight w:val="none"/>
        </w:rPr>
        <w:t>3</w:t>
      </w:r>
      <w:r>
        <w:rPr>
          <w:rFonts w:hAnsi="宋体"/>
          <w:highlight w:val="none"/>
        </w:rPr>
        <w:t>，周边环境敏感性为</w:t>
      </w:r>
      <w:r>
        <w:rPr>
          <w:rFonts w:hAnsi="宋体" w:cs="hakuyoxingshu7000"/>
          <w:highlight w:val="none"/>
        </w:rPr>
        <w:t>S3</w:t>
      </w:r>
      <w:r>
        <w:rPr>
          <w:rFonts w:hAnsi="宋体"/>
          <w:highlight w:val="none"/>
        </w:rPr>
        <w:t>，控制机制可靠性为</w:t>
      </w:r>
      <w:r>
        <w:rPr>
          <w:rFonts w:hAnsi="宋体" w:cs="hakuyoxingshu7000"/>
          <w:highlight w:val="none"/>
        </w:rPr>
        <w:t>R</w:t>
      </w:r>
      <w:r>
        <w:rPr>
          <w:rFonts w:hAnsi="宋体" w:cs="hakuyoxingshu7000"/>
          <w:spacing w:val="-3"/>
          <w:highlight w:val="none"/>
        </w:rPr>
        <w:t>3</w:t>
      </w:r>
      <w:r>
        <w:rPr>
          <w:rFonts w:hAnsi="宋体"/>
          <w:spacing w:val="-34"/>
          <w:highlight w:val="none"/>
        </w:rPr>
        <w:t>，</w:t>
      </w:r>
      <w:r>
        <w:rPr>
          <w:rFonts w:hAnsi="宋体"/>
          <w:highlight w:val="none"/>
        </w:rPr>
        <w:t>根据上表判据知</w:t>
      </w:r>
      <w:r>
        <w:rPr>
          <w:rFonts w:hAnsi="宋体"/>
          <w:spacing w:val="-34"/>
          <w:highlight w:val="none"/>
        </w:rPr>
        <w:t>，</w:t>
      </w:r>
      <w:r>
        <w:rPr>
          <w:rFonts w:hAnsi="宋体"/>
          <w:highlight w:val="none"/>
        </w:rPr>
        <w:t>本项目尾矿库环境风险等级为一般。</w:t>
      </w:r>
    </w:p>
    <w:p>
      <w:pPr>
        <w:keepNext/>
        <w:keepLines/>
        <w:ind w:firstLine="480"/>
        <w:outlineLvl w:val="3"/>
        <w:rPr>
          <w:rFonts w:ascii="宋体" w:hAnsi="宋体"/>
          <w:bCs/>
          <w:szCs w:val="28"/>
          <w:highlight w:val="none"/>
        </w:rPr>
      </w:pPr>
      <w:r>
        <w:rPr>
          <w:rFonts w:ascii="宋体" w:hAnsi="宋体"/>
          <w:bCs/>
          <w:szCs w:val="28"/>
          <w:highlight w:val="none"/>
        </w:rPr>
        <w:t>5.7.5.</w:t>
      </w:r>
      <w:r>
        <w:rPr>
          <w:rFonts w:hint="eastAsia" w:ascii="宋体" w:hAnsi="宋体"/>
          <w:bCs/>
          <w:szCs w:val="28"/>
          <w:highlight w:val="none"/>
        </w:rPr>
        <w:t>5</w:t>
      </w:r>
      <w:r>
        <w:rPr>
          <w:rFonts w:ascii="宋体" w:hAnsi="宋体"/>
          <w:bCs/>
          <w:szCs w:val="28"/>
          <w:highlight w:val="none"/>
        </w:rPr>
        <w:t>环境风险分析</w:t>
      </w:r>
    </w:p>
    <w:p>
      <w:pPr>
        <w:pStyle w:val="62"/>
        <w:ind w:firstLine="480"/>
        <w:rPr>
          <w:rFonts w:hAnsi="宋体"/>
          <w:highlight w:val="none"/>
        </w:rPr>
      </w:pPr>
      <w:r>
        <w:rPr>
          <w:rFonts w:hAnsi="宋体"/>
          <w:highlight w:val="none"/>
        </w:rPr>
        <w:t>本项目尾矿库处置主要为选矿尾砂</w:t>
      </w:r>
      <w:r>
        <w:rPr>
          <w:rFonts w:hAnsi="宋体"/>
          <w:spacing w:val="-46"/>
          <w:highlight w:val="none"/>
        </w:rPr>
        <w:t>，</w:t>
      </w:r>
      <w:r>
        <w:rPr>
          <w:rFonts w:hAnsi="宋体"/>
          <w:highlight w:val="none"/>
        </w:rPr>
        <w:t>以尾砂为主</w:t>
      </w:r>
      <w:r>
        <w:rPr>
          <w:rFonts w:hAnsi="宋体"/>
          <w:spacing w:val="-44"/>
          <w:highlight w:val="none"/>
        </w:rPr>
        <w:t>，</w:t>
      </w:r>
      <w:r>
        <w:rPr>
          <w:rFonts w:hAnsi="宋体"/>
          <w:highlight w:val="none"/>
        </w:rPr>
        <w:t>尾矿库拦渣坝溃坝使尾矿库失去稳定性，形成崩塌和滑坡，为泥石流储备了丰富的松散固体物质，当暴雨来临时</w:t>
      </w:r>
      <w:r>
        <w:rPr>
          <w:rFonts w:hAnsi="宋体"/>
          <w:spacing w:val="-46"/>
          <w:highlight w:val="none"/>
        </w:rPr>
        <w:t>，</w:t>
      </w:r>
      <w:r>
        <w:rPr>
          <w:rFonts w:hAnsi="宋体"/>
          <w:highlight w:val="none"/>
        </w:rPr>
        <w:t>便形成泥石流</w:t>
      </w:r>
      <w:r>
        <w:rPr>
          <w:rFonts w:hAnsi="宋体"/>
          <w:spacing w:val="-44"/>
          <w:highlight w:val="none"/>
        </w:rPr>
        <w:t>。</w:t>
      </w:r>
      <w:r>
        <w:rPr>
          <w:rFonts w:hAnsi="宋体"/>
          <w:highlight w:val="none"/>
        </w:rPr>
        <w:t>尾矿库溃坝后堆积物向外蔓延最大影响范围采用下述经验公式计算：</w:t>
      </w:r>
    </w:p>
    <w:p>
      <w:pPr>
        <w:spacing w:line="353" w:lineRule="auto"/>
        <w:ind w:right="51" w:firstLine="0" w:firstLineChars="0"/>
        <w:jc w:val="center"/>
        <w:rPr>
          <w:rFonts w:ascii="宋体" w:hAnsi="宋体"/>
          <w:kern w:val="0"/>
          <w:highlight w:val="none"/>
        </w:rPr>
      </w:pPr>
      <w:r>
        <w:rPr>
          <w:rFonts w:ascii="宋体" w:hAnsi="宋体"/>
          <w:highlight w:val="none"/>
        </w:rPr>
        <w:drawing>
          <wp:inline distT="0" distB="0" distL="0" distR="0">
            <wp:extent cx="1927860" cy="541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a:stretch>
                      <a:fillRect/>
                    </a:stretch>
                  </pic:blipFill>
                  <pic:spPr>
                    <a:xfrm>
                      <a:off x="0" y="0"/>
                      <a:ext cx="1928027" cy="541067"/>
                    </a:xfrm>
                    <a:prstGeom prst="rect">
                      <a:avLst/>
                    </a:prstGeom>
                  </pic:spPr>
                </pic:pic>
              </a:graphicData>
            </a:graphic>
          </wp:inline>
        </w:drawing>
      </w:r>
    </w:p>
    <w:p>
      <w:pPr>
        <w:pStyle w:val="62"/>
        <w:ind w:firstLine="480"/>
        <w:rPr>
          <w:rFonts w:hAnsi="宋体"/>
          <w:highlight w:val="none"/>
        </w:rPr>
      </w:pPr>
      <w:r>
        <w:rPr>
          <w:rFonts w:hint="eastAsia" w:hAnsi="宋体"/>
          <w:highlight w:val="none"/>
        </w:rPr>
        <w:t>式中：r——扩散半径，m。</w:t>
      </w:r>
    </w:p>
    <w:p>
      <w:pPr>
        <w:pStyle w:val="62"/>
        <w:ind w:firstLine="1080" w:firstLineChars="450"/>
        <w:rPr>
          <w:rFonts w:hAnsi="宋体"/>
          <w:highlight w:val="none"/>
        </w:rPr>
      </w:pPr>
      <w:r>
        <w:rPr>
          <w:rFonts w:hint="eastAsia" w:hAnsi="宋体"/>
          <w:highlight w:val="none"/>
        </w:rPr>
        <w:t>ρ</w:t>
      </w:r>
      <w:r>
        <w:rPr>
          <w:rFonts w:hAnsi="宋体"/>
          <w:highlight w:val="none"/>
        </w:rPr>
        <w:t>——</w:t>
      </w:r>
      <w:r>
        <w:rPr>
          <w:rFonts w:hint="eastAsia" w:hAnsi="宋体"/>
          <w:highlight w:val="none"/>
        </w:rPr>
        <w:t>液体密度，取尾砂与暴雨混合密度1.15t/m</w:t>
      </w:r>
      <w:r>
        <w:rPr>
          <w:rFonts w:hint="eastAsia" w:hAnsi="宋体"/>
          <w:highlight w:val="none"/>
          <w:vertAlign w:val="superscript"/>
        </w:rPr>
        <w:t>3</w:t>
      </w:r>
      <w:r>
        <w:rPr>
          <w:rFonts w:hint="eastAsia" w:hAnsi="宋体"/>
          <w:highlight w:val="none"/>
        </w:rPr>
        <w:t>。</w:t>
      </w:r>
    </w:p>
    <w:p>
      <w:pPr>
        <w:pStyle w:val="62"/>
        <w:ind w:firstLine="1200" w:firstLineChars="500"/>
        <w:rPr>
          <w:rFonts w:hAnsi="宋体"/>
          <w:highlight w:val="none"/>
        </w:rPr>
      </w:pPr>
      <w:r>
        <w:rPr>
          <w:rFonts w:hint="eastAsia" w:hAnsi="宋体"/>
          <w:highlight w:val="none"/>
        </w:rPr>
        <w:t>t——时间（s），取5min。</w:t>
      </w:r>
    </w:p>
    <w:p>
      <w:pPr>
        <w:pStyle w:val="62"/>
        <w:ind w:firstLine="1200" w:firstLineChars="500"/>
        <w:rPr>
          <w:rFonts w:hAnsi="宋体"/>
          <w:highlight w:val="none"/>
        </w:rPr>
      </w:pPr>
      <w:r>
        <w:rPr>
          <w:rFonts w:hint="eastAsia" w:hAnsi="宋体"/>
          <w:highlight w:val="none"/>
        </w:rPr>
        <w:t>m——液体量，取尾矿库中尾砂与暴雨混合量约90620t。</w:t>
      </w:r>
    </w:p>
    <w:p>
      <w:pPr>
        <w:pStyle w:val="62"/>
        <w:ind w:firstLine="480"/>
        <w:rPr>
          <w:rFonts w:hAnsi="宋体"/>
          <w:highlight w:val="none"/>
        </w:rPr>
      </w:pPr>
      <w:r>
        <w:rPr>
          <w:rFonts w:hint="eastAsia" w:hAnsi="宋体"/>
          <w:highlight w:val="none"/>
        </w:rPr>
        <w:t>本项目位于繁峙县光裕堡乡富家庄村东南1.52km处，本项目周边地势平坦，大部分区域为农田。尾矿库上游汇水面积为1.97hm</w:t>
      </w:r>
      <w:r>
        <w:rPr>
          <w:rFonts w:hint="eastAsia" w:hAnsi="宋体"/>
          <w:highlight w:val="none"/>
          <w:vertAlign w:val="superscript"/>
        </w:rPr>
        <w:t>2</w:t>
      </w:r>
      <w:r>
        <w:rPr>
          <w:rFonts w:hint="eastAsia" w:hAnsi="宋体"/>
          <w:highlight w:val="none"/>
        </w:rPr>
        <w:t>。经查阅繁峙地区气象水文资料，尾矿库内部径流系统采用非铺砌土地面，径流系数选取0.3，暴雨强度取50年一遇。经计算，最大暴雨流量为0.365m</w:t>
      </w:r>
      <w:r>
        <w:rPr>
          <w:rFonts w:hint="eastAsia" w:hAnsi="宋体"/>
          <w:highlight w:val="none"/>
          <w:vertAlign w:val="superscript"/>
        </w:rPr>
        <w:t>3</w:t>
      </w:r>
      <w:r>
        <w:rPr>
          <w:rFonts w:hint="eastAsia" w:hAnsi="宋体"/>
          <w:highlight w:val="none"/>
        </w:rPr>
        <w:t>/s，代入上面公式。</w:t>
      </w:r>
    </w:p>
    <w:p>
      <w:pPr>
        <w:pStyle w:val="62"/>
        <w:ind w:firstLine="480"/>
        <w:rPr>
          <w:rFonts w:hAnsi="宋体"/>
          <w:highlight w:val="none"/>
        </w:rPr>
      </w:pPr>
      <w:r>
        <w:rPr>
          <w:rFonts w:hint="eastAsia" w:hAnsi="宋体"/>
          <w:highlight w:val="none"/>
        </w:rPr>
        <w:t>经计算：β=0.00713</w:t>
      </w:r>
    </w:p>
    <w:p>
      <w:pPr>
        <w:pStyle w:val="62"/>
        <w:ind w:firstLine="480"/>
        <w:rPr>
          <w:rFonts w:hAnsi="宋体"/>
          <w:highlight w:val="none"/>
        </w:rPr>
      </w:pPr>
      <w:r>
        <w:rPr>
          <w:rFonts w:hint="eastAsia" w:hAnsi="宋体"/>
          <w:highlight w:val="none"/>
        </w:rPr>
        <w:t>得出项目渣库溃坝后，影响半径r为205.2m。</w:t>
      </w:r>
    </w:p>
    <w:p>
      <w:pPr>
        <w:pStyle w:val="62"/>
        <w:ind w:firstLine="480"/>
        <w:rPr>
          <w:rFonts w:hAnsi="宋体"/>
          <w:highlight w:val="none"/>
        </w:rPr>
      </w:pPr>
      <w:r>
        <w:rPr>
          <w:rFonts w:hAnsi="宋体"/>
          <w:highlight w:val="none"/>
        </w:rPr>
        <w:t>本项目尾矿库下游无村庄、重要公路和其他环境敏感目标存在，</w:t>
      </w:r>
      <w:r>
        <w:rPr>
          <w:rFonts w:hint="eastAsia" w:hAnsi="宋体"/>
          <w:highlight w:val="none"/>
        </w:rPr>
        <w:t>主要为农田，</w:t>
      </w:r>
      <w:r>
        <w:rPr>
          <w:rFonts w:hAnsi="宋体"/>
          <w:highlight w:val="none"/>
        </w:rPr>
        <w:t>距离滹沱河河道约</w:t>
      </w:r>
      <w:r>
        <w:rPr>
          <w:rFonts w:hint="eastAsia" w:hAnsi="宋体"/>
          <w:highlight w:val="none"/>
        </w:rPr>
        <w:t>1.57k</w:t>
      </w:r>
      <w:r>
        <w:rPr>
          <w:rFonts w:hAnsi="宋体"/>
          <w:highlight w:val="none"/>
        </w:rPr>
        <w:t>m，</w:t>
      </w:r>
      <w:r>
        <w:rPr>
          <w:rFonts w:hint="eastAsia" w:hAnsi="宋体"/>
          <w:highlight w:val="none"/>
        </w:rPr>
        <w:t>中间有155县道相隔。</w:t>
      </w:r>
      <w:r>
        <w:rPr>
          <w:rFonts w:hAnsi="宋体"/>
          <w:highlight w:val="none"/>
        </w:rPr>
        <w:t>因此，发生溃坝事故后，渣体不会冲入滹沱河河道。发生溃坝后只要采取措施及时清理，然后进行生态恢复，不会对环境造成永久性损害。但这一过程会加重水土流失和造成植被破坏，故必须委托有资质单位进行专门设计，采取严格的防范措施，避免溃坝事故的发生。</w:t>
      </w:r>
    </w:p>
    <w:p>
      <w:pPr>
        <w:keepNext/>
        <w:keepLines/>
        <w:ind w:firstLine="480"/>
        <w:outlineLvl w:val="3"/>
        <w:rPr>
          <w:rFonts w:ascii="宋体" w:hAnsi="宋体"/>
          <w:bCs/>
          <w:szCs w:val="28"/>
          <w:highlight w:val="none"/>
        </w:rPr>
      </w:pPr>
      <w:r>
        <w:rPr>
          <w:rFonts w:ascii="宋体" w:hAnsi="宋体"/>
          <w:bCs/>
          <w:szCs w:val="28"/>
          <w:highlight w:val="none"/>
        </w:rPr>
        <w:t>5.7.5.</w:t>
      </w:r>
      <w:r>
        <w:rPr>
          <w:rFonts w:hint="eastAsia" w:ascii="宋体" w:hAnsi="宋体"/>
          <w:bCs/>
          <w:szCs w:val="28"/>
          <w:highlight w:val="none"/>
        </w:rPr>
        <w:t>6</w:t>
      </w:r>
      <w:r>
        <w:rPr>
          <w:rFonts w:ascii="宋体" w:hAnsi="宋体"/>
          <w:bCs/>
          <w:szCs w:val="28"/>
          <w:highlight w:val="none"/>
        </w:rPr>
        <w:t>事故防范措施</w:t>
      </w:r>
    </w:p>
    <w:p>
      <w:pPr>
        <w:pStyle w:val="62"/>
        <w:ind w:firstLine="480"/>
        <w:rPr>
          <w:rFonts w:hAnsi="宋体"/>
          <w:highlight w:val="none"/>
        </w:rPr>
      </w:pPr>
      <w:r>
        <w:rPr>
          <w:rFonts w:hint="eastAsia" w:hAnsi="宋体"/>
          <w:highlight w:val="none"/>
        </w:rPr>
        <w:t>1、</w:t>
      </w:r>
      <w:r>
        <w:rPr>
          <w:rFonts w:hAnsi="宋体"/>
          <w:highlight w:val="none"/>
        </w:rPr>
        <w:t>尾矿库下游敏感目标调查</w:t>
      </w:r>
    </w:p>
    <w:p>
      <w:pPr>
        <w:pStyle w:val="62"/>
        <w:ind w:firstLine="480"/>
        <w:rPr>
          <w:rFonts w:hAnsi="宋体"/>
          <w:highlight w:val="none"/>
        </w:rPr>
      </w:pPr>
      <w:r>
        <w:rPr>
          <w:rFonts w:hAnsi="宋体"/>
          <w:highlight w:val="none"/>
        </w:rPr>
        <w:t>根据尾矿库地形标高及堆高设计，预计拦渣坝事故时冲入下游最大范围内没有村庄、重要公路和其他环境敏感目标存在。泥土混合物最大侵占面积</w:t>
      </w:r>
      <w:r>
        <w:rPr>
          <w:rFonts w:hint="eastAsia" w:hAnsi="宋体"/>
          <w:highlight w:val="none"/>
        </w:rPr>
        <w:t>大</w:t>
      </w:r>
      <w:r>
        <w:rPr>
          <w:rFonts w:hAnsi="宋体"/>
          <w:highlight w:val="none"/>
        </w:rPr>
        <w:t>部为沟谷。</w:t>
      </w:r>
    </w:p>
    <w:p>
      <w:pPr>
        <w:pStyle w:val="62"/>
        <w:ind w:firstLine="480"/>
        <w:rPr>
          <w:rFonts w:hAnsi="宋体"/>
          <w:highlight w:val="none"/>
        </w:rPr>
      </w:pPr>
      <w:r>
        <w:rPr>
          <w:rFonts w:hint="eastAsia" w:hAnsi="宋体"/>
          <w:highlight w:val="none"/>
        </w:rPr>
        <w:t>2、</w:t>
      </w:r>
      <w:r>
        <w:rPr>
          <w:rFonts w:hAnsi="宋体"/>
          <w:highlight w:val="none"/>
        </w:rPr>
        <w:t>尾矿库防范措施</w:t>
      </w:r>
    </w:p>
    <w:p>
      <w:pPr>
        <w:pStyle w:val="62"/>
        <w:ind w:firstLine="480"/>
        <w:rPr>
          <w:rFonts w:hAnsi="宋体"/>
          <w:highlight w:val="none"/>
        </w:rPr>
      </w:pPr>
      <w:r>
        <w:rPr>
          <w:rFonts w:hAnsi="宋体"/>
          <w:highlight w:val="none"/>
        </w:rPr>
        <w:t>为使尾矿库能安全、稳定运行，评价提出以下尾矿库风险防范的相关要求：</w:t>
      </w:r>
    </w:p>
    <w:p>
      <w:pPr>
        <w:pStyle w:val="62"/>
        <w:ind w:firstLine="480"/>
        <w:rPr>
          <w:rFonts w:hAnsi="宋体" w:cstheme="minorBidi"/>
          <w:highlight w:val="none"/>
        </w:rPr>
      </w:pPr>
      <w:r>
        <w:rPr>
          <w:rFonts w:hAnsi="宋体" w:cstheme="minorBidi"/>
          <w:highlight w:val="none"/>
        </w:rPr>
        <w:t>1）</w:t>
      </w:r>
      <w:r>
        <w:rPr>
          <w:rFonts w:hAnsi="宋体"/>
          <w:highlight w:val="none"/>
        </w:rPr>
        <w:t>尾矿库坝址选择必须进行安全认证；严格按照设计要求进行坝址地区的工程地质勘探、测量；</w:t>
      </w:r>
      <w:r>
        <w:rPr>
          <w:rFonts w:hint="eastAsia" w:hAnsi="宋体" w:cstheme="minorBidi"/>
          <w:highlight w:val="none"/>
        </w:rPr>
        <w:t>尾矿库</w:t>
      </w:r>
      <w:r>
        <w:rPr>
          <w:rFonts w:hAnsi="宋体" w:cstheme="minorBidi"/>
          <w:highlight w:val="none"/>
        </w:rPr>
        <w:t>下游设置拦</w:t>
      </w:r>
      <w:r>
        <w:rPr>
          <w:rFonts w:hint="eastAsia" w:hAnsi="宋体" w:cstheme="minorBidi"/>
          <w:highlight w:val="none"/>
        </w:rPr>
        <w:t>渣</w:t>
      </w:r>
      <w:r>
        <w:rPr>
          <w:rFonts w:hAnsi="宋体" w:cstheme="minorBidi"/>
          <w:highlight w:val="none"/>
        </w:rPr>
        <w:t>坝</w:t>
      </w:r>
      <w:r>
        <w:rPr>
          <w:rFonts w:hint="eastAsia" w:hAnsi="宋体" w:cstheme="minorBidi"/>
          <w:highlight w:val="none"/>
        </w:rPr>
        <w:t>，</w:t>
      </w:r>
      <w:r>
        <w:rPr>
          <w:rFonts w:hAnsi="宋体"/>
          <w:highlight w:val="none"/>
        </w:rPr>
        <w:t>必须选择有专业资质的单位进行设计和施工，基础坝建成后须经安全验收后才能投入使用。</w:t>
      </w:r>
    </w:p>
    <w:p>
      <w:pPr>
        <w:snapToGrid w:val="0"/>
        <w:ind w:firstLine="480"/>
        <w:rPr>
          <w:rFonts w:ascii="宋体" w:hAnsi="宋体" w:cstheme="minorBidi"/>
          <w:szCs w:val="20"/>
          <w:highlight w:val="none"/>
        </w:rPr>
      </w:pPr>
      <w:r>
        <w:rPr>
          <w:rFonts w:ascii="宋体" w:hAnsi="宋体" w:cstheme="minorBidi"/>
          <w:szCs w:val="20"/>
          <w:highlight w:val="none"/>
        </w:rPr>
        <w:t>2）在坝体填筑前，必须对坝基和岸坡进行处理，拆除坝基范围内的建筑物，清除草皮、腐殖土等，清理并回填夯实水井、洞穴、坟墓等。对湿陷性较强、厚度较大的黄土坝基或台地，应进行预侵处理。坝体与坝基、坡岸的结合，应开挖结合槽1~3道，其底宽宜在1~2m，深度不宜小于1m。</w:t>
      </w:r>
    </w:p>
    <w:p>
      <w:pPr>
        <w:snapToGrid w:val="0"/>
        <w:ind w:firstLine="480"/>
        <w:rPr>
          <w:rFonts w:ascii="宋体" w:hAnsi="宋体" w:cstheme="minorBidi"/>
          <w:szCs w:val="20"/>
          <w:highlight w:val="none"/>
        </w:rPr>
      </w:pPr>
      <w:r>
        <w:rPr>
          <w:rFonts w:ascii="宋体" w:hAnsi="宋体" w:cstheme="minorBidi"/>
          <w:szCs w:val="20"/>
          <w:highlight w:val="none"/>
        </w:rPr>
        <w:t>3）拦石坝坡面必须设置护坡，护坡材料应根据当地情况选取，建议采取工程护坡与植物护坡相结合的方式。布设排水沟，将汇水引入下游沟道。</w:t>
      </w:r>
    </w:p>
    <w:p>
      <w:pPr>
        <w:snapToGrid w:val="0"/>
        <w:ind w:firstLine="480"/>
        <w:rPr>
          <w:rFonts w:ascii="宋体" w:hAnsi="宋体" w:cstheme="minorBidi"/>
          <w:szCs w:val="20"/>
          <w:highlight w:val="none"/>
        </w:rPr>
      </w:pPr>
      <w:r>
        <w:rPr>
          <w:rFonts w:ascii="宋体" w:hAnsi="宋体" w:cstheme="minorBidi"/>
          <w:szCs w:val="20"/>
          <w:highlight w:val="none"/>
        </w:rPr>
        <w:t>4）加强拦</w:t>
      </w:r>
      <w:r>
        <w:rPr>
          <w:rFonts w:hint="eastAsia" w:ascii="宋体" w:hAnsi="宋体" w:cstheme="minorBidi"/>
          <w:szCs w:val="20"/>
          <w:highlight w:val="none"/>
        </w:rPr>
        <w:t>渣</w:t>
      </w:r>
      <w:r>
        <w:rPr>
          <w:rFonts w:ascii="宋体" w:hAnsi="宋体" w:cstheme="minorBidi"/>
          <w:szCs w:val="20"/>
          <w:highlight w:val="none"/>
        </w:rPr>
        <w:t>坝的安全监测，包括巡视监测、变形监测、渗流监测、压力监测、水文、气象监测等。设置专人对尾矿库进行管理和维护，严禁在尾矿库周边进行爆破、滥挖等危害尾矿库安全的活动。</w:t>
      </w:r>
    </w:p>
    <w:p>
      <w:pPr>
        <w:snapToGrid w:val="0"/>
        <w:ind w:firstLine="480"/>
        <w:rPr>
          <w:rFonts w:ascii="宋体" w:hAnsi="宋体" w:cstheme="minorBidi"/>
          <w:szCs w:val="20"/>
          <w:highlight w:val="none"/>
        </w:rPr>
      </w:pPr>
      <w:r>
        <w:rPr>
          <w:rFonts w:ascii="宋体" w:hAnsi="宋体" w:cstheme="minorBidi"/>
          <w:szCs w:val="20"/>
          <w:highlight w:val="none"/>
        </w:rPr>
        <w:t>5）在拦石坝附近设立警示标志牌，明确禁止在尾矿库和坝下进行活动。</w:t>
      </w:r>
    </w:p>
    <w:p>
      <w:pPr>
        <w:snapToGrid w:val="0"/>
        <w:ind w:firstLine="480"/>
        <w:rPr>
          <w:rFonts w:ascii="宋体" w:hAnsi="宋体" w:cstheme="minorBidi"/>
          <w:szCs w:val="20"/>
          <w:highlight w:val="none"/>
        </w:rPr>
      </w:pPr>
      <w:r>
        <w:rPr>
          <w:rFonts w:ascii="宋体" w:hAnsi="宋体" w:cstheme="minorBidi"/>
          <w:szCs w:val="20"/>
          <w:highlight w:val="none"/>
        </w:rPr>
        <w:t>6）尾矿库建设和管理必须遵守《中华人民共和国矿山安全法》、《中华人民共和国矿山安全法实施条例》。</w:t>
      </w:r>
    </w:p>
    <w:p>
      <w:pPr>
        <w:snapToGrid w:val="0"/>
        <w:ind w:firstLine="480"/>
        <w:rPr>
          <w:rFonts w:ascii="宋体" w:hAnsi="宋体" w:cstheme="minorBidi"/>
          <w:szCs w:val="20"/>
          <w:highlight w:val="none"/>
        </w:rPr>
      </w:pPr>
      <w:r>
        <w:rPr>
          <w:rFonts w:ascii="宋体" w:hAnsi="宋体" w:cstheme="minorBidi"/>
          <w:szCs w:val="20"/>
          <w:highlight w:val="none"/>
        </w:rPr>
        <w:t>7）落实安全生产责任制，明确安全生产职责，加强监管，及时发现隐患。</w:t>
      </w:r>
    </w:p>
    <w:p>
      <w:pPr>
        <w:keepNext/>
        <w:keepLines/>
        <w:ind w:firstLine="480"/>
        <w:outlineLvl w:val="3"/>
        <w:rPr>
          <w:rFonts w:ascii="宋体" w:hAnsi="宋体"/>
          <w:bCs/>
          <w:szCs w:val="28"/>
          <w:highlight w:val="none"/>
        </w:rPr>
      </w:pPr>
      <w:r>
        <w:rPr>
          <w:rFonts w:ascii="宋体" w:hAnsi="宋体"/>
          <w:bCs/>
          <w:szCs w:val="28"/>
          <w:highlight w:val="none"/>
        </w:rPr>
        <w:t>5.7.5.</w:t>
      </w:r>
      <w:r>
        <w:rPr>
          <w:rFonts w:hint="eastAsia" w:ascii="宋体" w:hAnsi="宋体"/>
          <w:bCs/>
          <w:szCs w:val="28"/>
          <w:highlight w:val="none"/>
        </w:rPr>
        <w:t>7</w:t>
      </w:r>
      <w:r>
        <w:rPr>
          <w:rFonts w:ascii="宋体" w:hAnsi="宋体"/>
          <w:bCs/>
          <w:szCs w:val="28"/>
          <w:highlight w:val="none"/>
        </w:rPr>
        <w:t>应急预案</w:t>
      </w:r>
    </w:p>
    <w:p>
      <w:pPr>
        <w:pStyle w:val="62"/>
        <w:ind w:firstLine="480"/>
        <w:rPr>
          <w:rFonts w:hAnsi="宋体"/>
          <w:highlight w:val="none"/>
        </w:rPr>
      </w:pPr>
      <w:r>
        <w:rPr>
          <w:rFonts w:hAnsi="宋体"/>
          <w:highlight w:val="none"/>
        </w:rPr>
        <w:t>山西省繁峙县垣利铁选厂应建立一套事故风险应急管理组织机构，制定安全规定、事故防范措施及应急预案。本评价根据项目地面环境风险特点，制定相应的应急预案。见表5</w:t>
      </w:r>
      <w:r>
        <w:rPr>
          <w:rFonts w:hint="eastAsia" w:hAnsi="宋体"/>
          <w:highlight w:val="none"/>
        </w:rPr>
        <w:t>.7</w:t>
      </w:r>
      <w:r>
        <w:rPr>
          <w:rFonts w:hAnsi="宋体"/>
          <w:highlight w:val="none"/>
        </w:rPr>
        <w:t>-</w:t>
      </w:r>
      <w:r>
        <w:rPr>
          <w:rFonts w:hint="eastAsia" w:hAnsi="宋体"/>
          <w:highlight w:val="none"/>
        </w:rPr>
        <w:t>10</w:t>
      </w:r>
      <w:r>
        <w:rPr>
          <w:rFonts w:hAnsi="宋体"/>
          <w:highlight w:val="none"/>
        </w:rPr>
        <w:t>。</w:t>
      </w:r>
    </w:p>
    <w:p>
      <w:pPr>
        <w:pStyle w:val="65"/>
        <w:rPr>
          <w:rFonts w:hAnsi="宋体"/>
          <w:highlight w:val="none"/>
        </w:rPr>
      </w:pPr>
      <w:r>
        <w:rPr>
          <w:rFonts w:hAnsi="宋体"/>
          <w:highlight w:val="none"/>
        </w:rPr>
        <w:t>表5.7-10</w:t>
      </w:r>
      <w:r>
        <w:rPr>
          <w:rFonts w:hint="eastAsia" w:hAnsi="宋体"/>
          <w:highlight w:val="none"/>
        </w:rPr>
        <w:t xml:space="preserve">  </w:t>
      </w:r>
      <w:r>
        <w:rPr>
          <w:rFonts w:hAnsi="宋体"/>
          <w:highlight w:val="none"/>
        </w:rPr>
        <w:t>应急预案</w:t>
      </w:r>
    </w:p>
    <w:tbl>
      <w:tblPr>
        <w:tblStyle w:val="44"/>
        <w:tblW w:w="9178"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27"/>
        <w:gridCol w:w="2709"/>
        <w:gridCol w:w="574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highlight w:val="none"/>
              </w:rPr>
            </w:pPr>
            <w:r>
              <w:rPr>
                <w:rFonts w:hAnsi="宋体"/>
                <w:spacing w:val="-1"/>
                <w:highlight w:val="none"/>
              </w:rPr>
              <w:t>序</w:t>
            </w:r>
            <w:r>
              <w:rPr>
                <w:rFonts w:hAnsi="宋体"/>
                <w:highlight w:val="none"/>
              </w:rPr>
              <w:t>号</w:t>
            </w:r>
          </w:p>
        </w:tc>
        <w:tc>
          <w:tcPr>
            <w:tcW w:w="2709" w:type="dxa"/>
            <w:vAlign w:val="center"/>
          </w:tcPr>
          <w:p>
            <w:pPr>
              <w:pStyle w:val="64"/>
              <w:rPr>
                <w:rFonts w:hAnsi="宋体"/>
                <w:highlight w:val="none"/>
              </w:rPr>
            </w:pPr>
            <w:r>
              <w:rPr>
                <w:rFonts w:hAnsi="宋体"/>
                <w:highlight w:val="none"/>
              </w:rPr>
              <w:t>项</w:t>
            </w:r>
            <w:r>
              <w:rPr>
                <w:rFonts w:hAnsi="宋体"/>
                <w:highlight w:val="none"/>
              </w:rPr>
              <w:tab/>
            </w:r>
            <w:r>
              <w:rPr>
                <w:rFonts w:hAnsi="宋体"/>
                <w:highlight w:val="none"/>
              </w:rPr>
              <w:t>目</w:t>
            </w:r>
          </w:p>
        </w:tc>
        <w:tc>
          <w:tcPr>
            <w:tcW w:w="5742" w:type="dxa"/>
            <w:vAlign w:val="center"/>
          </w:tcPr>
          <w:p>
            <w:pPr>
              <w:pStyle w:val="64"/>
              <w:rPr>
                <w:rFonts w:hAnsi="宋体"/>
                <w:highlight w:val="none"/>
              </w:rPr>
            </w:pPr>
            <w:r>
              <w:rPr>
                <w:rFonts w:hAnsi="宋体"/>
                <w:highlight w:val="none"/>
              </w:rPr>
              <w:t>内容及要求</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cs="hakuyoxingshu7000"/>
                <w:highlight w:val="none"/>
              </w:rPr>
            </w:pPr>
            <w:r>
              <w:rPr>
                <w:rFonts w:hAnsi="宋体" w:cs="hakuyoxingshu7000"/>
                <w:highlight w:val="none"/>
              </w:rPr>
              <w:t>1</w:t>
            </w:r>
          </w:p>
        </w:tc>
        <w:tc>
          <w:tcPr>
            <w:tcW w:w="2709" w:type="dxa"/>
            <w:vAlign w:val="center"/>
          </w:tcPr>
          <w:p>
            <w:pPr>
              <w:pStyle w:val="64"/>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计</w:t>
            </w:r>
            <w:r>
              <w:rPr>
                <w:rFonts w:hAnsi="宋体"/>
                <w:highlight w:val="none"/>
              </w:rPr>
              <w:t>划</w:t>
            </w:r>
          </w:p>
        </w:tc>
        <w:tc>
          <w:tcPr>
            <w:tcW w:w="5742" w:type="dxa"/>
            <w:vAlign w:val="center"/>
          </w:tcPr>
          <w:p>
            <w:pPr>
              <w:pStyle w:val="64"/>
              <w:jc w:val="left"/>
              <w:rPr>
                <w:rFonts w:hAnsi="宋体"/>
                <w:highlight w:val="none"/>
              </w:rPr>
            </w:pPr>
            <w:r>
              <w:rPr>
                <w:rFonts w:hAnsi="宋体"/>
                <w:spacing w:val="-1"/>
                <w:highlight w:val="none"/>
              </w:rPr>
              <w:t>危</w:t>
            </w:r>
            <w:r>
              <w:rPr>
                <w:rFonts w:hAnsi="宋体"/>
                <w:spacing w:val="2"/>
                <w:highlight w:val="none"/>
              </w:rPr>
              <w:t>险</w:t>
            </w:r>
            <w:r>
              <w:rPr>
                <w:rFonts w:hAnsi="宋体"/>
                <w:spacing w:val="-1"/>
                <w:highlight w:val="none"/>
              </w:rPr>
              <w:t>目</w:t>
            </w:r>
            <w:r>
              <w:rPr>
                <w:rFonts w:hAnsi="宋体"/>
                <w:spacing w:val="2"/>
                <w:highlight w:val="none"/>
              </w:rPr>
              <w:t>标：</w:t>
            </w:r>
            <w:r>
              <w:rPr>
                <w:rFonts w:hAnsi="宋体"/>
                <w:spacing w:val="-1"/>
                <w:highlight w:val="none"/>
              </w:rPr>
              <w:t>尾矿库泥</w:t>
            </w:r>
            <w:r>
              <w:rPr>
                <w:rFonts w:hAnsi="宋体"/>
                <w:spacing w:val="2"/>
                <w:highlight w:val="none"/>
              </w:rPr>
              <w:t>石</w:t>
            </w:r>
            <w:r>
              <w:rPr>
                <w:rFonts w:hAnsi="宋体"/>
                <w:spacing w:val="-1"/>
                <w:highlight w:val="none"/>
              </w:rPr>
              <w:t>流</w:t>
            </w:r>
            <w:r>
              <w:rPr>
                <w:rFonts w:hAnsi="宋体"/>
                <w:spacing w:val="2"/>
                <w:highlight w:val="none"/>
              </w:rPr>
              <w:t>，</w:t>
            </w:r>
            <w:r>
              <w:rPr>
                <w:rFonts w:hAnsi="宋体"/>
                <w:spacing w:val="-1"/>
                <w:highlight w:val="none"/>
              </w:rPr>
              <w:t>滑</w:t>
            </w:r>
            <w:r>
              <w:rPr>
                <w:rFonts w:hAnsi="宋体"/>
                <w:spacing w:val="2"/>
                <w:highlight w:val="none"/>
              </w:rPr>
              <w:t>坡</w:t>
            </w:r>
            <w:r>
              <w:rPr>
                <w:rFonts w:hAnsi="宋体"/>
                <w:spacing w:val="-1"/>
                <w:highlight w:val="none"/>
              </w:rPr>
              <w:t>、</w:t>
            </w:r>
            <w:r>
              <w:rPr>
                <w:rFonts w:hAnsi="宋体"/>
                <w:spacing w:val="2"/>
                <w:highlight w:val="none"/>
              </w:rPr>
              <w:t>崩</w:t>
            </w:r>
            <w:r>
              <w:rPr>
                <w:rFonts w:hAnsi="宋体"/>
                <w:spacing w:val="-1"/>
                <w:highlight w:val="none"/>
              </w:rPr>
              <w:t>塌</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cs="hakuyoxingshu7000"/>
                <w:highlight w:val="none"/>
              </w:rPr>
            </w:pPr>
            <w:r>
              <w:rPr>
                <w:rFonts w:hAnsi="宋体" w:cs="hakuyoxingshu7000"/>
                <w:highlight w:val="none"/>
              </w:rPr>
              <w:t>2</w:t>
            </w:r>
          </w:p>
        </w:tc>
        <w:tc>
          <w:tcPr>
            <w:tcW w:w="2709" w:type="dxa"/>
            <w:vAlign w:val="center"/>
          </w:tcPr>
          <w:p>
            <w:pPr>
              <w:pStyle w:val="64"/>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组</w:t>
            </w:r>
            <w:r>
              <w:rPr>
                <w:rFonts w:hAnsi="宋体"/>
                <w:spacing w:val="2"/>
                <w:highlight w:val="none"/>
              </w:rPr>
              <w:t>织</w:t>
            </w:r>
            <w:r>
              <w:rPr>
                <w:rFonts w:hAnsi="宋体"/>
                <w:spacing w:val="-1"/>
                <w:highlight w:val="none"/>
              </w:rPr>
              <w:t>机</w:t>
            </w:r>
            <w:r>
              <w:rPr>
                <w:rFonts w:hAnsi="宋体"/>
                <w:spacing w:val="2"/>
                <w:highlight w:val="none"/>
              </w:rPr>
              <w:t>构</w:t>
            </w:r>
            <w:r>
              <w:rPr>
                <w:rFonts w:hAnsi="宋体"/>
                <w:spacing w:val="-1"/>
                <w:highlight w:val="none"/>
              </w:rPr>
              <w:t>、</w:t>
            </w:r>
            <w:r>
              <w:rPr>
                <w:rFonts w:hAnsi="宋体"/>
                <w:spacing w:val="2"/>
                <w:highlight w:val="none"/>
              </w:rPr>
              <w:t>人</w:t>
            </w:r>
            <w:r>
              <w:rPr>
                <w:rFonts w:hAnsi="宋体"/>
                <w:highlight w:val="none"/>
              </w:rPr>
              <w:t>员</w:t>
            </w:r>
          </w:p>
        </w:tc>
        <w:tc>
          <w:tcPr>
            <w:tcW w:w="5742" w:type="dxa"/>
            <w:vAlign w:val="center"/>
          </w:tcPr>
          <w:p>
            <w:pPr>
              <w:pStyle w:val="64"/>
              <w:jc w:val="left"/>
              <w:rPr>
                <w:rFonts w:hAnsi="宋体"/>
                <w:highlight w:val="none"/>
              </w:rPr>
            </w:pPr>
            <w:r>
              <w:rPr>
                <w:rFonts w:hAnsi="宋体"/>
                <w:spacing w:val="-1"/>
                <w:highlight w:val="none"/>
              </w:rPr>
              <w:t>应</w:t>
            </w:r>
            <w:r>
              <w:rPr>
                <w:rFonts w:hAnsi="宋体"/>
                <w:spacing w:val="2"/>
                <w:highlight w:val="none"/>
              </w:rPr>
              <w:t>建</w:t>
            </w:r>
            <w:r>
              <w:rPr>
                <w:rFonts w:hAnsi="宋体"/>
                <w:spacing w:val="-1"/>
                <w:highlight w:val="none"/>
              </w:rPr>
              <w:t>立</w:t>
            </w:r>
            <w:r>
              <w:rPr>
                <w:rFonts w:hAnsi="宋体"/>
                <w:spacing w:val="2"/>
                <w:highlight w:val="none"/>
              </w:rPr>
              <w:t>应</w:t>
            </w:r>
            <w:r>
              <w:rPr>
                <w:rFonts w:hAnsi="宋体"/>
                <w:spacing w:val="-1"/>
                <w:highlight w:val="none"/>
              </w:rPr>
              <w:t>急</w:t>
            </w:r>
            <w:r>
              <w:rPr>
                <w:rFonts w:hAnsi="宋体"/>
                <w:spacing w:val="2"/>
                <w:highlight w:val="none"/>
              </w:rPr>
              <w:t>组</w:t>
            </w:r>
            <w:r>
              <w:rPr>
                <w:rFonts w:hAnsi="宋体"/>
                <w:spacing w:val="-1"/>
                <w:highlight w:val="none"/>
              </w:rPr>
              <w:t>织</w:t>
            </w:r>
            <w:r>
              <w:rPr>
                <w:rFonts w:hAnsi="宋体"/>
                <w:spacing w:val="2"/>
                <w:highlight w:val="none"/>
              </w:rPr>
              <w:t>机构</w:t>
            </w:r>
            <w:r>
              <w:rPr>
                <w:rFonts w:hAnsi="宋体"/>
                <w:spacing w:val="-9"/>
                <w:highlight w:val="none"/>
              </w:rPr>
              <w:t>、</w:t>
            </w:r>
            <w:r>
              <w:rPr>
                <w:rFonts w:hAnsi="宋体"/>
                <w:spacing w:val="-1"/>
                <w:highlight w:val="none"/>
              </w:rPr>
              <w:t>设</w:t>
            </w:r>
            <w:r>
              <w:rPr>
                <w:rFonts w:hAnsi="宋体"/>
                <w:spacing w:val="2"/>
                <w:highlight w:val="none"/>
              </w:rPr>
              <w:t>专</w:t>
            </w:r>
            <w:r>
              <w:rPr>
                <w:rFonts w:hAnsi="宋体"/>
                <w:spacing w:val="-1"/>
                <w:highlight w:val="none"/>
              </w:rPr>
              <w:t>职</w:t>
            </w:r>
            <w:r>
              <w:rPr>
                <w:rFonts w:hAnsi="宋体"/>
                <w:spacing w:val="2"/>
                <w:highlight w:val="none"/>
              </w:rPr>
              <w:t>应</w:t>
            </w:r>
            <w:r>
              <w:rPr>
                <w:rFonts w:hAnsi="宋体"/>
                <w:highlight w:val="none"/>
              </w:rPr>
              <w:t>急</w:t>
            </w:r>
            <w:r>
              <w:rPr>
                <w:rFonts w:hAnsi="宋体"/>
                <w:spacing w:val="-1"/>
                <w:highlight w:val="none"/>
              </w:rPr>
              <w:t>人</w:t>
            </w:r>
            <w:r>
              <w:rPr>
                <w:rFonts w:hAnsi="宋体"/>
                <w:spacing w:val="2"/>
                <w:highlight w:val="none"/>
              </w:rPr>
              <w:t>员</w:t>
            </w:r>
            <w:r>
              <w:rPr>
                <w:rFonts w:hAnsi="宋体"/>
                <w:spacing w:val="-1"/>
                <w:highlight w:val="none"/>
              </w:rPr>
              <w:t>负</w:t>
            </w:r>
            <w:r>
              <w:rPr>
                <w:rFonts w:hAnsi="宋体"/>
                <w:spacing w:val="2"/>
                <w:highlight w:val="none"/>
              </w:rPr>
              <w:t>责</w:t>
            </w:r>
            <w:r>
              <w:rPr>
                <w:rFonts w:hAnsi="宋体"/>
                <w:spacing w:val="-1"/>
                <w:highlight w:val="none"/>
              </w:rPr>
              <w:t>应</w:t>
            </w:r>
            <w:r>
              <w:rPr>
                <w:rFonts w:hAnsi="宋体"/>
                <w:spacing w:val="2"/>
                <w:highlight w:val="none"/>
              </w:rPr>
              <w:t>急</w:t>
            </w:r>
            <w:r>
              <w:rPr>
                <w:rFonts w:hAnsi="宋体"/>
                <w:spacing w:val="-1"/>
                <w:highlight w:val="none"/>
              </w:rPr>
              <w:t>工</w:t>
            </w:r>
            <w:r>
              <w:rPr>
                <w:rFonts w:hAnsi="宋体"/>
                <w:spacing w:val="2"/>
                <w:highlight w:val="none"/>
              </w:rPr>
              <w:t>作</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27" w:type="dxa"/>
            <w:vAlign w:val="center"/>
          </w:tcPr>
          <w:p>
            <w:pPr>
              <w:pStyle w:val="64"/>
              <w:rPr>
                <w:rFonts w:hAnsi="宋体" w:cs="hakuyoxingshu7000"/>
                <w:highlight w:val="none"/>
              </w:rPr>
            </w:pPr>
            <w:r>
              <w:rPr>
                <w:rFonts w:hAnsi="宋体" w:cs="hakuyoxingshu7000"/>
                <w:highlight w:val="none"/>
              </w:rPr>
              <w:t>3</w:t>
            </w:r>
          </w:p>
        </w:tc>
        <w:tc>
          <w:tcPr>
            <w:tcW w:w="2709" w:type="dxa"/>
            <w:vAlign w:val="center"/>
          </w:tcPr>
          <w:p>
            <w:pPr>
              <w:pStyle w:val="64"/>
              <w:rPr>
                <w:rFonts w:hAnsi="宋体"/>
                <w:highlight w:val="none"/>
              </w:rPr>
            </w:pPr>
            <w:r>
              <w:rPr>
                <w:rFonts w:hAnsi="宋体"/>
                <w:spacing w:val="-1"/>
                <w:highlight w:val="none"/>
              </w:rPr>
              <w:t>预</w:t>
            </w:r>
            <w:r>
              <w:rPr>
                <w:rFonts w:hAnsi="宋体"/>
                <w:spacing w:val="2"/>
                <w:highlight w:val="none"/>
              </w:rPr>
              <w:t>案</w:t>
            </w:r>
            <w:r>
              <w:rPr>
                <w:rFonts w:hAnsi="宋体"/>
                <w:spacing w:val="-1"/>
                <w:highlight w:val="none"/>
              </w:rPr>
              <w:t>分</w:t>
            </w:r>
            <w:r>
              <w:rPr>
                <w:rFonts w:hAnsi="宋体"/>
                <w:spacing w:val="2"/>
                <w:highlight w:val="none"/>
              </w:rPr>
              <w:t>级</w:t>
            </w:r>
            <w:r>
              <w:rPr>
                <w:rFonts w:hAnsi="宋体"/>
                <w:spacing w:val="-1"/>
                <w:highlight w:val="none"/>
              </w:rPr>
              <w:t>响</w:t>
            </w:r>
            <w:r>
              <w:rPr>
                <w:rFonts w:hAnsi="宋体"/>
                <w:spacing w:val="2"/>
                <w:highlight w:val="none"/>
              </w:rPr>
              <w:t>应</w:t>
            </w:r>
            <w:r>
              <w:rPr>
                <w:rFonts w:hAnsi="宋体"/>
                <w:spacing w:val="-1"/>
                <w:highlight w:val="none"/>
              </w:rPr>
              <w:t>条</w:t>
            </w:r>
            <w:r>
              <w:rPr>
                <w:rFonts w:hAnsi="宋体"/>
                <w:highlight w:val="none"/>
              </w:rPr>
              <w:t>件</w:t>
            </w:r>
          </w:p>
        </w:tc>
        <w:tc>
          <w:tcPr>
            <w:tcW w:w="5742" w:type="dxa"/>
            <w:vAlign w:val="center"/>
          </w:tcPr>
          <w:p>
            <w:pPr>
              <w:pStyle w:val="64"/>
              <w:jc w:val="left"/>
              <w:rPr>
                <w:rFonts w:hAnsi="宋体"/>
                <w:highlight w:val="none"/>
              </w:rPr>
            </w:pPr>
            <w:r>
              <w:rPr>
                <w:rFonts w:hAnsi="宋体"/>
                <w:spacing w:val="-1"/>
                <w:highlight w:val="none"/>
              </w:rPr>
              <w:t>将</w:t>
            </w:r>
            <w:r>
              <w:rPr>
                <w:rFonts w:hAnsi="宋体"/>
                <w:spacing w:val="2"/>
                <w:highlight w:val="none"/>
              </w:rPr>
              <w:t>应</w:t>
            </w:r>
            <w:r>
              <w:rPr>
                <w:rFonts w:hAnsi="宋体"/>
                <w:spacing w:val="-1"/>
                <w:highlight w:val="none"/>
              </w:rPr>
              <w:t>急</w:t>
            </w:r>
            <w:r>
              <w:rPr>
                <w:rFonts w:hAnsi="宋体"/>
                <w:spacing w:val="2"/>
                <w:highlight w:val="none"/>
              </w:rPr>
              <w:t>预</w:t>
            </w:r>
            <w:r>
              <w:rPr>
                <w:rFonts w:hAnsi="宋体"/>
                <w:spacing w:val="-1"/>
                <w:highlight w:val="none"/>
              </w:rPr>
              <w:t>案</w:t>
            </w:r>
            <w:r>
              <w:rPr>
                <w:rFonts w:hAnsi="宋体"/>
                <w:spacing w:val="2"/>
                <w:highlight w:val="none"/>
              </w:rPr>
              <w:t>分</w:t>
            </w:r>
            <w:r>
              <w:rPr>
                <w:rFonts w:hAnsi="宋体"/>
                <w:spacing w:val="-1"/>
                <w:highlight w:val="none"/>
              </w:rPr>
              <w:t>成</w:t>
            </w:r>
            <w:r>
              <w:rPr>
                <w:rFonts w:hint="eastAsia" w:hAnsi="宋体"/>
                <w:spacing w:val="2"/>
                <w:highlight w:val="none"/>
              </w:rPr>
              <w:t>三</w:t>
            </w:r>
            <w:r>
              <w:rPr>
                <w:rFonts w:hAnsi="宋体"/>
                <w:spacing w:val="-1"/>
                <w:highlight w:val="none"/>
              </w:rPr>
              <w:t>级</w:t>
            </w:r>
            <w:r>
              <w:rPr>
                <w:rFonts w:hAnsi="宋体"/>
                <w:spacing w:val="-3"/>
                <w:highlight w:val="none"/>
              </w:rPr>
              <w:t>，</w:t>
            </w:r>
            <w:r>
              <w:rPr>
                <w:rFonts w:hAnsi="宋体"/>
                <w:spacing w:val="-1"/>
                <w:highlight w:val="none"/>
              </w:rPr>
              <w:t>根</w:t>
            </w:r>
            <w:r>
              <w:rPr>
                <w:rFonts w:hAnsi="宋体"/>
                <w:spacing w:val="2"/>
                <w:highlight w:val="none"/>
              </w:rPr>
              <w:t>据</w:t>
            </w:r>
            <w:r>
              <w:rPr>
                <w:rFonts w:hAnsi="宋体"/>
                <w:spacing w:val="-1"/>
                <w:highlight w:val="none"/>
              </w:rPr>
              <w:t>相</w:t>
            </w:r>
            <w:r>
              <w:rPr>
                <w:rFonts w:hAnsi="宋体"/>
                <w:spacing w:val="2"/>
                <w:highlight w:val="none"/>
              </w:rPr>
              <w:t>应</w:t>
            </w:r>
            <w:r>
              <w:rPr>
                <w:rFonts w:hAnsi="宋体"/>
                <w:spacing w:val="-1"/>
                <w:highlight w:val="none"/>
              </w:rPr>
              <w:t>的</w:t>
            </w:r>
            <w:r>
              <w:rPr>
                <w:rFonts w:hAnsi="宋体"/>
                <w:spacing w:val="2"/>
                <w:highlight w:val="none"/>
              </w:rPr>
              <w:t>级</w:t>
            </w:r>
            <w:r>
              <w:rPr>
                <w:rFonts w:hAnsi="宋体"/>
                <w:spacing w:val="-1"/>
                <w:highlight w:val="none"/>
              </w:rPr>
              <w:t>别</w:t>
            </w:r>
            <w:r>
              <w:rPr>
                <w:rFonts w:hAnsi="宋体"/>
                <w:spacing w:val="2"/>
                <w:highlight w:val="none"/>
              </w:rPr>
              <w:t>分类</w:t>
            </w:r>
            <w:r>
              <w:rPr>
                <w:rFonts w:hAnsi="宋体"/>
                <w:spacing w:val="-3"/>
                <w:highlight w:val="none"/>
              </w:rPr>
              <w:t>，</w:t>
            </w:r>
            <w:r>
              <w:rPr>
                <w:rFonts w:hAnsi="宋体"/>
                <w:spacing w:val="-1"/>
                <w:highlight w:val="none"/>
              </w:rPr>
              <w:t>采</w:t>
            </w:r>
            <w:r>
              <w:rPr>
                <w:rFonts w:hAnsi="宋体"/>
                <w:spacing w:val="2"/>
                <w:highlight w:val="none"/>
              </w:rPr>
              <w:t>取</w:t>
            </w:r>
            <w:r>
              <w:rPr>
                <w:rFonts w:hAnsi="宋体"/>
                <w:spacing w:val="-1"/>
                <w:highlight w:val="none"/>
              </w:rPr>
              <w:t>相</w:t>
            </w:r>
            <w:r>
              <w:rPr>
                <w:rFonts w:hAnsi="宋体"/>
                <w:spacing w:val="2"/>
                <w:highlight w:val="none"/>
              </w:rPr>
              <w:t>对</w:t>
            </w:r>
            <w:r>
              <w:rPr>
                <w:rFonts w:hAnsi="宋体"/>
                <w:spacing w:val="-1"/>
                <w:highlight w:val="none"/>
              </w:rPr>
              <w:t>应</w:t>
            </w:r>
            <w:r>
              <w:rPr>
                <w:rFonts w:hAnsi="宋体"/>
                <w:highlight w:val="none"/>
              </w:rPr>
              <w:t>的</w:t>
            </w:r>
            <w:r>
              <w:rPr>
                <w:rFonts w:hAnsi="宋体"/>
                <w:spacing w:val="-1"/>
                <w:highlight w:val="none"/>
              </w:rPr>
              <w:t>程</w:t>
            </w:r>
            <w:r>
              <w:rPr>
                <w:rFonts w:hAnsi="宋体"/>
                <w:spacing w:val="2"/>
                <w:highlight w:val="none"/>
              </w:rPr>
              <w:t>序</w:t>
            </w:r>
            <w:r>
              <w:rPr>
                <w:rFonts w:hAnsi="宋体"/>
                <w:spacing w:val="-1"/>
                <w:highlight w:val="none"/>
              </w:rPr>
              <w:t>，</w:t>
            </w:r>
            <w:r>
              <w:rPr>
                <w:rFonts w:hAnsi="宋体"/>
                <w:spacing w:val="2"/>
                <w:highlight w:val="none"/>
              </w:rPr>
              <w:t>进</w:t>
            </w:r>
            <w:r>
              <w:rPr>
                <w:rFonts w:hAnsi="宋体"/>
                <w:spacing w:val="-1"/>
                <w:highlight w:val="none"/>
              </w:rPr>
              <w:t>行</w:t>
            </w:r>
            <w:r>
              <w:rPr>
                <w:rFonts w:hAnsi="宋体"/>
                <w:spacing w:val="2"/>
                <w:highlight w:val="none"/>
              </w:rPr>
              <w:t>应</w:t>
            </w:r>
            <w:r>
              <w:rPr>
                <w:rFonts w:hAnsi="宋体"/>
                <w:spacing w:val="-1"/>
                <w:highlight w:val="none"/>
              </w:rPr>
              <w:t>急</w:t>
            </w:r>
            <w:r>
              <w:rPr>
                <w:rFonts w:hAnsi="宋体"/>
                <w:spacing w:val="2"/>
                <w:highlight w:val="none"/>
              </w:rPr>
              <w:t>措</w:t>
            </w:r>
            <w:r>
              <w:rPr>
                <w:rFonts w:hAnsi="宋体"/>
                <w:spacing w:val="-1"/>
                <w:highlight w:val="none"/>
              </w:rPr>
              <w:t>施</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cs="hakuyoxingshu7000"/>
                <w:highlight w:val="none"/>
              </w:rPr>
            </w:pPr>
            <w:r>
              <w:rPr>
                <w:rFonts w:hAnsi="宋体" w:cs="hakuyoxingshu7000"/>
                <w:highlight w:val="none"/>
              </w:rPr>
              <w:t>4</w:t>
            </w:r>
          </w:p>
        </w:tc>
        <w:tc>
          <w:tcPr>
            <w:tcW w:w="2709" w:type="dxa"/>
            <w:vAlign w:val="center"/>
          </w:tcPr>
          <w:p>
            <w:pPr>
              <w:pStyle w:val="64"/>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救</w:t>
            </w:r>
            <w:r>
              <w:rPr>
                <w:rFonts w:hAnsi="宋体"/>
                <w:spacing w:val="2"/>
                <w:highlight w:val="none"/>
              </w:rPr>
              <w:t>援</w:t>
            </w:r>
            <w:r>
              <w:rPr>
                <w:rFonts w:hAnsi="宋体"/>
                <w:spacing w:val="-1"/>
                <w:highlight w:val="none"/>
              </w:rPr>
              <w:t>保</w:t>
            </w:r>
            <w:r>
              <w:rPr>
                <w:rFonts w:hAnsi="宋体"/>
                <w:highlight w:val="none"/>
              </w:rPr>
              <w:t>障</w:t>
            </w:r>
          </w:p>
        </w:tc>
        <w:tc>
          <w:tcPr>
            <w:tcW w:w="5742" w:type="dxa"/>
            <w:vAlign w:val="center"/>
          </w:tcPr>
          <w:p>
            <w:pPr>
              <w:pStyle w:val="64"/>
              <w:jc w:val="left"/>
              <w:rPr>
                <w:rFonts w:hAnsi="宋体"/>
                <w:highlight w:val="none"/>
              </w:rPr>
            </w:pPr>
            <w:r>
              <w:rPr>
                <w:rFonts w:hAnsi="宋体"/>
                <w:spacing w:val="-1"/>
                <w:highlight w:val="none"/>
              </w:rPr>
              <w:t>应</w:t>
            </w:r>
            <w:r>
              <w:rPr>
                <w:rFonts w:hAnsi="宋体"/>
                <w:spacing w:val="2"/>
                <w:highlight w:val="none"/>
              </w:rPr>
              <w:t>购</w:t>
            </w:r>
            <w:r>
              <w:rPr>
                <w:rFonts w:hAnsi="宋体"/>
                <w:spacing w:val="-1"/>
                <w:highlight w:val="none"/>
              </w:rPr>
              <w:t>置</w:t>
            </w:r>
            <w:r>
              <w:rPr>
                <w:rFonts w:hAnsi="宋体"/>
                <w:spacing w:val="2"/>
                <w:highlight w:val="none"/>
              </w:rPr>
              <w:t>应</w:t>
            </w:r>
            <w:r>
              <w:rPr>
                <w:rFonts w:hAnsi="宋体"/>
                <w:spacing w:val="-1"/>
                <w:highlight w:val="none"/>
              </w:rPr>
              <w:t>急</w:t>
            </w:r>
            <w:r>
              <w:rPr>
                <w:rFonts w:hAnsi="宋体"/>
                <w:spacing w:val="2"/>
                <w:highlight w:val="none"/>
              </w:rPr>
              <w:t>设</w:t>
            </w:r>
            <w:r>
              <w:rPr>
                <w:rFonts w:hAnsi="宋体"/>
                <w:spacing w:val="-1"/>
                <w:highlight w:val="none"/>
              </w:rPr>
              <w:t>备</w:t>
            </w:r>
            <w:r>
              <w:rPr>
                <w:rFonts w:hAnsi="宋体"/>
                <w:spacing w:val="2"/>
                <w:highlight w:val="none"/>
              </w:rPr>
              <w:t>、</w:t>
            </w:r>
            <w:r>
              <w:rPr>
                <w:rFonts w:hAnsi="宋体"/>
                <w:spacing w:val="-1"/>
                <w:highlight w:val="none"/>
              </w:rPr>
              <w:t>救</w:t>
            </w:r>
            <w:r>
              <w:rPr>
                <w:rFonts w:hAnsi="宋体"/>
                <w:spacing w:val="2"/>
                <w:highlight w:val="none"/>
              </w:rPr>
              <w:t>援</w:t>
            </w:r>
            <w:r>
              <w:rPr>
                <w:rFonts w:hAnsi="宋体"/>
                <w:spacing w:val="-1"/>
                <w:highlight w:val="none"/>
              </w:rPr>
              <w:t>器</w:t>
            </w:r>
            <w:r>
              <w:rPr>
                <w:rFonts w:hAnsi="宋体"/>
                <w:spacing w:val="2"/>
                <w:highlight w:val="none"/>
              </w:rPr>
              <w:t>材</w:t>
            </w:r>
            <w:r>
              <w:rPr>
                <w:rFonts w:hAnsi="宋体"/>
                <w:spacing w:val="-1"/>
                <w:highlight w:val="none"/>
              </w:rPr>
              <w:t>等</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cs="hakuyoxingshu7000"/>
                <w:highlight w:val="none"/>
              </w:rPr>
            </w:pPr>
            <w:r>
              <w:rPr>
                <w:rFonts w:hAnsi="宋体" w:cs="hakuyoxingshu7000"/>
                <w:highlight w:val="none"/>
              </w:rPr>
              <w:t>5</w:t>
            </w:r>
          </w:p>
        </w:tc>
        <w:tc>
          <w:tcPr>
            <w:tcW w:w="2709" w:type="dxa"/>
            <w:vAlign w:val="center"/>
          </w:tcPr>
          <w:p>
            <w:pPr>
              <w:pStyle w:val="64"/>
              <w:rPr>
                <w:rFonts w:hAnsi="宋体"/>
                <w:highlight w:val="none"/>
              </w:rPr>
            </w:pPr>
            <w:r>
              <w:rPr>
                <w:rFonts w:hAnsi="宋体"/>
                <w:spacing w:val="-1"/>
                <w:highlight w:val="none"/>
              </w:rPr>
              <w:t>报</w:t>
            </w:r>
            <w:r>
              <w:rPr>
                <w:rFonts w:hAnsi="宋体"/>
                <w:spacing w:val="2"/>
                <w:highlight w:val="none"/>
              </w:rPr>
              <w:t>警</w:t>
            </w:r>
            <w:r>
              <w:rPr>
                <w:rFonts w:hAnsi="宋体"/>
                <w:spacing w:val="-1"/>
                <w:highlight w:val="none"/>
              </w:rPr>
              <w:t>、</w:t>
            </w:r>
            <w:r>
              <w:rPr>
                <w:rFonts w:hAnsi="宋体"/>
                <w:spacing w:val="2"/>
                <w:highlight w:val="none"/>
              </w:rPr>
              <w:t>通</w:t>
            </w:r>
            <w:r>
              <w:rPr>
                <w:rFonts w:hAnsi="宋体"/>
                <w:spacing w:val="-1"/>
                <w:highlight w:val="none"/>
              </w:rPr>
              <w:t>讯</w:t>
            </w:r>
            <w:r>
              <w:rPr>
                <w:rFonts w:hAnsi="宋体"/>
                <w:spacing w:val="2"/>
                <w:highlight w:val="none"/>
              </w:rPr>
              <w:t>联</w:t>
            </w:r>
            <w:r>
              <w:rPr>
                <w:rFonts w:hAnsi="宋体"/>
                <w:spacing w:val="-1"/>
                <w:highlight w:val="none"/>
              </w:rPr>
              <w:t>系</w:t>
            </w:r>
            <w:r>
              <w:rPr>
                <w:rFonts w:hAnsi="宋体"/>
                <w:spacing w:val="2"/>
                <w:highlight w:val="none"/>
              </w:rPr>
              <w:t>方</w:t>
            </w:r>
            <w:r>
              <w:rPr>
                <w:rFonts w:hAnsi="宋体"/>
                <w:highlight w:val="none"/>
              </w:rPr>
              <w:t>式</w:t>
            </w:r>
          </w:p>
        </w:tc>
        <w:tc>
          <w:tcPr>
            <w:tcW w:w="5742" w:type="dxa"/>
            <w:vAlign w:val="center"/>
          </w:tcPr>
          <w:p>
            <w:pPr>
              <w:pStyle w:val="64"/>
              <w:jc w:val="left"/>
              <w:rPr>
                <w:rFonts w:hAnsi="宋体"/>
                <w:highlight w:val="none"/>
              </w:rPr>
            </w:pPr>
            <w:r>
              <w:rPr>
                <w:rFonts w:hAnsi="宋体"/>
                <w:spacing w:val="-1"/>
                <w:highlight w:val="none"/>
              </w:rPr>
              <w:t>规</w:t>
            </w:r>
            <w:r>
              <w:rPr>
                <w:rFonts w:hAnsi="宋体"/>
                <w:spacing w:val="2"/>
                <w:highlight w:val="none"/>
              </w:rPr>
              <w:t>定</w:t>
            </w:r>
            <w:r>
              <w:rPr>
                <w:rFonts w:hAnsi="宋体"/>
                <w:spacing w:val="-1"/>
                <w:highlight w:val="none"/>
              </w:rPr>
              <w:t>应</w:t>
            </w:r>
            <w:r>
              <w:rPr>
                <w:rFonts w:hAnsi="宋体"/>
                <w:spacing w:val="2"/>
                <w:highlight w:val="none"/>
              </w:rPr>
              <w:t>急</w:t>
            </w:r>
            <w:r>
              <w:rPr>
                <w:rFonts w:hAnsi="宋体"/>
                <w:spacing w:val="-1"/>
                <w:highlight w:val="none"/>
              </w:rPr>
              <w:t>状</w:t>
            </w:r>
            <w:r>
              <w:rPr>
                <w:rFonts w:hAnsi="宋体"/>
                <w:spacing w:val="2"/>
                <w:highlight w:val="none"/>
              </w:rPr>
              <w:t>态</w:t>
            </w:r>
            <w:r>
              <w:rPr>
                <w:rFonts w:hAnsi="宋体"/>
                <w:spacing w:val="-1"/>
                <w:highlight w:val="none"/>
              </w:rPr>
              <w:t>下</w:t>
            </w:r>
            <w:r>
              <w:rPr>
                <w:rFonts w:hAnsi="宋体"/>
                <w:spacing w:val="2"/>
                <w:highlight w:val="none"/>
              </w:rPr>
              <w:t>的</w:t>
            </w:r>
            <w:r>
              <w:rPr>
                <w:rFonts w:hAnsi="宋体"/>
                <w:spacing w:val="-1"/>
                <w:highlight w:val="none"/>
              </w:rPr>
              <w:t>报</w:t>
            </w:r>
            <w:r>
              <w:rPr>
                <w:rFonts w:hAnsi="宋体"/>
                <w:spacing w:val="2"/>
                <w:highlight w:val="none"/>
              </w:rPr>
              <w:t>警</w:t>
            </w:r>
            <w:r>
              <w:rPr>
                <w:rFonts w:hAnsi="宋体"/>
                <w:spacing w:val="-3"/>
                <w:highlight w:val="none"/>
              </w:rPr>
              <w:t>、</w:t>
            </w:r>
            <w:r>
              <w:rPr>
                <w:rFonts w:hAnsi="宋体"/>
                <w:spacing w:val="-1"/>
                <w:highlight w:val="none"/>
              </w:rPr>
              <w:t>通</w:t>
            </w:r>
            <w:r>
              <w:rPr>
                <w:rFonts w:hAnsi="宋体"/>
                <w:spacing w:val="2"/>
                <w:highlight w:val="none"/>
              </w:rPr>
              <w:t>讯</w:t>
            </w:r>
            <w:r>
              <w:rPr>
                <w:rFonts w:hAnsi="宋体"/>
                <w:spacing w:val="-1"/>
                <w:highlight w:val="none"/>
              </w:rPr>
              <w:t>联</w:t>
            </w:r>
            <w:r>
              <w:rPr>
                <w:rFonts w:hAnsi="宋体"/>
                <w:spacing w:val="2"/>
                <w:highlight w:val="none"/>
              </w:rPr>
              <w:t>系</w:t>
            </w:r>
            <w:r>
              <w:rPr>
                <w:rFonts w:hAnsi="宋体"/>
                <w:spacing w:val="-1"/>
                <w:highlight w:val="none"/>
              </w:rPr>
              <w:t>方</w:t>
            </w:r>
            <w:r>
              <w:rPr>
                <w:rFonts w:hAnsi="宋体"/>
                <w:spacing w:val="2"/>
                <w:highlight w:val="none"/>
              </w:rPr>
              <w:t>式</w:t>
            </w:r>
            <w:r>
              <w:rPr>
                <w:rFonts w:hAnsi="宋体"/>
                <w:spacing w:val="-3"/>
                <w:highlight w:val="none"/>
              </w:rPr>
              <w:t>、</w:t>
            </w:r>
            <w:r>
              <w:rPr>
                <w:rFonts w:hAnsi="宋体"/>
                <w:spacing w:val="-1"/>
                <w:highlight w:val="none"/>
              </w:rPr>
              <w:t>通</w:t>
            </w:r>
            <w:r>
              <w:rPr>
                <w:rFonts w:hAnsi="宋体"/>
                <w:spacing w:val="2"/>
                <w:highlight w:val="none"/>
              </w:rPr>
              <w:t>知</w:t>
            </w:r>
            <w:r>
              <w:rPr>
                <w:rFonts w:hAnsi="宋体"/>
                <w:spacing w:val="-1"/>
                <w:highlight w:val="none"/>
              </w:rPr>
              <w:t>方</w:t>
            </w:r>
            <w:r>
              <w:rPr>
                <w:rFonts w:hAnsi="宋体"/>
                <w:spacing w:val="2"/>
                <w:highlight w:val="none"/>
              </w:rPr>
              <w:t>式</w:t>
            </w:r>
            <w:r>
              <w:rPr>
                <w:rFonts w:hAnsi="宋体"/>
                <w:spacing w:val="-1"/>
                <w:highlight w:val="none"/>
              </w:rPr>
              <w:t>和</w:t>
            </w:r>
            <w:r>
              <w:rPr>
                <w:rFonts w:hAnsi="宋体"/>
                <w:spacing w:val="2"/>
                <w:highlight w:val="none"/>
              </w:rPr>
              <w:t>交</w:t>
            </w:r>
            <w:r>
              <w:rPr>
                <w:rFonts w:hAnsi="宋体"/>
                <w:spacing w:val="-1"/>
                <w:highlight w:val="none"/>
              </w:rPr>
              <w:t>通</w:t>
            </w:r>
            <w:r>
              <w:rPr>
                <w:rFonts w:hAnsi="宋体"/>
                <w:highlight w:val="none"/>
              </w:rPr>
              <w:t>保</w:t>
            </w:r>
            <w:r>
              <w:rPr>
                <w:rFonts w:hAnsi="宋体"/>
                <w:spacing w:val="-1"/>
                <w:highlight w:val="none"/>
              </w:rPr>
              <w:t>障</w:t>
            </w:r>
            <w:r>
              <w:rPr>
                <w:rFonts w:hAnsi="宋体"/>
                <w:spacing w:val="2"/>
                <w:highlight w:val="none"/>
              </w:rPr>
              <w:t>管</w:t>
            </w:r>
            <w:r>
              <w:rPr>
                <w:rFonts w:hAnsi="宋体"/>
                <w:spacing w:val="-1"/>
                <w:highlight w:val="none"/>
              </w:rPr>
              <w:t>制</w:t>
            </w:r>
            <w:r>
              <w:rPr>
                <w:rFonts w:hAnsi="宋体"/>
                <w:spacing w:val="2"/>
                <w:highlight w:val="none"/>
              </w:rPr>
              <w:t>等</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60" w:hRule="atLeast"/>
        </w:trPr>
        <w:tc>
          <w:tcPr>
            <w:tcW w:w="727" w:type="dxa"/>
            <w:vAlign w:val="center"/>
          </w:tcPr>
          <w:p>
            <w:pPr>
              <w:pStyle w:val="64"/>
              <w:rPr>
                <w:rFonts w:hAnsi="宋体" w:cs="hakuyoxingshu7000"/>
                <w:highlight w:val="none"/>
              </w:rPr>
            </w:pPr>
            <w:r>
              <w:rPr>
                <w:rFonts w:hAnsi="宋体" w:cs="hakuyoxingshu7000"/>
                <w:highlight w:val="none"/>
              </w:rPr>
              <w:t>6</w:t>
            </w:r>
          </w:p>
        </w:tc>
        <w:tc>
          <w:tcPr>
            <w:tcW w:w="2709" w:type="dxa"/>
            <w:vAlign w:val="center"/>
          </w:tcPr>
          <w:p>
            <w:pPr>
              <w:pStyle w:val="64"/>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环</w:t>
            </w:r>
            <w:r>
              <w:rPr>
                <w:rFonts w:hAnsi="宋体"/>
                <w:spacing w:val="2"/>
                <w:highlight w:val="none"/>
              </w:rPr>
              <w:t>境</w:t>
            </w:r>
            <w:r>
              <w:rPr>
                <w:rFonts w:hAnsi="宋体"/>
                <w:spacing w:val="-1"/>
                <w:highlight w:val="none"/>
              </w:rPr>
              <w:t>监</w:t>
            </w:r>
            <w:r>
              <w:rPr>
                <w:rFonts w:hAnsi="宋体"/>
                <w:spacing w:val="2"/>
                <w:highlight w:val="none"/>
              </w:rPr>
              <w:t>测</w:t>
            </w:r>
            <w:r>
              <w:rPr>
                <w:rFonts w:hAnsi="宋体"/>
                <w:spacing w:val="-30"/>
                <w:highlight w:val="none"/>
              </w:rPr>
              <w:t>、</w:t>
            </w:r>
            <w:r>
              <w:rPr>
                <w:rFonts w:hAnsi="宋体"/>
                <w:spacing w:val="-1"/>
                <w:highlight w:val="none"/>
              </w:rPr>
              <w:t>抢</w:t>
            </w:r>
            <w:r>
              <w:rPr>
                <w:rFonts w:hAnsi="宋体"/>
                <w:spacing w:val="2"/>
                <w:highlight w:val="none"/>
              </w:rPr>
              <w:t>救</w:t>
            </w:r>
            <w:r>
              <w:rPr>
                <w:rFonts w:hAnsi="宋体"/>
                <w:spacing w:val="-30"/>
                <w:highlight w:val="none"/>
              </w:rPr>
              <w:t>、</w:t>
            </w:r>
            <w:r>
              <w:rPr>
                <w:rFonts w:hAnsi="宋体"/>
                <w:spacing w:val="-1"/>
                <w:highlight w:val="none"/>
              </w:rPr>
              <w:t>救</w:t>
            </w:r>
            <w:r>
              <w:rPr>
                <w:rFonts w:hAnsi="宋体"/>
                <w:highlight w:val="none"/>
              </w:rPr>
              <w:t>援</w:t>
            </w:r>
            <w:r>
              <w:rPr>
                <w:rFonts w:hAnsi="宋体"/>
                <w:spacing w:val="-1"/>
                <w:highlight w:val="none"/>
              </w:rPr>
              <w:t>及</w:t>
            </w:r>
            <w:r>
              <w:rPr>
                <w:rFonts w:hAnsi="宋体"/>
                <w:spacing w:val="2"/>
                <w:highlight w:val="none"/>
              </w:rPr>
              <w:t>控</w:t>
            </w:r>
            <w:r>
              <w:rPr>
                <w:rFonts w:hAnsi="宋体"/>
                <w:spacing w:val="-1"/>
                <w:highlight w:val="none"/>
              </w:rPr>
              <w:t>制</w:t>
            </w:r>
            <w:r>
              <w:rPr>
                <w:rFonts w:hAnsi="宋体"/>
                <w:spacing w:val="2"/>
                <w:highlight w:val="none"/>
              </w:rPr>
              <w:t>措</w:t>
            </w:r>
            <w:r>
              <w:rPr>
                <w:rFonts w:hAnsi="宋体"/>
                <w:highlight w:val="none"/>
              </w:rPr>
              <w:t>施</w:t>
            </w:r>
          </w:p>
        </w:tc>
        <w:tc>
          <w:tcPr>
            <w:tcW w:w="5742" w:type="dxa"/>
            <w:vAlign w:val="center"/>
          </w:tcPr>
          <w:p>
            <w:pPr>
              <w:pStyle w:val="64"/>
              <w:jc w:val="left"/>
              <w:rPr>
                <w:rFonts w:hAnsi="宋体"/>
                <w:highlight w:val="none"/>
              </w:rPr>
            </w:pPr>
            <w:r>
              <w:rPr>
                <w:rFonts w:hAnsi="宋体"/>
                <w:spacing w:val="-1"/>
                <w:highlight w:val="none"/>
              </w:rPr>
              <w:t>应</w:t>
            </w:r>
            <w:r>
              <w:rPr>
                <w:rFonts w:hAnsi="宋体"/>
                <w:spacing w:val="2"/>
                <w:highlight w:val="none"/>
              </w:rPr>
              <w:t>由</w:t>
            </w:r>
            <w:r>
              <w:rPr>
                <w:rFonts w:hAnsi="宋体"/>
                <w:spacing w:val="-1"/>
                <w:highlight w:val="none"/>
              </w:rPr>
              <w:t>专</w:t>
            </w:r>
            <w:r>
              <w:rPr>
                <w:rFonts w:hAnsi="宋体"/>
                <w:spacing w:val="2"/>
                <w:highlight w:val="none"/>
              </w:rPr>
              <w:t>业</w:t>
            </w:r>
            <w:r>
              <w:rPr>
                <w:rFonts w:hAnsi="宋体"/>
                <w:spacing w:val="-1"/>
                <w:highlight w:val="none"/>
              </w:rPr>
              <w:t>队</w:t>
            </w:r>
            <w:r>
              <w:rPr>
                <w:rFonts w:hAnsi="宋体"/>
                <w:spacing w:val="2"/>
                <w:highlight w:val="none"/>
              </w:rPr>
              <w:t>伍</w:t>
            </w:r>
            <w:r>
              <w:rPr>
                <w:rFonts w:hAnsi="宋体"/>
                <w:spacing w:val="-1"/>
                <w:highlight w:val="none"/>
              </w:rPr>
              <w:t>负</w:t>
            </w:r>
            <w:r>
              <w:rPr>
                <w:rFonts w:hAnsi="宋体"/>
                <w:spacing w:val="2"/>
                <w:highlight w:val="none"/>
              </w:rPr>
              <w:t>责</w:t>
            </w:r>
            <w:r>
              <w:rPr>
                <w:rFonts w:hAnsi="宋体"/>
                <w:spacing w:val="-1"/>
                <w:highlight w:val="none"/>
              </w:rPr>
              <w:t>对</w:t>
            </w:r>
            <w:r>
              <w:rPr>
                <w:rFonts w:hAnsi="宋体"/>
                <w:spacing w:val="2"/>
                <w:highlight w:val="none"/>
              </w:rPr>
              <w:t>事</w:t>
            </w:r>
            <w:r>
              <w:rPr>
                <w:rFonts w:hAnsi="宋体"/>
                <w:spacing w:val="-1"/>
                <w:highlight w:val="none"/>
              </w:rPr>
              <w:t>故</w:t>
            </w:r>
            <w:r>
              <w:rPr>
                <w:rFonts w:hAnsi="宋体"/>
                <w:spacing w:val="2"/>
                <w:highlight w:val="none"/>
              </w:rPr>
              <w:t>现</w:t>
            </w:r>
            <w:r>
              <w:rPr>
                <w:rFonts w:hAnsi="宋体"/>
                <w:spacing w:val="-1"/>
                <w:highlight w:val="none"/>
              </w:rPr>
              <w:t>场</w:t>
            </w:r>
            <w:r>
              <w:rPr>
                <w:rFonts w:hAnsi="宋体"/>
                <w:spacing w:val="2"/>
                <w:highlight w:val="none"/>
              </w:rPr>
              <w:t>进</w:t>
            </w:r>
            <w:r>
              <w:rPr>
                <w:rFonts w:hAnsi="宋体"/>
                <w:spacing w:val="-1"/>
                <w:highlight w:val="none"/>
              </w:rPr>
              <w:t>行</w:t>
            </w:r>
            <w:r>
              <w:rPr>
                <w:rFonts w:hAnsi="宋体"/>
                <w:spacing w:val="2"/>
                <w:highlight w:val="none"/>
              </w:rPr>
              <w:t>侦</w:t>
            </w:r>
            <w:r>
              <w:rPr>
                <w:rFonts w:hAnsi="宋体"/>
                <w:spacing w:val="-1"/>
                <w:highlight w:val="none"/>
              </w:rPr>
              <w:t>察</w:t>
            </w:r>
            <w:r>
              <w:rPr>
                <w:rFonts w:hAnsi="宋体"/>
                <w:spacing w:val="2"/>
                <w:highlight w:val="none"/>
              </w:rPr>
              <w:t>监</w:t>
            </w:r>
            <w:r>
              <w:rPr>
                <w:rFonts w:hAnsi="宋体"/>
                <w:spacing w:val="-1"/>
                <w:highlight w:val="none"/>
              </w:rPr>
              <w:t>测</w:t>
            </w:r>
            <w:r>
              <w:rPr>
                <w:rFonts w:hAnsi="宋体"/>
                <w:spacing w:val="2"/>
                <w:highlight w:val="none"/>
              </w:rPr>
              <w:t>、</w:t>
            </w:r>
            <w:r>
              <w:rPr>
                <w:rFonts w:hAnsi="宋体"/>
                <w:spacing w:val="-1"/>
                <w:highlight w:val="none"/>
              </w:rPr>
              <w:t>对</w:t>
            </w:r>
            <w:r>
              <w:rPr>
                <w:rFonts w:hAnsi="宋体"/>
                <w:spacing w:val="2"/>
                <w:highlight w:val="none"/>
              </w:rPr>
              <w:t>事</w:t>
            </w:r>
            <w:r>
              <w:rPr>
                <w:rFonts w:hAnsi="宋体"/>
                <w:spacing w:val="-1"/>
                <w:highlight w:val="none"/>
              </w:rPr>
              <w:t>故</w:t>
            </w:r>
            <w:r>
              <w:rPr>
                <w:rFonts w:hAnsi="宋体"/>
                <w:spacing w:val="2"/>
                <w:highlight w:val="none"/>
              </w:rPr>
              <w:t>性</w:t>
            </w:r>
            <w:r>
              <w:rPr>
                <w:rFonts w:hAnsi="宋体"/>
                <w:spacing w:val="-1"/>
                <w:highlight w:val="none"/>
              </w:rPr>
              <w:t>质</w:t>
            </w:r>
            <w:r>
              <w:rPr>
                <w:rFonts w:hAnsi="宋体"/>
                <w:highlight w:val="none"/>
              </w:rPr>
              <w:t>、</w:t>
            </w:r>
            <w:r>
              <w:rPr>
                <w:rFonts w:hAnsi="宋体"/>
                <w:spacing w:val="-1"/>
                <w:highlight w:val="none"/>
              </w:rPr>
              <w:t>参</w:t>
            </w:r>
            <w:r>
              <w:rPr>
                <w:rFonts w:hAnsi="宋体"/>
                <w:spacing w:val="2"/>
                <w:highlight w:val="none"/>
              </w:rPr>
              <w:t>数</w:t>
            </w:r>
            <w:r>
              <w:rPr>
                <w:rFonts w:hAnsi="宋体"/>
                <w:spacing w:val="-1"/>
                <w:highlight w:val="none"/>
              </w:rPr>
              <w:t>与</w:t>
            </w:r>
            <w:r>
              <w:rPr>
                <w:rFonts w:hAnsi="宋体"/>
                <w:spacing w:val="2"/>
                <w:highlight w:val="none"/>
              </w:rPr>
              <w:t>后</w:t>
            </w:r>
            <w:r>
              <w:rPr>
                <w:rFonts w:hAnsi="宋体"/>
                <w:spacing w:val="-1"/>
                <w:highlight w:val="none"/>
              </w:rPr>
              <w:t>果</w:t>
            </w:r>
            <w:r>
              <w:rPr>
                <w:rFonts w:hAnsi="宋体"/>
                <w:spacing w:val="2"/>
                <w:highlight w:val="none"/>
              </w:rPr>
              <w:t>进</w:t>
            </w:r>
            <w:r>
              <w:rPr>
                <w:rFonts w:hAnsi="宋体"/>
                <w:spacing w:val="-1"/>
                <w:highlight w:val="none"/>
              </w:rPr>
              <w:t>行</w:t>
            </w:r>
            <w:r>
              <w:rPr>
                <w:rFonts w:hAnsi="宋体"/>
                <w:spacing w:val="2"/>
                <w:highlight w:val="none"/>
              </w:rPr>
              <w:t>评</w:t>
            </w:r>
            <w:r>
              <w:rPr>
                <w:rFonts w:hAnsi="宋体"/>
                <w:spacing w:val="-1"/>
                <w:highlight w:val="none"/>
              </w:rPr>
              <w:t>估</w:t>
            </w:r>
            <w:r>
              <w:rPr>
                <w:rFonts w:hAnsi="宋体"/>
                <w:spacing w:val="2"/>
                <w:highlight w:val="none"/>
              </w:rPr>
              <w:t>，</w:t>
            </w:r>
            <w:r>
              <w:rPr>
                <w:rFonts w:hAnsi="宋体"/>
                <w:spacing w:val="-1"/>
                <w:highlight w:val="none"/>
              </w:rPr>
              <w:t>为</w:t>
            </w:r>
            <w:r>
              <w:rPr>
                <w:rFonts w:hAnsi="宋体"/>
                <w:spacing w:val="2"/>
                <w:highlight w:val="none"/>
              </w:rPr>
              <w:t>指</w:t>
            </w:r>
            <w:r>
              <w:rPr>
                <w:rFonts w:hAnsi="宋体"/>
                <w:spacing w:val="-1"/>
                <w:highlight w:val="none"/>
              </w:rPr>
              <w:t>挥</w:t>
            </w:r>
            <w:r>
              <w:rPr>
                <w:rFonts w:hAnsi="宋体"/>
                <w:spacing w:val="2"/>
                <w:highlight w:val="none"/>
              </w:rPr>
              <w:t>部</w:t>
            </w:r>
            <w:r>
              <w:rPr>
                <w:rFonts w:hAnsi="宋体"/>
                <w:spacing w:val="-1"/>
                <w:highlight w:val="none"/>
              </w:rPr>
              <w:t>门</w:t>
            </w:r>
            <w:r>
              <w:rPr>
                <w:rFonts w:hAnsi="宋体"/>
                <w:spacing w:val="2"/>
                <w:highlight w:val="none"/>
              </w:rPr>
              <w:t>提</w:t>
            </w:r>
            <w:r>
              <w:rPr>
                <w:rFonts w:hAnsi="宋体"/>
                <w:spacing w:val="-1"/>
                <w:highlight w:val="none"/>
              </w:rPr>
              <w:t>供</w:t>
            </w:r>
            <w:r>
              <w:rPr>
                <w:rFonts w:hAnsi="宋体"/>
                <w:spacing w:val="2"/>
                <w:highlight w:val="none"/>
              </w:rPr>
              <w:t>决</w:t>
            </w:r>
            <w:r>
              <w:rPr>
                <w:rFonts w:hAnsi="宋体"/>
                <w:spacing w:val="-1"/>
                <w:highlight w:val="none"/>
              </w:rPr>
              <w:t>策</w:t>
            </w:r>
            <w:r>
              <w:rPr>
                <w:rFonts w:hAnsi="宋体"/>
                <w:spacing w:val="2"/>
                <w:highlight w:val="none"/>
              </w:rPr>
              <w:t>依</w:t>
            </w:r>
            <w:r>
              <w:rPr>
                <w:rFonts w:hAnsi="宋体"/>
                <w:spacing w:val="-1"/>
                <w:highlight w:val="none"/>
              </w:rPr>
              <w:t>据</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60" w:hRule="atLeast"/>
        </w:trPr>
        <w:tc>
          <w:tcPr>
            <w:tcW w:w="727" w:type="dxa"/>
            <w:vAlign w:val="center"/>
          </w:tcPr>
          <w:p>
            <w:pPr>
              <w:pStyle w:val="64"/>
              <w:rPr>
                <w:rFonts w:hAnsi="宋体" w:cs="hakuyoxingshu7000"/>
                <w:highlight w:val="none"/>
              </w:rPr>
            </w:pPr>
            <w:r>
              <w:rPr>
                <w:rFonts w:hAnsi="宋体" w:cs="hakuyoxingshu7000"/>
                <w:highlight w:val="none"/>
              </w:rPr>
              <w:t>7</w:t>
            </w:r>
          </w:p>
        </w:tc>
        <w:tc>
          <w:tcPr>
            <w:tcW w:w="2709" w:type="dxa"/>
            <w:vAlign w:val="center"/>
          </w:tcPr>
          <w:p>
            <w:pPr>
              <w:pStyle w:val="64"/>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检</w:t>
            </w:r>
            <w:r>
              <w:rPr>
                <w:rFonts w:hAnsi="宋体"/>
                <w:spacing w:val="2"/>
                <w:highlight w:val="none"/>
              </w:rPr>
              <w:t>测</w:t>
            </w:r>
            <w:r>
              <w:rPr>
                <w:rFonts w:hAnsi="宋体"/>
                <w:spacing w:val="-30"/>
                <w:highlight w:val="none"/>
              </w:rPr>
              <w:t>、</w:t>
            </w:r>
            <w:r>
              <w:rPr>
                <w:rFonts w:hAnsi="宋体"/>
                <w:spacing w:val="-1"/>
                <w:highlight w:val="none"/>
              </w:rPr>
              <w:t>防</w:t>
            </w:r>
            <w:r>
              <w:rPr>
                <w:rFonts w:hAnsi="宋体"/>
                <w:spacing w:val="2"/>
                <w:highlight w:val="none"/>
              </w:rPr>
              <w:t>护</w:t>
            </w:r>
            <w:r>
              <w:rPr>
                <w:rFonts w:hAnsi="宋体"/>
                <w:spacing w:val="-1"/>
                <w:highlight w:val="none"/>
              </w:rPr>
              <w:t>措</w:t>
            </w:r>
            <w:r>
              <w:rPr>
                <w:rFonts w:hAnsi="宋体"/>
                <w:spacing w:val="2"/>
                <w:highlight w:val="none"/>
              </w:rPr>
              <w:t>施</w:t>
            </w:r>
            <w:r>
              <w:rPr>
                <w:rFonts w:hAnsi="宋体"/>
                <w:spacing w:val="-30"/>
                <w:highlight w:val="none"/>
              </w:rPr>
              <w:t>、</w:t>
            </w:r>
            <w:r>
              <w:rPr>
                <w:rFonts w:hAnsi="宋体"/>
                <w:spacing w:val="-1"/>
                <w:highlight w:val="none"/>
              </w:rPr>
              <w:t>清</w:t>
            </w:r>
            <w:r>
              <w:rPr>
                <w:rFonts w:hAnsi="宋体"/>
                <w:highlight w:val="none"/>
              </w:rPr>
              <w:t>除</w:t>
            </w:r>
            <w:r>
              <w:rPr>
                <w:rFonts w:hAnsi="宋体"/>
                <w:spacing w:val="-1"/>
                <w:highlight w:val="none"/>
              </w:rPr>
              <w:t>泄</w:t>
            </w:r>
            <w:r>
              <w:rPr>
                <w:rFonts w:hAnsi="宋体"/>
                <w:spacing w:val="2"/>
                <w:highlight w:val="none"/>
              </w:rPr>
              <w:t>漏</w:t>
            </w:r>
            <w:r>
              <w:rPr>
                <w:rFonts w:hAnsi="宋体"/>
                <w:spacing w:val="-1"/>
                <w:highlight w:val="none"/>
              </w:rPr>
              <w:t>措</w:t>
            </w:r>
            <w:r>
              <w:rPr>
                <w:rFonts w:hAnsi="宋体"/>
                <w:spacing w:val="2"/>
                <w:highlight w:val="none"/>
              </w:rPr>
              <w:t>施</w:t>
            </w:r>
            <w:r>
              <w:rPr>
                <w:rFonts w:hAnsi="宋体"/>
                <w:spacing w:val="-1"/>
                <w:highlight w:val="none"/>
              </w:rPr>
              <w:t>和</w:t>
            </w:r>
            <w:r>
              <w:rPr>
                <w:rFonts w:hAnsi="宋体"/>
                <w:spacing w:val="2"/>
                <w:highlight w:val="none"/>
              </w:rPr>
              <w:t>器</w:t>
            </w:r>
            <w:r>
              <w:rPr>
                <w:rFonts w:hAnsi="宋体"/>
                <w:highlight w:val="none"/>
              </w:rPr>
              <w:t>材</w:t>
            </w:r>
          </w:p>
        </w:tc>
        <w:tc>
          <w:tcPr>
            <w:tcW w:w="5742" w:type="dxa"/>
            <w:vAlign w:val="center"/>
          </w:tcPr>
          <w:p>
            <w:pPr>
              <w:pStyle w:val="64"/>
              <w:jc w:val="left"/>
              <w:rPr>
                <w:rFonts w:hAnsi="宋体"/>
                <w:highlight w:val="none"/>
              </w:rPr>
            </w:pPr>
            <w:r>
              <w:rPr>
                <w:rFonts w:hAnsi="宋体"/>
                <w:spacing w:val="-1"/>
                <w:highlight w:val="none"/>
              </w:rPr>
              <w:t>事</w:t>
            </w:r>
            <w:r>
              <w:rPr>
                <w:rFonts w:hAnsi="宋体"/>
                <w:spacing w:val="2"/>
                <w:highlight w:val="none"/>
              </w:rPr>
              <w:t>故</w:t>
            </w:r>
            <w:r>
              <w:rPr>
                <w:rFonts w:hAnsi="宋体"/>
                <w:spacing w:val="-1"/>
                <w:highlight w:val="none"/>
              </w:rPr>
              <w:t>现</w:t>
            </w:r>
            <w:r>
              <w:rPr>
                <w:rFonts w:hAnsi="宋体"/>
                <w:spacing w:val="2"/>
                <w:highlight w:val="none"/>
              </w:rPr>
              <w:t>场</w:t>
            </w:r>
            <w:r>
              <w:rPr>
                <w:rFonts w:hAnsi="宋体"/>
                <w:spacing w:val="-3"/>
                <w:highlight w:val="none"/>
              </w:rPr>
              <w:t>、</w:t>
            </w:r>
            <w:r>
              <w:rPr>
                <w:rFonts w:hAnsi="宋体"/>
                <w:spacing w:val="-1"/>
                <w:highlight w:val="none"/>
              </w:rPr>
              <w:t>邻</w:t>
            </w:r>
            <w:r>
              <w:rPr>
                <w:rFonts w:hAnsi="宋体"/>
                <w:spacing w:val="2"/>
                <w:highlight w:val="none"/>
              </w:rPr>
              <w:t>近</w:t>
            </w:r>
            <w:r>
              <w:rPr>
                <w:rFonts w:hAnsi="宋体"/>
                <w:spacing w:val="-1"/>
                <w:highlight w:val="none"/>
              </w:rPr>
              <w:t>区</w:t>
            </w:r>
            <w:r>
              <w:rPr>
                <w:rFonts w:hAnsi="宋体"/>
                <w:spacing w:val="2"/>
                <w:highlight w:val="none"/>
              </w:rPr>
              <w:t>域</w:t>
            </w:r>
            <w:r>
              <w:rPr>
                <w:rFonts w:hAnsi="宋体"/>
                <w:spacing w:val="-1"/>
                <w:highlight w:val="none"/>
              </w:rPr>
              <w:t>、控</w:t>
            </w:r>
            <w:r>
              <w:rPr>
                <w:rFonts w:hAnsi="宋体"/>
                <w:spacing w:val="2"/>
                <w:highlight w:val="none"/>
              </w:rPr>
              <w:t>制</w:t>
            </w:r>
            <w:r>
              <w:rPr>
                <w:rFonts w:hAnsi="宋体"/>
                <w:spacing w:val="-1"/>
                <w:highlight w:val="none"/>
              </w:rPr>
              <w:t>防</w:t>
            </w:r>
            <w:r>
              <w:rPr>
                <w:rFonts w:hAnsi="宋体"/>
                <w:spacing w:val="2"/>
                <w:highlight w:val="none"/>
              </w:rPr>
              <w:t>火</w:t>
            </w:r>
            <w:r>
              <w:rPr>
                <w:rFonts w:hAnsi="宋体"/>
                <w:spacing w:val="-1"/>
                <w:highlight w:val="none"/>
              </w:rPr>
              <w:t>区</w:t>
            </w:r>
            <w:r>
              <w:rPr>
                <w:rFonts w:hAnsi="宋体"/>
                <w:spacing w:val="2"/>
                <w:highlight w:val="none"/>
              </w:rPr>
              <w:t>域</w:t>
            </w:r>
            <w:r>
              <w:rPr>
                <w:rFonts w:hAnsi="宋体"/>
                <w:spacing w:val="-1"/>
                <w:highlight w:val="none"/>
              </w:rPr>
              <w:t>，控</w:t>
            </w:r>
            <w:r>
              <w:rPr>
                <w:rFonts w:hAnsi="宋体"/>
                <w:spacing w:val="2"/>
                <w:highlight w:val="none"/>
              </w:rPr>
              <w:t>制</w:t>
            </w:r>
            <w:r>
              <w:rPr>
                <w:rFonts w:hAnsi="宋体"/>
                <w:spacing w:val="-1"/>
                <w:highlight w:val="none"/>
              </w:rPr>
              <w:t>和</w:t>
            </w:r>
            <w:r>
              <w:rPr>
                <w:rFonts w:hAnsi="宋体"/>
                <w:spacing w:val="2"/>
                <w:highlight w:val="none"/>
              </w:rPr>
              <w:t>清</w:t>
            </w:r>
            <w:r>
              <w:rPr>
                <w:rFonts w:hAnsi="宋体"/>
                <w:spacing w:val="-1"/>
                <w:highlight w:val="none"/>
              </w:rPr>
              <w:t>除</w:t>
            </w:r>
            <w:r>
              <w:rPr>
                <w:rFonts w:hAnsi="宋体"/>
                <w:spacing w:val="2"/>
                <w:highlight w:val="none"/>
              </w:rPr>
              <w:t>污</w:t>
            </w:r>
            <w:r>
              <w:rPr>
                <w:rFonts w:hAnsi="宋体"/>
                <w:spacing w:val="-1"/>
                <w:highlight w:val="none"/>
              </w:rPr>
              <w:t>染</w:t>
            </w:r>
            <w:r>
              <w:rPr>
                <w:rFonts w:hAnsi="宋体"/>
                <w:spacing w:val="2"/>
                <w:highlight w:val="none"/>
              </w:rPr>
              <w:t>措</w:t>
            </w:r>
            <w:r>
              <w:rPr>
                <w:rFonts w:hAnsi="宋体"/>
                <w:highlight w:val="none"/>
              </w:rPr>
              <w:t>施</w:t>
            </w:r>
            <w:r>
              <w:rPr>
                <w:rFonts w:hAnsi="宋体"/>
                <w:spacing w:val="-1"/>
                <w:highlight w:val="none"/>
              </w:rPr>
              <w:t>及</w:t>
            </w:r>
            <w:r>
              <w:rPr>
                <w:rFonts w:hAnsi="宋体"/>
                <w:spacing w:val="2"/>
                <w:highlight w:val="none"/>
              </w:rPr>
              <w:t>相</w:t>
            </w:r>
            <w:r>
              <w:rPr>
                <w:rFonts w:hAnsi="宋体"/>
                <w:spacing w:val="-1"/>
                <w:highlight w:val="none"/>
              </w:rPr>
              <w:t>应</w:t>
            </w:r>
            <w:r>
              <w:rPr>
                <w:rFonts w:hAnsi="宋体"/>
                <w:spacing w:val="2"/>
                <w:highlight w:val="none"/>
              </w:rPr>
              <w:t>设</w:t>
            </w:r>
            <w:r>
              <w:rPr>
                <w:rFonts w:hAnsi="宋体"/>
                <w:spacing w:val="-1"/>
                <w:highlight w:val="none"/>
              </w:rPr>
              <w:t>备</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Merge w:val="restart"/>
            <w:vAlign w:val="center"/>
          </w:tcPr>
          <w:p>
            <w:pPr>
              <w:pStyle w:val="64"/>
              <w:rPr>
                <w:rFonts w:hAnsi="宋体" w:cs="hakuyoxingshu7000"/>
                <w:highlight w:val="none"/>
              </w:rPr>
            </w:pPr>
            <w:r>
              <w:rPr>
                <w:rFonts w:hAnsi="宋体" w:cs="hakuyoxingshu7000"/>
                <w:highlight w:val="none"/>
              </w:rPr>
              <w:t>8</w:t>
            </w:r>
          </w:p>
        </w:tc>
        <w:tc>
          <w:tcPr>
            <w:tcW w:w="2709" w:type="dxa"/>
            <w:vAlign w:val="center"/>
          </w:tcPr>
          <w:p>
            <w:pPr>
              <w:pStyle w:val="64"/>
              <w:rPr>
                <w:rFonts w:hAnsi="宋体"/>
                <w:highlight w:val="none"/>
              </w:rPr>
            </w:pPr>
            <w:r>
              <w:rPr>
                <w:rFonts w:hAnsi="宋体"/>
                <w:spacing w:val="-1"/>
                <w:highlight w:val="none"/>
              </w:rPr>
              <w:t>人</w:t>
            </w:r>
            <w:r>
              <w:rPr>
                <w:rFonts w:hAnsi="宋体"/>
                <w:spacing w:val="2"/>
                <w:highlight w:val="none"/>
              </w:rPr>
              <w:t>员</w:t>
            </w:r>
            <w:r>
              <w:rPr>
                <w:rFonts w:hAnsi="宋体"/>
                <w:spacing w:val="-1"/>
                <w:highlight w:val="none"/>
              </w:rPr>
              <w:t>紧</w:t>
            </w:r>
            <w:r>
              <w:rPr>
                <w:rFonts w:hAnsi="宋体"/>
                <w:spacing w:val="2"/>
                <w:highlight w:val="none"/>
              </w:rPr>
              <w:t>急</w:t>
            </w:r>
            <w:r>
              <w:rPr>
                <w:rFonts w:hAnsi="宋体"/>
                <w:spacing w:val="-1"/>
                <w:highlight w:val="none"/>
              </w:rPr>
              <w:t>撤</w:t>
            </w:r>
            <w:r>
              <w:rPr>
                <w:rFonts w:hAnsi="宋体"/>
                <w:spacing w:val="2"/>
                <w:highlight w:val="none"/>
              </w:rPr>
              <w:t>离</w:t>
            </w:r>
            <w:r>
              <w:rPr>
                <w:rFonts w:hAnsi="宋体"/>
                <w:spacing w:val="-30"/>
                <w:highlight w:val="none"/>
              </w:rPr>
              <w:t>、</w:t>
            </w:r>
            <w:r>
              <w:rPr>
                <w:rFonts w:hAnsi="宋体"/>
                <w:spacing w:val="-1"/>
                <w:highlight w:val="none"/>
              </w:rPr>
              <w:t>疏</w:t>
            </w:r>
            <w:r>
              <w:rPr>
                <w:rFonts w:hAnsi="宋体"/>
                <w:spacing w:val="2"/>
                <w:highlight w:val="none"/>
              </w:rPr>
              <w:t>散</w:t>
            </w:r>
            <w:r>
              <w:rPr>
                <w:rFonts w:hAnsi="宋体"/>
                <w:spacing w:val="-30"/>
                <w:highlight w:val="none"/>
              </w:rPr>
              <w:t>、</w:t>
            </w:r>
            <w:r>
              <w:rPr>
                <w:rFonts w:hAnsi="宋体"/>
                <w:spacing w:val="-1"/>
                <w:highlight w:val="none"/>
              </w:rPr>
              <w:t>应</w:t>
            </w:r>
            <w:r>
              <w:rPr>
                <w:rFonts w:hAnsi="宋体"/>
                <w:highlight w:val="none"/>
              </w:rPr>
              <w:t>急</w:t>
            </w:r>
          </w:p>
        </w:tc>
        <w:tc>
          <w:tcPr>
            <w:tcW w:w="5742" w:type="dxa"/>
            <w:vAlign w:val="center"/>
          </w:tcPr>
          <w:p>
            <w:pPr>
              <w:pStyle w:val="64"/>
              <w:jc w:val="left"/>
              <w:rPr>
                <w:rFonts w:hAnsi="宋体"/>
                <w:highlight w:val="none"/>
              </w:rPr>
            </w:pPr>
            <w:r>
              <w:rPr>
                <w:rFonts w:hAnsi="宋体"/>
                <w:spacing w:val="-1"/>
                <w:highlight w:val="none"/>
              </w:rPr>
              <w:t>事</w:t>
            </w:r>
            <w:r>
              <w:rPr>
                <w:rFonts w:hAnsi="宋体"/>
                <w:spacing w:val="2"/>
                <w:highlight w:val="none"/>
              </w:rPr>
              <w:t>故</w:t>
            </w:r>
            <w:r>
              <w:rPr>
                <w:rFonts w:hAnsi="宋体"/>
                <w:spacing w:val="-1"/>
                <w:highlight w:val="none"/>
              </w:rPr>
              <w:t>现</w:t>
            </w:r>
            <w:r>
              <w:rPr>
                <w:rFonts w:hAnsi="宋体"/>
                <w:spacing w:val="2"/>
                <w:highlight w:val="none"/>
              </w:rPr>
              <w:t>场</w:t>
            </w:r>
            <w:r>
              <w:rPr>
                <w:rFonts w:hAnsi="宋体"/>
                <w:spacing w:val="-3"/>
                <w:highlight w:val="none"/>
              </w:rPr>
              <w:t>、</w:t>
            </w:r>
            <w:r>
              <w:rPr>
                <w:rFonts w:hAnsi="宋体"/>
                <w:spacing w:val="-1"/>
                <w:highlight w:val="none"/>
              </w:rPr>
              <w:t>矿</w:t>
            </w:r>
            <w:r>
              <w:rPr>
                <w:rFonts w:hAnsi="宋体"/>
                <w:spacing w:val="2"/>
                <w:highlight w:val="none"/>
              </w:rPr>
              <w:t>区</w:t>
            </w:r>
            <w:r>
              <w:rPr>
                <w:rFonts w:hAnsi="宋体"/>
                <w:spacing w:val="-1"/>
                <w:highlight w:val="none"/>
              </w:rPr>
              <w:t>邻</w:t>
            </w:r>
            <w:r>
              <w:rPr>
                <w:rFonts w:hAnsi="宋体"/>
                <w:spacing w:val="2"/>
                <w:highlight w:val="none"/>
              </w:rPr>
              <w:t>区</w:t>
            </w:r>
            <w:r>
              <w:rPr>
                <w:rFonts w:hAnsi="宋体"/>
                <w:spacing w:val="-3"/>
                <w:highlight w:val="none"/>
              </w:rPr>
              <w:t>、</w:t>
            </w:r>
            <w:r>
              <w:rPr>
                <w:rFonts w:hAnsi="宋体"/>
                <w:spacing w:val="-1"/>
                <w:highlight w:val="none"/>
              </w:rPr>
              <w:t>受</w:t>
            </w:r>
            <w:r>
              <w:rPr>
                <w:rFonts w:hAnsi="宋体"/>
                <w:spacing w:val="2"/>
                <w:highlight w:val="none"/>
              </w:rPr>
              <w:t>事</w:t>
            </w:r>
            <w:r>
              <w:rPr>
                <w:rFonts w:hAnsi="宋体"/>
                <w:spacing w:val="-1"/>
                <w:highlight w:val="none"/>
              </w:rPr>
              <w:t>故</w:t>
            </w:r>
            <w:r>
              <w:rPr>
                <w:rFonts w:hAnsi="宋体"/>
                <w:spacing w:val="2"/>
                <w:highlight w:val="none"/>
              </w:rPr>
              <w:t>影</w:t>
            </w:r>
            <w:r>
              <w:rPr>
                <w:rFonts w:hAnsi="宋体"/>
                <w:spacing w:val="-1"/>
                <w:highlight w:val="none"/>
              </w:rPr>
              <w:t>响</w:t>
            </w:r>
            <w:r>
              <w:rPr>
                <w:rFonts w:hAnsi="宋体"/>
                <w:spacing w:val="2"/>
                <w:highlight w:val="none"/>
              </w:rPr>
              <w:t>的</w:t>
            </w:r>
            <w:r>
              <w:rPr>
                <w:rFonts w:hAnsi="宋体"/>
                <w:spacing w:val="-1"/>
                <w:highlight w:val="none"/>
              </w:rPr>
              <w:t>区</w:t>
            </w:r>
            <w:r>
              <w:rPr>
                <w:rFonts w:hAnsi="宋体"/>
                <w:spacing w:val="2"/>
                <w:highlight w:val="none"/>
              </w:rPr>
              <w:t>域</w:t>
            </w:r>
            <w:r>
              <w:rPr>
                <w:rFonts w:hAnsi="宋体"/>
                <w:spacing w:val="-1"/>
                <w:highlight w:val="none"/>
              </w:rPr>
              <w:t>人</w:t>
            </w:r>
            <w:r>
              <w:rPr>
                <w:rFonts w:hAnsi="宋体"/>
                <w:spacing w:val="2"/>
                <w:highlight w:val="none"/>
              </w:rPr>
              <w:t>员</w:t>
            </w:r>
            <w:r>
              <w:rPr>
                <w:rFonts w:hAnsi="宋体"/>
                <w:spacing w:val="-1"/>
                <w:highlight w:val="none"/>
              </w:rPr>
              <w:t>及</w:t>
            </w:r>
            <w:r>
              <w:rPr>
                <w:rFonts w:hAnsi="宋体"/>
                <w:spacing w:val="2"/>
                <w:highlight w:val="none"/>
              </w:rPr>
              <w:t>公</w:t>
            </w:r>
            <w:r>
              <w:rPr>
                <w:rFonts w:hAnsi="宋体"/>
                <w:spacing w:val="-1"/>
                <w:highlight w:val="none"/>
              </w:rPr>
              <w:t>众</w:t>
            </w:r>
            <w:r>
              <w:rPr>
                <w:rFonts w:hAnsi="宋体"/>
                <w:spacing w:val="2"/>
                <w:highlight w:val="none"/>
              </w:rPr>
              <w:t>对</w:t>
            </w:r>
            <w:r>
              <w:rPr>
                <w:rFonts w:hAnsi="宋体"/>
                <w:spacing w:val="-1"/>
                <w:highlight w:val="none"/>
              </w:rPr>
              <w:t>应</w:t>
            </w:r>
            <w:r>
              <w:rPr>
                <w:rFonts w:hAnsi="宋体"/>
                <w:highlight w:val="none"/>
              </w:rPr>
              <w:t>急</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Merge w:val="continue"/>
            <w:vAlign w:val="center"/>
          </w:tcPr>
          <w:p>
            <w:pPr>
              <w:pStyle w:val="64"/>
              <w:rPr>
                <w:rFonts w:hAnsi="宋体"/>
                <w:sz w:val="22"/>
                <w:highlight w:val="none"/>
              </w:rPr>
            </w:pPr>
          </w:p>
        </w:tc>
        <w:tc>
          <w:tcPr>
            <w:tcW w:w="2709" w:type="dxa"/>
            <w:vAlign w:val="center"/>
          </w:tcPr>
          <w:p>
            <w:pPr>
              <w:pStyle w:val="64"/>
              <w:rPr>
                <w:rFonts w:hAnsi="宋体"/>
                <w:highlight w:val="none"/>
              </w:rPr>
            </w:pPr>
            <w:r>
              <w:rPr>
                <w:rFonts w:hAnsi="宋体"/>
                <w:spacing w:val="-1"/>
                <w:highlight w:val="none"/>
              </w:rPr>
              <w:t>计</w:t>
            </w:r>
            <w:r>
              <w:rPr>
                <w:rFonts w:hAnsi="宋体"/>
                <w:spacing w:val="2"/>
                <w:highlight w:val="none"/>
              </w:rPr>
              <w:t>量</w:t>
            </w:r>
            <w:r>
              <w:rPr>
                <w:rFonts w:hAnsi="宋体"/>
                <w:spacing w:val="-1"/>
                <w:highlight w:val="none"/>
              </w:rPr>
              <w:t>控</w:t>
            </w:r>
            <w:r>
              <w:rPr>
                <w:rFonts w:hAnsi="宋体"/>
                <w:spacing w:val="2"/>
                <w:highlight w:val="none"/>
              </w:rPr>
              <w:t>制</w:t>
            </w:r>
            <w:r>
              <w:rPr>
                <w:rFonts w:hAnsi="宋体"/>
                <w:spacing w:val="-1"/>
                <w:highlight w:val="none"/>
              </w:rPr>
              <w:t>、</w:t>
            </w:r>
            <w:r>
              <w:rPr>
                <w:rFonts w:hAnsi="宋体"/>
                <w:spacing w:val="2"/>
                <w:highlight w:val="none"/>
              </w:rPr>
              <w:t>撤</w:t>
            </w:r>
            <w:r>
              <w:rPr>
                <w:rFonts w:hAnsi="宋体"/>
                <w:spacing w:val="-1"/>
                <w:highlight w:val="none"/>
              </w:rPr>
              <w:t>离</w:t>
            </w:r>
            <w:r>
              <w:rPr>
                <w:rFonts w:hAnsi="宋体"/>
                <w:spacing w:val="2"/>
                <w:highlight w:val="none"/>
              </w:rPr>
              <w:t>组</w:t>
            </w:r>
            <w:r>
              <w:rPr>
                <w:rFonts w:hAnsi="宋体"/>
                <w:spacing w:val="-1"/>
                <w:highlight w:val="none"/>
              </w:rPr>
              <w:t>织</w:t>
            </w:r>
            <w:r>
              <w:rPr>
                <w:rFonts w:hAnsi="宋体"/>
                <w:spacing w:val="2"/>
                <w:highlight w:val="none"/>
              </w:rPr>
              <w:t>计</w:t>
            </w:r>
            <w:r>
              <w:rPr>
                <w:rFonts w:hAnsi="宋体"/>
                <w:highlight w:val="none"/>
              </w:rPr>
              <w:t>划</w:t>
            </w:r>
          </w:p>
        </w:tc>
        <w:tc>
          <w:tcPr>
            <w:tcW w:w="5742" w:type="dxa"/>
            <w:vAlign w:val="center"/>
          </w:tcPr>
          <w:p>
            <w:pPr>
              <w:pStyle w:val="64"/>
              <w:jc w:val="left"/>
              <w:rPr>
                <w:rFonts w:hAnsi="宋体"/>
                <w:highlight w:val="none"/>
              </w:rPr>
            </w:pPr>
            <w:r>
              <w:rPr>
                <w:rFonts w:hAnsi="宋体"/>
                <w:spacing w:val="-1"/>
                <w:w w:val="95"/>
                <w:highlight w:val="none"/>
              </w:rPr>
              <w:t>计</w:t>
            </w:r>
            <w:r>
              <w:rPr>
                <w:rFonts w:hAnsi="宋体"/>
                <w:spacing w:val="1"/>
                <w:w w:val="95"/>
                <w:highlight w:val="none"/>
              </w:rPr>
              <w:t>量</w:t>
            </w:r>
            <w:r>
              <w:rPr>
                <w:rFonts w:hAnsi="宋体"/>
                <w:spacing w:val="-1"/>
                <w:w w:val="95"/>
                <w:highlight w:val="none"/>
              </w:rPr>
              <w:t>控</w:t>
            </w:r>
            <w:r>
              <w:rPr>
                <w:rFonts w:hAnsi="宋体"/>
                <w:spacing w:val="1"/>
                <w:w w:val="95"/>
                <w:highlight w:val="none"/>
              </w:rPr>
              <w:t>制</w:t>
            </w:r>
            <w:r>
              <w:rPr>
                <w:rFonts w:hAnsi="宋体"/>
                <w:spacing w:val="-1"/>
                <w:w w:val="95"/>
                <w:highlight w:val="none"/>
              </w:rPr>
              <w:t>规</w:t>
            </w:r>
            <w:r>
              <w:rPr>
                <w:rFonts w:hAnsi="宋体"/>
                <w:spacing w:val="1"/>
                <w:w w:val="95"/>
                <w:highlight w:val="none"/>
              </w:rPr>
              <w:t>定</w:t>
            </w:r>
            <w:r>
              <w:rPr>
                <w:rFonts w:hAnsi="宋体"/>
                <w:spacing w:val="-54"/>
                <w:w w:val="95"/>
                <w:highlight w:val="none"/>
              </w:rPr>
              <w:t>，</w:t>
            </w:r>
            <w:r>
              <w:rPr>
                <w:rFonts w:hAnsi="宋体"/>
                <w:spacing w:val="-1"/>
                <w:w w:val="95"/>
                <w:highlight w:val="none"/>
              </w:rPr>
              <w:t>撤</w:t>
            </w:r>
            <w:r>
              <w:rPr>
                <w:rFonts w:hAnsi="宋体"/>
                <w:spacing w:val="1"/>
                <w:w w:val="95"/>
                <w:highlight w:val="none"/>
              </w:rPr>
              <w:t>离</w:t>
            </w:r>
            <w:r>
              <w:rPr>
                <w:rFonts w:hAnsi="宋体"/>
                <w:spacing w:val="-1"/>
                <w:w w:val="95"/>
                <w:highlight w:val="none"/>
              </w:rPr>
              <w:t>组</w:t>
            </w:r>
            <w:r>
              <w:rPr>
                <w:rFonts w:hAnsi="宋体"/>
                <w:spacing w:val="1"/>
                <w:w w:val="95"/>
                <w:highlight w:val="none"/>
              </w:rPr>
              <w:t>织</w:t>
            </w:r>
            <w:r>
              <w:rPr>
                <w:rFonts w:hAnsi="宋体"/>
                <w:spacing w:val="-1"/>
                <w:w w:val="95"/>
                <w:highlight w:val="none"/>
              </w:rPr>
              <w:t>计</w:t>
            </w:r>
            <w:r>
              <w:rPr>
                <w:rFonts w:hAnsi="宋体"/>
                <w:spacing w:val="1"/>
                <w:w w:val="95"/>
                <w:highlight w:val="none"/>
              </w:rPr>
              <w:t>划</w:t>
            </w:r>
            <w:r>
              <w:rPr>
                <w:rFonts w:hAnsi="宋体"/>
                <w:spacing w:val="-1"/>
                <w:w w:val="95"/>
                <w:highlight w:val="none"/>
              </w:rPr>
              <w:t>及</w:t>
            </w:r>
            <w:r>
              <w:rPr>
                <w:rFonts w:hAnsi="宋体"/>
                <w:spacing w:val="1"/>
                <w:w w:val="95"/>
                <w:highlight w:val="none"/>
              </w:rPr>
              <w:t>救</w:t>
            </w:r>
            <w:r>
              <w:rPr>
                <w:rFonts w:hAnsi="宋体"/>
                <w:spacing w:val="-1"/>
                <w:w w:val="95"/>
                <w:highlight w:val="none"/>
              </w:rPr>
              <w:t>护</w:t>
            </w:r>
            <w:r>
              <w:rPr>
                <w:rFonts w:hAnsi="宋体"/>
                <w:spacing w:val="-51"/>
                <w:w w:val="95"/>
                <w:highlight w:val="none"/>
              </w:rPr>
              <w:t>，</w:t>
            </w:r>
            <w:r>
              <w:rPr>
                <w:rFonts w:hAnsi="宋体"/>
                <w:spacing w:val="-1"/>
                <w:w w:val="95"/>
                <w:highlight w:val="none"/>
              </w:rPr>
              <w:t>医</w:t>
            </w:r>
            <w:r>
              <w:rPr>
                <w:rFonts w:hAnsi="宋体"/>
                <w:spacing w:val="1"/>
                <w:w w:val="95"/>
                <w:highlight w:val="none"/>
              </w:rPr>
              <w:t>疗</w:t>
            </w:r>
            <w:r>
              <w:rPr>
                <w:rFonts w:hAnsi="宋体"/>
                <w:spacing w:val="-1"/>
                <w:w w:val="95"/>
                <w:highlight w:val="none"/>
              </w:rPr>
              <w:t>救</w:t>
            </w:r>
            <w:r>
              <w:rPr>
                <w:rFonts w:hAnsi="宋体"/>
                <w:spacing w:val="1"/>
                <w:w w:val="95"/>
                <w:highlight w:val="none"/>
              </w:rPr>
              <w:t>护</w:t>
            </w:r>
            <w:r>
              <w:rPr>
                <w:rFonts w:hAnsi="宋体"/>
                <w:spacing w:val="-1"/>
                <w:w w:val="95"/>
                <w:highlight w:val="none"/>
              </w:rPr>
              <w:t>与</w:t>
            </w:r>
            <w:r>
              <w:rPr>
                <w:rFonts w:hAnsi="宋体"/>
                <w:spacing w:val="1"/>
                <w:w w:val="95"/>
                <w:highlight w:val="none"/>
              </w:rPr>
              <w:t>公</w:t>
            </w:r>
            <w:r>
              <w:rPr>
                <w:rFonts w:hAnsi="宋体"/>
                <w:spacing w:val="-1"/>
                <w:w w:val="95"/>
                <w:highlight w:val="none"/>
              </w:rPr>
              <w:t>众</w:t>
            </w:r>
            <w:r>
              <w:rPr>
                <w:rFonts w:hAnsi="宋体"/>
                <w:spacing w:val="1"/>
                <w:w w:val="95"/>
                <w:highlight w:val="none"/>
              </w:rPr>
              <w:t>健</w:t>
            </w:r>
            <w:r>
              <w:rPr>
                <w:rFonts w:hAnsi="宋体"/>
                <w:spacing w:val="-1"/>
                <w:w w:val="95"/>
                <w:highlight w:val="none"/>
              </w:rPr>
              <w:t>康</w:t>
            </w:r>
            <w:r>
              <w:rPr>
                <w:rFonts w:hAnsi="宋体"/>
                <w:w w:val="95"/>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60" w:hRule="atLeast"/>
        </w:trPr>
        <w:tc>
          <w:tcPr>
            <w:tcW w:w="727" w:type="dxa"/>
            <w:vAlign w:val="center"/>
          </w:tcPr>
          <w:p>
            <w:pPr>
              <w:pStyle w:val="64"/>
              <w:rPr>
                <w:rFonts w:hAnsi="宋体" w:cs="hakuyoxingshu7000"/>
                <w:highlight w:val="none"/>
              </w:rPr>
            </w:pPr>
            <w:r>
              <w:rPr>
                <w:rFonts w:hAnsi="宋体" w:cs="hakuyoxingshu7000"/>
                <w:highlight w:val="none"/>
              </w:rPr>
              <w:t>9</w:t>
            </w:r>
          </w:p>
        </w:tc>
        <w:tc>
          <w:tcPr>
            <w:tcW w:w="2709" w:type="dxa"/>
            <w:vAlign w:val="center"/>
          </w:tcPr>
          <w:p>
            <w:pPr>
              <w:pStyle w:val="64"/>
              <w:rPr>
                <w:rFonts w:hAnsi="宋体"/>
                <w:highlight w:val="none"/>
              </w:rPr>
            </w:pPr>
            <w:r>
              <w:rPr>
                <w:rFonts w:hAnsi="宋体"/>
                <w:spacing w:val="-1"/>
                <w:highlight w:val="none"/>
              </w:rPr>
              <w:t>事</w:t>
            </w:r>
            <w:r>
              <w:rPr>
                <w:rFonts w:hAnsi="宋体"/>
                <w:spacing w:val="2"/>
                <w:highlight w:val="none"/>
              </w:rPr>
              <w:t>故</w:t>
            </w:r>
            <w:r>
              <w:rPr>
                <w:rFonts w:hAnsi="宋体"/>
                <w:spacing w:val="-1"/>
                <w:highlight w:val="none"/>
              </w:rPr>
              <w:t>应</w:t>
            </w:r>
            <w:r>
              <w:rPr>
                <w:rFonts w:hAnsi="宋体"/>
                <w:spacing w:val="2"/>
                <w:highlight w:val="none"/>
              </w:rPr>
              <w:t>急</w:t>
            </w:r>
            <w:r>
              <w:rPr>
                <w:rFonts w:hAnsi="宋体"/>
                <w:spacing w:val="-1"/>
                <w:highlight w:val="none"/>
              </w:rPr>
              <w:t>救</w:t>
            </w:r>
            <w:r>
              <w:rPr>
                <w:rFonts w:hAnsi="宋体"/>
                <w:spacing w:val="2"/>
                <w:highlight w:val="none"/>
              </w:rPr>
              <w:t>援</w:t>
            </w:r>
            <w:r>
              <w:rPr>
                <w:rFonts w:hAnsi="宋体"/>
                <w:spacing w:val="-1"/>
                <w:highlight w:val="none"/>
              </w:rPr>
              <w:t>关</w:t>
            </w:r>
            <w:r>
              <w:rPr>
                <w:rFonts w:hAnsi="宋体"/>
                <w:spacing w:val="2"/>
                <w:highlight w:val="none"/>
              </w:rPr>
              <w:t>闭</w:t>
            </w:r>
            <w:r>
              <w:rPr>
                <w:rFonts w:hAnsi="宋体"/>
                <w:spacing w:val="-1"/>
                <w:highlight w:val="none"/>
              </w:rPr>
              <w:t>程</w:t>
            </w:r>
            <w:r>
              <w:rPr>
                <w:rFonts w:hAnsi="宋体"/>
                <w:spacing w:val="2"/>
                <w:highlight w:val="none"/>
              </w:rPr>
              <w:t>序</w:t>
            </w:r>
            <w:r>
              <w:rPr>
                <w:rFonts w:hAnsi="宋体"/>
                <w:highlight w:val="none"/>
              </w:rPr>
              <w:t>与</w:t>
            </w:r>
            <w:r>
              <w:rPr>
                <w:rFonts w:hAnsi="宋体"/>
                <w:spacing w:val="-1"/>
                <w:highlight w:val="none"/>
              </w:rPr>
              <w:t>恢</w:t>
            </w:r>
            <w:r>
              <w:rPr>
                <w:rFonts w:hAnsi="宋体"/>
                <w:spacing w:val="2"/>
                <w:highlight w:val="none"/>
              </w:rPr>
              <w:t>复</w:t>
            </w:r>
            <w:r>
              <w:rPr>
                <w:rFonts w:hAnsi="宋体"/>
                <w:spacing w:val="-1"/>
                <w:highlight w:val="none"/>
              </w:rPr>
              <w:t>措</w:t>
            </w:r>
            <w:r>
              <w:rPr>
                <w:rFonts w:hAnsi="宋体"/>
                <w:highlight w:val="none"/>
              </w:rPr>
              <w:t>施</w:t>
            </w:r>
          </w:p>
        </w:tc>
        <w:tc>
          <w:tcPr>
            <w:tcW w:w="5742" w:type="dxa"/>
            <w:vAlign w:val="center"/>
          </w:tcPr>
          <w:p>
            <w:pPr>
              <w:pStyle w:val="64"/>
              <w:jc w:val="left"/>
              <w:rPr>
                <w:rFonts w:hAnsi="宋体"/>
                <w:highlight w:val="none"/>
              </w:rPr>
            </w:pPr>
            <w:r>
              <w:rPr>
                <w:rFonts w:hAnsi="宋体"/>
                <w:spacing w:val="-1"/>
                <w:highlight w:val="none"/>
              </w:rPr>
              <w:t>规</w:t>
            </w:r>
            <w:r>
              <w:rPr>
                <w:rFonts w:hAnsi="宋体"/>
                <w:spacing w:val="2"/>
                <w:highlight w:val="none"/>
              </w:rPr>
              <w:t>定</w:t>
            </w:r>
            <w:r>
              <w:rPr>
                <w:rFonts w:hAnsi="宋体"/>
                <w:spacing w:val="-1"/>
                <w:highlight w:val="none"/>
              </w:rPr>
              <w:t>应</w:t>
            </w:r>
            <w:r>
              <w:rPr>
                <w:rFonts w:hAnsi="宋体"/>
                <w:spacing w:val="2"/>
                <w:highlight w:val="none"/>
              </w:rPr>
              <w:t>急</w:t>
            </w:r>
            <w:r>
              <w:rPr>
                <w:rFonts w:hAnsi="宋体"/>
                <w:spacing w:val="-1"/>
                <w:highlight w:val="none"/>
              </w:rPr>
              <w:t>状</w:t>
            </w:r>
            <w:r>
              <w:rPr>
                <w:rFonts w:hAnsi="宋体"/>
                <w:spacing w:val="2"/>
                <w:highlight w:val="none"/>
              </w:rPr>
              <w:t>态</w:t>
            </w:r>
            <w:r>
              <w:rPr>
                <w:rFonts w:hAnsi="宋体"/>
                <w:spacing w:val="-1"/>
                <w:highlight w:val="none"/>
              </w:rPr>
              <w:t>终</w:t>
            </w:r>
            <w:r>
              <w:rPr>
                <w:rFonts w:hAnsi="宋体"/>
                <w:spacing w:val="2"/>
                <w:highlight w:val="none"/>
              </w:rPr>
              <w:t>止</w:t>
            </w:r>
            <w:r>
              <w:rPr>
                <w:rFonts w:hAnsi="宋体"/>
                <w:spacing w:val="-1"/>
                <w:highlight w:val="none"/>
              </w:rPr>
              <w:t>程</w:t>
            </w:r>
            <w:r>
              <w:rPr>
                <w:rFonts w:hAnsi="宋体"/>
                <w:spacing w:val="2"/>
                <w:highlight w:val="none"/>
              </w:rPr>
              <w:t>序</w:t>
            </w:r>
            <w:r>
              <w:rPr>
                <w:rFonts w:hAnsi="宋体"/>
                <w:spacing w:val="-1"/>
                <w:highlight w:val="none"/>
              </w:rPr>
              <w:t>事</w:t>
            </w:r>
            <w:r>
              <w:rPr>
                <w:rFonts w:hAnsi="宋体"/>
                <w:spacing w:val="2"/>
                <w:highlight w:val="none"/>
              </w:rPr>
              <w:t>故</w:t>
            </w:r>
            <w:r>
              <w:rPr>
                <w:rFonts w:hAnsi="宋体"/>
                <w:spacing w:val="-1"/>
                <w:highlight w:val="none"/>
              </w:rPr>
              <w:t>现</w:t>
            </w:r>
            <w:r>
              <w:rPr>
                <w:rFonts w:hAnsi="宋体"/>
                <w:spacing w:val="2"/>
                <w:highlight w:val="none"/>
              </w:rPr>
              <w:t>场</w:t>
            </w:r>
            <w:r>
              <w:rPr>
                <w:rFonts w:hAnsi="宋体"/>
                <w:spacing w:val="-1"/>
                <w:highlight w:val="none"/>
              </w:rPr>
              <w:t>善</w:t>
            </w:r>
            <w:r>
              <w:rPr>
                <w:rFonts w:hAnsi="宋体"/>
                <w:spacing w:val="2"/>
                <w:highlight w:val="none"/>
              </w:rPr>
              <w:t>后</w:t>
            </w:r>
            <w:r>
              <w:rPr>
                <w:rFonts w:hAnsi="宋体"/>
                <w:spacing w:val="-1"/>
                <w:highlight w:val="none"/>
              </w:rPr>
              <w:t>处</w:t>
            </w:r>
            <w:r>
              <w:rPr>
                <w:rFonts w:hAnsi="宋体"/>
                <w:spacing w:val="2"/>
                <w:highlight w:val="none"/>
              </w:rPr>
              <w:t>理</w:t>
            </w:r>
            <w:r>
              <w:rPr>
                <w:rFonts w:hAnsi="宋体"/>
                <w:spacing w:val="-3"/>
                <w:highlight w:val="none"/>
              </w:rPr>
              <w:t>、</w:t>
            </w:r>
            <w:r>
              <w:rPr>
                <w:rFonts w:hAnsi="宋体"/>
                <w:spacing w:val="-1"/>
                <w:highlight w:val="none"/>
              </w:rPr>
              <w:t>恢</w:t>
            </w:r>
            <w:r>
              <w:rPr>
                <w:rFonts w:hAnsi="宋体"/>
                <w:spacing w:val="2"/>
                <w:highlight w:val="none"/>
              </w:rPr>
              <w:t>复</w:t>
            </w:r>
            <w:r>
              <w:rPr>
                <w:rFonts w:hAnsi="宋体"/>
                <w:spacing w:val="-1"/>
                <w:highlight w:val="none"/>
              </w:rPr>
              <w:t>措</w:t>
            </w:r>
            <w:r>
              <w:rPr>
                <w:rFonts w:hAnsi="宋体"/>
                <w:spacing w:val="2"/>
                <w:highlight w:val="none"/>
              </w:rPr>
              <w:t>施</w:t>
            </w:r>
            <w:r>
              <w:rPr>
                <w:rFonts w:hAnsi="宋体"/>
                <w:spacing w:val="-3"/>
                <w:highlight w:val="none"/>
              </w:rPr>
              <w:t>、</w:t>
            </w:r>
            <w:r>
              <w:rPr>
                <w:rFonts w:hAnsi="宋体"/>
                <w:spacing w:val="-1"/>
                <w:highlight w:val="none"/>
              </w:rPr>
              <w:t>邻</w:t>
            </w:r>
            <w:r>
              <w:rPr>
                <w:rFonts w:hAnsi="宋体"/>
                <w:highlight w:val="none"/>
              </w:rPr>
              <w:t>近</w:t>
            </w:r>
            <w:r>
              <w:rPr>
                <w:rFonts w:hAnsi="宋体"/>
                <w:spacing w:val="-1"/>
                <w:highlight w:val="none"/>
              </w:rPr>
              <w:t>区</w:t>
            </w:r>
            <w:r>
              <w:rPr>
                <w:rFonts w:hAnsi="宋体"/>
                <w:spacing w:val="2"/>
                <w:highlight w:val="none"/>
              </w:rPr>
              <w:t>域</w:t>
            </w:r>
            <w:r>
              <w:rPr>
                <w:rFonts w:hAnsi="宋体"/>
                <w:spacing w:val="-1"/>
                <w:highlight w:val="none"/>
              </w:rPr>
              <w:t>解</w:t>
            </w:r>
            <w:r>
              <w:rPr>
                <w:rFonts w:hAnsi="宋体"/>
                <w:spacing w:val="2"/>
                <w:highlight w:val="none"/>
              </w:rPr>
              <w:t>除</w:t>
            </w:r>
            <w:r>
              <w:rPr>
                <w:rFonts w:hAnsi="宋体"/>
                <w:spacing w:val="-1"/>
                <w:highlight w:val="none"/>
              </w:rPr>
              <w:t>事</w:t>
            </w:r>
            <w:r>
              <w:rPr>
                <w:rFonts w:hAnsi="宋体"/>
                <w:spacing w:val="2"/>
                <w:highlight w:val="none"/>
              </w:rPr>
              <w:t>故</w:t>
            </w:r>
            <w:r>
              <w:rPr>
                <w:rFonts w:hAnsi="宋体"/>
                <w:spacing w:val="-1"/>
                <w:highlight w:val="none"/>
              </w:rPr>
              <w:t>警</w:t>
            </w:r>
            <w:r>
              <w:rPr>
                <w:rFonts w:hAnsi="宋体"/>
                <w:spacing w:val="2"/>
                <w:highlight w:val="none"/>
              </w:rPr>
              <w:t>戒</w:t>
            </w:r>
            <w:r>
              <w:rPr>
                <w:rFonts w:hAnsi="宋体"/>
                <w:spacing w:val="-1"/>
                <w:highlight w:val="none"/>
              </w:rPr>
              <w:t>及</w:t>
            </w:r>
            <w:r>
              <w:rPr>
                <w:rFonts w:hAnsi="宋体"/>
                <w:spacing w:val="2"/>
                <w:highlight w:val="none"/>
              </w:rPr>
              <w:t>善</w:t>
            </w:r>
            <w:r>
              <w:rPr>
                <w:rFonts w:hAnsi="宋体"/>
                <w:spacing w:val="-1"/>
                <w:highlight w:val="none"/>
              </w:rPr>
              <w:t>后</w:t>
            </w:r>
            <w:r>
              <w:rPr>
                <w:rFonts w:hAnsi="宋体"/>
                <w:spacing w:val="2"/>
                <w:highlight w:val="none"/>
              </w:rPr>
              <w:t>恢</w:t>
            </w:r>
            <w:r>
              <w:rPr>
                <w:rFonts w:hAnsi="宋体"/>
                <w:spacing w:val="-1"/>
                <w:highlight w:val="none"/>
              </w:rPr>
              <w:t>复</w:t>
            </w:r>
            <w:r>
              <w:rPr>
                <w:rFonts w:hAnsi="宋体"/>
                <w:spacing w:val="2"/>
                <w:highlight w:val="none"/>
              </w:rPr>
              <w:t>措</w:t>
            </w:r>
            <w:r>
              <w:rPr>
                <w:rFonts w:hAnsi="宋体"/>
                <w:spacing w:val="-1"/>
                <w:highlight w:val="none"/>
              </w:rPr>
              <w:t>施</w:t>
            </w:r>
            <w:r>
              <w:rPr>
                <w:rFonts w:hAnsi="宋体"/>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cs="hakuyoxingshu7000"/>
                <w:highlight w:val="none"/>
              </w:rPr>
            </w:pPr>
            <w:r>
              <w:rPr>
                <w:rFonts w:hAnsi="宋体" w:cs="hakuyoxingshu7000"/>
                <w:spacing w:val="1"/>
                <w:highlight w:val="none"/>
              </w:rPr>
              <w:t>1</w:t>
            </w:r>
            <w:r>
              <w:rPr>
                <w:rFonts w:hAnsi="宋体" w:cs="hakuyoxingshu7000"/>
                <w:highlight w:val="none"/>
              </w:rPr>
              <w:t>0</w:t>
            </w:r>
          </w:p>
        </w:tc>
        <w:tc>
          <w:tcPr>
            <w:tcW w:w="2709" w:type="dxa"/>
            <w:vAlign w:val="center"/>
          </w:tcPr>
          <w:p>
            <w:pPr>
              <w:pStyle w:val="64"/>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培</w:t>
            </w:r>
            <w:r>
              <w:rPr>
                <w:rFonts w:hAnsi="宋体"/>
                <w:spacing w:val="2"/>
                <w:highlight w:val="none"/>
              </w:rPr>
              <w:t>训</w:t>
            </w:r>
            <w:r>
              <w:rPr>
                <w:rFonts w:hAnsi="宋体"/>
                <w:spacing w:val="-1"/>
                <w:highlight w:val="none"/>
              </w:rPr>
              <w:t>计</w:t>
            </w:r>
            <w:r>
              <w:rPr>
                <w:rFonts w:hAnsi="宋体"/>
                <w:highlight w:val="none"/>
              </w:rPr>
              <w:t>划</w:t>
            </w:r>
          </w:p>
        </w:tc>
        <w:tc>
          <w:tcPr>
            <w:tcW w:w="5742" w:type="dxa"/>
            <w:vAlign w:val="center"/>
          </w:tcPr>
          <w:p>
            <w:pPr>
              <w:pStyle w:val="64"/>
              <w:jc w:val="left"/>
              <w:rPr>
                <w:rFonts w:hAnsi="宋体"/>
                <w:highlight w:val="none"/>
              </w:rPr>
            </w:pPr>
            <w:r>
              <w:rPr>
                <w:rFonts w:hAnsi="宋体"/>
                <w:spacing w:val="-1"/>
                <w:highlight w:val="none"/>
              </w:rPr>
              <w:t>应</w:t>
            </w:r>
            <w:r>
              <w:rPr>
                <w:rFonts w:hAnsi="宋体"/>
                <w:spacing w:val="2"/>
                <w:highlight w:val="none"/>
              </w:rPr>
              <w:t>急</w:t>
            </w:r>
            <w:r>
              <w:rPr>
                <w:rFonts w:hAnsi="宋体"/>
                <w:spacing w:val="-1"/>
                <w:highlight w:val="none"/>
              </w:rPr>
              <w:t>计</w:t>
            </w:r>
            <w:r>
              <w:rPr>
                <w:rFonts w:hAnsi="宋体"/>
                <w:spacing w:val="2"/>
                <w:highlight w:val="none"/>
              </w:rPr>
              <w:t>划</w:t>
            </w:r>
            <w:r>
              <w:rPr>
                <w:rFonts w:hAnsi="宋体"/>
                <w:spacing w:val="-1"/>
                <w:highlight w:val="none"/>
              </w:rPr>
              <w:t>制</w:t>
            </w:r>
            <w:r>
              <w:rPr>
                <w:rFonts w:hAnsi="宋体"/>
                <w:spacing w:val="2"/>
                <w:highlight w:val="none"/>
              </w:rPr>
              <w:t>定</w:t>
            </w:r>
            <w:r>
              <w:rPr>
                <w:rFonts w:hAnsi="宋体"/>
                <w:spacing w:val="-1"/>
                <w:highlight w:val="none"/>
              </w:rPr>
              <w:t>后</w:t>
            </w:r>
            <w:r>
              <w:rPr>
                <w:rFonts w:hAnsi="宋体"/>
                <w:spacing w:val="2"/>
                <w:highlight w:val="none"/>
              </w:rPr>
              <w:t>，</w:t>
            </w:r>
            <w:r>
              <w:rPr>
                <w:rFonts w:hAnsi="宋体"/>
                <w:spacing w:val="-1"/>
                <w:highlight w:val="none"/>
              </w:rPr>
              <w:t>定</w:t>
            </w:r>
            <w:r>
              <w:rPr>
                <w:rFonts w:hAnsi="宋体"/>
                <w:spacing w:val="2"/>
                <w:highlight w:val="none"/>
              </w:rPr>
              <w:t>期</w:t>
            </w:r>
            <w:r>
              <w:rPr>
                <w:rFonts w:hAnsi="宋体"/>
                <w:spacing w:val="-1"/>
                <w:highlight w:val="none"/>
              </w:rPr>
              <w:t>安</w:t>
            </w:r>
            <w:r>
              <w:rPr>
                <w:rFonts w:hAnsi="宋体"/>
                <w:spacing w:val="2"/>
                <w:highlight w:val="none"/>
              </w:rPr>
              <w:t>排</w:t>
            </w:r>
            <w:r>
              <w:rPr>
                <w:rFonts w:hAnsi="宋体"/>
                <w:spacing w:val="-1"/>
                <w:highlight w:val="none"/>
              </w:rPr>
              <w:t>人</w:t>
            </w:r>
            <w:r>
              <w:rPr>
                <w:rFonts w:hAnsi="宋体"/>
                <w:spacing w:val="2"/>
                <w:highlight w:val="none"/>
              </w:rPr>
              <w:t>员</w:t>
            </w:r>
            <w:r>
              <w:rPr>
                <w:rFonts w:hAnsi="宋体"/>
                <w:spacing w:val="-1"/>
                <w:highlight w:val="none"/>
              </w:rPr>
              <w:t>培</w:t>
            </w:r>
            <w:r>
              <w:rPr>
                <w:rFonts w:hAnsi="宋体"/>
                <w:spacing w:val="2"/>
                <w:highlight w:val="none"/>
              </w:rPr>
              <w:t>训</w:t>
            </w:r>
            <w:r>
              <w:rPr>
                <w:rFonts w:hAnsi="宋体"/>
                <w:spacing w:val="-1"/>
                <w:highlight w:val="none"/>
              </w:rPr>
              <w:t>与</w:t>
            </w:r>
            <w:r>
              <w:rPr>
                <w:rFonts w:hAnsi="宋体"/>
                <w:spacing w:val="2"/>
                <w:highlight w:val="none"/>
              </w:rPr>
              <w:t>演</w:t>
            </w:r>
            <w:r>
              <w:rPr>
                <w:rFonts w:hAnsi="宋体"/>
                <w:highlight w:val="none"/>
              </w:rPr>
              <w:t>练</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27" w:type="dxa"/>
            <w:vAlign w:val="center"/>
          </w:tcPr>
          <w:p>
            <w:pPr>
              <w:pStyle w:val="64"/>
              <w:rPr>
                <w:rFonts w:hAnsi="宋体" w:cs="hakuyoxingshu7000"/>
                <w:highlight w:val="none"/>
              </w:rPr>
            </w:pPr>
            <w:r>
              <w:rPr>
                <w:rFonts w:hAnsi="宋体" w:cs="hakuyoxingshu7000"/>
                <w:spacing w:val="1"/>
                <w:highlight w:val="none"/>
              </w:rPr>
              <w:t>1</w:t>
            </w:r>
            <w:r>
              <w:rPr>
                <w:rFonts w:hAnsi="宋体" w:cs="hakuyoxingshu7000"/>
                <w:highlight w:val="none"/>
              </w:rPr>
              <w:t>1</w:t>
            </w:r>
          </w:p>
        </w:tc>
        <w:tc>
          <w:tcPr>
            <w:tcW w:w="2709" w:type="dxa"/>
            <w:vAlign w:val="center"/>
          </w:tcPr>
          <w:p>
            <w:pPr>
              <w:pStyle w:val="64"/>
              <w:rPr>
                <w:rFonts w:hAnsi="宋体"/>
                <w:highlight w:val="none"/>
              </w:rPr>
            </w:pPr>
            <w:r>
              <w:rPr>
                <w:rFonts w:hAnsi="宋体"/>
                <w:spacing w:val="-1"/>
                <w:highlight w:val="none"/>
              </w:rPr>
              <w:t>公</w:t>
            </w:r>
            <w:r>
              <w:rPr>
                <w:rFonts w:hAnsi="宋体"/>
                <w:spacing w:val="2"/>
                <w:highlight w:val="none"/>
              </w:rPr>
              <w:t>众</w:t>
            </w:r>
            <w:r>
              <w:rPr>
                <w:rFonts w:hAnsi="宋体"/>
                <w:spacing w:val="-1"/>
                <w:highlight w:val="none"/>
              </w:rPr>
              <w:t>教</w:t>
            </w:r>
            <w:r>
              <w:rPr>
                <w:rFonts w:hAnsi="宋体"/>
                <w:spacing w:val="2"/>
                <w:highlight w:val="none"/>
              </w:rPr>
              <w:t>育</w:t>
            </w:r>
            <w:r>
              <w:rPr>
                <w:rFonts w:hAnsi="宋体"/>
                <w:spacing w:val="-1"/>
                <w:highlight w:val="none"/>
              </w:rPr>
              <w:t>和</w:t>
            </w:r>
            <w:r>
              <w:rPr>
                <w:rFonts w:hAnsi="宋体"/>
                <w:spacing w:val="2"/>
                <w:highlight w:val="none"/>
              </w:rPr>
              <w:t>信</w:t>
            </w:r>
            <w:r>
              <w:rPr>
                <w:rFonts w:hAnsi="宋体"/>
                <w:highlight w:val="none"/>
              </w:rPr>
              <w:t>息</w:t>
            </w:r>
          </w:p>
        </w:tc>
        <w:tc>
          <w:tcPr>
            <w:tcW w:w="5742" w:type="dxa"/>
            <w:vAlign w:val="center"/>
          </w:tcPr>
          <w:p>
            <w:pPr>
              <w:pStyle w:val="64"/>
              <w:jc w:val="left"/>
              <w:rPr>
                <w:rFonts w:hAnsi="宋体"/>
                <w:highlight w:val="none"/>
              </w:rPr>
            </w:pPr>
            <w:r>
              <w:rPr>
                <w:rFonts w:hAnsi="宋体"/>
                <w:spacing w:val="-1"/>
                <w:highlight w:val="none"/>
              </w:rPr>
              <w:t>对</w:t>
            </w:r>
            <w:r>
              <w:rPr>
                <w:rFonts w:hAnsi="宋体"/>
                <w:spacing w:val="2"/>
                <w:highlight w:val="none"/>
              </w:rPr>
              <w:t>邻</w:t>
            </w:r>
            <w:r>
              <w:rPr>
                <w:rFonts w:hAnsi="宋体"/>
                <w:spacing w:val="-1"/>
                <w:highlight w:val="none"/>
              </w:rPr>
              <w:t>近</w:t>
            </w:r>
            <w:r>
              <w:rPr>
                <w:rFonts w:hAnsi="宋体"/>
                <w:spacing w:val="2"/>
                <w:highlight w:val="none"/>
              </w:rPr>
              <w:t>地</w:t>
            </w:r>
            <w:r>
              <w:rPr>
                <w:rFonts w:hAnsi="宋体"/>
                <w:spacing w:val="-1"/>
                <w:highlight w:val="none"/>
              </w:rPr>
              <w:t>区</w:t>
            </w:r>
            <w:r>
              <w:rPr>
                <w:rFonts w:hAnsi="宋体"/>
                <w:spacing w:val="2"/>
                <w:highlight w:val="none"/>
              </w:rPr>
              <w:t>开</w:t>
            </w:r>
            <w:r>
              <w:rPr>
                <w:rFonts w:hAnsi="宋体"/>
                <w:spacing w:val="-1"/>
                <w:highlight w:val="none"/>
              </w:rPr>
              <w:t>展</w:t>
            </w:r>
            <w:r>
              <w:rPr>
                <w:rFonts w:hAnsi="宋体"/>
                <w:spacing w:val="2"/>
                <w:highlight w:val="none"/>
              </w:rPr>
              <w:t>公</w:t>
            </w:r>
            <w:r>
              <w:rPr>
                <w:rFonts w:hAnsi="宋体"/>
                <w:spacing w:val="-1"/>
                <w:highlight w:val="none"/>
              </w:rPr>
              <w:t>众</w:t>
            </w:r>
            <w:r>
              <w:rPr>
                <w:rFonts w:hAnsi="宋体"/>
                <w:spacing w:val="2"/>
                <w:highlight w:val="none"/>
              </w:rPr>
              <w:t>教</w:t>
            </w:r>
            <w:r>
              <w:rPr>
                <w:rFonts w:hAnsi="宋体"/>
                <w:spacing w:val="-1"/>
                <w:highlight w:val="none"/>
              </w:rPr>
              <w:t>育</w:t>
            </w:r>
            <w:r>
              <w:rPr>
                <w:rFonts w:hAnsi="宋体"/>
                <w:spacing w:val="2"/>
                <w:highlight w:val="none"/>
              </w:rPr>
              <w:t>培</w:t>
            </w:r>
            <w:r>
              <w:rPr>
                <w:rFonts w:hAnsi="宋体"/>
                <w:spacing w:val="-1"/>
                <w:highlight w:val="none"/>
              </w:rPr>
              <w:t>训</w:t>
            </w:r>
            <w:r>
              <w:rPr>
                <w:rFonts w:hAnsi="宋体"/>
                <w:spacing w:val="2"/>
                <w:highlight w:val="none"/>
              </w:rPr>
              <w:t>和</w:t>
            </w:r>
            <w:r>
              <w:rPr>
                <w:rFonts w:hAnsi="宋体"/>
                <w:spacing w:val="-1"/>
                <w:highlight w:val="none"/>
              </w:rPr>
              <w:t>发</w:t>
            </w:r>
            <w:r>
              <w:rPr>
                <w:rFonts w:hAnsi="宋体"/>
                <w:spacing w:val="2"/>
                <w:highlight w:val="none"/>
              </w:rPr>
              <w:t>布</w:t>
            </w:r>
            <w:r>
              <w:rPr>
                <w:rFonts w:hAnsi="宋体"/>
                <w:spacing w:val="-1"/>
                <w:highlight w:val="none"/>
              </w:rPr>
              <w:t>有</w:t>
            </w:r>
            <w:r>
              <w:rPr>
                <w:rFonts w:hAnsi="宋体"/>
                <w:spacing w:val="2"/>
                <w:highlight w:val="none"/>
              </w:rPr>
              <w:t>关</w:t>
            </w:r>
            <w:r>
              <w:rPr>
                <w:rFonts w:hAnsi="宋体"/>
                <w:spacing w:val="-1"/>
                <w:highlight w:val="none"/>
              </w:rPr>
              <w:t>信</w:t>
            </w:r>
            <w:r>
              <w:rPr>
                <w:rFonts w:hAnsi="宋体"/>
                <w:highlight w:val="none"/>
              </w:rPr>
              <w:t>息</w:t>
            </w:r>
          </w:p>
        </w:tc>
      </w:tr>
    </w:tbl>
    <w:p>
      <w:pPr>
        <w:keepNext/>
        <w:keepLines/>
        <w:ind w:firstLine="480"/>
        <w:outlineLvl w:val="3"/>
        <w:rPr>
          <w:rFonts w:ascii="宋体" w:hAnsi="宋体"/>
          <w:bCs/>
          <w:szCs w:val="28"/>
          <w:highlight w:val="none"/>
        </w:rPr>
      </w:pPr>
      <w:r>
        <w:rPr>
          <w:rFonts w:ascii="宋体" w:hAnsi="宋体"/>
          <w:bCs/>
          <w:szCs w:val="28"/>
          <w:highlight w:val="none"/>
        </w:rPr>
        <w:t>5.</w:t>
      </w:r>
      <w:r>
        <w:rPr>
          <w:rFonts w:hint="eastAsia" w:ascii="宋体" w:hAnsi="宋体"/>
          <w:bCs/>
          <w:szCs w:val="28"/>
          <w:highlight w:val="none"/>
        </w:rPr>
        <w:t>7.5</w:t>
      </w:r>
      <w:r>
        <w:rPr>
          <w:rFonts w:ascii="宋体" w:hAnsi="宋体"/>
          <w:bCs/>
          <w:szCs w:val="28"/>
          <w:highlight w:val="none"/>
        </w:rPr>
        <w:t>.</w:t>
      </w:r>
      <w:r>
        <w:rPr>
          <w:rFonts w:hint="eastAsia" w:ascii="宋体" w:hAnsi="宋体"/>
          <w:bCs/>
          <w:szCs w:val="28"/>
          <w:highlight w:val="none"/>
        </w:rPr>
        <w:t>8</w:t>
      </w:r>
      <w:r>
        <w:rPr>
          <w:rFonts w:ascii="宋体" w:hAnsi="宋体"/>
          <w:bCs/>
          <w:szCs w:val="28"/>
          <w:highlight w:val="none"/>
        </w:rPr>
        <w:t>尾矿库环境风险评价结论</w:t>
      </w:r>
    </w:p>
    <w:p>
      <w:pPr>
        <w:pStyle w:val="62"/>
        <w:ind w:firstLine="480"/>
        <w:rPr>
          <w:rFonts w:hAnsi="宋体"/>
          <w:highlight w:val="none"/>
        </w:rPr>
      </w:pPr>
      <w:r>
        <w:rPr>
          <w:rFonts w:hAnsi="宋体"/>
          <w:highlight w:val="none"/>
        </w:rPr>
        <w:t>根据尾矿库地形标高及堆高设计，预计拦渣坝事故时冲入下游最大范围内</w:t>
      </w:r>
      <w:r>
        <w:rPr>
          <w:rFonts w:hint="eastAsia" w:hAnsi="宋体"/>
          <w:highlight w:val="none"/>
        </w:rPr>
        <w:t>（360m）</w:t>
      </w:r>
      <w:r>
        <w:rPr>
          <w:rFonts w:hAnsi="宋体"/>
          <w:highlight w:val="none"/>
        </w:rPr>
        <w:t>没有村庄、河流、重要公路和其他环境敏感目标存在，</w:t>
      </w:r>
      <w:r>
        <w:rPr>
          <w:rFonts w:hint="eastAsia" w:hAnsi="宋体"/>
          <w:highlight w:val="none"/>
        </w:rPr>
        <w:t>大</w:t>
      </w:r>
      <w:r>
        <w:rPr>
          <w:rFonts w:hAnsi="宋体"/>
          <w:highlight w:val="none"/>
        </w:rPr>
        <w:t>部为沟谷。因此，废石溃坝后只要采取措施及时清理废石，然后进行生态恢复，不会对环境造成永久性损害。本项目的环境风险是可以接受的。</w:t>
      </w:r>
    </w:p>
    <w:p>
      <w:pPr>
        <w:pStyle w:val="4"/>
        <w:ind w:firstLine="562"/>
        <w:rPr>
          <w:rFonts w:hAnsi="宋体"/>
          <w:highlight w:val="none"/>
        </w:rPr>
      </w:pPr>
      <w:r>
        <w:rPr>
          <w:rFonts w:hint="eastAsia" w:hAnsi="宋体"/>
          <w:highlight w:val="none"/>
        </w:rPr>
        <w:t>5</w:t>
      </w:r>
      <w:r>
        <w:rPr>
          <w:rFonts w:hAnsi="宋体"/>
          <w:highlight w:val="none"/>
        </w:rPr>
        <w:t>.7.</w:t>
      </w:r>
      <w:r>
        <w:rPr>
          <w:rFonts w:hint="eastAsia" w:hAnsi="宋体"/>
          <w:highlight w:val="none"/>
        </w:rPr>
        <w:t>6环境风险简单分析内容表</w:t>
      </w:r>
    </w:p>
    <w:p>
      <w:pPr>
        <w:ind w:firstLine="480"/>
        <w:jc w:val="center"/>
        <w:rPr>
          <w:rFonts w:ascii="宋体" w:hAnsi="宋体"/>
          <w:bCs/>
          <w:szCs w:val="22"/>
          <w:highlight w:val="none"/>
        </w:rPr>
      </w:pPr>
      <w:r>
        <w:rPr>
          <w:rFonts w:ascii="宋体" w:hAnsi="宋体"/>
          <w:bCs/>
          <w:szCs w:val="22"/>
          <w:highlight w:val="none"/>
        </w:rPr>
        <w:t>表5.7-1</w:t>
      </w:r>
      <w:r>
        <w:rPr>
          <w:rFonts w:hint="eastAsia" w:ascii="宋体" w:hAnsi="宋体"/>
          <w:bCs/>
          <w:szCs w:val="22"/>
          <w:highlight w:val="none"/>
        </w:rPr>
        <w:t xml:space="preserve">1  </w:t>
      </w:r>
      <w:r>
        <w:rPr>
          <w:rFonts w:ascii="宋体" w:hAnsi="宋体"/>
          <w:bCs/>
          <w:szCs w:val="22"/>
          <w:highlight w:val="none"/>
        </w:rPr>
        <w:t>建设项目环境风险简单分析内容表</w:t>
      </w:r>
    </w:p>
    <w:tbl>
      <w:tblPr>
        <w:tblStyle w:val="44"/>
        <w:tblW w:w="906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45"/>
        <w:gridCol w:w="1394"/>
        <w:gridCol w:w="93"/>
        <w:gridCol w:w="1959"/>
        <w:gridCol w:w="1164"/>
        <w:gridCol w:w="23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Align w:val="center"/>
          </w:tcPr>
          <w:p>
            <w:pPr>
              <w:pStyle w:val="64"/>
              <w:rPr>
                <w:rFonts w:hAnsi="宋体"/>
                <w:highlight w:val="none"/>
              </w:rPr>
            </w:pPr>
            <w:r>
              <w:rPr>
                <w:rFonts w:hAnsi="宋体"/>
                <w:highlight w:val="none"/>
              </w:rPr>
              <w:t>建设项目名称</w:t>
            </w:r>
          </w:p>
        </w:tc>
        <w:tc>
          <w:tcPr>
            <w:tcW w:w="6915" w:type="dxa"/>
            <w:gridSpan w:val="5"/>
            <w:vAlign w:val="center"/>
          </w:tcPr>
          <w:p>
            <w:pPr>
              <w:pStyle w:val="64"/>
              <w:rPr>
                <w:rFonts w:hAnsi="宋体"/>
                <w:b/>
                <w:highlight w:val="none"/>
              </w:rPr>
            </w:pPr>
            <w:r>
              <w:rPr>
                <w:rFonts w:hAnsi="宋体"/>
                <w:highlight w:val="none"/>
              </w:rPr>
              <w:t>山西省繁峙县垣利铁选厂30万吨/年低品位铁矿石综合利用项目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Align w:val="center"/>
          </w:tcPr>
          <w:p>
            <w:pPr>
              <w:pStyle w:val="64"/>
              <w:rPr>
                <w:rFonts w:hAnsi="宋体"/>
                <w:highlight w:val="none"/>
              </w:rPr>
            </w:pPr>
            <w:r>
              <w:rPr>
                <w:rFonts w:hAnsi="宋体"/>
                <w:highlight w:val="none"/>
              </w:rPr>
              <w:t>建设地点</w:t>
            </w:r>
          </w:p>
        </w:tc>
        <w:tc>
          <w:tcPr>
            <w:tcW w:w="6915" w:type="dxa"/>
            <w:gridSpan w:val="5"/>
            <w:vAlign w:val="center"/>
          </w:tcPr>
          <w:p>
            <w:pPr>
              <w:pStyle w:val="64"/>
              <w:rPr>
                <w:rFonts w:hAnsi="宋体"/>
                <w:highlight w:val="none"/>
              </w:rPr>
            </w:pPr>
            <w:r>
              <w:rPr>
                <w:rFonts w:hAnsi="宋体"/>
                <w:highlight w:val="none"/>
              </w:rPr>
              <w:t>繁峙县光裕堡乡富家庄村东南1.52km处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Align w:val="center"/>
          </w:tcPr>
          <w:p>
            <w:pPr>
              <w:pStyle w:val="64"/>
              <w:rPr>
                <w:rFonts w:hAnsi="宋体"/>
                <w:highlight w:val="none"/>
              </w:rPr>
            </w:pPr>
            <w:r>
              <w:rPr>
                <w:rFonts w:hAnsi="宋体"/>
                <w:highlight w:val="none"/>
              </w:rPr>
              <w:t>地理坐标</w:t>
            </w:r>
          </w:p>
        </w:tc>
        <w:tc>
          <w:tcPr>
            <w:tcW w:w="1394" w:type="dxa"/>
            <w:vAlign w:val="center"/>
          </w:tcPr>
          <w:p>
            <w:pPr>
              <w:pStyle w:val="64"/>
              <w:rPr>
                <w:rFonts w:hAnsi="宋体"/>
                <w:highlight w:val="none"/>
              </w:rPr>
            </w:pPr>
            <w:r>
              <w:rPr>
                <w:rFonts w:hAnsi="宋体"/>
                <w:highlight w:val="none"/>
              </w:rPr>
              <w:t>经度</w:t>
            </w:r>
          </w:p>
        </w:tc>
        <w:tc>
          <w:tcPr>
            <w:tcW w:w="2052" w:type="dxa"/>
            <w:gridSpan w:val="2"/>
            <w:vAlign w:val="center"/>
          </w:tcPr>
          <w:p>
            <w:pPr>
              <w:pStyle w:val="64"/>
              <w:rPr>
                <w:rFonts w:hAnsi="宋体"/>
                <w:highlight w:val="none"/>
              </w:rPr>
            </w:pPr>
            <w:r>
              <w:rPr>
                <w:rFonts w:hAnsi="宋体"/>
                <w:highlight w:val="none"/>
              </w:rPr>
              <w:t>E113.455757°</w:t>
            </w:r>
          </w:p>
        </w:tc>
        <w:tc>
          <w:tcPr>
            <w:tcW w:w="1164" w:type="dxa"/>
            <w:vAlign w:val="center"/>
          </w:tcPr>
          <w:p>
            <w:pPr>
              <w:pStyle w:val="64"/>
              <w:rPr>
                <w:rFonts w:hAnsi="宋体"/>
                <w:highlight w:val="none"/>
              </w:rPr>
            </w:pPr>
            <w:r>
              <w:rPr>
                <w:rFonts w:hAnsi="宋体"/>
                <w:highlight w:val="none"/>
              </w:rPr>
              <w:t>纬度</w:t>
            </w:r>
          </w:p>
        </w:tc>
        <w:tc>
          <w:tcPr>
            <w:tcW w:w="2305" w:type="dxa"/>
            <w:vAlign w:val="center"/>
          </w:tcPr>
          <w:p>
            <w:pPr>
              <w:pStyle w:val="64"/>
              <w:rPr>
                <w:rFonts w:hAnsi="宋体"/>
                <w:highlight w:val="none"/>
              </w:rPr>
            </w:pPr>
            <w:r>
              <w:rPr>
                <w:rFonts w:hint="eastAsia" w:hAnsi="宋体"/>
                <w:highlight w:val="none"/>
              </w:rPr>
              <w:t>N</w:t>
            </w:r>
            <w:r>
              <w:rPr>
                <w:rFonts w:hAnsi="宋体"/>
                <w:highlight w:val="none"/>
              </w:rPr>
              <w:t>39.207388°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2145" w:type="dxa"/>
            <w:vAlign w:val="center"/>
          </w:tcPr>
          <w:p>
            <w:pPr>
              <w:pStyle w:val="64"/>
              <w:rPr>
                <w:rFonts w:hAnsi="宋体"/>
                <w:highlight w:val="none"/>
              </w:rPr>
            </w:pPr>
            <w:r>
              <w:rPr>
                <w:rFonts w:hAnsi="宋体"/>
                <w:highlight w:val="none"/>
              </w:rPr>
              <w:t>主要危险物质及分布</w:t>
            </w:r>
          </w:p>
        </w:tc>
        <w:tc>
          <w:tcPr>
            <w:tcW w:w="1394" w:type="dxa"/>
            <w:vAlign w:val="center"/>
          </w:tcPr>
          <w:p>
            <w:pPr>
              <w:pStyle w:val="64"/>
              <w:rPr>
                <w:rFonts w:hAnsi="宋体"/>
                <w:highlight w:val="none"/>
              </w:rPr>
            </w:pPr>
            <w:r>
              <w:rPr>
                <w:rFonts w:hAnsi="宋体"/>
                <w:highlight w:val="none"/>
              </w:rPr>
              <w:t>废机油</w:t>
            </w:r>
            <w:r>
              <w:rPr>
                <w:rFonts w:hint="eastAsia" w:hAnsi="宋体"/>
                <w:highlight w:val="none"/>
              </w:rPr>
              <w:t>、尾砂</w:t>
            </w:r>
          </w:p>
        </w:tc>
        <w:tc>
          <w:tcPr>
            <w:tcW w:w="5521" w:type="dxa"/>
            <w:gridSpan w:val="4"/>
            <w:vAlign w:val="center"/>
          </w:tcPr>
          <w:p>
            <w:pPr>
              <w:pStyle w:val="64"/>
              <w:rPr>
                <w:rFonts w:hAnsi="宋体"/>
                <w:highlight w:val="none"/>
              </w:rPr>
            </w:pPr>
            <w:r>
              <w:rPr>
                <w:rFonts w:hAnsi="宋体"/>
                <w:highlight w:val="none"/>
              </w:rPr>
              <w:t>危废暂存间</w:t>
            </w:r>
            <w:r>
              <w:rPr>
                <w:rFonts w:hint="eastAsia" w:hAnsi="宋体"/>
                <w:highlight w:val="none"/>
              </w:rPr>
              <w:t>、尾矿库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Align w:val="center"/>
          </w:tcPr>
          <w:p>
            <w:pPr>
              <w:pStyle w:val="64"/>
              <w:rPr>
                <w:rFonts w:hAnsi="宋体"/>
                <w:highlight w:val="none"/>
              </w:rPr>
            </w:pPr>
            <w:r>
              <w:rPr>
                <w:rFonts w:hAnsi="宋体"/>
                <w:highlight w:val="none"/>
              </w:rPr>
              <w:t>环境影响途径及危害后果（大气、地表水、地下水等）</w:t>
            </w:r>
          </w:p>
        </w:tc>
        <w:tc>
          <w:tcPr>
            <w:tcW w:w="6915" w:type="dxa"/>
            <w:gridSpan w:val="5"/>
            <w:vAlign w:val="center"/>
          </w:tcPr>
          <w:p>
            <w:pPr>
              <w:pStyle w:val="64"/>
              <w:jc w:val="left"/>
              <w:rPr>
                <w:rFonts w:hAnsi="宋体"/>
                <w:highlight w:val="none"/>
              </w:rPr>
            </w:pPr>
            <w:r>
              <w:rPr>
                <w:rFonts w:hAnsi="宋体"/>
                <w:highlight w:val="none"/>
              </w:rPr>
              <w:t>危害途径：机油和废机油泄漏</w:t>
            </w:r>
            <w:r>
              <w:rPr>
                <w:rFonts w:hint="eastAsia" w:hAnsi="宋体"/>
                <w:highlight w:val="none"/>
              </w:rPr>
              <w:t>；尾矿库溃坝。</w:t>
            </w:r>
          </w:p>
          <w:p>
            <w:pPr>
              <w:pStyle w:val="64"/>
              <w:jc w:val="left"/>
              <w:rPr>
                <w:rFonts w:hAnsi="宋体"/>
                <w:highlight w:val="none"/>
              </w:rPr>
            </w:pPr>
            <w:r>
              <w:rPr>
                <w:rFonts w:hAnsi="宋体"/>
                <w:highlight w:val="none"/>
              </w:rPr>
              <w:t>危害后果：机油和废机油泄漏对地下水</w:t>
            </w:r>
            <w:r>
              <w:rPr>
                <w:rFonts w:hint="eastAsia" w:hAnsi="宋体"/>
                <w:highlight w:val="none"/>
              </w:rPr>
              <w:t>、土壤</w:t>
            </w:r>
            <w:r>
              <w:rPr>
                <w:rFonts w:hAnsi="宋体"/>
                <w:highlight w:val="none"/>
              </w:rPr>
              <w:t>有一定影响</w:t>
            </w:r>
            <w:r>
              <w:rPr>
                <w:rFonts w:hint="eastAsia" w:hAnsi="宋体"/>
                <w:highlight w:val="none"/>
              </w:rPr>
              <w:t>；尾矿库溃坝对生态、土壤</w:t>
            </w:r>
            <w:r>
              <w:rPr>
                <w:rFonts w:hAnsi="宋体"/>
                <w:highlight w:val="none"/>
              </w:rPr>
              <w:t>有一定影响</w:t>
            </w:r>
            <w:r>
              <w:rPr>
                <w:rFonts w:hint="eastAsia"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Merge w:val="restart"/>
            <w:vAlign w:val="center"/>
          </w:tcPr>
          <w:p>
            <w:pPr>
              <w:pStyle w:val="64"/>
              <w:rPr>
                <w:rFonts w:hAnsi="宋体"/>
                <w:highlight w:val="none"/>
              </w:rPr>
            </w:pPr>
            <w:r>
              <w:rPr>
                <w:rFonts w:hAnsi="宋体"/>
                <w:highlight w:val="none"/>
              </w:rPr>
              <w:t>风险防范措施要求</w:t>
            </w:r>
          </w:p>
        </w:tc>
        <w:tc>
          <w:tcPr>
            <w:tcW w:w="1487" w:type="dxa"/>
            <w:gridSpan w:val="2"/>
            <w:vAlign w:val="center"/>
          </w:tcPr>
          <w:p>
            <w:pPr>
              <w:pStyle w:val="64"/>
              <w:rPr>
                <w:rFonts w:hAnsi="宋体"/>
                <w:highlight w:val="none"/>
              </w:rPr>
            </w:pPr>
            <w:r>
              <w:rPr>
                <w:rFonts w:hAnsi="宋体"/>
                <w:highlight w:val="none"/>
              </w:rPr>
              <w:t>总图布置与建筑安全防范措施</w:t>
            </w:r>
          </w:p>
        </w:tc>
        <w:tc>
          <w:tcPr>
            <w:tcW w:w="5428" w:type="dxa"/>
            <w:gridSpan w:val="3"/>
            <w:vAlign w:val="center"/>
          </w:tcPr>
          <w:p>
            <w:pPr>
              <w:pStyle w:val="64"/>
              <w:jc w:val="left"/>
              <w:rPr>
                <w:rFonts w:hAnsi="宋体"/>
                <w:highlight w:val="none"/>
              </w:rPr>
            </w:pPr>
            <w:r>
              <w:rPr>
                <w:rFonts w:hAnsi="宋体"/>
                <w:highlight w:val="none"/>
              </w:rPr>
              <w:t>总图布置严格遵循《建筑设计防火规范》B50016-2014（2018年版）,《建筑内部装修设计防火规范》GB50222-2017防火等级和建筑防火间距要求</w:t>
            </w:r>
            <w:r>
              <w:rPr>
                <w:rFonts w:hint="eastAsia" w:hAnsi="宋体"/>
                <w:highlight w:val="none"/>
              </w:rPr>
              <w:t>；尾矿库坝址选择必须进行安全认证，严格按照设计要求进行坝址地区的工程地质勘探、测量。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Merge w:val="continue"/>
            <w:vAlign w:val="center"/>
          </w:tcPr>
          <w:p>
            <w:pPr>
              <w:pStyle w:val="64"/>
              <w:rPr>
                <w:rFonts w:hAnsi="宋体"/>
                <w:highlight w:val="none"/>
              </w:rPr>
            </w:pPr>
          </w:p>
        </w:tc>
        <w:tc>
          <w:tcPr>
            <w:tcW w:w="1487" w:type="dxa"/>
            <w:gridSpan w:val="2"/>
            <w:vAlign w:val="center"/>
          </w:tcPr>
          <w:p>
            <w:pPr>
              <w:pStyle w:val="64"/>
              <w:rPr>
                <w:rFonts w:hAnsi="宋体"/>
                <w:highlight w:val="none"/>
              </w:rPr>
            </w:pPr>
            <w:r>
              <w:rPr>
                <w:rFonts w:hAnsi="宋体"/>
                <w:highlight w:val="none"/>
              </w:rPr>
              <w:t>工艺及设备技术选择</w:t>
            </w:r>
          </w:p>
        </w:tc>
        <w:tc>
          <w:tcPr>
            <w:tcW w:w="5428" w:type="dxa"/>
            <w:gridSpan w:val="3"/>
            <w:vAlign w:val="center"/>
          </w:tcPr>
          <w:p>
            <w:pPr>
              <w:pStyle w:val="64"/>
              <w:jc w:val="left"/>
              <w:rPr>
                <w:rFonts w:hAnsi="宋体"/>
                <w:highlight w:val="none"/>
              </w:rPr>
            </w:pPr>
            <w:r>
              <w:rPr>
                <w:rFonts w:hAnsi="宋体"/>
                <w:highlight w:val="none"/>
              </w:rPr>
              <w:t>严格进场设备、备件、材料的质量检查验收制度，防止不合格设备、备件、材料进入生产过程使用。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2145" w:type="dxa"/>
            <w:vMerge w:val="continue"/>
            <w:vAlign w:val="center"/>
          </w:tcPr>
          <w:p>
            <w:pPr>
              <w:pStyle w:val="64"/>
              <w:rPr>
                <w:rFonts w:hAnsi="宋体"/>
                <w:highlight w:val="none"/>
              </w:rPr>
            </w:pPr>
          </w:p>
        </w:tc>
        <w:tc>
          <w:tcPr>
            <w:tcW w:w="1487" w:type="dxa"/>
            <w:gridSpan w:val="2"/>
            <w:vAlign w:val="center"/>
          </w:tcPr>
          <w:p>
            <w:pPr>
              <w:pStyle w:val="64"/>
              <w:rPr>
                <w:rFonts w:hAnsi="宋体"/>
                <w:highlight w:val="none"/>
              </w:rPr>
            </w:pPr>
            <w:r>
              <w:rPr>
                <w:rFonts w:hAnsi="宋体"/>
                <w:highlight w:val="none"/>
              </w:rPr>
              <w:t>生产运行过程中的事故防范措施</w:t>
            </w:r>
          </w:p>
        </w:tc>
        <w:tc>
          <w:tcPr>
            <w:tcW w:w="5428" w:type="dxa"/>
            <w:gridSpan w:val="3"/>
            <w:vAlign w:val="center"/>
          </w:tcPr>
          <w:p>
            <w:pPr>
              <w:pStyle w:val="64"/>
              <w:jc w:val="left"/>
              <w:rPr>
                <w:rFonts w:hAnsi="宋体"/>
                <w:highlight w:val="none"/>
              </w:rPr>
            </w:pPr>
            <w:r>
              <w:rPr>
                <w:rFonts w:hAnsi="宋体"/>
                <w:highlight w:val="none"/>
              </w:rPr>
              <w:t>（1）危废暂存间应封闭，严格按照规范要求进行防渗设计，门口设置围堰，在发生泄漏事件时，可确保将危险物质围堵在厂房内。</w:t>
            </w:r>
          </w:p>
          <w:p>
            <w:pPr>
              <w:pStyle w:val="64"/>
              <w:jc w:val="left"/>
              <w:rPr>
                <w:rFonts w:hAnsi="宋体"/>
                <w:highlight w:val="none"/>
              </w:rPr>
            </w:pPr>
            <w:r>
              <w:rPr>
                <w:rFonts w:hAnsi="宋体"/>
                <w:highlight w:val="none"/>
              </w:rPr>
              <w:t>（2）日常有值班人员进行安全检查。</w:t>
            </w:r>
          </w:p>
          <w:p>
            <w:pPr>
              <w:pStyle w:val="64"/>
              <w:jc w:val="left"/>
              <w:rPr>
                <w:rFonts w:hAnsi="宋体"/>
                <w:highlight w:val="none"/>
              </w:rPr>
            </w:pPr>
            <w:r>
              <w:rPr>
                <w:rFonts w:hAnsi="宋体"/>
                <w:highlight w:val="none"/>
              </w:rPr>
              <w:t>（</w:t>
            </w:r>
            <w:r>
              <w:rPr>
                <w:rFonts w:hint="eastAsia" w:hAnsi="宋体"/>
                <w:highlight w:val="none"/>
              </w:rPr>
              <w:t>3</w:t>
            </w:r>
            <w:r>
              <w:rPr>
                <w:rFonts w:hAnsi="宋体"/>
                <w:highlight w:val="none"/>
              </w:rPr>
              <w:t>）</w:t>
            </w:r>
            <w:r>
              <w:rPr>
                <w:rFonts w:hint="eastAsia" w:hAnsi="宋体"/>
                <w:highlight w:val="none"/>
              </w:rPr>
              <w:t>加强拦渣坝的安全监测，包括巡视监测、变形监测、渗流监测、压力监测、水文、气象监测等。设置专人对尾矿库进行管理和维护，严禁在尾矿库周边进行爆破、滥挖等危害尾矿库安全的活动。</w:t>
            </w:r>
          </w:p>
          <w:p>
            <w:pPr>
              <w:pStyle w:val="64"/>
              <w:jc w:val="left"/>
              <w:rPr>
                <w:rFonts w:hAnsi="宋体"/>
                <w:highlight w:val="none"/>
              </w:rPr>
            </w:pPr>
            <w:r>
              <w:rPr>
                <w:rFonts w:hint="eastAsia" w:hAnsi="宋体"/>
                <w:highlight w:val="none"/>
              </w:rPr>
              <w:t>（4）在拦石坝附近设立警示标志牌，明确禁止在尾矿库和坝下进行活动。</w:t>
            </w:r>
          </w:p>
          <w:p>
            <w:pPr>
              <w:pStyle w:val="64"/>
              <w:jc w:val="left"/>
              <w:rPr>
                <w:rFonts w:hAnsi="宋体"/>
                <w:highlight w:val="none"/>
              </w:rPr>
            </w:pPr>
            <w:r>
              <w:rPr>
                <w:rFonts w:hint="eastAsia" w:hAnsi="宋体"/>
                <w:highlight w:val="none"/>
              </w:rPr>
              <w:t>（5）尾矿库建设和管理必须遵守《中华人民共和国矿山安全法》、《中华人民共和国矿山安全法实施条例》。</w:t>
            </w:r>
          </w:p>
          <w:p>
            <w:pPr>
              <w:pStyle w:val="64"/>
              <w:jc w:val="left"/>
              <w:rPr>
                <w:rFonts w:hAnsi="宋体"/>
                <w:highlight w:val="none"/>
              </w:rPr>
            </w:pPr>
            <w:r>
              <w:rPr>
                <w:rFonts w:hint="eastAsia" w:hAnsi="宋体"/>
                <w:highlight w:val="none"/>
              </w:rPr>
              <w:t>（6）落实安全生产责任制，明确安全生产职责，加强监管，及时发现隐患。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Merge w:val="continue"/>
            <w:vAlign w:val="center"/>
          </w:tcPr>
          <w:p>
            <w:pPr>
              <w:pStyle w:val="64"/>
              <w:rPr>
                <w:rFonts w:hAnsi="宋体"/>
                <w:highlight w:val="none"/>
              </w:rPr>
            </w:pPr>
          </w:p>
        </w:tc>
        <w:tc>
          <w:tcPr>
            <w:tcW w:w="1487" w:type="dxa"/>
            <w:gridSpan w:val="2"/>
            <w:vAlign w:val="center"/>
          </w:tcPr>
          <w:p>
            <w:pPr>
              <w:pStyle w:val="64"/>
              <w:rPr>
                <w:rFonts w:hAnsi="宋体"/>
                <w:highlight w:val="none"/>
              </w:rPr>
            </w:pPr>
            <w:r>
              <w:rPr>
                <w:rFonts w:hAnsi="宋体"/>
                <w:highlight w:val="none"/>
              </w:rPr>
              <w:t>环境污染防范措施</w:t>
            </w:r>
          </w:p>
        </w:tc>
        <w:tc>
          <w:tcPr>
            <w:tcW w:w="5428" w:type="dxa"/>
            <w:gridSpan w:val="3"/>
            <w:vAlign w:val="center"/>
          </w:tcPr>
          <w:p>
            <w:pPr>
              <w:pStyle w:val="64"/>
              <w:jc w:val="left"/>
              <w:rPr>
                <w:rFonts w:hAnsi="宋体"/>
                <w:highlight w:val="none"/>
              </w:rPr>
            </w:pPr>
            <w:r>
              <w:rPr>
                <w:rFonts w:hAnsi="宋体"/>
                <w:highlight w:val="none"/>
              </w:rPr>
              <w:t>建立三级防控体系，防止环境风险造成</w:t>
            </w:r>
            <w:r>
              <w:rPr>
                <w:rFonts w:hint="eastAsia" w:hAnsi="宋体"/>
                <w:highlight w:val="none"/>
              </w:rPr>
              <w:t>地下水、土壤、生态</w:t>
            </w:r>
            <w:r>
              <w:rPr>
                <w:rFonts w:hAnsi="宋体"/>
                <w:highlight w:val="none"/>
              </w:rPr>
              <w:t>环境污染</w:t>
            </w:r>
            <w:r>
              <w:rPr>
                <w:rFonts w:hint="eastAsia"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Merge w:val="continue"/>
            <w:vAlign w:val="center"/>
          </w:tcPr>
          <w:p>
            <w:pPr>
              <w:pStyle w:val="64"/>
              <w:rPr>
                <w:rFonts w:hAnsi="宋体"/>
                <w:highlight w:val="none"/>
              </w:rPr>
            </w:pPr>
          </w:p>
        </w:tc>
        <w:tc>
          <w:tcPr>
            <w:tcW w:w="1487" w:type="dxa"/>
            <w:gridSpan w:val="2"/>
            <w:vAlign w:val="center"/>
          </w:tcPr>
          <w:p>
            <w:pPr>
              <w:pStyle w:val="64"/>
              <w:rPr>
                <w:rFonts w:hAnsi="宋体"/>
                <w:highlight w:val="none"/>
              </w:rPr>
            </w:pPr>
            <w:r>
              <w:rPr>
                <w:rFonts w:hAnsi="宋体"/>
                <w:highlight w:val="none"/>
              </w:rPr>
              <w:t>应急预案</w:t>
            </w:r>
          </w:p>
        </w:tc>
        <w:tc>
          <w:tcPr>
            <w:tcW w:w="5428" w:type="dxa"/>
            <w:gridSpan w:val="3"/>
            <w:vAlign w:val="center"/>
          </w:tcPr>
          <w:p>
            <w:pPr>
              <w:pStyle w:val="64"/>
              <w:jc w:val="left"/>
              <w:rPr>
                <w:rFonts w:hAnsi="宋体"/>
                <w:highlight w:val="none"/>
              </w:rPr>
            </w:pPr>
            <w:r>
              <w:rPr>
                <w:rFonts w:hAnsi="宋体"/>
                <w:highlight w:val="none"/>
              </w:rPr>
              <w:t>成立环境应急处理机构，</w:t>
            </w:r>
            <w:r>
              <w:rPr>
                <w:rFonts w:hint="eastAsia" w:hAnsi="宋体"/>
                <w:highlight w:val="none"/>
              </w:rPr>
              <w:t>制定</w:t>
            </w:r>
            <w:r>
              <w:rPr>
                <w:rFonts w:hAnsi="宋体"/>
                <w:highlight w:val="none"/>
              </w:rPr>
              <w:t>应急预案包括环境应急监测方案，加强应急演练</w:t>
            </w:r>
            <w:r>
              <w:rPr>
                <w:rFonts w:hint="eastAsia"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145" w:type="dxa"/>
            <w:vAlign w:val="center"/>
          </w:tcPr>
          <w:p>
            <w:pPr>
              <w:pStyle w:val="64"/>
              <w:rPr>
                <w:rFonts w:hAnsi="宋体"/>
                <w:highlight w:val="none"/>
              </w:rPr>
            </w:pPr>
            <w:r>
              <w:rPr>
                <w:rFonts w:hAnsi="宋体"/>
                <w:highlight w:val="none"/>
              </w:rPr>
              <w:t>填表说明（列出相关信息及评价说明）</w:t>
            </w:r>
          </w:p>
        </w:tc>
        <w:tc>
          <w:tcPr>
            <w:tcW w:w="6915" w:type="dxa"/>
            <w:gridSpan w:val="5"/>
            <w:vAlign w:val="center"/>
          </w:tcPr>
          <w:p>
            <w:pPr>
              <w:pStyle w:val="64"/>
              <w:rPr>
                <w:rFonts w:hAnsi="宋体"/>
                <w:highlight w:val="none"/>
              </w:rPr>
            </w:pPr>
            <w:r>
              <w:rPr>
                <w:rFonts w:hAnsi="宋体"/>
                <w:highlight w:val="none"/>
              </w:rPr>
              <w:t>本项目环境风险潜势为I级，确定本次环境风险评价等级为简单分析</w:t>
            </w:r>
          </w:p>
        </w:tc>
      </w:tr>
    </w:tbl>
    <w:p>
      <w:pPr>
        <w:pStyle w:val="3"/>
        <w:ind w:firstLine="643"/>
        <w:rPr>
          <w:rFonts w:hAnsi="宋体"/>
          <w:highlight w:val="none"/>
        </w:rPr>
      </w:pPr>
      <w:bookmarkStart w:id="331" w:name="_Toc70201036"/>
      <w:r>
        <w:rPr>
          <w:rFonts w:hAnsi="宋体"/>
          <w:highlight w:val="none"/>
        </w:rPr>
        <w:t>5.8</w:t>
      </w:r>
      <w:r>
        <w:rPr>
          <w:rFonts w:hint="eastAsia" w:hAnsi="宋体"/>
          <w:highlight w:val="none"/>
        </w:rPr>
        <w:t>运营期</w:t>
      </w:r>
      <w:r>
        <w:rPr>
          <w:rFonts w:hAnsi="宋体"/>
          <w:highlight w:val="none"/>
        </w:rPr>
        <w:t>土壤环境影响</w:t>
      </w:r>
      <w:r>
        <w:rPr>
          <w:rFonts w:hint="eastAsia" w:hAnsi="宋体"/>
          <w:highlight w:val="none"/>
        </w:rPr>
        <w:t>分析</w:t>
      </w:r>
      <w:bookmarkEnd w:id="331"/>
    </w:p>
    <w:p>
      <w:pPr>
        <w:pStyle w:val="4"/>
        <w:ind w:firstLine="562"/>
        <w:rPr>
          <w:rFonts w:hAnsi="宋体"/>
          <w:highlight w:val="none"/>
        </w:rPr>
      </w:pPr>
      <w:r>
        <w:rPr>
          <w:rFonts w:hAnsi="宋体"/>
          <w:highlight w:val="none"/>
        </w:rPr>
        <w:t>5.8.1评价时段</w:t>
      </w:r>
    </w:p>
    <w:p>
      <w:pPr>
        <w:snapToGrid w:val="0"/>
        <w:spacing w:line="420" w:lineRule="atLeast"/>
        <w:ind w:firstLine="480"/>
        <w:rPr>
          <w:rFonts w:ascii="宋体" w:hAnsi="宋体"/>
          <w:kern w:val="0"/>
          <w:highlight w:val="none"/>
        </w:rPr>
      </w:pPr>
      <w:r>
        <w:rPr>
          <w:rFonts w:ascii="宋体" w:hAnsi="宋体"/>
          <w:kern w:val="0"/>
          <w:highlight w:val="none"/>
        </w:rPr>
        <w:t>根据本</w:t>
      </w:r>
      <w:r>
        <w:rPr>
          <w:rFonts w:ascii="宋体" w:hAnsi="宋体"/>
          <w:spacing w:val="4"/>
          <w:highlight w:val="none"/>
        </w:rPr>
        <w:t>项目</w:t>
      </w:r>
      <w:r>
        <w:rPr>
          <w:rFonts w:ascii="宋体" w:hAnsi="宋体"/>
          <w:kern w:val="0"/>
          <w:highlight w:val="none"/>
        </w:rPr>
        <w:t>土壤环境影响途径识别结果，确定预测评价时段为运营期。</w:t>
      </w:r>
    </w:p>
    <w:p>
      <w:pPr>
        <w:pStyle w:val="4"/>
        <w:ind w:firstLine="562"/>
        <w:rPr>
          <w:rFonts w:hAnsi="宋体"/>
          <w:kern w:val="0"/>
          <w:highlight w:val="none"/>
        </w:rPr>
      </w:pPr>
      <w:r>
        <w:rPr>
          <w:rFonts w:hAnsi="宋体"/>
          <w:highlight w:val="none"/>
        </w:rPr>
        <w:t>5.8.</w:t>
      </w:r>
      <w:r>
        <w:rPr>
          <w:rFonts w:hint="eastAsia" w:hAnsi="宋体"/>
          <w:highlight w:val="none"/>
        </w:rPr>
        <w:t>2</w:t>
      </w:r>
      <w:r>
        <w:rPr>
          <w:rFonts w:hint="eastAsia" w:hAnsi="宋体"/>
          <w:kern w:val="0"/>
          <w:highlight w:val="none"/>
        </w:rPr>
        <w:t>评价等级和</w:t>
      </w:r>
      <w:r>
        <w:rPr>
          <w:rFonts w:hAnsi="宋体"/>
          <w:highlight w:val="none"/>
        </w:rPr>
        <w:t>评价范围</w:t>
      </w:r>
    </w:p>
    <w:p>
      <w:pPr>
        <w:pStyle w:val="62"/>
        <w:ind w:firstLine="480"/>
        <w:rPr>
          <w:rFonts w:hAnsi="宋体"/>
          <w:highlight w:val="none"/>
        </w:rPr>
      </w:pPr>
      <w:r>
        <w:rPr>
          <w:rFonts w:hint="eastAsia" w:hAnsi="宋体"/>
          <w:highlight w:val="none"/>
        </w:rPr>
        <w:t>本项目为铁矿洗选项目（含尾矿库），由2.4节可知，选厂选矿厂土壤为三级评价，尾矿库土壤为二级评价。</w:t>
      </w:r>
    </w:p>
    <w:p>
      <w:pPr>
        <w:pStyle w:val="62"/>
        <w:ind w:firstLine="480"/>
        <w:rPr>
          <w:rFonts w:hAnsi="宋体"/>
          <w:highlight w:val="none"/>
        </w:rPr>
      </w:pPr>
      <w:r>
        <w:rPr>
          <w:rFonts w:hAnsi="宋体"/>
          <w:highlight w:val="none"/>
        </w:rPr>
        <w:t>评价范围：</w:t>
      </w:r>
      <w:r>
        <w:rPr>
          <w:rFonts w:hint="eastAsia" w:hAnsi="宋体" w:cs="宋体"/>
          <w:highlight w:val="none"/>
        </w:rPr>
        <w:t>①</w:t>
      </w:r>
      <w:r>
        <w:rPr>
          <w:rFonts w:hAnsi="宋体"/>
          <w:highlight w:val="none"/>
        </w:rPr>
        <w:t>厂址占地范围内的全部区域及边界外扩50米；</w:t>
      </w:r>
    </w:p>
    <w:p>
      <w:pPr>
        <w:pStyle w:val="62"/>
        <w:ind w:firstLine="1680" w:firstLineChars="700"/>
        <w:rPr>
          <w:rFonts w:hAnsi="宋体"/>
          <w:spacing w:val="4"/>
          <w:highlight w:val="none"/>
        </w:rPr>
      </w:pPr>
      <w:r>
        <w:rPr>
          <w:rFonts w:hint="eastAsia" w:hAnsi="宋体" w:cs="宋体"/>
          <w:highlight w:val="none"/>
        </w:rPr>
        <w:t>②</w:t>
      </w:r>
      <w:r>
        <w:rPr>
          <w:rFonts w:hAnsi="宋体"/>
          <w:highlight w:val="none"/>
        </w:rPr>
        <w:t>尾矿库占地范围内的全部区域及边界外扩200米。</w:t>
      </w:r>
    </w:p>
    <w:p>
      <w:pPr>
        <w:pStyle w:val="4"/>
        <w:ind w:firstLine="562"/>
        <w:rPr>
          <w:rFonts w:hAnsi="宋体"/>
          <w:highlight w:val="none"/>
        </w:rPr>
      </w:pPr>
      <w:r>
        <w:rPr>
          <w:rFonts w:hAnsi="宋体"/>
          <w:highlight w:val="none"/>
        </w:rPr>
        <w:t>5.8.3土壤环境影响</w:t>
      </w:r>
      <w:r>
        <w:rPr>
          <w:rFonts w:hint="eastAsia" w:hAnsi="宋体"/>
          <w:highlight w:val="none"/>
        </w:rPr>
        <w:t>预测</w:t>
      </w:r>
    </w:p>
    <w:p>
      <w:pPr>
        <w:ind w:firstLine="496"/>
        <w:rPr>
          <w:rFonts w:ascii="宋体" w:hAnsi="宋体"/>
          <w:spacing w:val="4"/>
          <w:highlight w:val="none"/>
        </w:rPr>
      </w:pPr>
      <w:r>
        <w:rPr>
          <w:rFonts w:hint="eastAsia" w:ascii="宋体" w:hAnsi="宋体"/>
          <w:spacing w:val="4"/>
          <w:highlight w:val="none"/>
        </w:rPr>
        <w:t>5.8.3.1影响预测时段</w:t>
      </w:r>
    </w:p>
    <w:p>
      <w:pPr>
        <w:ind w:firstLine="496"/>
        <w:rPr>
          <w:rFonts w:ascii="宋体" w:hAnsi="宋体"/>
          <w:spacing w:val="4"/>
          <w:highlight w:val="none"/>
        </w:rPr>
      </w:pPr>
      <w:r>
        <w:rPr>
          <w:rFonts w:hint="eastAsia" w:ascii="宋体" w:hAnsi="宋体"/>
          <w:spacing w:val="4"/>
          <w:highlight w:val="none"/>
        </w:rPr>
        <w:t>本项目</w:t>
      </w:r>
      <w:r>
        <w:rPr>
          <w:rFonts w:ascii="宋体" w:hAnsi="宋体"/>
          <w:spacing w:val="4"/>
          <w:highlight w:val="none"/>
        </w:rPr>
        <w:t>工程施工期主要内容为厂房的防渗工程和</w:t>
      </w:r>
      <w:r>
        <w:rPr>
          <w:rFonts w:hint="eastAsia" w:ascii="宋体" w:hAnsi="宋体"/>
          <w:spacing w:val="4"/>
          <w:highlight w:val="none"/>
        </w:rPr>
        <w:t>生产</w:t>
      </w:r>
      <w:r>
        <w:rPr>
          <w:rFonts w:ascii="宋体" w:hAnsi="宋体"/>
          <w:spacing w:val="4"/>
          <w:highlight w:val="none"/>
        </w:rPr>
        <w:t>设备的安装</w:t>
      </w:r>
      <w:r>
        <w:rPr>
          <w:rFonts w:hint="eastAsia" w:ascii="宋体" w:hAnsi="宋体"/>
          <w:spacing w:val="4"/>
          <w:highlight w:val="none"/>
        </w:rPr>
        <w:t>，施工期对土壤的影响仅局限于土壤结构的破坏，不涉及污染物的排放，因此重点预测时段为项目运行期。</w:t>
      </w:r>
    </w:p>
    <w:p>
      <w:pPr>
        <w:ind w:firstLine="496"/>
        <w:rPr>
          <w:rFonts w:ascii="宋体" w:hAnsi="宋体"/>
          <w:spacing w:val="4"/>
          <w:highlight w:val="none"/>
        </w:rPr>
      </w:pPr>
      <w:bookmarkStart w:id="332" w:name="_Toc18310718"/>
      <w:r>
        <w:rPr>
          <w:rFonts w:hint="eastAsia" w:ascii="宋体" w:hAnsi="宋体"/>
          <w:spacing w:val="4"/>
          <w:highlight w:val="none"/>
        </w:rPr>
        <w:t>5.8.3.2土壤污染途径分析</w:t>
      </w:r>
      <w:bookmarkEnd w:id="332"/>
    </w:p>
    <w:p>
      <w:pPr>
        <w:pStyle w:val="62"/>
        <w:ind w:firstLine="480"/>
        <w:rPr>
          <w:rFonts w:hAnsi="宋体"/>
          <w:highlight w:val="none"/>
        </w:rPr>
      </w:pPr>
      <w:r>
        <w:rPr>
          <w:rFonts w:hAnsi="宋体"/>
          <w:highlight w:val="none"/>
        </w:rPr>
        <w:t>本项目对土壤环境可能产生的影响途径为</w:t>
      </w:r>
      <w:r>
        <w:rPr>
          <w:rFonts w:hint="eastAsia" w:hAnsi="宋体"/>
          <w:highlight w:val="none"/>
        </w:rPr>
        <w:t>尾浆浓缩池池底地面</w:t>
      </w:r>
      <w:r>
        <w:rPr>
          <w:rFonts w:hAnsi="宋体"/>
          <w:highlight w:val="none"/>
        </w:rPr>
        <w:t>破裂造成</w:t>
      </w:r>
      <w:r>
        <w:rPr>
          <w:rFonts w:hint="eastAsia" w:hAnsi="宋体"/>
          <w:highlight w:val="none"/>
        </w:rPr>
        <w:t>尾浆</w:t>
      </w:r>
      <w:r>
        <w:rPr>
          <w:rFonts w:hAnsi="宋体"/>
          <w:highlight w:val="none"/>
        </w:rPr>
        <w:t>污染物沿着缝隙垂直入渗</w:t>
      </w:r>
      <w:r>
        <w:rPr>
          <w:rFonts w:hint="eastAsia" w:hAnsi="宋体"/>
          <w:highlight w:val="none"/>
        </w:rPr>
        <w:t>；</w:t>
      </w:r>
      <w:r>
        <w:rPr>
          <w:rFonts w:hAnsi="宋体"/>
          <w:highlight w:val="none"/>
        </w:rPr>
        <w:t>危废暂存间因地面破裂，造成石油烃等污染物沿着缝隙垂直入渗</w:t>
      </w:r>
      <w:r>
        <w:rPr>
          <w:rFonts w:hint="eastAsia" w:hAnsi="宋体"/>
          <w:highlight w:val="none"/>
        </w:rPr>
        <w:t>。由于尾矿浆浓缩池和</w:t>
      </w:r>
      <w:r>
        <w:rPr>
          <w:rFonts w:hAnsi="宋体"/>
          <w:highlight w:val="none"/>
        </w:rPr>
        <w:t>危废暂存间</w:t>
      </w:r>
      <w:r>
        <w:rPr>
          <w:rFonts w:hint="eastAsia" w:hAnsi="宋体"/>
          <w:highlight w:val="none"/>
        </w:rPr>
        <w:t>均做防渗处理，所以本次土壤环境影响分析重点考虑粉尘无组织排放和有组织排放引起的大气沉降对土壤环境的影响和尾矿库</w:t>
      </w:r>
      <w:r>
        <w:rPr>
          <w:rFonts w:hint="eastAsia" w:hAnsi="宋体"/>
          <w:szCs w:val="24"/>
          <w:highlight w:val="none"/>
        </w:rPr>
        <w:t>中尾砂垂直入渗对土壤环境的影响</w:t>
      </w:r>
      <w:r>
        <w:rPr>
          <w:rFonts w:hAnsi="宋体"/>
          <w:szCs w:val="24"/>
          <w:highlight w:val="none"/>
        </w:rPr>
        <w:t>。</w:t>
      </w:r>
    </w:p>
    <w:p>
      <w:pPr>
        <w:adjustRightInd w:val="0"/>
        <w:snapToGrid w:val="0"/>
        <w:ind w:firstLine="480"/>
        <w:rPr>
          <w:rFonts w:ascii="宋体" w:hAnsi="宋体"/>
          <w:kern w:val="0"/>
          <w:szCs w:val="20"/>
          <w:highlight w:val="none"/>
        </w:rPr>
      </w:pPr>
      <w:r>
        <w:rPr>
          <w:rFonts w:hint="eastAsia" w:ascii="宋体" w:hAnsi="宋体"/>
          <w:kern w:val="0"/>
          <w:szCs w:val="20"/>
          <w:highlight w:val="none"/>
        </w:rPr>
        <w:t>土壤影响类型与影响途径见表5.8-1。</w:t>
      </w:r>
    </w:p>
    <w:p>
      <w:pPr>
        <w:adjustRightInd w:val="0"/>
        <w:snapToGrid w:val="0"/>
        <w:ind w:firstLine="0" w:firstLineChars="0"/>
        <w:jc w:val="center"/>
        <w:rPr>
          <w:rFonts w:ascii="宋体"/>
          <w:szCs w:val="20"/>
          <w:highlight w:val="none"/>
        </w:rPr>
      </w:pPr>
      <w:r>
        <w:rPr>
          <w:rFonts w:hint="eastAsia" w:ascii="宋体"/>
          <w:szCs w:val="20"/>
          <w:highlight w:val="none"/>
        </w:rPr>
        <w:t>表</w:t>
      </w:r>
      <w:r>
        <w:rPr>
          <w:rFonts w:ascii="宋体"/>
          <w:szCs w:val="20"/>
          <w:highlight w:val="none"/>
        </w:rPr>
        <w:t>5.</w:t>
      </w:r>
      <w:r>
        <w:rPr>
          <w:rFonts w:hint="eastAsia" w:ascii="宋体"/>
          <w:szCs w:val="20"/>
          <w:highlight w:val="none"/>
        </w:rPr>
        <w:t>8</w:t>
      </w:r>
      <w:r>
        <w:rPr>
          <w:rFonts w:ascii="宋体"/>
          <w:szCs w:val="20"/>
          <w:highlight w:val="none"/>
        </w:rPr>
        <w:t xml:space="preserve">-1  </w:t>
      </w:r>
      <w:r>
        <w:rPr>
          <w:rFonts w:hint="eastAsia" w:ascii="宋体"/>
          <w:szCs w:val="20"/>
          <w:highlight w:val="none"/>
        </w:rPr>
        <w:t>土壤环境影响类型与影响途径表</w:t>
      </w:r>
    </w:p>
    <w:tbl>
      <w:tblPr>
        <w:tblStyle w:val="44"/>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4"/>
        <w:gridCol w:w="2294"/>
        <w:gridCol w:w="22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4" w:type="dxa"/>
            <w:vMerge w:val="restart"/>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不同时段</w:t>
            </w:r>
          </w:p>
        </w:tc>
        <w:tc>
          <w:tcPr>
            <w:tcW w:w="6884" w:type="dxa"/>
            <w:gridSpan w:val="3"/>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4" w:type="dxa"/>
            <w:vMerge w:val="continue"/>
            <w:vAlign w:val="center"/>
          </w:tcPr>
          <w:p>
            <w:pPr>
              <w:spacing w:line="300" w:lineRule="exact"/>
              <w:ind w:firstLine="0" w:firstLineChars="0"/>
              <w:jc w:val="center"/>
              <w:rPr>
                <w:rFonts w:ascii="宋体" w:hAnsi="宋体"/>
                <w:sz w:val="21"/>
                <w:szCs w:val="20"/>
                <w:highlight w:val="none"/>
              </w:rPr>
            </w:pPr>
          </w:p>
        </w:tc>
        <w:tc>
          <w:tcPr>
            <w:tcW w:w="2294"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大气沉降</w:t>
            </w:r>
          </w:p>
        </w:tc>
        <w:tc>
          <w:tcPr>
            <w:tcW w:w="2295"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地面漫流</w:t>
            </w:r>
          </w:p>
        </w:tc>
        <w:tc>
          <w:tcPr>
            <w:tcW w:w="2295"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4"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建设期</w:t>
            </w:r>
          </w:p>
        </w:tc>
        <w:tc>
          <w:tcPr>
            <w:tcW w:w="2294"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c>
          <w:tcPr>
            <w:tcW w:w="2295"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c>
          <w:tcPr>
            <w:tcW w:w="2295"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4"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运营期</w:t>
            </w:r>
          </w:p>
        </w:tc>
        <w:tc>
          <w:tcPr>
            <w:tcW w:w="2294"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c>
          <w:tcPr>
            <w:tcW w:w="2295"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c>
          <w:tcPr>
            <w:tcW w:w="2295"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4"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服务期满后</w:t>
            </w:r>
          </w:p>
        </w:tc>
        <w:tc>
          <w:tcPr>
            <w:tcW w:w="2294"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c>
          <w:tcPr>
            <w:tcW w:w="2295"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c>
          <w:tcPr>
            <w:tcW w:w="2295" w:type="dxa"/>
            <w:vAlign w:val="center"/>
          </w:tcPr>
          <w:p>
            <w:pPr>
              <w:spacing w:line="300" w:lineRule="exact"/>
              <w:ind w:firstLine="0" w:firstLineChars="0"/>
              <w:jc w:val="center"/>
              <w:rPr>
                <w:rFonts w:ascii="宋体" w:hAnsi="宋体"/>
                <w:sz w:val="21"/>
                <w:szCs w:val="20"/>
                <w:highlight w:val="none"/>
              </w:rPr>
            </w:pPr>
            <w:r>
              <w:rPr>
                <w:rFonts w:ascii="宋体" w:hAnsi="宋体"/>
                <w:sz w:val="21"/>
                <w:szCs w:val="20"/>
                <w:highlight w:val="none"/>
              </w:rPr>
              <w:t>/</w:t>
            </w:r>
          </w:p>
        </w:tc>
      </w:tr>
    </w:tbl>
    <w:p>
      <w:pPr>
        <w:adjustRightInd w:val="0"/>
        <w:snapToGrid w:val="0"/>
        <w:ind w:firstLine="480"/>
        <w:rPr>
          <w:rFonts w:ascii="宋体" w:hAnsi="宋体"/>
          <w:kern w:val="0"/>
          <w:szCs w:val="20"/>
          <w:highlight w:val="none"/>
        </w:rPr>
      </w:pPr>
      <w:r>
        <w:rPr>
          <w:rFonts w:hint="eastAsia" w:ascii="宋体" w:hAnsi="宋体"/>
          <w:kern w:val="0"/>
          <w:szCs w:val="20"/>
          <w:highlight w:val="none"/>
        </w:rPr>
        <w:t>根据尾砂进行的淋溶实验数据表明：Cu、Zn、Pb未检出，所以本次土壤预测确定的预测因子为总铬、镍。本项目影响因子识别表见表</w:t>
      </w:r>
      <w:r>
        <w:rPr>
          <w:rFonts w:ascii="宋体" w:hAnsi="宋体"/>
          <w:kern w:val="0"/>
          <w:szCs w:val="20"/>
          <w:highlight w:val="none"/>
        </w:rPr>
        <w:t>5.</w:t>
      </w:r>
      <w:r>
        <w:rPr>
          <w:rFonts w:hint="eastAsia" w:ascii="宋体" w:hAnsi="宋体"/>
          <w:kern w:val="0"/>
          <w:szCs w:val="20"/>
          <w:highlight w:val="none"/>
        </w:rPr>
        <w:t>8</w:t>
      </w:r>
      <w:r>
        <w:rPr>
          <w:rFonts w:ascii="宋体" w:hAnsi="宋体"/>
          <w:kern w:val="0"/>
          <w:szCs w:val="20"/>
          <w:highlight w:val="none"/>
        </w:rPr>
        <w:t>-2</w:t>
      </w:r>
      <w:r>
        <w:rPr>
          <w:rFonts w:hint="eastAsia" w:ascii="宋体" w:hAnsi="宋体"/>
          <w:kern w:val="0"/>
          <w:szCs w:val="20"/>
          <w:highlight w:val="none"/>
        </w:rPr>
        <w:t>。</w:t>
      </w:r>
    </w:p>
    <w:p>
      <w:pPr>
        <w:adjustRightInd w:val="0"/>
        <w:snapToGrid w:val="0"/>
        <w:ind w:firstLine="0" w:firstLineChars="0"/>
        <w:jc w:val="center"/>
        <w:rPr>
          <w:rFonts w:ascii="宋体"/>
          <w:szCs w:val="20"/>
          <w:highlight w:val="none"/>
        </w:rPr>
      </w:pPr>
      <w:r>
        <w:rPr>
          <w:rFonts w:hint="eastAsia" w:ascii="宋体"/>
          <w:szCs w:val="20"/>
          <w:highlight w:val="none"/>
        </w:rPr>
        <w:t>表</w:t>
      </w:r>
      <w:r>
        <w:rPr>
          <w:rFonts w:ascii="宋体"/>
          <w:szCs w:val="20"/>
          <w:highlight w:val="none"/>
        </w:rPr>
        <w:t>5.</w:t>
      </w:r>
      <w:r>
        <w:rPr>
          <w:rFonts w:hint="eastAsia" w:ascii="宋体"/>
          <w:szCs w:val="20"/>
          <w:highlight w:val="none"/>
        </w:rPr>
        <w:t>8</w:t>
      </w:r>
      <w:r>
        <w:rPr>
          <w:rFonts w:ascii="宋体"/>
          <w:szCs w:val="20"/>
          <w:highlight w:val="none"/>
        </w:rPr>
        <w:t xml:space="preserve">-2  </w:t>
      </w:r>
      <w:r>
        <w:rPr>
          <w:rFonts w:hint="eastAsia" w:ascii="宋体"/>
          <w:szCs w:val="20"/>
          <w:highlight w:val="none"/>
        </w:rPr>
        <w:t>土壤环境影响源及影响因子识别表</w:t>
      </w:r>
    </w:p>
    <w:tbl>
      <w:tblPr>
        <w:tblStyle w:val="44"/>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908"/>
        <w:gridCol w:w="1909"/>
        <w:gridCol w:w="1544"/>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污染源</w:t>
            </w:r>
          </w:p>
        </w:tc>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工艺流程</w:t>
            </w:r>
            <w:r>
              <w:rPr>
                <w:rFonts w:ascii="宋体" w:hAnsi="宋体"/>
                <w:sz w:val="21"/>
                <w:szCs w:val="20"/>
                <w:highlight w:val="none"/>
              </w:rPr>
              <w:t>/</w:t>
            </w:r>
            <w:r>
              <w:rPr>
                <w:rFonts w:hint="eastAsia" w:ascii="宋体" w:hAnsi="宋体"/>
                <w:sz w:val="21"/>
                <w:szCs w:val="20"/>
                <w:highlight w:val="none"/>
              </w:rPr>
              <w:t>节点</w:t>
            </w:r>
          </w:p>
        </w:tc>
        <w:tc>
          <w:tcPr>
            <w:tcW w:w="1909"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污染途径</w:t>
            </w:r>
          </w:p>
        </w:tc>
        <w:tc>
          <w:tcPr>
            <w:tcW w:w="1544"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特征污染因子</w:t>
            </w:r>
          </w:p>
        </w:tc>
        <w:tc>
          <w:tcPr>
            <w:tcW w:w="1909"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破碎排气筒</w:t>
            </w:r>
          </w:p>
        </w:tc>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排放口</w:t>
            </w:r>
          </w:p>
        </w:tc>
        <w:tc>
          <w:tcPr>
            <w:tcW w:w="1909" w:type="dxa"/>
            <w:vMerge w:val="restart"/>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大气沉降</w:t>
            </w:r>
          </w:p>
        </w:tc>
        <w:tc>
          <w:tcPr>
            <w:tcW w:w="1544" w:type="dxa"/>
            <w:vMerge w:val="restart"/>
            <w:vAlign w:val="center"/>
          </w:tcPr>
          <w:p>
            <w:pPr>
              <w:spacing w:line="300" w:lineRule="exact"/>
              <w:ind w:firstLine="0" w:firstLineChars="0"/>
              <w:jc w:val="center"/>
              <w:rPr>
                <w:rFonts w:ascii="宋体" w:hAnsi="宋体"/>
                <w:sz w:val="21"/>
                <w:szCs w:val="21"/>
                <w:highlight w:val="none"/>
              </w:rPr>
            </w:pPr>
            <w:r>
              <w:rPr>
                <w:rFonts w:hint="eastAsia" w:ascii="宋体" w:hAnsi="宋体"/>
                <w:sz w:val="21"/>
                <w:szCs w:val="21"/>
                <w:highlight w:val="none"/>
              </w:rPr>
              <w:t>总铬、镍</w:t>
            </w:r>
          </w:p>
        </w:tc>
        <w:tc>
          <w:tcPr>
            <w:tcW w:w="1909" w:type="dxa"/>
            <w:vMerge w:val="restart"/>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正常排放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粉尘</w:t>
            </w:r>
          </w:p>
        </w:tc>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无组织</w:t>
            </w:r>
          </w:p>
        </w:tc>
        <w:tc>
          <w:tcPr>
            <w:tcW w:w="1909" w:type="dxa"/>
            <w:vMerge w:val="continue"/>
            <w:vAlign w:val="center"/>
          </w:tcPr>
          <w:p>
            <w:pPr>
              <w:spacing w:line="300" w:lineRule="exact"/>
              <w:ind w:firstLine="0" w:firstLineChars="0"/>
              <w:jc w:val="center"/>
              <w:rPr>
                <w:rFonts w:ascii="宋体" w:hAnsi="宋体"/>
                <w:sz w:val="21"/>
                <w:szCs w:val="20"/>
                <w:highlight w:val="none"/>
              </w:rPr>
            </w:pPr>
          </w:p>
        </w:tc>
        <w:tc>
          <w:tcPr>
            <w:tcW w:w="1544" w:type="dxa"/>
            <w:vMerge w:val="continue"/>
            <w:vAlign w:val="center"/>
          </w:tcPr>
          <w:p>
            <w:pPr>
              <w:spacing w:line="300" w:lineRule="exact"/>
              <w:ind w:firstLine="0" w:firstLineChars="0"/>
              <w:jc w:val="center"/>
              <w:rPr>
                <w:rFonts w:ascii="宋体" w:hAnsi="宋体"/>
                <w:sz w:val="21"/>
                <w:szCs w:val="21"/>
                <w:highlight w:val="none"/>
              </w:rPr>
            </w:pPr>
          </w:p>
        </w:tc>
        <w:tc>
          <w:tcPr>
            <w:tcW w:w="1909" w:type="dxa"/>
            <w:vMerge w:val="continue"/>
            <w:vAlign w:val="center"/>
          </w:tcPr>
          <w:p>
            <w:pPr>
              <w:spacing w:line="300" w:lineRule="exact"/>
              <w:ind w:firstLine="0" w:firstLineChars="0"/>
              <w:jc w:val="center"/>
              <w:rPr>
                <w:rFonts w:ascii="宋体" w:hAnsi="宋体"/>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尾矿库</w:t>
            </w:r>
          </w:p>
        </w:tc>
        <w:tc>
          <w:tcPr>
            <w:tcW w:w="1908"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填埋</w:t>
            </w:r>
          </w:p>
        </w:tc>
        <w:tc>
          <w:tcPr>
            <w:tcW w:w="1909"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垂直入渗</w:t>
            </w:r>
          </w:p>
        </w:tc>
        <w:tc>
          <w:tcPr>
            <w:tcW w:w="1544" w:type="dxa"/>
            <w:vAlign w:val="center"/>
          </w:tcPr>
          <w:p>
            <w:pPr>
              <w:spacing w:line="300" w:lineRule="exact"/>
              <w:ind w:firstLine="0" w:firstLineChars="0"/>
              <w:jc w:val="center"/>
              <w:rPr>
                <w:rFonts w:ascii="宋体" w:hAnsi="宋体"/>
                <w:sz w:val="21"/>
                <w:szCs w:val="21"/>
                <w:highlight w:val="none"/>
              </w:rPr>
            </w:pPr>
            <w:r>
              <w:rPr>
                <w:rFonts w:hint="eastAsia" w:ascii="宋体" w:hAnsi="宋体"/>
                <w:sz w:val="21"/>
                <w:szCs w:val="21"/>
                <w:highlight w:val="none"/>
              </w:rPr>
              <w:t>总铬、镍</w:t>
            </w:r>
          </w:p>
        </w:tc>
        <w:tc>
          <w:tcPr>
            <w:tcW w:w="1909" w:type="dxa"/>
            <w:vAlign w:val="center"/>
          </w:tcPr>
          <w:p>
            <w:pPr>
              <w:spacing w:line="300" w:lineRule="exact"/>
              <w:ind w:firstLine="0" w:firstLineChars="0"/>
              <w:jc w:val="center"/>
              <w:rPr>
                <w:rFonts w:ascii="宋体" w:hAnsi="宋体"/>
                <w:sz w:val="21"/>
                <w:szCs w:val="20"/>
                <w:highlight w:val="none"/>
              </w:rPr>
            </w:pPr>
            <w:r>
              <w:rPr>
                <w:rFonts w:hint="eastAsia" w:ascii="宋体" w:hAnsi="宋体"/>
                <w:sz w:val="21"/>
                <w:szCs w:val="20"/>
                <w:highlight w:val="none"/>
              </w:rPr>
              <w:t>渗漏</w:t>
            </w:r>
          </w:p>
        </w:tc>
      </w:tr>
    </w:tbl>
    <w:p>
      <w:pPr>
        <w:ind w:firstLine="496"/>
        <w:rPr>
          <w:rFonts w:ascii="宋体" w:hAnsi="宋体"/>
          <w:spacing w:val="4"/>
          <w:highlight w:val="none"/>
        </w:rPr>
      </w:pPr>
      <w:r>
        <w:rPr>
          <w:rFonts w:hint="eastAsia" w:ascii="宋体" w:hAnsi="宋体"/>
          <w:spacing w:val="4"/>
          <w:highlight w:val="none"/>
        </w:rPr>
        <w:t>5.8.3.3大气沉降污染物预测</w:t>
      </w:r>
    </w:p>
    <w:p>
      <w:pPr>
        <w:ind w:firstLine="496"/>
        <w:rPr>
          <w:rFonts w:ascii="宋体" w:hAnsi="宋体"/>
          <w:spacing w:val="4"/>
          <w:highlight w:val="none"/>
        </w:rPr>
      </w:pPr>
      <w:r>
        <w:rPr>
          <w:rFonts w:hint="eastAsia" w:ascii="宋体" w:hAnsi="宋体"/>
          <w:spacing w:val="4"/>
          <w:highlight w:val="none"/>
        </w:rPr>
        <w:t>1、大气沉降污染物源强</w:t>
      </w:r>
    </w:p>
    <w:p>
      <w:pPr>
        <w:adjustRightInd w:val="0"/>
        <w:snapToGrid w:val="0"/>
        <w:ind w:firstLine="480"/>
        <w:rPr>
          <w:rFonts w:ascii="宋体" w:hAnsi="宋体"/>
          <w:kern w:val="0"/>
          <w:szCs w:val="20"/>
          <w:highlight w:val="none"/>
        </w:rPr>
      </w:pPr>
      <w:r>
        <w:rPr>
          <w:rFonts w:hint="eastAsia" w:ascii="宋体" w:hAnsi="宋体"/>
          <w:kern w:val="0"/>
          <w:szCs w:val="20"/>
          <w:highlight w:val="none"/>
        </w:rPr>
        <w:t>根据工程分析，土壤污染物为生产过程中产生的粉碎粉尘，为无组织排放，最大浓度落地点为生产车间外边25m；破碎排气筒排放的污染物粉尘，为有组织排放，最大浓度落地点为生产车间外边201m。</w:t>
      </w:r>
    </w:p>
    <w:p>
      <w:pPr>
        <w:ind w:firstLine="480"/>
        <w:rPr>
          <w:rFonts w:ascii="宋体" w:hAnsi="宋体"/>
          <w:highlight w:val="none"/>
        </w:rPr>
      </w:pPr>
      <w:r>
        <w:rPr>
          <w:rFonts w:hint="eastAsia" w:ascii="宋体" w:hAnsi="宋体"/>
          <w:highlight w:val="none"/>
        </w:rPr>
        <w:t>根据山西省地质矿产局二一三实验室对本项目选矿过程中产生的尾砂进行的淋溶实验：总铬0.00044mg/L，镍0.00029</w:t>
      </w:r>
      <w:r>
        <w:rPr>
          <w:rFonts w:ascii="宋体" w:hAnsi="宋体"/>
          <w:highlight w:val="none"/>
        </w:rPr>
        <w:t>mg/L</w:t>
      </w:r>
      <w:r>
        <w:rPr>
          <w:rFonts w:hint="eastAsia" w:ascii="宋体" w:hAnsi="宋体"/>
          <w:highlight w:val="none"/>
        </w:rPr>
        <w:t>。根据中华人民共和国国家标准《固体废物浸出毒性浸出方法 翻转法》（GB5086.1-1997）可以计算出总铬在粉尘的占比为0.00044%，镍在粉尘的占比为镍0.00029%。</w:t>
      </w:r>
    </w:p>
    <w:p>
      <w:pPr>
        <w:ind w:firstLine="480"/>
        <w:rPr>
          <w:rFonts w:ascii="宋体" w:hAnsi="宋体"/>
          <w:spacing w:val="4"/>
          <w:highlight w:val="none"/>
        </w:rPr>
      </w:pPr>
      <w:r>
        <w:rPr>
          <w:rFonts w:hint="eastAsia" w:ascii="宋体" w:hAnsi="宋体"/>
          <w:highlight w:val="none"/>
        </w:rPr>
        <w:t>无组织粉尘每年的排放量为</w:t>
      </w:r>
      <w:r>
        <w:rPr>
          <w:rFonts w:ascii="宋体" w:hAnsi="宋体"/>
          <w:highlight w:val="none"/>
        </w:rPr>
        <w:t>1.292</w:t>
      </w:r>
      <w:r>
        <w:rPr>
          <w:rFonts w:hint="eastAsia" w:ascii="宋体" w:hAnsi="宋体"/>
          <w:highlight w:val="none"/>
        </w:rPr>
        <w:t>t</w:t>
      </w:r>
      <w:r>
        <w:rPr>
          <w:rFonts w:ascii="宋体" w:hAnsi="宋体"/>
          <w:highlight w:val="none"/>
        </w:rPr>
        <w:t>/a</w:t>
      </w:r>
      <w:r>
        <w:rPr>
          <w:rFonts w:hint="eastAsia" w:ascii="宋体" w:hAnsi="宋体"/>
          <w:highlight w:val="none"/>
        </w:rPr>
        <w:t>，总铬排放量为5.685g/a，镍排放量为3.747g/a。本次评价假设排放的污染物不发生转化，全部沉降于主导风向下风向生产车间外边25m半径四分之一范围内。有组织粉尘每年的排放量为</w:t>
      </w:r>
      <w:r>
        <w:rPr>
          <w:rFonts w:ascii="宋体" w:hAnsi="宋体"/>
          <w:highlight w:val="none"/>
        </w:rPr>
        <w:t>2.808</w:t>
      </w:r>
      <w:r>
        <w:rPr>
          <w:rFonts w:hint="eastAsia" w:ascii="宋体" w:hAnsi="宋体"/>
          <w:highlight w:val="none"/>
        </w:rPr>
        <w:t>t</w:t>
      </w:r>
      <w:r>
        <w:rPr>
          <w:rFonts w:ascii="宋体" w:hAnsi="宋体"/>
          <w:highlight w:val="none"/>
        </w:rPr>
        <w:t>/a</w:t>
      </w:r>
      <w:r>
        <w:rPr>
          <w:rFonts w:hint="eastAsia" w:ascii="宋体" w:hAnsi="宋体"/>
          <w:highlight w:val="none"/>
        </w:rPr>
        <w:t>，总铬排放量为12.355g/a，镍排放量为8.143g/a。本次评价假设排放的污染物不发生转化，全部沉降于主导风向下风向生产车间外边201m半径四分之一范围内。</w:t>
      </w:r>
    </w:p>
    <w:p>
      <w:pPr>
        <w:ind w:firstLine="496"/>
        <w:rPr>
          <w:rFonts w:ascii="宋体" w:hAnsi="宋体"/>
          <w:spacing w:val="4"/>
          <w:highlight w:val="none"/>
        </w:rPr>
      </w:pPr>
      <w:r>
        <w:rPr>
          <w:rFonts w:hint="eastAsia" w:ascii="宋体" w:hAnsi="宋体"/>
          <w:spacing w:val="4"/>
          <w:highlight w:val="none"/>
        </w:rPr>
        <w:t>2、土壤影响预测方法</w:t>
      </w:r>
    </w:p>
    <w:p>
      <w:pPr>
        <w:ind w:firstLine="496"/>
        <w:rPr>
          <w:rFonts w:ascii="宋体" w:hAnsi="宋体"/>
          <w:spacing w:val="4"/>
          <w:highlight w:val="none"/>
        </w:rPr>
      </w:pPr>
      <w:r>
        <w:rPr>
          <w:rFonts w:hint="eastAsia" w:ascii="宋体" w:hAnsi="宋体"/>
          <w:spacing w:val="4"/>
          <w:highlight w:val="none"/>
        </w:rPr>
        <w:t>本次影响预测采用《环境影响评价技术导则-土壤环境（试行）》（HJ964-2018）推荐的附录E中的方法一。该方法适用于某种物质可概化为以面源形式进入土壤环境的影响预测，包括大气沉降、地面漫流等。</w:t>
      </w:r>
    </w:p>
    <w:p>
      <w:pPr>
        <w:ind w:firstLine="496"/>
        <w:rPr>
          <w:rFonts w:ascii="宋体" w:hAnsi="宋体"/>
          <w:spacing w:val="4"/>
          <w:highlight w:val="none"/>
        </w:rPr>
      </w:pPr>
      <w:r>
        <w:rPr>
          <w:rFonts w:hint="eastAsia" w:ascii="宋体" w:hAnsi="宋体"/>
          <w:spacing w:val="4"/>
          <w:highlight w:val="none"/>
        </w:rPr>
        <w:t>预测方法</w:t>
      </w:r>
    </w:p>
    <w:p>
      <w:pPr>
        <w:ind w:firstLine="496"/>
        <w:rPr>
          <w:rFonts w:ascii="宋体" w:hAnsi="宋体"/>
          <w:spacing w:val="4"/>
          <w:highlight w:val="none"/>
        </w:rPr>
      </w:pPr>
      <w:r>
        <w:rPr>
          <w:rFonts w:hint="eastAsia" w:ascii="宋体" w:hAnsi="宋体"/>
          <w:spacing w:val="4"/>
          <w:highlight w:val="none"/>
        </w:rPr>
        <w:t>单位质量土壤中某种物质的增量可用下式计算：</w:t>
      </w:r>
    </w:p>
    <w:p>
      <w:pPr>
        <w:spacing w:line="240" w:lineRule="auto"/>
        <w:ind w:firstLine="420"/>
        <w:rPr>
          <w:rFonts w:ascii="宋体" w:hAnsi="宋体"/>
          <w:spacing w:val="4"/>
          <w:highlight w:val="none"/>
        </w:rPr>
      </w:pPr>
      <w:r>
        <w:rPr>
          <w:rFonts w:ascii="宋体" w:hAnsi="宋体"/>
          <w:sz w:val="21"/>
          <w:szCs w:val="22"/>
          <w:highlight w:val="none"/>
        </w:rPr>
        <w:drawing>
          <wp:inline distT="0" distB="0" distL="0" distR="0">
            <wp:extent cx="3596640" cy="373380"/>
            <wp:effectExtent l="0" t="0" r="3810" b="762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1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596640" cy="373380"/>
                    </a:xfrm>
                    <a:prstGeom prst="rect">
                      <a:avLst/>
                    </a:prstGeom>
                    <a:noFill/>
                    <a:ln>
                      <a:noFill/>
                    </a:ln>
                  </pic:spPr>
                </pic:pic>
              </a:graphicData>
            </a:graphic>
          </wp:inline>
        </w:drawing>
      </w:r>
    </w:p>
    <w:p>
      <w:pPr>
        <w:ind w:firstLine="496"/>
        <w:rPr>
          <w:rFonts w:ascii="宋体" w:hAnsi="宋体"/>
          <w:spacing w:val="4"/>
          <w:highlight w:val="none"/>
        </w:rPr>
      </w:pPr>
      <w:r>
        <w:rPr>
          <w:rFonts w:hint="eastAsia" w:ascii="宋体" w:hAnsi="宋体"/>
          <w:spacing w:val="4"/>
          <w:highlight w:val="none"/>
        </w:rPr>
        <w:t>式中：ΔS——单位质量表层土壤中某种物质的增量，g/kg；</w:t>
      </w:r>
    </w:p>
    <w:p>
      <w:pPr>
        <w:ind w:firstLine="496"/>
        <w:rPr>
          <w:rFonts w:ascii="宋体" w:hAnsi="宋体"/>
          <w:spacing w:val="4"/>
          <w:highlight w:val="none"/>
        </w:rPr>
      </w:pPr>
      <w:r>
        <w:rPr>
          <w:rFonts w:hint="eastAsia" w:ascii="宋体" w:hAnsi="宋体"/>
          <w:spacing w:val="4"/>
          <w:highlight w:val="none"/>
        </w:rPr>
        <w:t>I</w:t>
      </w:r>
      <w:r>
        <w:rPr>
          <w:rFonts w:hint="eastAsia" w:ascii="宋体" w:hAnsi="宋体"/>
          <w:spacing w:val="4"/>
          <w:highlight w:val="none"/>
          <w:vertAlign w:val="subscript"/>
        </w:rPr>
        <w:t>S</w:t>
      </w:r>
      <w:r>
        <w:rPr>
          <w:rFonts w:hint="eastAsia" w:ascii="宋体" w:hAnsi="宋体"/>
          <w:spacing w:val="4"/>
          <w:highlight w:val="none"/>
        </w:rPr>
        <w:t>——预测评价范围内单位年份表层土壤中某种物质的输入量，g；</w:t>
      </w:r>
    </w:p>
    <w:p>
      <w:pPr>
        <w:ind w:firstLine="496"/>
        <w:rPr>
          <w:rFonts w:ascii="宋体" w:hAnsi="宋体"/>
          <w:spacing w:val="4"/>
          <w:highlight w:val="none"/>
        </w:rPr>
      </w:pPr>
      <w:r>
        <w:rPr>
          <w:rFonts w:hint="eastAsia" w:ascii="宋体" w:hAnsi="宋体"/>
          <w:spacing w:val="4"/>
          <w:highlight w:val="none"/>
        </w:rPr>
        <w:t>L</w:t>
      </w:r>
      <w:r>
        <w:rPr>
          <w:rFonts w:hint="eastAsia" w:ascii="宋体" w:hAnsi="宋体"/>
          <w:spacing w:val="4"/>
          <w:highlight w:val="none"/>
          <w:vertAlign w:val="subscript"/>
        </w:rPr>
        <w:t>S</w:t>
      </w:r>
      <w:r>
        <w:rPr>
          <w:rFonts w:hint="eastAsia" w:ascii="宋体" w:hAnsi="宋体"/>
          <w:spacing w:val="4"/>
          <w:highlight w:val="none"/>
        </w:rPr>
        <w:t>——预测评价范围内单位年份表层土壤中某种物质经淋溶排出的量，g；取0；</w:t>
      </w:r>
    </w:p>
    <w:p>
      <w:pPr>
        <w:ind w:firstLine="496"/>
        <w:rPr>
          <w:rFonts w:ascii="宋体" w:hAnsi="宋体"/>
          <w:spacing w:val="4"/>
          <w:highlight w:val="none"/>
        </w:rPr>
      </w:pPr>
      <w:r>
        <w:rPr>
          <w:rFonts w:hint="eastAsia" w:ascii="宋体" w:hAnsi="宋体"/>
          <w:spacing w:val="4"/>
          <w:highlight w:val="none"/>
        </w:rPr>
        <w:t>R</w:t>
      </w:r>
      <w:r>
        <w:rPr>
          <w:rFonts w:hint="eastAsia" w:ascii="宋体" w:hAnsi="宋体"/>
          <w:spacing w:val="4"/>
          <w:highlight w:val="none"/>
          <w:vertAlign w:val="subscript"/>
        </w:rPr>
        <w:t>S</w:t>
      </w:r>
      <w:r>
        <w:rPr>
          <w:rFonts w:hint="eastAsia" w:ascii="宋体" w:hAnsi="宋体"/>
          <w:spacing w:val="4"/>
          <w:highlight w:val="none"/>
        </w:rPr>
        <w:t>——预测评价范围内单位年份表层土壤中某种物质经径流排出的量，g；取0；</w:t>
      </w:r>
    </w:p>
    <w:p>
      <w:pPr>
        <w:ind w:firstLine="496"/>
        <w:rPr>
          <w:rFonts w:ascii="宋体" w:hAnsi="宋体"/>
          <w:spacing w:val="4"/>
          <w:highlight w:val="none"/>
        </w:rPr>
      </w:pPr>
      <w:r>
        <w:rPr>
          <w:rFonts w:hint="eastAsia" w:ascii="宋体" w:hAnsi="宋体"/>
          <w:spacing w:val="4"/>
          <w:highlight w:val="none"/>
        </w:rPr>
        <w:t>ρ</w:t>
      </w:r>
      <w:r>
        <w:rPr>
          <w:rFonts w:hint="eastAsia" w:ascii="宋体" w:hAnsi="宋体"/>
          <w:spacing w:val="4"/>
          <w:highlight w:val="none"/>
          <w:vertAlign w:val="subscript"/>
        </w:rPr>
        <w:t>b</w:t>
      </w:r>
      <w:r>
        <w:rPr>
          <w:rFonts w:hint="eastAsia" w:ascii="宋体" w:hAnsi="宋体"/>
          <w:spacing w:val="4"/>
          <w:highlight w:val="none"/>
        </w:rPr>
        <w:t>——表层土壤容重，kg/m</w:t>
      </w:r>
      <w:r>
        <w:rPr>
          <w:rFonts w:hint="eastAsia" w:ascii="宋体" w:hAnsi="宋体"/>
          <w:spacing w:val="4"/>
          <w:highlight w:val="none"/>
          <w:vertAlign w:val="superscript"/>
        </w:rPr>
        <w:t>3</w:t>
      </w:r>
      <w:r>
        <w:rPr>
          <w:rFonts w:hint="eastAsia" w:ascii="宋体" w:hAnsi="宋体"/>
          <w:spacing w:val="4"/>
          <w:highlight w:val="none"/>
        </w:rPr>
        <w:t>；(取1060kg/m</w:t>
      </w:r>
      <w:r>
        <w:rPr>
          <w:rFonts w:hint="eastAsia" w:ascii="宋体" w:hAnsi="宋体"/>
          <w:spacing w:val="4"/>
          <w:highlight w:val="none"/>
          <w:vertAlign w:val="superscript"/>
        </w:rPr>
        <w:t>3</w:t>
      </w:r>
      <w:r>
        <w:rPr>
          <w:rFonts w:hint="eastAsia" w:ascii="宋体" w:hAnsi="宋体"/>
          <w:spacing w:val="4"/>
          <w:highlight w:val="none"/>
        </w:rPr>
        <w:t>)</w:t>
      </w:r>
    </w:p>
    <w:p>
      <w:pPr>
        <w:ind w:firstLine="496"/>
        <w:rPr>
          <w:rFonts w:ascii="宋体" w:hAnsi="宋体"/>
          <w:spacing w:val="4"/>
          <w:highlight w:val="none"/>
        </w:rPr>
      </w:pPr>
      <w:r>
        <w:rPr>
          <w:rFonts w:hint="eastAsia" w:ascii="宋体" w:hAnsi="宋体"/>
          <w:spacing w:val="4"/>
          <w:highlight w:val="none"/>
        </w:rPr>
        <w:t>A——预测评价范围</w:t>
      </w:r>
      <w:r>
        <w:rPr>
          <w:rFonts w:hint="eastAsia" w:ascii="宋体" w:hAnsi="宋体"/>
          <w:highlight w:val="none"/>
        </w:rPr>
        <w:t>，m</w:t>
      </w:r>
      <w:r>
        <w:rPr>
          <w:rFonts w:hint="eastAsia" w:ascii="宋体" w:hAnsi="宋体"/>
          <w:highlight w:val="none"/>
          <w:vertAlign w:val="superscript"/>
        </w:rPr>
        <w:t>2</w:t>
      </w:r>
      <w:r>
        <w:rPr>
          <w:rFonts w:hint="eastAsia" w:ascii="宋体" w:hAnsi="宋体"/>
          <w:highlight w:val="none"/>
        </w:rPr>
        <w:t>；（无组织粉尘取490m</w:t>
      </w:r>
      <w:r>
        <w:rPr>
          <w:rFonts w:hint="eastAsia" w:ascii="宋体" w:hAnsi="宋体"/>
          <w:highlight w:val="none"/>
          <w:vertAlign w:val="superscript"/>
        </w:rPr>
        <w:t>2</w:t>
      </w:r>
      <w:r>
        <w:rPr>
          <w:rFonts w:hint="eastAsia" w:ascii="宋体" w:hAnsi="宋体"/>
          <w:highlight w:val="none"/>
        </w:rPr>
        <w:t>，取生产车间外边25m半径四分之一园面积，有组织粉尘取31714m</w:t>
      </w:r>
      <w:r>
        <w:rPr>
          <w:rFonts w:hint="eastAsia" w:ascii="宋体" w:hAnsi="宋体"/>
          <w:highlight w:val="none"/>
          <w:vertAlign w:val="superscript"/>
        </w:rPr>
        <w:t>2</w:t>
      </w:r>
      <w:r>
        <w:rPr>
          <w:rFonts w:hint="eastAsia" w:ascii="宋体" w:hAnsi="宋体"/>
          <w:highlight w:val="none"/>
        </w:rPr>
        <w:t>，取生产车间外边201m半径四分之一园面积）</w:t>
      </w:r>
    </w:p>
    <w:p>
      <w:pPr>
        <w:ind w:firstLine="496"/>
        <w:rPr>
          <w:rFonts w:ascii="宋体" w:hAnsi="宋体"/>
          <w:spacing w:val="4"/>
          <w:highlight w:val="none"/>
        </w:rPr>
      </w:pPr>
      <w:r>
        <w:rPr>
          <w:rFonts w:hint="eastAsia" w:ascii="宋体" w:hAnsi="宋体"/>
          <w:spacing w:val="4"/>
          <w:highlight w:val="none"/>
        </w:rPr>
        <w:t>D——表层土壤深度，一般取0.2m，可根据实际情况适当调整；</w:t>
      </w:r>
    </w:p>
    <w:p>
      <w:pPr>
        <w:ind w:firstLine="496"/>
        <w:rPr>
          <w:rFonts w:ascii="宋体" w:hAnsi="宋体"/>
          <w:spacing w:val="4"/>
          <w:highlight w:val="none"/>
        </w:rPr>
      </w:pPr>
      <w:r>
        <w:rPr>
          <w:rFonts w:hint="eastAsia" w:ascii="宋体" w:hAnsi="宋体"/>
          <w:spacing w:val="4"/>
          <w:highlight w:val="none"/>
        </w:rPr>
        <w:t>n——持续年份，a。（取10年）</w:t>
      </w:r>
    </w:p>
    <w:p>
      <w:pPr>
        <w:ind w:firstLine="496"/>
        <w:rPr>
          <w:rFonts w:ascii="宋体" w:hAnsi="宋体"/>
          <w:spacing w:val="4"/>
          <w:highlight w:val="none"/>
        </w:rPr>
      </w:pPr>
      <w:r>
        <w:rPr>
          <w:rFonts w:hint="eastAsia" w:ascii="宋体" w:hAnsi="宋体"/>
          <w:spacing w:val="4"/>
          <w:highlight w:val="none"/>
        </w:rPr>
        <w:t>经计算：</w:t>
      </w:r>
    </w:p>
    <w:p>
      <w:pPr>
        <w:ind w:firstLine="496"/>
        <w:rPr>
          <w:rFonts w:ascii="宋体" w:hAnsi="宋体"/>
          <w:spacing w:val="4"/>
          <w:highlight w:val="none"/>
        </w:rPr>
      </w:pPr>
      <w:r>
        <w:rPr>
          <w:rFonts w:hint="eastAsia" w:ascii="宋体" w:hAnsi="宋体"/>
          <w:spacing w:val="4"/>
          <w:highlight w:val="none"/>
        </w:rPr>
        <w:t>总铬  ΔS=0.547</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ind w:firstLine="496"/>
        <w:rPr>
          <w:rFonts w:ascii="宋体" w:hAnsi="宋体"/>
          <w:spacing w:val="4"/>
          <w:highlight w:val="none"/>
        </w:rPr>
      </w:pPr>
      <w:r>
        <w:rPr>
          <w:rFonts w:hint="eastAsia" w:ascii="宋体" w:hAnsi="宋体"/>
          <w:spacing w:val="4"/>
          <w:highlight w:val="none"/>
        </w:rPr>
        <w:t>镍    ΔS=0.361</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ind w:firstLine="496"/>
        <w:rPr>
          <w:rFonts w:ascii="宋体" w:hAnsi="宋体"/>
          <w:spacing w:val="4"/>
          <w:highlight w:val="none"/>
        </w:rPr>
      </w:pPr>
      <w:r>
        <w:rPr>
          <w:rFonts w:hint="eastAsia" w:ascii="宋体" w:hAnsi="宋体"/>
          <w:spacing w:val="4"/>
          <w:highlight w:val="none"/>
        </w:rPr>
        <w:t>单位质量土壤中某种物质的预测值可根据其增量叠加现状值进行计算，如式</w:t>
      </w:r>
    </w:p>
    <w:p>
      <w:pPr>
        <w:spacing w:line="240" w:lineRule="auto"/>
        <w:ind w:firstLine="420"/>
        <w:rPr>
          <w:rFonts w:ascii="宋体" w:hAnsi="宋体"/>
          <w:spacing w:val="4"/>
          <w:highlight w:val="none"/>
        </w:rPr>
      </w:pPr>
      <w:r>
        <w:rPr>
          <w:rFonts w:ascii="宋体" w:hAnsi="宋体"/>
          <w:sz w:val="21"/>
          <w:szCs w:val="22"/>
          <w:highlight w:val="none"/>
        </w:rPr>
        <w:drawing>
          <wp:inline distT="0" distB="0" distL="0" distR="0">
            <wp:extent cx="1493520" cy="419100"/>
            <wp:effectExtent l="0" t="0" r="0" b="0"/>
            <wp:docPr id="1131"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493520" cy="419100"/>
                    </a:xfrm>
                    <a:prstGeom prst="rect">
                      <a:avLst/>
                    </a:prstGeom>
                    <a:noFill/>
                    <a:ln>
                      <a:noFill/>
                    </a:ln>
                  </pic:spPr>
                </pic:pic>
              </a:graphicData>
            </a:graphic>
          </wp:inline>
        </w:drawing>
      </w:r>
    </w:p>
    <w:p>
      <w:pPr>
        <w:ind w:firstLine="496"/>
        <w:rPr>
          <w:rFonts w:ascii="宋体" w:hAnsi="宋体"/>
          <w:spacing w:val="4"/>
          <w:highlight w:val="none"/>
        </w:rPr>
      </w:pPr>
      <w:r>
        <w:rPr>
          <w:rFonts w:hint="eastAsia" w:ascii="宋体" w:hAnsi="宋体"/>
          <w:spacing w:val="4"/>
          <w:highlight w:val="none"/>
        </w:rPr>
        <w:t>式中：Sb——单位质量土壤中某种物质的现状值，g/kg；</w:t>
      </w:r>
    </w:p>
    <w:p>
      <w:pPr>
        <w:ind w:firstLine="1240" w:firstLineChars="500"/>
        <w:rPr>
          <w:rFonts w:ascii="宋体" w:hAnsi="宋体"/>
          <w:spacing w:val="4"/>
          <w:highlight w:val="none"/>
        </w:rPr>
      </w:pPr>
      <w:r>
        <w:rPr>
          <w:rFonts w:hint="eastAsia" w:ascii="宋体" w:hAnsi="宋体"/>
          <w:spacing w:val="4"/>
          <w:highlight w:val="none"/>
        </w:rPr>
        <w:t>根据现状监测数据：表层土壤中总铬检测值最大值为28.6mg/m</w:t>
      </w:r>
      <w:r>
        <w:rPr>
          <w:rFonts w:hint="eastAsia" w:ascii="宋体" w:hAnsi="宋体"/>
          <w:spacing w:val="4"/>
          <w:highlight w:val="none"/>
          <w:vertAlign w:val="superscript"/>
        </w:rPr>
        <w:t>3</w:t>
      </w:r>
      <w:r>
        <w:rPr>
          <w:rFonts w:hint="eastAsia" w:ascii="宋体" w:hAnsi="宋体"/>
          <w:spacing w:val="4"/>
          <w:highlight w:val="none"/>
        </w:rPr>
        <w:t>，镍检测值最大值为21.6mg/m</w:t>
      </w:r>
      <w:r>
        <w:rPr>
          <w:rFonts w:hint="eastAsia" w:ascii="宋体" w:hAnsi="宋体"/>
          <w:spacing w:val="4"/>
          <w:highlight w:val="none"/>
          <w:vertAlign w:val="superscript"/>
        </w:rPr>
        <w:t>3</w:t>
      </w:r>
      <w:r>
        <w:rPr>
          <w:rFonts w:hint="eastAsia" w:ascii="宋体" w:hAnsi="宋体"/>
          <w:spacing w:val="4"/>
          <w:highlight w:val="none"/>
        </w:rPr>
        <w:t>。</w:t>
      </w:r>
    </w:p>
    <w:p>
      <w:pPr>
        <w:ind w:firstLine="1240" w:firstLineChars="500"/>
        <w:rPr>
          <w:rFonts w:ascii="宋体" w:hAnsi="宋体"/>
          <w:spacing w:val="4"/>
          <w:highlight w:val="none"/>
        </w:rPr>
      </w:pPr>
      <w:r>
        <w:rPr>
          <w:rFonts w:hint="eastAsia" w:ascii="宋体" w:hAnsi="宋体"/>
          <w:spacing w:val="4"/>
          <w:highlight w:val="none"/>
        </w:rPr>
        <w:t>S——单位质量土壤中某种物质的预测值，g/kg。</w:t>
      </w:r>
    </w:p>
    <w:p>
      <w:pPr>
        <w:ind w:firstLine="1240" w:firstLineChars="500"/>
        <w:rPr>
          <w:rFonts w:ascii="宋体" w:hAnsi="宋体"/>
          <w:spacing w:val="4"/>
          <w:highlight w:val="none"/>
        </w:rPr>
      </w:pPr>
      <w:r>
        <w:rPr>
          <w:rFonts w:hint="eastAsia" w:ascii="宋体" w:hAnsi="宋体"/>
          <w:spacing w:val="4"/>
          <w:highlight w:val="none"/>
        </w:rPr>
        <w:t>结果：</w:t>
      </w:r>
    </w:p>
    <w:p>
      <w:pPr>
        <w:ind w:firstLine="1240" w:firstLineChars="500"/>
        <w:rPr>
          <w:rFonts w:ascii="宋体" w:hAnsi="宋体"/>
          <w:spacing w:val="4"/>
          <w:highlight w:val="none"/>
        </w:rPr>
      </w:pPr>
      <w:r>
        <w:rPr>
          <w:rFonts w:hint="eastAsia" w:ascii="宋体" w:hAnsi="宋体"/>
          <w:spacing w:val="4"/>
          <w:highlight w:val="none"/>
        </w:rPr>
        <w:t>总铬  S=29.147</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ind w:firstLine="1240" w:firstLineChars="500"/>
        <w:rPr>
          <w:rFonts w:ascii="宋体" w:hAnsi="宋体"/>
          <w:spacing w:val="4"/>
          <w:highlight w:val="none"/>
        </w:rPr>
      </w:pPr>
      <w:r>
        <w:rPr>
          <w:rFonts w:hint="eastAsia" w:ascii="宋体" w:hAnsi="宋体"/>
          <w:spacing w:val="4"/>
          <w:highlight w:val="none"/>
        </w:rPr>
        <w:t>镍    S=21.961</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adjustRightInd w:val="0"/>
        <w:snapToGrid w:val="0"/>
        <w:ind w:firstLine="480"/>
        <w:rPr>
          <w:rFonts w:ascii="宋体" w:hAnsi="宋体"/>
          <w:kern w:val="0"/>
          <w:szCs w:val="20"/>
          <w:highlight w:val="none"/>
        </w:rPr>
      </w:pPr>
      <w:r>
        <w:rPr>
          <w:rFonts w:hint="eastAsia" w:ascii="宋体" w:hAnsi="宋体"/>
          <w:kern w:val="0"/>
          <w:szCs w:val="20"/>
          <w:highlight w:val="none"/>
        </w:rPr>
        <w:t>3、预测结果</w:t>
      </w:r>
    </w:p>
    <w:p>
      <w:pPr>
        <w:adjustRightInd w:val="0"/>
        <w:snapToGrid w:val="0"/>
        <w:ind w:firstLine="480"/>
        <w:rPr>
          <w:rFonts w:ascii="宋体" w:hAnsi="宋体"/>
          <w:kern w:val="0"/>
          <w:szCs w:val="20"/>
          <w:highlight w:val="none"/>
        </w:rPr>
      </w:pPr>
      <w:r>
        <w:rPr>
          <w:rFonts w:hint="eastAsia" w:ascii="宋体" w:hAnsi="宋体"/>
          <w:kern w:val="0"/>
          <w:szCs w:val="20"/>
          <w:highlight w:val="none"/>
        </w:rPr>
        <w:t>本项目</w:t>
      </w:r>
      <w:r>
        <w:rPr>
          <w:rFonts w:hint="eastAsia" w:ascii="宋体" w:hAnsi="宋体"/>
          <w:spacing w:val="4"/>
          <w:highlight w:val="none"/>
        </w:rPr>
        <w:t>总铬</w:t>
      </w:r>
      <w:r>
        <w:rPr>
          <w:rFonts w:hint="eastAsia" w:ascii="宋体" w:hAnsi="宋体"/>
          <w:kern w:val="0"/>
          <w:szCs w:val="20"/>
          <w:highlight w:val="none"/>
        </w:rPr>
        <w:t>通过大气沉降浸入的土壤的污染物增加量为</w:t>
      </w:r>
      <w:r>
        <w:rPr>
          <w:rFonts w:ascii="宋体" w:hAnsi="宋体"/>
          <w:kern w:val="0"/>
          <w:szCs w:val="20"/>
          <w:highlight w:val="none"/>
        </w:rPr>
        <w:t>0.547mg/kg</w:t>
      </w:r>
      <w:r>
        <w:rPr>
          <w:rFonts w:hint="eastAsia" w:ascii="宋体" w:hAnsi="宋体"/>
          <w:kern w:val="0"/>
          <w:szCs w:val="20"/>
          <w:highlight w:val="none"/>
        </w:rPr>
        <w:t>，在单位质量土壤中的预测值</w:t>
      </w:r>
      <w:r>
        <w:rPr>
          <w:rFonts w:ascii="宋体" w:hAnsi="宋体"/>
          <w:kern w:val="0"/>
          <w:szCs w:val="20"/>
          <w:highlight w:val="none"/>
        </w:rPr>
        <w:t>29.147</w:t>
      </w:r>
      <w:r>
        <w:rPr>
          <w:rFonts w:hint="eastAsia" w:ascii="宋体" w:hAnsi="宋体"/>
          <w:kern w:val="0"/>
          <w:szCs w:val="22"/>
          <w:highlight w:val="none"/>
        </w:rPr>
        <w:t>m</w:t>
      </w:r>
      <w:r>
        <w:rPr>
          <w:rFonts w:ascii="宋体" w:hAnsi="宋体"/>
          <w:kern w:val="0"/>
          <w:szCs w:val="20"/>
          <w:highlight w:val="none"/>
        </w:rPr>
        <w:t>g/kg，本项目排放的污染物</w:t>
      </w:r>
      <w:r>
        <w:rPr>
          <w:rFonts w:hint="eastAsia" w:ascii="宋体" w:hAnsi="宋体"/>
          <w:kern w:val="0"/>
          <w:szCs w:val="20"/>
          <w:highlight w:val="none"/>
        </w:rPr>
        <w:t>占标率为11.7%；</w:t>
      </w:r>
      <w:r>
        <w:rPr>
          <w:rFonts w:hint="eastAsia" w:ascii="宋体" w:hAnsi="宋体"/>
          <w:spacing w:val="4"/>
          <w:highlight w:val="none"/>
        </w:rPr>
        <w:t>镍</w:t>
      </w:r>
      <w:r>
        <w:rPr>
          <w:rFonts w:hint="eastAsia" w:ascii="宋体" w:hAnsi="宋体"/>
          <w:kern w:val="0"/>
          <w:szCs w:val="20"/>
          <w:highlight w:val="none"/>
        </w:rPr>
        <w:t>通过大气沉降浸入的土壤的污染物增加量为</w:t>
      </w:r>
      <w:r>
        <w:rPr>
          <w:rFonts w:hint="eastAsia" w:ascii="宋体" w:hAnsi="宋体"/>
          <w:spacing w:val="4"/>
          <w:highlight w:val="none"/>
        </w:rPr>
        <w:t>0.361</w:t>
      </w:r>
      <w:r>
        <w:rPr>
          <w:rFonts w:ascii="宋体" w:hAnsi="宋体"/>
          <w:kern w:val="0"/>
          <w:szCs w:val="20"/>
          <w:highlight w:val="none"/>
        </w:rPr>
        <w:t>mg/kg</w:t>
      </w:r>
      <w:r>
        <w:rPr>
          <w:rFonts w:hint="eastAsia" w:ascii="宋体" w:hAnsi="宋体"/>
          <w:kern w:val="0"/>
          <w:szCs w:val="20"/>
          <w:highlight w:val="none"/>
        </w:rPr>
        <w:t>，在单位质量土壤中的预测值</w:t>
      </w:r>
      <w:r>
        <w:rPr>
          <w:rFonts w:hint="eastAsia" w:ascii="宋体" w:hAnsi="宋体"/>
          <w:spacing w:val="4"/>
          <w:highlight w:val="none"/>
        </w:rPr>
        <w:t>21.961</w:t>
      </w:r>
      <w:r>
        <w:rPr>
          <w:rFonts w:hint="eastAsia" w:ascii="宋体" w:hAnsi="宋体"/>
          <w:kern w:val="0"/>
          <w:szCs w:val="22"/>
          <w:highlight w:val="none"/>
        </w:rPr>
        <w:t>m</w:t>
      </w:r>
      <w:r>
        <w:rPr>
          <w:rFonts w:ascii="宋体" w:hAnsi="宋体"/>
          <w:kern w:val="0"/>
          <w:szCs w:val="20"/>
          <w:highlight w:val="none"/>
        </w:rPr>
        <w:t>g/kg，本项目排放的污染物</w:t>
      </w:r>
      <w:r>
        <w:rPr>
          <w:rFonts w:hint="eastAsia" w:ascii="宋体" w:hAnsi="宋体"/>
          <w:kern w:val="0"/>
          <w:szCs w:val="20"/>
          <w:highlight w:val="none"/>
        </w:rPr>
        <w:t>占标率为11.6%；未超过农用地土壤污染风险筛选值。本项目总铬、镍排放通过大气沉降对土壤环境的影响较小。</w:t>
      </w:r>
    </w:p>
    <w:p>
      <w:pPr>
        <w:ind w:firstLine="496"/>
        <w:rPr>
          <w:rFonts w:ascii="宋体" w:hAnsi="宋体"/>
          <w:spacing w:val="4"/>
          <w:highlight w:val="none"/>
        </w:rPr>
      </w:pPr>
      <w:r>
        <w:rPr>
          <w:rFonts w:hint="eastAsia" w:ascii="宋体" w:hAnsi="宋体"/>
          <w:spacing w:val="4"/>
          <w:highlight w:val="none"/>
        </w:rPr>
        <w:t>5.8.3.4尾矿库垂直入渗污染物预测</w:t>
      </w:r>
    </w:p>
    <w:p>
      <w:pPr>
        <w:ind w:firstLine="480"/>
        <w:rPr>
          <w:rFonts w:ascii="宋体" w:hAnsi="宋体"/>
          <w:kern w:val="0"/>
          <w:szCs w:val="20"/>
          <w:highlight w:val="none"/>
        </w:rPr>
      </w:pPr>
      <w:r>
        <w:rPr>
          <w:rFonts w:hint="eastAsia" w:ascii="宋体" w:hAnsi="宋体"/>
          <w:kern w:val="0"/>
          <w:szCs w:val="20"/>
          <w:highlight w:val="none"/>
        </w:rPr>
        <w:t>1、情景假设</w:t>
      </w:r>
    </w:p>
    <w:p>
      <w:pPr>
        <w:ind w:firstLine="480"/>
        <w:rPr>
          <w:rFonts w:ascii="宋体" w:hAnsi="宋体"/>
          <w:kern w:val="0"/>
          <w:szCs w:val="20"/>
          <w:highlight w:val="none"/>
        </w:rPr>
      </w:pPr>
      <w:r>
        <w:rPr>
          <w:rFonts w:hint="eastAsia" w:ascii="宋体" w:hAnsi="宋体"/>
          <w:kern w:val="0"/>
          <w:szCs w:val="20"/>
          <w:highlight w:val="none"/>
        </w:rPr>
        <w:t>本项目尾矿库占地面积约1.97hm</w:t>
      </w:r>
      <w:r>
        <w:rPr>
          <w:rFonts w:hint="eastAsia" w:ascii="宋体" w:hAnsi="宋体"/>
          <w:kern w:val="0"/>
          <w:szCs w:val="20"/>
          <w:highlight w:val="none"/>
          <w:vertAlign w:val="superscript"/>
        </w:rPr>
        <w:t>2</w:t>
      </w:r>
      <w:r>
        <w:rPr>
          <w:rFonts w:hint="eastAsia" w:ascii="宋体" w:hAnsi="宋体"/>
          <w:kern w:val="0"/>
          <w:szCs w:val="20"/>
          <w:highlight w:val="none"/>
        </w:rPr>
        <w:t>，本次评价假定尾矿库淋溶液对尾矿库下层土壤的污染为</w:t>
      </w:r>
      <w:r>
        <w:rPr>
          <w:rFonts w:hint="eastAsia" w:ascii="宋体" w:hAnsi="宋体"/>
          <w:spacing w:val="4"/>
          <w:highlight w:val="none"/>
        </w:rPr>
        <w:t>垂直入渗的面源污染。</w:t>
      </w:r>
    </w:p>
    <w:p>
      <w:pPr>
        <w:ind w:firstLine="496"/>
        <w:rPr>
          <w:rFonts w:ascii="宋体" w:hAnsi="宋体"/>
          <w:spacing w:val="4"/>
          <w:highlight w:val="none"/>
        </w:rPr>
      </w:pPr>
      <w:r>
        <w:rPr>
          <w:rFonts w:hint="eastAsia" w:ascii="宋体" w:hAnsi="宋体"/>
          <w:spacing w:val="4"/>
          <w:highlight w:val="none"/>
        </w:rPr>
        <w:t>2、尾矿库垂直入渗污染物源强</w:t>
      </w:r>
    </w:p>
    <w:p>
      <w:pPr>
        <w:adjustRightInd w:val="0"/>
        <w:snapToGrid w:val="0"/>
        <w:ind w:firstLine="480"/>
        <w:rPr>
          <w:rFonts w:ascii="宋体" w:hAnsi="宋体"/>
          <w:kern w:val="0"/>
          <w:szCs w:val="20"/>
          <w:highlight w:val="none"/>
        </w:rPr>
      </w:pPr>
      <w:r>
        <w:rPr>
          <w:rFonts w:hint="eastAsia" w:ascii="宋体" w:hAnsi="宋体"/>
          <w:kern w:val="0"/>
          <w:szCs w:val="20"/>
          <w:highlight w:val="none"/>
        </w:rPr>
        <w:t>本项目位于丘陵区，根据繁峙气候资料，繁峙县丘陵区多年平均降水量在400-500mm之间。尾矿库全年降雨量为9850m</w:t>
      </w:r>
      <w:r>
        <w:rPr>
          <w:rFonts w:hint="eastAsia" w:ascii="宋体" w:hAnsi="宋体"/>
          <w:kern w:val="0"/>
          <w:szCs w:val="20"/>
          <w:highlight w:val="none"/>
          <w:vertAlign w:val="superscript"/>
        </w:rPr>
        <w:t>3</w:t>
      </w:r>
      <w:r>
        <w:rPr>
          <w:rFonts w:hint="eastAsia" w:ascii="宋体" w:hAnsi="宋体"/>
          <w:kern w:val="0"/>
          <w:szCs w:val="20"/>
          <w:highlight w:val="none"/>
        </w:rPr>
        <w:t>/a，径流系数0.7，</w:t>
      </w:r>
      <w:r>
        <w:rPr>
          <w:rFonts w:hint="eastAsia" w:ascii="宋体" w:hAnsi="宋体"/>
          <w:spacing w:val="4"/>
          <w:highlight w:val="none"/>
        </w:rPr>
        <w:t>垂直入渗量</w:t>
      </w:r>
      <w:r>
        <w:rPr>
          <w:rFonts w:hint="eastAsia" w:ascii="宋体" w:hAnsi="宋体"/>
          <w:kern w:val="0"/>
          <w:szCs w:val="20"/>
          <w:highlight w:val="none"/>
        </w:rPr>
        <w:t>2955m</w:t>
      </w:r>
      <w:r>
        <w:rPr>
          <w:rFonts w:hint="eastAsia" w:ascii="宋体" w:hAnsi="宋体"/>
          <w:kern w:val="0"/>
          <w:szCs w:val="20"/>
          <w:highlight w:val="none"/>
          <w:vertAlign w:val="superscript"/>
        </w:rPr>
        <w:t>3</w:t>
      </w:r>
      <w:r>
        <w:rPr>
          <w:rFonts w:hint="eastAsia" w:ascii="宋体" w:hAnsi="宋体"/>
          <w:kern w:val="0"/>
          <w:szCs w:val="20"/>
          <w:highlight w:val="none"/>
        </w:rPr>
        <w:t>/a。</w:t>
      </w:r>
    </w:p>
    <w:p>
      <w:pPr>
        <w:ind w:firstLine="480"/>
        <w:rPr>
          <w:rFonts w:ascii="宋体" w:hAnsi="宋体"/>
          <w:spacing w:val="4"/>
          <w:highlight w:val="none"/>
        </w:rPr>
      </w:pPr>
      <w:r>
        <w:rPr>
          <w:rFonts w:hint="eastAsia" w:ascii="宋体" w:hAnsi="宋体"/>
          <w:highlight w:val="none"/>
        </w:rPr>
        <w:t>根据山西省地质矿产局二一三实验室对本项目选矿过程中产生的尾砂进行的淋溶实验：总铬0.00044mg/L，镍0.00029</w:t>
      </w:r>
      <w:r>
        <w:rPr>
          <w:rFonts w:ascii="宋体" w:hAnsi="宋体"/>
          <w:highlight w:val="none"/>
        </w:rPr>
        <w:t>mg/L</w:t>
      </w:r>
      <w:r>
        <w:rPr>
          <w:rFonts w:hint="eastAsia" w:ascii="宋体" w:hAnsi="宋体"/>
          <w:highlight w:val="none"/>
        </w:rPr>
        <w:t>，总铬排放量为1.3g/a，镍排放量为0.86g/a。本次评价假设排放的污染物不发生转化，全部垂直入渗于尾矿库下层土壤中。</w:t>
      </w:r>
    </w:p>
    <w:p>
      <w:pPr>
        <w:ind w:firstLine="496"/>
        <w:rPr>
          <w:rFonts w:ascii="宋体" w:hAnsi="宋体"/>
          <w:spacing w:val="4"/>
          <w:highlight w:val="none"/>
        </w:rPr>
      </w:pPr>
      <w:r>
        <w:rPr>
          <w:rFonts w:hint="eastAsia" w:ascii="宋体" w:hAnsi="宋体"/>
          <w:spacing w:val="4"/>
          <w:highlight w:val="none"/>
        </w:rPr>
        <w:t>3、土壤影响预测方法</w:t>
      </w:r>
    </w:p>
    <w:p>
      <w:pPr>
        <w:ind w:firstLine="496"/>
        <w:rPr>
          <w:rFonts w:ascii="宋体" w:hAnsi="宋体"/>
          <w:spacing w:val="4"/>
          <w:highlight w:val="none"/>
        </w:rPr>
      </w:pPr>
      <w:r>
        <w:rPr>
          <w:rFonts w:hint="eastAsia" w:ascii="宋体" w:hAnsi="宋体"/>
          <w:spacing w:val="4"/>
          <w:highlight w:val="none"/>
        </w:rPr>
        <w:t>本次影响预测采用《环境影响评价技术导则-土壤环境（试行）》（HJ964-2018）推荐的附录E中的方法一。该方法适用于某种物质可概化为以面源形式进入土壤环境的影响预测，包括大气沉降、地面漫流等。</w:t>
      </w:r>
    </w:p>
    <w:p>
      <w:pPr>
        <w:ind w:firstLine="496"/>
        <w:rPr>
          <w:rFonts w:ascii="宋体" w:hAnsi="宋体"/>
          <w:spacing w:val="4"/>
          <w:highlight w:val="none"/>
        </w:rPr>
      </w:pPr>
      <w:r>
        <w:rPr>
          <w:rFonts w:hint="eastAsia" w:ascii="宋体" w:hAnsi="宋体"/>
          <w:spacing w:val="4"/>
          <w:highlight w:val="none"/>
        </w:rPr>
        <w:t>预测方法</w:t>
      </w:r>
    </w:p>
    <w:p>
      <w:pPr>
        <w:ind w:firstLine="496"/>
        <w:rPr>
          <w:rFonts w:ascii="宋体" w:hAnsi="宋体"/>
          <w:spacing w:val="4"/>
          <w:highlight w:val="none"/>
        </w:rPr>
      </w:pPr>
      <w:r>
        <w:rPr>
          <w:rFonts w:hint="eastAsia" w:ascii="宋体" w:hAnsi="宋体"/>
          <w:spacing w:val="4"/>
          <w:highlight w:val="none"/>
        </w:rPr>
        <w:t>单位质量土壤中某种物质的增量可用下式计算：</w:t>
      </w:r>
    </w:p>
    <w:p>
      <w:pPr>
        <w:spacing w:line="240" w:lineRule="auto"/>
        <w:ind w:firstLine="420"/>
        <w:rPr>
          <w:rFonts w:ascii="宋体" w:hAnsi="宋体"/>
          <w:spacing w:val="4"/>
          <w:highlight w:val="none"/>
        </w:rPr>
      </w:pPr>
      <w:r>
        <w:rPr>
          <w:rFonts w:ascii="宋体" w:hAnsi="宋体"/>
          <w:sz w:val="21"/>
          <w:szCs w:val="22"/>
          <w:highlight w:val="none"/>
        </w:rPr>
        <w:drawing>
          <wp:inline distT="0" distB="0" distL="0" distR="0">
            <wp:extent cx="3596640" cy="373380"/>
            <wp:effectExtent l="0" t="0" r="3810" b="7620"/>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596640" cy="373380"/>
                    </a:xfrm>
                    <a:prstGeom prst="rect">
                      <a:avLst/>
                    </a:prstGeom>
                    <a:noFill/>
                    <a:ln>
                      <a:noFill/>
                    </a:ln>
                  </pic:spPr>
                </pic:pic>
              </a:graphicData>
            </a:graphic>
          </wp:inline>
        </w:drawing>
      </w:r>
    </w:p>
    <w:p>
      <w:pPr>
        <w:ind w:firstLine="496"/>
        <w:rPr>
          <w:rFonts w:ascii="宋体" w:hAnsi="宋体"/>
          <w:spacing w:val="4"/>
          <w:highlight w:val="none"/>
        </w:rPr>
      </w:pPr>
      <w:r>
        <w:rPr>
          <w:rFonts w:hint="eastAsia" w:ascii="宋体" w:hAnsi="宋体"/>
          <w:spacing w:val="4"/>
          <w:highlight w:val="none"/>
        </w:rPr>
        <w:t>式中：ΔS——单位质量表层土壤中某种物质的增量，g/kg；</w:t>
      </w:r>
    </w:p>
    <w:p>
      <w:pPr>
        <w:ind w:firstLine="496"/>
        <w:rPr>
          <w:rFonts w:ascii="宋体" w:hAnsi="宋体"/>
          <w:spacing w:val="4"/>
          <w:highlight w:val="none"/>
        </w:rPr>
      </w:pPr>
      <w:r>
        <w:rPr>
          <w:rFonts w:hint="eastAsia" w:ascii="宋体" w:hAnsi="宋体"/>
          <w:spacing w:val="4"/>
          <w:highlight w:val="none"/>
        </w:rPr>
        <w:t>I</w:t>
      </w:r>
      <w:r>
        <w:rPr>
          <w:rFonts w:hint="eastAsia" w:ascii="宋体" w:hAnsi="宋体"/>
          <w:spacing w:val="4"/>
          <w:highlight w:val="none"/>
          <w:vertAlign w:val="subscript"/>
        </w:rPr>
        <w:t>S</w:t>
      </w:r>
      <w:r>
        <w:rPr>
          <w:rFonts w:hint="eastAsia" w:ascii="宋体" w:hAnsi="宋体"/>
          <w:spacing w:val="4"/>
          <w:highlight w:val="none"/>
        </w:rPr>
        <w:t>——预测评价范围内单位年份表层土壤中某种物质的输入量，g；</w:t>
      </w:r>
    </w:p>
    <w:p>
      <w:pPr>
        <w:ind w:firstLine="496"/>
        <w:rPr>
          <w:rFonts w:ascii="宋体" w:hAnsi="宋体"/>
          <w:spacing w:val="4"/>
          <w:highlight w:val="none"/>
        </w:rPr>
      </w:pPr>
      <w:r>
        <w:rPr>
          <w:rFonts w:hint="eastAsia" w:ascii="宋体" w:hAnsi="宋体"/>
          <w:spacing w:val="4"/>
          <w:highlight w:val="none"/>
        </w:rPr>
        <w:t>L</w:t>
      </w:r>
      <w:r>
        <w:rPr>
          <w:rFonts w:hint="eastAsia" w:ascii="宋体" w:hAnsi="宋体"/>
          <w:spacing w:val="4"/>
          <w:highlight w:val="none"/>
          <w:vertAlign w:val="subscript"/>
        </w:rPr>
        <w:t>S</w:t>
      </w:r>
      <w:r>
        <w:rPr>
          <w:rFonts w:hint="eastAsia" w:ascii="宋体" w:hAnsi="宋体"/>
          <w:spacing w:val="4"/>
          <w:highlight w:val="none"/>
        </w:rPr>
        <w:t>——预测评价范围内单位年份表层土壤中某种物质经淋溶排出的量，g；取0；</w:t>
      </w:r>
    </w:p>
    <w:p>
      <w:pPr>
        <w:ind w:firstLine="496"/>
        <w:rPr>
          <w:rFonts w:ascii="宋体" w:hAnsi="宋体"/>
          <w:spacing w:val="4"/>
          <w:highlight w:val="none"/>
        </w:rPr>
      </w:pPr>
      <w:r>
        <w:rPr>
          <w:rFonts w:hint="eastAsia" w:ascii="宋体" w:hAnsi="宋体"/>
          <w:spacing w:val="4"/>
          <w:highlight w:val="none"/>
        </w:rPr>
        <w:t>R</w:t>
      </w:r>
      <w:r>
        <w:rPr>
          <w:rFonts w:hint="eastAsia" w:ascii="宋体" w:hAnsi="宋体"/>
          <w:spacing w:val="4"/>
          <w:highlight w:val="none"/>
          <w:vertAlign w:val="subscript"/>
        </w:rPr>
        <w:t>S</w:t>
      </w:r>
      <w:r>
        <w:rPr>
          <w:rFonts w:hint="eastAsia" w:ascii="宋体" w:hAnsi="宋体"/>
          <w:spacing w:val="4"/>
          <w:highlight w:val="none"/>
        </w:rPr>
        <w:t>——预测评价范围内单位年份表层土壤中某种物质经径流排出的量，g；取0；</w:t>
      </w:r>
    </w:p>
    <w:p>
      <w:pPr>
        <w:ind w:firstLine="496"/>
        <w:rPr>
          <w:rFonts w:ascii="宋体" w:hAnsi="宋体"/>
          <w:spacing w:val="4"/>
          <w:highlight w:val="none"/>
        </w:rPr>
      </w:pPr>
      <w:r>
        <w:rPr>
          <w:rFonts w:hint="eastAsia" w:ascii="宋体" w:hAnsi="宋体"/>
          <w:spacing w:val="4"/>
          <w:highlight w:val="none"/>
        </w:rPr>
        <w:t>ρ</w:t>
      </w:r>
      <w:r>
        <w:rPr>
          <w:rFonts w:hint="eastAsia" w:ascii="宋体" w:hAnsi="宋体"/>
          <w:spacing w:val="4"/>
          <w:highlight w:val="none"/>
          <w:vertAlign w:val="subscript"/>
        </w:rPr>
        <w:t>b</w:t>
      </w:r>
      <w:r>
        <w:rPr>
          <w:rFonts w:hint="eastAsia" w:ascii="宋体" w:hAnsi="宋体"/>
          <w:spacing w:val="4"/>
          <w:highlight w:val="none"/>
        </w:rPr>
        <w:t>——表层土壤容重，kg/m</w:t>
      </w:r>
      <w:r>
        <w:rPr>
          <w:rFonts w:hint="eastAsia" w:ascii="宋体" w:hAnsi="宋体"/>
          <w:spacing w:val="4"/>
          <w:highlight w:val="none"/>
          <w:vertAlign w:val="superscript"/>
        </w:rPr>
        <w:t>3</w:t>
      </w:r>
      <w:r>
        <w:rPr>
          <w:rFonts w:hint="eastAsia" w:ascii="宋体" w:hAnsi="宋体"/>
          <w:spacing w:val="4"/>
          <w:highlight w:val="none"/>
        </w:rPr>
        <w:t>；(取1060kg/m</w:t>
      </w:r>
      <w:r>
        <w:rPr>
          <w:rFonts w:hint="eastAsia" w:ascii="宋体" w:hAnsi="宋体"/>
          <w:spacing w:val="4"/>
          <w:highlight w:val="none"/>
          <w:vertAlign w:val="superscript"/>
        </w:rPr>
        <w:t>3</w:t>
      </w:r>
      <w:r>
        <w:rPr>
          <w:rFonts w:hint="eastAsia" w:ascii="宋体" w:hAnsi="宋体"/>
          <w:spacing w:val="4"/>
          <w:highlight w:val="none"/>
        </w:rPr>
        <w:t>)</w:t>
      </w:r>
    </w:p>
    <w:p>
      <w:pPr>
        <w:ind w:firstLine="496"/>
        <w:rPr>
          <w:rFonts w:ascii="宋体" w:hAnsi="宋体"/>
          <w:spacing w:val="4"/>
          <w:highlight w:val="none"/>
        </w:rPr>
      </w:pPr>
      <w:r>
        <w:rPr>
          <w:rFonts w:hint="eastAsia" w:ascii="宋体" w:hAnsi="宋体"/>
          <w:spacing w:val="4"/>
          <w:highlight w:val="none"/>
        </w:rPr>
        <w:t>A——预测评价范围</w:t>
      </w:r>
      <w:r>
        <w:rPr>
          <w:rFonts w:hint="eastAsia" w:ascii="宋体" w:hAnsi="宋体"/>
          <w:highlight w:val="none"/>
        </w:rPr>
        <w:t>，m</w:t>
      </w:r>
      <w:r>
        <w:rPr>
          <w:rFonts w:hint="eastAsia" w:ascii="宋体" w:hAnsi="宋体"/>
          <w:highlight w:val="none"/>
          <w:vertAlign w:val="superscript"/>
        </w:rPr>
        <w:t>2</w:t>
      </w:r>
      <w:r>
        <w:rPr>
          <w:rFonts w:hint="eastAsia" w:ascii="宋体" w:hAnsi="宋体"/>
          <w:highlight w:val="none"/>
        </w:rPr>
        <w:t>；（</w:t>
      </w:r>
      <w:r>
        <w:rPr>
          <w:rFonts w:hint="eastAsia" w:ascii="宋体" w:hAnsi="宋体"/>
          <w:kern w:val="0"/>
          <w:szCs w:val="20"/>
          <w:highlight w:val="none"/>
        </w:rPr>
        <w:t>尾矿库占地面积1.97hm</w:t>
      </w:r>
      <w:r>
        <w:rPr>
          <w:rFonts w:hint="eastAsia" w:ascii="宋体" w:hAnsi="宋体"/>
          <w:kern w:val="0"/>
          <w:szCs w:val="20"/>
          <w:highlight w:val="none"/>
          <w:vertAlign w:val="superscript"/>
        </w:rPr>
        <w:t>2</w:t>
      </w:r>
      <w:r>
        <w:rPr>
          <w:rFonts w:hint="eastAsia" w:ascii="宋体" w:hAnsi="宋体"/>
          <w:highlight w:val="none"/>
        </w:rPr>
        <w:t>）</w:t>
      </w:r>
    </w:p>
    <w:p>
      <w:pPr>
        <w:ind w:firstLine="496"/>
        <w:rPr>
          <w:rFonts w:ascii="宋体" w:hAnsi="宋体"/>
          <w:spacing w:val="4"/>
          <w:highlight w:val="none"/>
        </w:rPr>
      </w:pPr>
      <w:r>
        <w:rPr>
          <w:rFonts w:hint="eastAsia" w:ascii="宋体" w:hAnsi="宋体"/>
          <w:spacing w:val="4"/>
          <w:highlight w:val="none"/>
        </w:rPr>
        <w:t>D——表层土壤深度，一般取0.2m，可根据实际情况适当调整；</w:t>
      </w:r>
    </w:p>
    <w:p>
      <w:pPr>
        <w:ind w:firstLine="496"/>
        <w:rPr>
          <w:rFonts w:ascii="宋体" w:hAnsi="宋体"/>
          <w:spacing w:val="4"/>
          <w:highlight w:val="none"/>
        </w:rPr>
      </w:pPr>
      <w:r>
        <w:rPr>
          <w:rFonts w:hint="eastAsia" w:ascii="宋体" w:hAnsi="宋体"/>
          <w:spacing w:val="4"/>
          <w:highlight w:val="none"/>
        </w:rPr>
        <w:t>n——持续年份，a。（取10年）</w:t>
      </w:r>
    </w:p>
    <w:p>
      <w:pPr>
        <w:ind w:firstLine="496"/>
        <w:rPr>
          <w:rFonts w:ascii="宋体" w:hAnsi="宋体"/>
          <w:spacing w:val="4"/>
          <w:highlight w:val="none"/>
        </w:rPr>
      </w:pPr>
      <w:r>
        <w:rPr>
          <w:rFonts w:hint="eastAsia" w:ascii="宋体" w:hAnsi="宋体"/>
          <w:spacing w:val="4"/>
          <w:highlight w:val="none"/>
        </w:rPr>
        <w:t>经计算：</w:t>
      </w:r>
    </w:p>
    <w:p>
      <w:pPr>
        <w:ind w:firstLine="496"/>
        <w:rPr>
          <w:rFonts w:ascii="宋体" w:hAnsi="宋体"/>
          <w:spacing w:val="4"/>
          <w:highlight w:val="none"/>
        </w:rPr>
      </w:pPr>
      <w:r>
        <w:rPr>
          <w:rFonts w:hint="eastAsia" w:ascii="宋体" w:hAnsi="宋体"/>
          <w:spacing w:val="4"/>
          <w:highlight w:val="none"/>
        </w:rPr>
        <w:t>总铬  ΔS=0.003</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ind w:firstLine="496"/>
        <w:rPr>
          <w:rFonts w:ascii="宋体" w:hAnsi="宋体"/>
          <w:spacing w:val="4"/>
          <w:highlight w:val="none"/>
        </w:rPr>
      </w:pPr>
      <w:r>
        <w:rPr>
          <w:rFonts w:hint="eastAsia" w:ascii="宋体" w:hAnsi="宋体"/>
          <w:spacing w:val="4"/>
          <w:highlight w:val="none"/>
        </w:rPr>
        <w:t>镍    ΔS=0.002</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ind w:firstLine="496"/>
        <w:rPr>
          <w:rFonts w:ascii="宋体" w:hAnsi="宋体"/>
          <w:spacing w:val="4"/>
          <w:highlight w:val="none"/>
        </w:rPr>
      </w:pPr>
      <w:r>
        <w:rPr>
          <w:rFonts w:hint="eastAsia" w:ascii="宋体" w:hAnsi="宋体"/>
          <w:spacing w:val="4"/>
          <w:highlight w:val="none"/>
        </w:rPr>
        <w:t>单位质量土壤中某种物质的预测值可根据其增量叠加现状值进行计算，如式</w:t>
      </w:r>
    </w:p>
    <w:p>
      <w:pPr>
        <w:spacing w:line="240" w:lineRule="auto"/>
        <w:ind w:firstLine="420"/>
        <w:rPr>
          <w:rFonts w:ascii="宋体" w:hAnsi="宋体"/>
          <w:spacing w:val="4"/>
          <w:highlight w:val="none"/>
        </w:rPr>
      </w:pPr>
      <w:r>
        <w:rPr>
          <w:rFonts w:ascii="宋体" w:hAnsi="宋体"/>
          <w:sz w:val="21"/>
          <w:szCs w:val="22"/>
          <w:highlight w:val="none"/>
        </w:rPr>
        <w:drawing>
          <wp:inline distT="0" distB="0" distL="0" distR="0">
            <wp:extent cx="1493520" cy="419100"/>
            <wp:effectExtent l="0" t="0" r="0" b="0"/>
            <wp:docPr id="1129"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493520" cy="419100"/>
                    </a:xfrm>
                    <a:prstGeom prst="rect">
                      <a:avLst/>
                    </a:prstGeom>
                    <a:noFill/>
                    <a:ln>
                      <a:noFill/>
                    </a:ln>
                  </pic:spPr>
                </pic:pic>
              </a:graphicData>
            </a:graphic>
          </wp:inline>
        </w:drawing>
      </w:r>
    </w:p>
    <w:p>
      <w:pPr>
        <w:ind w:firstLine="496"/>
        <w:rPr>
          <w:rFonts w:ascii="宋体" w:hAnsi="宋体"/>
          <w:spacing w:val="4"/>
          <w:highlight w:val="none"/>
        </w:rPr>
      </w:pPr>
      <w:r>
        <w:rPr>
          <w:rFonts w:hint="eastAsia" w:ascii="宋体" w:hAnsi="宋体"/>
          <w:spacing w:val="4"/>
          <w:highlight w:val="none"/>
        </w:rPr>
        <w:t>式中：Sb——单位质量土壤中某种物质的现状值，g/kg；</w:t>
      </w:r>
    </w:p>
    <w:p>
      <w:pPr>
        <w:ind w:firstLine="1240" w:firstLineChars="500"/>
        <w:rPr>
          <w:rFonts w:ascii="宋体" w:hAnsi="宋体"/>
          <w:spacing w:val="4"/>
          <w:highlight w:val="none"/>
        </w:rPr>
      </w:pPr>
      <w:r>
        <w:rPr>
          <w:rFonts w:hint="eastAsia" w:ascii="宋体" w:hAnsi="宋体"/>
          <w:spacing w:val="4"/>
          <w:highlight w:val="none"/>
        </w:rPr>
        <w:t>根据现状监测数据：表层土壤中总铬检测值最大值为28.6mg/m</w:t>
      </w:r>
      <w:r>
        <w:rPr>
          <w:rFonts w:hint="eastAsia" w:ascii="宋体" w:hAnsi="宋体"/>
          <w:spacing w:val="4"/>
          <w:highlight w:val="none"/>
          <w:vertAlign w:val="superscript"/>
        </w:rPr>
        <w:t>3</w:t>
      </w:r>
      <w:r>
        <w:rPr>
          <w:rFonts w:hint="eastAsia" w:ascii="宋体" w:hAnsi="宋体"/>
          <w:spacing w:val="4"/>
          <w:highlight w:val="none"/>
        </w:rPr>
        <w:t>，镍检测值最大值为21.6mg/m</w:t>
      </w:r>
      <w:r>
        <w:rPr>
          <w:rFonts w:hint="eastAsia" w:ascii="宋体" w:hAnsi="宋体"/>
          <w:spacing w:val="4"/>
          <w:highlight w:val="none"/>
          <w:vertAlign w:val="superscript"/>
        </w:rPr>
        <w:t>3</w:t>
      </w:r>
      <w:r>
        <w:rPr>
          <w:rFonts w:hint="eastAsia" w:ascii="宋体" w:hAnsi="宋体"/>
          <w:spacing w:val="4"/>
          <w:highlight w:val="none"/>
        </w:rPr>
        <w:t>。</w:t>
      </w:r>
    </w:p>
    <w:p>
      <w:pPr>
        <w:ind w:firstLine="1240" w:firstLineChars="500"/>
        <w:rPr>
          <w:rFonts w:ascii="宋体" w:hAnsi="宋体"/>
          <w:spacing w:val="4"/>
          <w:highlight w:val="none"/>
        </w:rPr>
      </w:pPr>
      <w:r>
        <w:rPr>
          <w:rFonts w:hint="eastAsia" w:ascii="宋体" w:hAnsi="宋体"/>
          <w:spacing w:val="4"/>
          <w:highlight w:val="none"/>
        </w:rPr>
        <w:t>S——单位质量土壤中某种物质的预测值，g/kg。</w:t>
      </w:r>
    </w:p>
    <w:p>
      <w:pPr>
        <w:ind w:firstLine="1240" w:firstLineChars="500"/>
        <w:rPr>
          <w:rFonts w:ascii="宋体" w:hAnsi="宋体"/>
          <w:spacing w:val="4"/>
          <w:highlight w:val="none"/>
        </w:rPr>
      </w:pPr>
      <w:r>
        <w:rPr>
          <w:rFonts w:hint="eastAsia" w:ascii="宋体" w:hAnsi="宋体"/>
          <w:spacing w:val="4"/>
          <w:highlight w:val="none"/>
        </w:rPr>
        <w:t>结果：</w:t>
      </w:r>
    </w:p>
    <w:p>
      <w:pPr>
        <w:ind w:firstLine="1240" w:firstLineChars="500"/>
        <w:rPr>
          <w:rFonts w:ascii="宋体" w:hAnsi="宋体"/>
          <w:spacing w:val="4"/>
          <w:highlight w:val="none"/>
        </w:rPr>
      </w:pPr>
      <w:r>
        <w:rPr>
          <w:rFonts w:hint="eastAsia" w:ascii="宋体" w:hAnsi="宋体"/>
          <w:spacing w:val="4"/>
          <w:highlight w:val="none"/>
        </w:rPr>
        <w:t>总铬  S=</w:t>
      </w:r>
      <w:r>
        <w:rPr>
          <w:rFonts w:ascii="宋体" w:hAnsi="宋体"/>
          <w:spacing w:val="4"/>
          <w:highlight w:val="none"/>
        </w:rPr>
        <w:t>28.6</w:t>
      </w:r>
      <w:r>
        <w:rPr>
          <w:rFonts w:hint="eastAsia" w:ascii="宋体" w:hAnsi="宋体"/>
          <w:spacing w:val="4"/>
          <w:highlight w:val="none"/>
        </w:rPr>
        <w:t>03</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ind w:firstLine="1240" w:firstLineChars="500"/>
        <w:rPr>
          <w:rFonts w:ascii="宋体" w:hAnsi="宋体"/>
          <w:spacing w:val="4"/>
          <w:highlight w:val="none"/>
        </w:rPr>
      </w:pPr>
      <w:r>
        <w:rPr>
          <w:rFonts w:hint="eastAsia" w:ascii="宋体" w:hAnsi="宋体"/>
          <w:spacing w:val="4"/>
          <w:highlight w:val="none"/>
        </w:rPr>
        <w:t>镍    S=</w:t>
      </w:r>
      <w:r>
        <w:rPr>
          <w:rFonts w:ascii="宋体" w:hAnsi="宋体"/>
          <w:spacing w:val="4"/>
          <w:highlight w:val="none"/>
        </w:rPr>
        <w:t>21.6</w:t>
      </w:r>
      <w:r>
        <w:rPr>
          <w:rFonts w:hint="eastAsia" w:ascii="宋体" w:hAnsi="宋体"/>
          <w:spacing w:val="4"/>
          <w:highlight w:val="none"/>
        </w:rPr>
        <w:t>02</w:t>
      </w:r>
      <w:r>
        <w:rPr>
          <w:rFonts w:hint="eastAsia" w:ascii="宋体" w:hAnsi="宋体"/>
          <w:sz w:val="21"/>
          <w:szCs w:val="22"/>
          <w:highlight w:val="none"/>
        </w:rPr>
        <w:t>m</w:t>
      </w:r>
      <w:r>
        <w:rPr>
          <w:rFonts w:ascii="宋体" w:hAnsi="宋体"/>
          <w:spacing w:val="4"/>
          <w:highlight w:val="none"/>
        </w:rPr>
        <w:t>g/kg</w:t>
      </w:r>
      <w:r>
        <w:rPr>
          <w:rFonts w:hint="eastAsia" w:ascii="宋体" w:hAnsi="宋体"/>
          <w:spacing w:val="4"/>
          <w:highlight w:val="none"/>
        </w:rPr>
        <w:t>；</w:t>
      </w:r>
    </w:p>
    <w:p>
      <w:pPr>
        <w:adjustRightInd w:val="0"/>
        <w:snapToGrid w:val="0"/>
        <w:ind w:firstLine="480"/>
        <w:rPr>
          <w:rFonts w:ascii="宋体" w:hAnsi="宋体"/>
          <w:kern w:val="0"/>
          <w:szCs w:val="20"/>
          <w:highlight w:val="none"/>
        </w:rPr>
      </w:pPr>
      <w:r>
        <w:rPr>
          <w:rFonts w:hint="eastAsia" w:ascii="宋体" w:hAnsi="宋体"/>
          <w:kern w:val="0"/>
          <w:szCs w:val="20"/>
          <w:highlight w:val="none"/>
        </w:rPr>
        <w:t>4、预测结果</w:t>
      </w:r>
    </w:p>
    <w:p>
      <w:pPr>
        <w:adjustRightInd w:val="0"/>
        <w:snapToGrid w:val="0"/>
        <w:ind w:firstLine="480"/>
        <w:rPr>
          <w:rFonts w:hAnsi="宋体"/>
          <w:highlight w:val="none"/>
        </w:rPr>
      </w:pPr>
      <w:r>
        <w:rPr>
          <w:rFonts w:hint="eastAsia" w:ascii="宋体" w:hAnsi="宋体"/>
          <w:kern w:val="0"/>
          <w:szCs w:val="20"/>
          <w:highlight w:val="none"/>
        </w:rPr>
        <w:t>本项目</w:t>
      </w:r>
      <w:r>
        <w:rPr>
          <w:rFonts w:hint="eastAsia" w:ascii="宋体" w:hAnsi="宋体"/>
          <w:spacing w:val="4"/>
          <w:highlight w:val="none"/>
        </w:rPr>
        <w:t>总铬</w:t>
      </w:r>
      <w:r>
        <w:rPr>
          <w:rFonts w:hint="eastAsia" w:ascii="宋体" w:hAnsi="宋体"/>
          <w:kern w:val="0"/>
          <w:szCs w:val="20"/>
          <w:highlight w:val="none"/>
        </w:rPr>
        <w:t>通过垂直入渗的土壤的污染物增加量为0.003</w:t>
      </w:r>
      <w:r>
        <w:rPr>
          <w:rFonts w:ascii="宋体" w:hAnsi="宋体"/>
          <w:kern w:val="0"/>
          <w:szCs w:val="20"/>
          <w:highlight w:val="none"/>
        </w:rPr>
        <w:t>mg/kg</w:t>
      </w:r>
      <w:r>
        <w:rPr>
          <w:rFonts w:hint="eastAsia" w:ascii="宋体" w:hAnsi="宋体"/>
          <w:kern w:val="0"/>
          <w:szCs w:val="20"/>
          <w:highlight w:val="none"/>
        </w:rPr>
        <w:t>，在单位质量土壤中的预测值</w:t>
      </w:r>
      <w:r>
        <w:rPr>
          <w:rFonts w:ascii="宋体" w:hAnsi="宋体"/>
          <w:kern w:val="0"/>
          <w:szCs w:val="20"/>
          <w:highlight w:val="none"/>
        </w:rPr>
        <w:t>28.603</w:t>
      </w:r>
      <w:r>
        <w:rPr>
          <w:rFonts w:hint="eastAsia" w:ascii="宋体" w:hAnsi="宋体"/>
          <w:kern w:val="0"/>
          <w:szCs w:val="22"/>
          <w:highlight w:val="none"/>
        </w:rPr>
        <w:t>m</w:t>
      </w:r>
      <w:r>
        <w:rPr>
          <w:rFonts w:ascii="宋体" w:hAnsi="宋体"/>
          <w:kern w:val="0"/>
          <w:szCs w:val="20"/>
          <w:highlight w:val="none"/>
        </w:rPr>
        <w:t>g/kg，本项目排放的污染物</w:t>
      </w:r>
      <w:r>
        <w:rPr>
          <w:rFonts w:hint="eastAsia" w:ascii="宋体" w:hAnsi="宋体"/>
          <w:kern w:val="0"/>
          <w:szCs w:val="20"/>
          <w:highlight w:val="none"/>
        </w:rPr>
        <w:t>占标率为11.4%；</w:t>
      </w:r>
      <w:r>
        <w:rPr>
          <w:rFonts w:hint="eastAsia" w:ascii="宋体" w:hAnsi="宋体"/>
          <w:spacing w:val="4"/>
          <w:highlight w:val="none"/>
        </w:rPr>
        <w:t>镍</w:t>
      </w:r>
      <w:r>
        <w:rPr>
          <w:rFonts w:hint="eastAsia" w:ascii="宋体" w:hAnsi="宋体"/>
          <w:kern w:val="0"/>
          <w:szCs w:val="20"/>
          <w:highlight w:val="none"/>
        </w:rPr>
        <w:t>通过垂直入渗的土壤的污染物增加量为</w:t>
      </w:r>
      <w:r>
        <w:rPr>
          <w:rFonts w:hint="eastAsia" w:ascii="宋体" w:hAnsi="宋体"/>
          <w:spacing w:val="4"/>
          <w:highlight w:val="none"/>
        </w:rPr>
        <w:t>0.002</w:t>
      </w:r>
      <w:r>
        <w:rPr>
          <w:rFonts w:ascii="宋体" w:hAnsi="宋体"/>
          <w:kern w:val="0"/>
          <w:szCs w:val="20"/>
          <w:highlight w:val="none"/>
        </w:rPr>
        <w:t>mg/kg</w:t>
      </w:r>
      <w:r>
        <w:rPr>
          <w:rFonts w:hint="eastAsia" w:ascii="宋体" w:hAnsi="宋体"/>
          <w:kern w:val="0"/>
          <w:szCs w:val="20"/>
          <w:highlight w:val="none"/>
        </w:rPr>
        <w:t>，在单位质量土壤中的预测值</w:t>
      </w:r>
      <w:r>
        <w:rPr>
          <w:rFonts w:hint="eastAsia" w:ascii="宋体" w:hAnsi="宋体"/>
          <w:spacing w:val="4"/>
          <w:highlight w:val="none"/>
        </w:rPr>
        <w:t>21.602</w:t>
      </w:r>
      <w:r>
        <w:rPr>
          <w:rFonts w:hint="eastAsia" w:ascii="宋体" w:hAnsi="宋体"/>
          <w:kern w:val="0"/>
          <w:szCs w:val="22"/>
          <w:highlight w:val="none"/>
        </w:rPr>
        <w:t>m</w:t>
      </w:r>
      <w:r>
        <w:rPr>
          <w:rFonts w:ascii="宋体" w:hAnsi="宋体"/>
          <w:kern w:val="0"/>
          <w:szCs w:val="20"/>
          <w:highlight w:val="none"/>
        </w:rPr>
        <w:t>g/kg，本项目排放的污染物</w:t>
      </w:r>
      <w:r>
        <w:rPr>
          <w:rFonts w:hint="eastAsia" w:ascii="宋体" w:hAnsi="宋体"/>
          <w:kern w:val="0"/>
          <w:szCs w:val="20"/>
          <w:highlight w:val="none"/>
        </w:rPr>
        <w:t>占标率为11.4%；未超过农用地土壤污染风险筛选值。本项目总铬、镍排放通过大气沉降对土壤环境的影响较小。</w:t>
      </w:r>
    </w:p>
    <w:p>
      <w:pPr>
        <w:pStyle w:val="4"/>
        <w:ind w:firstLine="562"/>
        <w:rPr>
          <w:rFonts w:hAnsi="宋体"/>
          <w:highlight w:val="none"/>
        </w:rPr>
      </w:pPr>
      <w:r>
        <w:rPr>
          <w:rFonts w:hAnsi="宋体"/>
          <w:highlight w:val="none"/>
        </w:rPr>
        <w:t>5.8.4</w:t>
      </w:r>
      <w:r>
        <w:rPr>
          <w:rFonts w:hint="eastAsia" w:hAnsi="宋体"/>
          <w:highlight w:val="none"/>
        </w:rPr>
        <w:t>土壤污染防治措施</w:t>
      </w:r>
    </w:p>
    <w:p>
      <w:pPr>
        <w:pStyle w:val="62"/>
        <w:ind w:firstLine="480"/>
        <w:rPr>
          <w:rFonts w:hAnsi="宋体"/>
          <w:highlight w:val="none"/>
        </w:rPr>
      </w:pPr>
      <w:r>
        <w:rPr>
          <w:rFonts w:hAnsi="宋体"/>
          <w:highlight w:val="none"/>
        </w:rPr>
        <w:t>本项目占地范围内的土壤环境质量无超标点位，本次评价不考虑土壤环境质量现状保障措施，重点</w:t>
      </w:r>
      <w:r>
        <w:rPr>
          <w:rFonts w:hint="eastAsia" w:hAnsi="宋体"/>
          <w:highlight w:val="none"/>
        </w:rPr>
        <w:t>从</w:t>
      </w:r>
      <w:r>
        <w:rPr>
          <w:rFonts w:hAnsi="宋体"/>
          <w:highlight w:val="none"/>
        </w:rPr>
        <w:t>源头控制、过程防控和跟踪监测等方面采取对土壤环境的保护措施。</w:t>
      </w:r>
    </w:p>
    <w:p>
      <w:pPr>
        <w:pStyle w:val="62"/>
        <w:ind w:firstLine="480" w:firstLineChars="0"/>
        <w:rPr>
          <w:rFonts w:hAnsi="宋体"/>
          <w:highlight w:val="none"/>
        </w:rPr>
      </w:pPr>
      <w:r>
        <w:rPr>
          <w:rFonts w:hint="eastAsia" w:hAnsi="宋体"/>
          <w:highlight w:val="none"/>
        </w:rPr>
        <w:t>1、</w:t>
      </w:r>
      <w:r>
        <w:rPr>
          <w:rFonts w:hAnsi="宋体"/>
          <w:highlight w:val="none"/>
        </w:rPr>
        <w:t>源头控制：</w:t>
      </w:r>
    </w:p>
    <w:p>
      <w:pPr>
        <w:pStyle w:val="62"/>
        <w:ind w:firstLine="480" w:firstLineChars="0"/>
        <w:rPr>
          <w:rFonts w:hAnsi="宋体"/>
          <w:highlight w:val="none"/>
        </w:rPr>
      </w:pPr>
      <w:r>
        <w:rPr>
          <w:rFonts w:hAnsi="宋体"/>
          <w:highlight w:val="none"/>
        </w:rPr>
        <w:t>生产过程产生的废机油等在危废暂存间及时妥善收集、处置；在物料输送和贮存过程中，加强跑、冒、滴、漏管理，降低物质泄漏和污染土壤环境的隐患。</w:t>
      </w:r>
    </w:p>
    <w:p>
      <w:pPr>
        <w:pStyle w:val="62"/>
        <w:ind w:firstLine="480"/>
        <w:rPr>
          <w:rFonts w:hAnsi="宋体"/>
          <w:highlight w:val="none"/>
        </w:rPr>
      </w:pPr>
      <w:r>
        <w:rPr>
          <w:rFonts w:hint="eastAsia" w:hAnsi="宋体"/>
          <w:highlight w:val="none"/>
        </w:rPr>
        <w:t>2、</w:t>
      </w:r>
      <w:r>
        <w:rPr>
          <w:rFonts w:hAnsi="宋体"/>
          <w:highlight w:val="none"/>
        </w:rPr>
        <w:t>过程防控：</w:t>
      </w:r>
    </w:p>
    <w:p>
      <w:pPr>
        <w:pStyle w:val="62"/>
        <w:ind w:firstLine="480"/>
        <w:rPr>
          <w:rFonts w:hAnsi="宋体"/>
          <w:highlight w:val="none"/>
        </w:rPr>
      </w:pPr>
      <w:r>
        <w:rPr>
          <w:rFonts w:hAnsi="宋体"/>
          <w:highlight w:val="none"/>
        </w:rPr>
        <w:t>严格按照规范对危废暂存间进行防渗；根据分区防渗原则，厂区道路进行简单防渗（采用混凝土硬化，混凝土渗透系数为10</w:t>
      </w:r>
      <w:r>
        <w:rPr>
          <w:rFonts w:hAnsi="宋体"/>
          <w:highlight w:val="none"/>
          <w:vertAlign w:val="superscript"/>
        </w:rPr>
        <w:t>-7</w:t>
      </w:r>
      <w:r>
        <w:rPr>
          <w:rFonts w:hAnsi="宋体"/>
          <w:highlight w:val="none"/>
        </w:rPr>
        <w:t>cm/s），生产车间全部进行一般防渗（防渗层Mb≥1.5m，渗透系数≤10</w:t>
      </w:r>
      <w:r>
        <w:rPr>
          <w:rFonts w:hAnsi="宋体"/>
          <w:highlight w:val="none"/>
          <w:vertAlign w:val="superscript"/>
        </w:rPr>
        <w:t>-</w:t>
      </w:r>
      <w:r>
        <w:rPr>
          <w:rFonts w:hint="eastAsia" w:hAnsi="宋体"/>
          <w:highlight w:val="none"/>
          <w:vertAlign w:val="superscript"/>
        </w:rPr>
        <w:t>6</w:t>
      </w:r>
      <w:r>
        <w:rPr>
          <w:rFonts w:hAnsi="宋体"/>
          <w:highlight w:val="none"/>
        </w:rPr>
        <w:t>cm/s），危废暂存间进行重点防渗（防渗层Mb≥6.0m，渗透系数≤10</w:t>
      </w:r>
      <w:r>
        <w:rPr>
          <w:rFonts w:hAnsi="宋体"/>
          <w:highlight w:val="none"/>
          <w:vertAlign w:val="superscript"/>
        </w:rPr>
        <w:t>-7</w:t>
      </w:r>
      <w:r>
        <w:rPr>
          <w:rFonts w:hAnsi="宋体"/>
          <w:highlight w:val="none"/>
        </w:rPr>
        <w:t>cm/s）。</w:t>
      </w:r>
    </w:p>
    <w:p>
      <w:pPr>
        <w:pStyle w:val="62"/>
        <w:ind w:firstLine="480"/>
        <w:rPr>
          <w:rFonts w:hAnsi="宋体"/>
          <w:highlight w:val="none"/>
        </w:rPr>
      </w:pPr>
      <w:r>
        <w:rPr>
          <w:rFonts w:hint="eastAsia" w:hAnsi="宋体"/>
          <w:highlight w:val="none"/>
        </w:rPr>
        <w:t>3、跟踪监测</w:t>
      </w:r>
    </w:p>
    <w:p>
      <w:pPr>
        <w:pStyle w:val="62"/>
        <w:ind w:firstLine="480"/>
        <w:rPr>
          <w:rFonts w:hAnsi="宋体"/>
          <w:highlight w:val="none"/>
        </w:rPr>
      </w:pPr>
      <w:r>
        <w:rPr>
          <w:rFonts w:hAnsi="宋体"/>
          <w:highlight w:val="none"/>
        </w:rPr>
        <w:t>根据《环境影响评价技术导则·土壤环境（试行）》（HJ964-2018），</w:t>
      </w:r>
      <w:r>
        <w:rPr>
          <w:rFonts w:hint="eastAsia" w:hAnsi="宋体"/>
          <w:highlight w:val="none"/>
        </w:rPr>
        <w:t>尾矿库</w:t>
      </w:r>
      <w:r>
        <w:rPr>
          <w:rFonts w:hAnsi="宋体"/>
          <w:highlight w:val="none"/>
        </w:rPr>
        <w:t>二级评价每五年开展一次跟踪监测。本项目</w:t>
      </w:r>
      <w:r>
        <w:rPr>
          <w:rFonts w:hint="eastAsia" w:hAnsi="宋体"/>
          <w:highlight w:val="none"/>
        </w:rPr>
        <w:t>尾矿库</w:t>
      </w:r>
      <w:r>
        <w:rPr>
          <w:rFonts w:hAnsi="宋体"/>
          <w:highlight w:val="none"/>
        </w:rPr>
        <w:t>设一个跟踪监测点位：</w:t>
      </w:r>
      <w:r>
        <w:rPr>
          <w:rFonts w:hint="eastAsia" w:hAnsi="宋体"/>
          <w:highlight w:val="none"/>
        </w:rPr>
        <w:t>尾矿库坝址下游北</w:t>
      </w:r>
      <w:r>
        <w:rPr>
          <w:rFonts w:hAnsi="宋体"/>
          <w:highlight w:val="none"/>
        </w:rPr>
        <w:t>侧</w:t>
      </w:r>
      <w:r>
        <w:rPr>
          <w:rFonts w:hint="eastAsia" w:hAnsi="宋体"/>
          <w:highlight w:val="none"/>
        </w:rPr>
        <w:t>山谷</w:t>
      </w:r>
      <w:r>
        <w:rPr>
          <w:rFonts w:hAnsi="宋体"/>
          <w:highlight w:val="none"/>
        </w:rPr>
        <w:t>，监测项目为pH、镉、汞、砷、铅、铬、铜、镍、锌，执行标准《土壤环境质量农用地土壤污染风险管控标准》（GB15618-2018）表1筛选值。</w:t>
      </w:r>
      <w:r>
        <w:rPr>
          <w:rFonts w:hint="eastAsia" w:hAnsi="宋体"/>
          <w:highlight w:val="none"/>
        </w:rPr>
        <w:t>选矿厂为三级评价，必要时可开展跟踪监测，监测因子为石油烃，监测点位位于危废暂存间附近。</w:t>
      </w:r>
    </w:p>
    <w:p>
      <w:pPr>
        <w:pStyle w:val="4"/>
        <w:ind w:firstLine="562"/>
        <w:rPr>
          <w:rFonts w:hAnsi="宋体"/>
          <w:highlight w:val="none"/>
        </w:rPr>
      </w:pPr>
      <w:r>
        <w:rPr>
          <w:rFonts w:hint="eastAsia" w:hAnsi="宋体"/>
          <w:highlight w:val="none"/>
        </w:rPr>
        <w:t>5</w:t>
      </w:r>
      <w:r>
        <w:rPr>
          <w:rFonts w:hAnsi="宋体"/>
          <w:highlight w:val="none"/>
        </w:rPr>
        <w:t>.8.5土壤评价结论</w:t>
      </w:r>
    </w:p>
    <w:p>
      <w:pPr>
        <w:ind w:firstLine="496"/>
        <w:rPr>
          <w:rFonts w:ascii="宋体" w:hAnsi="宋体"/>
          <w:spacing w:val="4"/>
          <w:highlight w:val="none"/>
        </w:rPr>
      </w:pPr>
      <w:r>
        <w:rPr>
          <w:rFonts w:ascii="宋体" w:hAnsi="宋体"/>
          <w:spacing w:val="4"/>
          <w:highlight w:val="none"/>
        </w:rPr>
        <w:t>本项目土壤环境质量现状监测各监测点指标均不超标，项目所在区域土壤环境质量较好。项目对土壤的影响主要在事故状态下，项目产生的废机油等在储存过程中，容器破裂，物料泄漏，从破损、破裂的地面垂直入渗，污染土壤。在落实环评提出的各项源头控制、过程防控、跟踪监测等措施的前提下，项目的建设及运营对厂区及</w:t>
      </w:r>
      <w:r>
        <w:rPr>
          <w:rFonts w:hint="eastAsia" w:ascii="宋体" w:hAnsi="宋体"/>
          <w:spacing w:val="4"/>
          <w:highlight w:val="none"/>
        </w:rPr>
        <w:t>周围环境</w:t>
      </w:r>
      <w:r>
        <w:rPr>
          <w:rFonts w:ascii="宋体" w:hAnsi="宋体"/>
          <w:spacing w:val="4"/>
          <w:highlight w:val="none"/>
        </w:rPr>
        <w:t>的影响可接受。</w:t>
      </w:r>
    </w:p>
    <w:p>
      <w:pPr>
        <w:snapToGrid w:val="0"/>
        <w:spacing w:line="420" w:lineRule="atLeast"/>
        <w:ind w:firstLine="496"/>
        <w:rPr>
          <w:rFonts w:ascii="宋体" w:hAnsi="宋体"/>
          <w:spacing w:val="4"/>
          <w:highlight w:val="none"/>
        </w:rPr>
      </w:pPr>
      <w:r>
        <w:rPr>
          <w:rFonts w:ascii="宋体" w:hAnsi="宋体"/>
          <w:spacing w:val="4"/>
          <w:highlight w:val="none"/>
        </w:rPr>
        <w:t>本项目土壤自查表见表5.8-1。</w:t>
      </w:r>
    </w:p>
    <w:p>
      <w:pPr>
        <w:pStyle w:val="65"/>
        <w:rPr>
          <w:rFonts w:hAnsi="宋体"/>
          <w:highlight w:val="none"/>
        </w:rPr>
      </w:pPr>
      <w:r>
        <w:rPr>
          <w:rFonts w:hAnsi="宋体"/>
          <w:highlight w:val="none"/>
        </w:rPr>
        <w:t>表5.8-1</w:t>
      </w:r>
      <w:r>
        <w:rPr>
          <w:rFonts w:hint="eastAsia" w:hAnsi="宋体"/>
          <w:highlight w:val="none"/>
        </w:rPr>
        <w:t xml:space="preserve">  选矿厂</w:t>
      </w:r>
      <w:r>
        <w:rPr>
          <w:rFonts w:hAnsi="宋体"/>
          <w:highlight w:val="none"/>
        </w:rPr>
        <w:t>土壤环境影响评价自查表</w:t>
      </w:r>
    </w:p>
    <w:tbl>
      <w:tblPr>
        <w:tblStyle w:val="44"/>
        <w:tblW w:w="91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73"/>
        <w:gridCol w:w="1668"/>
        <w:gridCol w:w="2071"/>
        <w:gridCol w:w="149"/>
        <w:gridCol w:w="1131"/>
        <w:gridCol w:w="712"/>
        <w:gridCol w:w="562"/>
        <w:gridCol w:w="1351"/>
        <w:gridCol w:w="106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141" w:type="dxa"/>
            <w:gridSpan w:val="2"/>
            <w:vAlign w:val="center"/>
          </w:tcPr>
          <w:p>
            <w:pPr>
              <w:pStyle w:val="64"/>
              <w:rPr>
                <w:rFonts w:hAnsi="宋体"/>
                <w:highlight w:val="none"/>
              </w:rPr>
            </w:pPr>
            <w:r>
              <w:rPr>
                <w:rFonts w:hint="eastAsia" w:hAnsi="宋体"/>
                <w:highlight w:val="none"/>
              </w:rPr>
              <w:t>工作内容</w:t>
            </w:r>
          </w:p>
        </w:tc>
        <w:tc>
          <w:tcPr>
            <w:tcW w:w="5976" w:type="dxa"/>
            <w:gridSpan w:val="6"/>
            <w:vAlign w:val="center"/>
          </w:tcPr>
          <w:p>
            <w:pPr>
              <w:pStyle w:val="64"/>
              <w:rPr>
                <w:rFonts w:hAnsi="宋体"/>
                <w:highlight w:val="none"/>
              </w:rPr>
            </w:pPr>
            <w:r>
              <w:rPr>
                <w:rFonts w:hint="eastAsia" w:hAnsi="宋体"/>
                <w:highlight w:val="none"/>
              </w:rPr>
              <w:t>完成情况</w:t>
            </w:r>
          </w:p>
        </w:tc>
        <w:tc>
          <w:tcPr>
            <w:tcW w:w="1061" w:type="dxa"/>
            <w:vAlign w:val="center"/>
          </w:tcPr>
          <w:p>
            <w:pPr>
              <w:pStyle w:val="64"/>
              <w:rPr>
                <w:rFonts w:hAnsi="宋体"/>
                <w:highlight w:val="none"/>
              </w:rPr>
            </w:pPr>
            <w:r>
              <w:rPr>
                <w:rFonts w:hint="eastAsia" w:hAnsi="宋体"/>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影响识别</w:t>
            </w:r>
          </w:p>
        </w:tc>
        <w:tc>
          <w:tcPr>
            <w:tcW w:w="1668" w:type="dxa"/>
            <w:vAlign w:val="center"/>
          </w:tcPr>
          <w:p>
            <w:pPr>
              <w:pStyle w:val="64"/>
              <w:rPr>
                <w:rFonts w:hAnsi="宋体"/>
                <w:highlight w:val="none"/>
              </w:rPr>
            </w:pPr>
            <w:r>
              <w:rPr>
                <w:rFonts w:hint="eastAsia" w:hAnsi="宋体"/>
                <w:highlight w:val="none"/>
              </w:rPr>
              <w:t>影响类型</w:t>
            </w:r>
          </w:p>
        </w:tc>
        <w:tc>
          <w:tcPr>
            <w:tcW w:w="5976" w:type="dxa"/>
            <w:gridSpan w:val="6"/>
            <w:vAlign w:val="center"/>
          </w:tcPr>
          <w:p>
            <w:pPr>
              <w:pStyle w:val="64"/>
              <w:jc w:val="left"/>
              <w:rPr>
                <w:rFonts w:hAnsi="宋体"/>
                <w:highlight w:val="none"/>
              </w:rPr>
            </w:pPr>
            <w:r>
              <w:rPr>
                <w:rFonts w:hint="eastAsia" w:hAnsi="宋体"/>
                <w:highlight w:val="none"/>
              </w:rPr>
              <w:t>污染影响型</w:t>
            </w:r>
            <w:r>
              <w:rPr>
                <w:rFonts w:hint="eastAsia" w:ascii="MS Mincho" w:hAnsi="MS Mincho" w:eastAsia="MS Mincho" w:cs="MS Mincho"/>
                <w:highlight w:val="none"/>
              </w:rPr>
              <w:t>☑</w:t>
            </w:r>
            <w:r>
              <w:rPr>
                <w:rFonts w:hint="eastAsia" w:hAnsi="宋体"/>
                <w:highlight w:val="none"/>
              </w:rPr>
              <w:t>；生态影响型□；两种兼有□</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土地利用类型</w:t>
            </w:r>
          </w:p>
        </w:tc>
        <w:tc>
          <w:tcPr>
            <w:tcW w:w="5976" w:type="dxa"/>
            <w:gridSpan w:val="6"/>
            <w:vAlign w:val="center"/>
          </w:tcPr>
          <w:p>
            <w:pPr>
              <w:pStyle w:val="64"/>
              <w:jc w:val="left"/>
              <w:rPr>
                <w:rFonts w:hAnsi="宋体"/>
                <w:highlight w:val="none"/>
              </w:rPr>
            </w:pPr>
            <w:r>
              <w:rPr>
                <w:rFonts w:hint="eastAsia" w:hAnsi="宋体"/>
                <w:highlight w:val="none"/>
              </w:rPr>
              <w:t>建设用地</w:t>
            </w:r>
            <w:r>
              <w:rPr>
                <w:rFonts w:hint="eastAsia" w:ascii="MS Mincho" w:hAnsi="MS Mincho" w:eastAsia="MS Mincho" w:cs="MS Mincho"/>
                <w:highlight w:val="none"/>
              </w:rPr>
              <w:t>☑</w:t>
            </w:r>
            <w:r>
              <w:rPr>
                <w:rFonts w:hint="eastAsia" w:hAnsi="宋体"/>
                <w:highlight w:val="none"/>
              </w:rPr>
              <w:t>；农用地□；未利用地□</w:t>
            </w:r>
          </w:p>
        </w:tc>
        <w:tc>
          <w:tcPr>
            <w:tcW w:w="1061" w:type="dxa"/>
            <w:vAlign w:val="center"/>
          </w:tcPr>
          <w:p>
            <w:pPr>
              <w:pStyle w:val="64"/>
              <w:rPr>
                <w:rFonts w:hAnsi="宋体"/>
                <w:highlight w:val="none"/>
              </w:rPr>
            </w:pPr>
            <w:r>
              <w:rPr>
                <w:rFonts w:hint="eastAsia" w:hAnsi="宋体"/>
                <w:highlight w:val="none"/>
              </w:rPr>
              <w:t>土地利用类型图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占地规模</w:t>
            </w:r>
          </w:p>
        </w:tc>
        <w:tc>
          <w:tcPr>
            <w:tcW w:w="5976" w:type="dxa"/>
            <w:gridSpan w:val="6"/>
            <w:vAlign w:val="center"/>
          </w:tcPr>
          <w:p>
            <w:pPr>
              <w:pStyle w:val="64"/>
              <w:jc w:val="left"/>
              <w:rPr>
                <w:rFonts w:hAnsi="宋体"/>
                <w:highlight w:val="none"/>
              </w:rPr>
            </w:pPr>
            <w:r>
              <w:rPr>
                <w:rFonts w:hint="eastAsia" w:hAnsi="宋体"/>
                <w:highlight w:val="none"/>
              </w:rPr>
              <w:t>选矿厂（1.31）hm</w:t>
            </w:r>
            <w:r>
              <w:rPr>
                <w:rFonts w:hint="eastAsia" w:hAnsi="宋体"/>
                <w:highlight w:val="none"/>
                <w:vertAlign w:val="superscript"/>
              </w:rPr>
              <w:t xml:space="preserve">2 </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敏感目标信息</w:t>
            </w:r>
          </w:p>
        </w:tc>
        <w:tc>
          <w:tcPr>
            <w:tcW w:w="5976" w:type="dxa"/>
            <w:gridSpan w:val="6"/>
            <w:vAlign w:val="center"/>
          </w:tcPr>
          <w:p>
            <w:pPr>
              <w:pStyle w:val="64"/>
              <w:jc w:val="left"/>
              <w:rPr>
                <w:rFonts w:hAnsi="宋体"/>
                <w:highlight w:val="none"/>
              </w:rPr>
            </w:pPr>
            <w:r>
              <w:rPr>
                <w:rFonts w:hint="eastAsia" w:hAnsi="宋体"/>
                <w:highlight w:val="none"/>
              </w:rPr>
              <w:t>敏感目标（耕地）、方位（东、西）、距离（50m）</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影响途径</w:t>
            </w:r>
          </w:p>
        </w:tc>
        <w:tc>
          <w:tcPr>
            <w:tcW w:w="5976" w:type="dxa"/>
            <w:gridSpan w:val="6"/>
            <w:vAlign w:val="center"/>
          </w:tcPr>
          <w:p>
            <w:pPr>
              <w:pStyle w:val="64"/>
              <w:jc w:val="left"/>
              <w:rPr>
                <w:rFonts w:hAnsi="宋体"/>
                <w:highlight w:val="none"/>
              </w:rPr>
            </w:pPr>
            <w:r>
              <w:rPr>
                <w:rFonts w:hint="eastAsia" w:hAnsi="宋体"/>
                <w:highlight w:val="none"/>
              </w:rPr>
              <w:t>大气沉降</w:t>
            </w:r>
            <w:r>
              <w:rPr>
                <w:rFonts w:hint="eastAsia" w:ascii="MS Mincho" w:hAnsi="MS Mincho" w:eastAsia="MS Mincho" w:cs="MS Mincho"/>
                <w:highlight w:val="none"/>
              </w:rPr>
              <w:t>☑</w:t>
            </w:r>
            <w:r>
              <w:rPr>
                <w:rFonts w:hint="eastAsia" w:hAnsi="宋体"/>
                <w:highlight w:val="none"/>
              </w:rPr>
              <w:t>；地面漫流□；垂直入渗□；地下水位□；其他□</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全部污染物</w:t>
            </w:r>
          </w:p>
        </w:tc>
        <w:tc>
          <w:tcPr>
            <w:tcW w:w="5976" w:type="dxa"/>
            <w:gridSpan w:val="6"/>
            <w:vAlign w:val="center"/>
          </w:tcPr>
          <w:p>
            <w:pPr>
              <w:pStyle w:val="64"/>
              <w:rPr>
                <w:rFonts w:hAnsi="宋体"/>
                <w:highlight w:val="none"/>
              </w:rPr>
            </w:pPr>
            <w:r>
              <w:rPr>
                <w:rFonts w:hint="eastAsia" w:hAnsi="宋体"/>
                <w:highlight w:val="none"/>
              </w:rPr>
              <w:t>/</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特征因子</w:t>
            </w:r>
          </w:p>
        </w:tc>
        <w:tc>
          <w:tcPr>
            <w:tcW w:w="5976" w:type="dxa"/>
            <w:gridSpan w:val="6"/>
            <w:vAlign w:val="center"/>
          </w:tcPr>
          <w:p>
            <w:pPr>
              <w:pStyle w:val="64"/>
              <w:rPr>
                <w:rFonts w:hAnsi="宋体"/>
                <w:highlight w:val="none"/>
              </w:rPr>
            </w:pPr>
            <w:r>
              <w:rPr>
                <w:rFonts w:hint="eastAsia" w:hAnsi="宋体"/>
                <w:highlight w:val="none"/>
              </w:rPr>
              <w:t>/</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所属土壤环境影响评价项目类别</w:t>
            </w:r>
          </w:p>
        </w:tc>
        <w:tc>
          <w:tcPr>
            <w:tcW w:w="5976" w:type="dxa"/>
            <w:gridSpan w:val="6"/>
            <w:vAlign w:val="center"/>
          </w:tcPr>
          <w:p>
            <w:pPr>
              <w:pStyle w:val="64"/>
              <w:jc w:val="left"/>
              <w:rPr>
                <w:rFonts w:hAnsi="宋体"/>
                <w:highlight w:val="none"/>
              </w:rPr>
            </w:pPr>
            <w:r>
              <w:rPr>
                <w:rFonts w:hint="eastAsia" w:hAnsi="宋体"/>
                <w:highlight w:val="none"/>
              </w:rPr>
              <w:t>Ⅰ类□；Ⅱ类□；Ⅲ类</w:t>
            </w:r>
            <w:r>
              <w:rPr>
                <w:rFonts w:hint="eastAsia" w:ascii="MS Mincho" w:hAnsi="MS Mincho" w:eastAsia="MS Mincho" w:cs="MS Mincho"/>
                <w:highlight w:val="none"/>
              </w:rPr>
              <w:t>☑</w:t>
            </w:r>
            <w:r>
              <w:rPr>
                <w:rFonts w:hint="eastAsia" w:hAnsi="宋体"/>
                <w:highlight w:val="none"/>
              </w:rPr>
              <w:t>；Ⅳ类□</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敏感程度</w:t>
            </w:r>
          </w:p>
        </w:tc>
        <w:tc>
          <w:tcPr>
            <w:tcW w:w="5976" w:type="dxa"/>
            <w:gridSpan w:val="6"/>
            <w:vAlign w:val="center"/>
          </w:tcPr>
          <w:p>
            <w:pPr>
              <w:pStyle w:val="64"/>
              <w:jc w:val="left"/>
              <w:rPr>
                <w:rFonts w:hAnsi="宋体"/>
                <w:highlight w:val="none"/>
              </w:rPr>
            </w:pPr>
            <w:r>
              <w:rPr>
                <w:rFonts w:hint="eastAsia" w:hAnsi="宋体"/>
                <w:highlight w:val="none"/>
              </w:rPr>
              <w:t>敏感</w:t>
            </w:r>
            <w:r>
              <w:rPr>
                <w:rFonts w:hint="eastAsia" w:ascii="MS Mincho" w:hAnsi="MS Mincho" w:eastAsia="MS Mincho" w:cs="MS Mincho"/>
                <w:highlight w:val="none"/>
              </w:rPr>
              <w:t>☑</w:t>
            </w:r>
            <w:r>
              <w:rPr>
                <w:rFonts w:hint="eastAsia" w:hAnsi="宋体"/>
                <w:highlight w:val="none"/>
              </w:rPr>
              <w:t>；较敏感□；不敏感□</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141" w:type="dxa"/>
            <w:gridSpan w:val="2"/>
            <w:vAlign w:val="center"/>
          </w:tcPr>
          <w:p>
            <w:pPr>
              <w:pStyle w:val="64"/>
              <w:rPr>
                <w:rFonts w:hAnsi="宋体"/>
                <w:highlight w:val="none"/>
              </w:rPr>
            </w:pPr>
            <w:r>
              <w:rPr>
                <w:rFonts w:hint="eastAsia" w:hAnsi="宋体"/>
                <w:highlight w:val="none"/>
              </w:rPr>
              <w:t>评价工作等级</w:t>
            </w:r>
          </w:p>
        </w:tc>
        <w:tc>
          <w:tcPr>
            <w:tcW w:w="5976" w:type="dxa"/>
            <w:gridSpan w:val="6"/>
            <w:vAlign w:val="center"/>
          </w:tcPr>
          <w:p>
            <w:pPr>
              <w:pStyle w:val="64"/>
              <w:jc w:val="left"/>
              <w:rPr>
                <w:rFonts w:hAnsi="宋体"/>
                <w:highlight w:val="none"/>
              </w:rPr>
            </w:pPr>
            <w:r>
              <w:rPr>
                <w:rFonts w:hint="eastAsia" w:hAnsi="宋体"/>
                <w:highlight w:val="none"/>
              </w:rPr>
              <w:t>一级□；二级□；三级</w:t>
            </w:r>
            <w:r>
              <w:rPr>
                <w:rFonts w:hint="eastAsia" w:ascii="MS Mincho" w:hAnsi="MS Mincho" w:eastAsia="MS Mincho" w:cs="MS Mincho"/>
                <w:highlight w:val="none"/>
              </w:rPr>
              <w:t>☑</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restart"/>
            <w:vAlign w:val="center"/>
          </w:tcPr>
          <w:p>
            <w:pPr>
              <w:pStyle w:val="64"/>
              <w:rPr>
                <w:rFonts w:hAnsi="宋体"/>
                <w:highlight w:val="none"/>
              </w:rPr>
            </w:pPr>
            <w:r>
              <w:rPr>
                <w:rFonts w:hint="eastAsia" w:hAnsi="宋体"/>
                <w:highlight w:val="none"/>
              </w:rPr>
              <w:t>现状调查内容</w:t>
            </w:r>
          </w:p>
        </w:tc>
        <w:tc>
          <w:tcPr>
            <w:tcW w:w="1668" w:type="dxa"/>
            <w:vAlign w:val="center"/>
          </w:tcPr>
          <w:p>
            <w:pPr>
              <w:pStyle w:val="64"/>
              <w:rPr>
                <w:rFonts w:hAnsi="宋体"/>
                <w:highlight w:val="none"/>
              </w:rPr>
            </w:pPr>
            <w:r>
              <w:rPr>
                <w:rFonts w:hint="eastAsia" w:hAnsi="宋体"/>
                <w:highlight w:val="none"/>
              </w:rPr>
              <w:t>资料收集</w:t>
            </w:r>
          </w:p>
        </w:tc>
        <w:tc>
          <w:tcPr>
            <w:tcW w:w="5976" w:type="dxa"/>
            <w:gridSpan w:val="6"/>
            <w:vAlign w:val="center"/>
          </w:tcPr>
          <w:p>
            <w:pPr>
              <w:pStyle w:val="64"/>
              <w:jc w:val="left"/>
              <w:rPr>
                <w:rFonts w:hAnsi="宋体"/>
                <w:highlight w:val="none"/>
              </w:rPr>
            </w:pPr>
            <w:r>
              <w:rPr>
                <w:rFonts w:hint="eastAsia" w:hAnsi="宋体"/>
                <w:highlight w:val="none"/>
              </w:rPr>
              <w:t>a)</w:t>
            </w:r>
            <w:r>
              <w:rPr>
                <w:rFonts w:hint="eastAsia" w:ascii="MS Mincho" w:hAnsi="MS Mincho" w:eastAsia="MS Mincho" w:cs="MS Mincho"/>
                <w:highlight w:val="none"/>
              </w:rPr>
              <w:t>☑</w:t>
            </w:r>
            <w:r>
              <w:rPr>
                <w:rFonts w:hint="eastAsia" w:hAnsi="宋体"/>
                <w:highlight w:val="none"/>
              </w:rPr>
              <w:t>；b)</w:t>
            </w:r>
            <w:r>
              <w:rPr>
                <w:rFonts w:hint="eastAsia" w:ascii="MS Mincho" w:hAnsi="MS Mincho" w:eastAsia="MS Mincho" w:cs="MS Mincho"/>
                <w:highlight w:val="none"/>
              </w:rPr>
              <w:t>☑</w:t>
            </w:r>
            <w:r>
              <w:rPr>
                <w:rFonts w:hint="eastAsia" w:hAnsi="宋体"/>
                <w:highlight w:val="none"/>
              </w:rPr>
              <w:t>；c)□；d）□</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理化特性</w:t>
            </w:r>
          </w:p>
        </w:tc>
        <w:tc>
          <w:tcPr>
            <w:tcW w:w="5976" w:type="dxa"/>
            <w:gridSpan w:val="6"/>
            <w:vAlign w:val="center"/>
          </w:tcPr>
          <w:p>
            <w:pPr>
              <w:pStyle w:val="64"/>
              <w:rPr>
                <w:rFonts w:hAnsi="宋体"/>
                <w:highlight w:val="none"/>
              </w:rPr>
            </w:pPr>
          </w:p>
        </w:tc>
        <w:tc>
          <w:tcPr>
            <w:tcW w:w="1061" w:type="dxa"/>
            <w:vAlign w:val="center"/>
          </w:tcPr>
          <w:p>
            <w:pPr>
              <w:pStyle w:val="64"/>
              <w:rPr>
                <w:rFonts w:hAnsi="宋体"/>
                <w:highlight w:val="none"/>
              </w:rPr>
            </w:pPr>
            <w:r>
              <w:rPr>
                <w:rFonts w:hint="eastAsia" w:hAnsi="宋体"/>
                <w:highlight w:val="none"/>
              </w:rPr>
              <w:t>同附录C</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restart"/>
            <w:vAlign w:val="center"/>
          </w:tcPr>
          <w:p>
            <w:pPr>
              <w:pStyle w:val="64"/>
              <w:rPr>
                <w:rFonts w:hAnsi="宋体"/>
                <w:highlight w:val="none"/>
              </w:rPr>
            </w:pPr>
            <w:r>
              <w:rPr>
                <w:rFonts w:hint="eastAsia" w:hAnsi="宋体"/>
                <w:highlight w:val="none"/>
              </w:rPr>
              <w:t>现状监测点位</w:t>
            </w:r>
          </w:p>
        </w:tc>
        <w:tc>
          <w:tcPr>
            <w:tcW w:w="2071" w:type="dxa"/>
            <w:vAlign w:val="center"/>
          </w:tcPr>
          <w:p>
            <w:pPr>
              <w:pStyle w:val="64"/>
              <w:rPr>
                <w:rFonts w:hAnsi="宋体"/>
                <w:bCs/>
                <w:highlight w:val="none"/>
              </w:rPr>
            </w:pPr>
          </w:p>
        </w:tc>
        <w:tc>
          <w:tcPr>
            <w:tcW w:w="1280" w:type="dxa"/>
            <w:gridSpan w:val="2"/>
            <w:vAlign w:val="center"/>
          </w:tcPr>
          <w:p>
            <w:pPr>
              <w:pStyle w:val="64"/>
              <w:rPr>
                <w:rFonts w:hAnsi="宋体"/>
                <w:bCs/>
                <w:highlight w:val="none"/>
              </w:rPr>
            </w:pPr>
            <w:r>
              <w:rPr>
                <w:rFonts w:hint="eastAsia" w:hAnsi="宋体"/>
                <w:bCs/>
                <w:highlight w:val="none"/>
              </w:rPr>
              <w:t>占地范围内</w:t>
            </w:r>
          </w:p>
        </w:tc>
        <w:tc>
          <w:tcPr>
            <w:tcW w:w="1274" w:type="dxa"/>
            <w:gridSpan w:val="2"/>
            <w:vAlign w:val="center"/>
          </w:tcPr>
          <w:p>
            <w:pPr>
              <w:pStyle w:val="64"/>
              <w:rPr>
                <w:rFonts w:hAnsi="宋体"/>
                <w:bCs/>
                <w:highlight w:val="none"/>
              </w:rPr>
            </w:pPr>
            <w:r>
              <w:rPr>
                <w:rFonts w:hint="eastAsia" w:hAnsi="宋体"/>
                <w:bCs/>
                <w:highlight w:val="none"/>
              </w:rPr>
              <w:t>占地范围外</w:t>
            </w:r>
          </w:p>
        </w:tc>
        <w:tc>
          <w:tcPr>
            <w:tcW w:w="1351" w:type="dxa"/>
            <w:vAlign w:val="center"/>
          </w:tcPr>
          <w:p>
            <w:pPr>
              <w:pStyle w:val="64"/>
              <w:rPr>
                <w:rFonts w:hAnsi="宋体"/>
                <w:bCs/>
                <w:highlight w:val="none"/>
              </w:rPr>
            </w:pPr>
            <w:r>
              <w:rPr>
                <w:rFonts w:hint="eastAsia" w:hAnsi="宋体"/>
                <w:bCs/>
                <w:highlight w:val="none"/>
              </w:rPr>
              <w:t>深度</w:t>
            </w:r>
          </w:p>
        </w:tc>
        <w:tc>
          <w:tcPr>
            <w:tcW w:w="1061" w:type="dxa"/>
            <w:vMerge w:val="restart"/>
            <w:vAlign w:val="center"/>
          </w:tcPr>
          <w:p>
            <w:pPr>
              <w:pStyle w:val="64"/>
              <w:rPr>
                <w:rFonts w:hAnsi="宋体"/>
                <w:highlight w:val="none"/>
              </w:rPr>
            </w:pPr>
            <w:r>
              <w:rPr>
                <w:rFonts w:hint="eastAsia" w:hAnsi="宋体"/>
                <w:highlight w:val="none"/>
              </w:rPr>
              <w:t>点位布置图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continue"/>
            <w:vAlign w:val="center"/>
          </w:tcPr>
          <w:p>
            <w:pPr>
              <w:pStyle w:val="64"/>
              <w:rPr>
                <w:rFonts w:hAnsi="宋体"/>
                <w:highlight w:val="none"/>
              </w:rPr>
            </w:pPr>
          </w:p>
        </w:tc>
        <w:tc>
          <w:tcPr>
            <w:tcW w:w="2071" w:type="dxa"/>
            <w:vAlign w:val="center"/>
          </w:tcPr>
          <w:p>
            <w:pPr>
              <w:pStyle w:val="64"/>
              <w:rPr>
                <w:rFonts w:hAnsi="宋体"/>
                <w:bCs/>
                <w:highlight w:val="none"/>
              </w:rPr>
            </w:pPr>
            <w:r>
              <w:rPr>
                <w:rFonts w:hint="eastAsia" w:hAnsi="宋体"/>
                <w:bCs/>
                <w:highlight w:val="none"/>
              </w:rPr>
              <w:t>表层样点数</w:t>
            </w:r>
          </w:p>
        </w:tc>
        <w:tc>
          <w:tcPr>
            <w:tcW w:w="1280" w:type="dxa"/>
            <w:gridSpan w:val="2"/>
            <w:vAlign w:val="center"/>
          </w:tcPr>
          <w:p>
            <w:pPr>
              <w:pStyle w:val="64"/>
              <w:rPr>
                <w:rFonts w:hAnsi="宋体"/>
                <w:bCs/>
                <w:highlight w:val="none"/>
              </w:rPr>
            </w:pPr>
            <w:r>
              <w:rPr>
                <w:rFonts w:hint="eastAsia" w:hAnsi="宋体"/>
                <w:bCs/>
                <w:highlight w:val="none"/>
              </w:rPr>
              <w:t>3</w:t>
            </w:r>
          </w:p>
        </w:tc>
        <w:tc>
          <w:tcPr>
            <w:tcW w:w="1274" w:type="dxa"/>
            <w:gridSpan w:val="2"/>
            <w:vAlign w:val="center"/>
          </w:tcPr>
          <w:p>
            <w:pPr>
              <w:pStyle w:val="64"/>
              <w:rPr>
                <w:rFonts w:hAnsi="宋体"/>
                <w:bCs/>
                <w:highlight w:val="none"/>
              </w:rPr>
            </w:pPr>
            <w:r>
              <w:rPr>
                <w:rFonts w:hint="eastAsia" w:hAnsi="宋体"/>
                <w:bCs/>
                <w:highlight w:val="none"/>
              </w:rPr>
              <w:t>/</w:t>
            </w:r>
          </w:p>
        </w:tc>
        <w:tc>
          <w:tcPr>
            <w:tcW w:w="1351" w:type="dxa"/>
            <w:vAlign w:val="center"/>
          </w:tcPr>
          <w:p>
            <w:pPr>
              <w:pStyle w:val="64"/>
              <w:rPr>
                <w:rFonts w:hAnsi="宋体"/>
                <w:bCs/>
                <w:highlight w:val="none"/>
              </w:rPr>
            </w:pPr>
            <w:r>
              <w:rPr>
                <w:rFonts w:hint="eastAsia" w:hAnsi="宋体"/>
                <w:bCs/>
                <w:highlight w:val="none"/>
              </w:rPr>
              <w:t>0~0.2</w:t>
            </w:r>
          </w:p>
        </w:tc>
        <w:tc>
          <w:tcPr>
            <w:tcW w:w="1061"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Merge w:val="continue"/>
            <w:vAlign w:val="center"/>
          </w:tcPr>
          <w:p>
            <w:pPr>
              <w:pStyle w:val="64"/>
              <w:rPr>
                <w:rFonts w:hAnsi="宋体"/>
                <w:highlight w:val="none"/>
              </w:rPr>
            </w:pPr>
          </w:p>
        </w:tc>
        <w:tc>
          <w:tcPr>
            <w:tcW w:w="2071" w:type="dxa"/>
            <w:vAlign w:val="center"/>
          </w:tcPr>
          <w:p>
            <w:pPr>
              <w:pStyle w:val="64"/>
              <w:rPr>
                <w:rFonts w:hAnsi="宋体"/>
                <w:bCs/>
                <w:highlight w:val="none"/>
              </w:rPr>
            </w:pPr>
            <w:r>
              <w:rPr>
                <w:rFonts w:hint="eastAsia" w:hAnsi="宋体"/>
                <w:bCs/>
                <w:highlight w:val="none"/>
              </w:rPr>
              <w:t>柱状样点数</w:t>
            </w:r>
          </w:p>
        </w:tc>
        <w:tc>
          <w:tcPr>
            <w:tcW w:w="1280" w:type="dxa"/>
            <w:gridSpan w:val="2"/>
            <w:vAlign w:val="center"/>
          </w:tcPr>
          <w:p>
            <w:pPr>
              <w:pStyle w:val="64"/>
              <w:rPr>
                <w:rFonts w:hAnsi="宋体"/>
                <w:bCs/>
                <w:highlight w:val="none"/>
              </w:rPr>
            </w:pPr>
          </w:p>
        </w:tc>
        <w:tc>
          <w:tcPr>
            <w:tcW w:w="1274" w:type="dxa"/>
            <w:gridSpan w:val="2"/>
            <w:vAlign w:val="center"/>
          </w:tcPr>
          <w:p>
            <w:pPr>
              <w:pStyle w:val="64"/>
              <w:rPr>
                <w:rFonts w:hAnsi="宋体"/>
                <w:bCs/>
                <w:highlight w:val="none"/>
              </w:rPr>
            </w:pPr>
          </w:p>
        </w:tc>
        <w:tc>
          <w:tcPr>
            <w:tcW w:w="1351" w:type="dxa"/>
            <w:vAlign w:val="center"/>
          </w:tcPr>
          <w:p>
            <w:pPr>
              <w:pStyle w:val="64"/>
              <w:rPr>
                <w:rFonts w:hAnsi="宋体"/>
                <w:bCs/>
                <w:highlight w:val="none"/>
              </w:rPr>
            </w:pPr>
          </w:p>
        </w:tc>
        <w:tc>
          <w:tcPr>
            <w:tcW w:w="1061"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现状监测因子</w:t>
            </w:r>
          </w:p>
        </w:tc>
        <w:tc>
          <w:tcPr>
            <w:tcW w:w="5976" w:type="dxa"/>
            <w:gridSpan w:val="6"/>
            <w:vAlign w:val="center"/>
          </w:tcPr>
          <w:p>
            <w:pPr>
              <w:pStyle w:val="64"/>
              <w:jc w:val="both"/>
              <w:rPr>
                <w:rFonts w:hAnsi="宋体"/>
                <w:highlight w:val="none"/>
              </w:rPr>
            </w:pPr>
            <w:r>
              <w:rPr>
                <w:rFonts w:hint="eastAsia" w:hAnsi="宋体"/>
                <w:highlight w:val="none"/>
              </w:rPr>
              <w:t>砷、镉、铬（六价）、铜、铅、汞、镍、四氯化碳、氯仿、氯甲烷、</w:t>
            </w:r>
            <w:r>
              <w:rPr>
                <w:rFonts w:hAnsi="宋体"/>
                <w:highlight w:val="none"/>
              </w:rPr>
              <w:t>1,1-</w:t>
            </w:r>
            <w:r>
              <w:rPr>
                <w:rFonts w:hint="eastAsia" w:hAnsi="宋体"/>
                <w:highlight w:val="none"/>
              </w:rPr>
              <w:t>二氯乙烷、</w:t>
            </w:r>
            <w:r>
              <w:rPr>
                <w:rFonts w:hAnsi="宋体"/>
                <w:highlight w:val="none"/>
              </w:rPr>
              <w:t>1,2-</w:t>
            </w:r>
            <w:r>
              <w:rPr>
                <w:rFonts w:hint="eastAsia" w:hAnsi="宋体"/>
                <w:highlight w:val="none"/>
              </w:rPr>
              <w:t>二氯乙烷、</w:t>
            </w:r>
            <w:r>
              <w:rPr>
                <w:rFonts w:hAnsi="宋体"/>
                <w:highlight w:val="none"/>
              </w:rPr>
              <w:t>1,1-</w:t>
            </w:r>
            <w:r>
              <w:rPr>
                <w:rFonts w:hint="eastAsia" w:hAnsi="宋体"/>
                <w:highlight w:val="none"/>
              </w:rPr>
              <w:t>二氯乙烯、顺</w:t>
            </w:r>
            <w:r>
              <w:rPr>
                <w:rFonts w:hAnsi="宋体"/>
                <w:highlight w:val="none"/>
              </w:rPr>
              <w:t>-1,2-</w:t>
            </w:r>
            <w:r>
              <w:rPr>
                <w:rFonts w:hint="eastAsia" w:hAnsi="宋体"/>
                <w:highlight w:val="none"/>
              </w:rPr>
              <w:t>二氯乙烯、反</w:t>
            </w:r>
            <w:r>
              <w:rPr>
                <w:rFonts w:hAnsi="宋体"/>
                <w:highlight w:val="none"/>
              </w:rPr>
              <w:t>-1,2-</w:t>
            </w:r>
            <w:r>
              <w:rPr>
                <w:rFonts w:hint="eastAsia" w:hAnsi="宋体"/>
                <w:highlight w:val="none"/>
              </w:rPr>
              <w:t>二氯乙烯、二氯甲烷、</w:t>
            </w:r>
            <w:r>
              <w:rPr>
                <w:rFonts w:hAnsi="宋体"/>
                <w:highlight w:val="none"/>
              </w:rPr>
              <w:t>1,2-</w:t>
            </w:r>
            <w:r>
              <w:rPr>
                <w:rFonts w:hint="eastAsia" w:hAnsi="宋体"/>
                <w:highlight w:val="none"/>
              </w:rPr>
              <w:t>二氯丙烷、</w:t>
            </w:r>
            <w:r>
              <w:rPr>
                <w:rFonts w:hAnsi="宋体"/>
                <w:highlight w:val="none"/>
              </w:rPr>
              <w:t>l,l,l,2-</w:t>
            </w:r>
            <w:r>
              <w:rPr>
                <w:rFonts w:hint="eastAsia" w:hAnsi="宋体"/>
                <w:highlight w:val="none"/>
              </w:rPr>
              <w:t>四氯乙烷、</w:t>
            </w:r>
            <w:r>
              <w:rPr>
                <w:rFonts w:hAnsi="宋体"/>
                <w:highlight w:val="none"/>
              </w:rPr>
              <w:t>l,1,2,2-</w:t>
            </w:r>
            <w:r>
              <w:rPr>
                <w:rFonts w:hint="eastAsia" w:hAnsi="宋体"/>
                <w:highlight w:val="none"/>
              </w:rPr>
              <w:t>四氯乙烷、四氯乙烯、</w:t>
            </w:r>
            <w:r>
              <w:rPr>
                <w:rFonts w:hAnsi="宋体"/>
                <w:highlight w:val="none"/>
              </w:rPr>
              <w:t>1,1,1-</w:t>
            </w:r>
            <w:r>
              <w:rPr>
                <w:rFonts w:hint="eastAsia" w:hAnsi="宋体"/>
                <w:highlight w:val="none"/>
              </w:rPr>
              <w:t>三氯乙烷、</w:t>
            </w:r>
            <w:r>
              <w:rPr>
                <w:rFonts w:hAnsi="宋体"/>
                <w:highlight w:val="none"/>
              </w:rPr>
              <w:t>1,1,2-</w:t>
            </w:r>
            <w:r>
              <w:rPr>
                <w:rFonts w:hint="eastAsia" w:hAnsi="宋体"/>
                <w:highlight w:val="none"/>
              </w:rPr>
              <w:t>三氯乙烷、三氯乙烯、</w:t>
            </w:r>
            <w:r>
              <w:rPr>
                <w:rFonts w:hAnsi="宋体"/>
                <w:highlight w:val="none"/>
              </w:rPr>
              <w:t>1,2,3-</w:t>
            </w:r>
            <w:r>
              <w:rPr>
                <w:rFonts w:hint="eastAsia" w:hAnsi="宋体"/>
                <w:highlight w:val="none"/>
              </w:rPr>
              <w:t>三氯丙烷、氯乙烯、苯、氯苯、</w:t>
            </w:r>
            <w:r>
              <w:rPr>
                <w:rFonts w:hAnsi="宋体"/>
                <w:highlight w:val="none"/>
              </w:rPr>
              <w:t>1,2-</w:t>
            </w:r>
            <w:r>
              <w:rPr>
                <w:rFonts w:hint="eastAsia" w:hAnsi="宋体"/>
                <w:highlight w:val="none"/>
              </w:rPr>
              <w:t>二氯苯、</w:t>
            </w:r>
            <w:r>
              <w:rPr>
                <w:rFonts w:hAnsi="宋体"/>
                <w:highlight w:val="none"/>
              </w:rPr>
              <w:t>1,4-</w:t>
            </w:r>
            <w:r>
              <w:rPr>
                <w:rFonts w:hint="eastAsia" w:hAnsi="宋体"/>
                <w:highlight w:val="none"/>
              </w:rPr>
              <w:t>二氯苯、乙苯、苯乙烯、甲苯、间二甲苯＋对二甲苯、邻二甲苯、硝基苯、苯胺、</w:t>
            </w:r>
            <w:r>
              <w:rPr>
                <w:rFonts w:hAnsi="宋体"/>
                <w:highlight w:val="none"/>
              </w:rPr>
              <w:t>2-</w:t>
            </w:r>
            <w:r>
              <w:rPr>
                <w:rFonts w:hint="eastAsia" w:hAnsi="宋体"/>
                <w:highlight w:val="none"/>
              </w:rPr>
              <w:t>氯酚、苯并</w:t>
            </w:r>
            <w:r>
              <w:rPr>
                <w:rFonts w:hAnsi="宋体"/>
                <w:highlight w:val="none"/>
              </w:rPr>
              <w:t>[a]</w:t>
            </w:r>
            <w:r>
              <w:rPr>
                <w:rFonts w:hint="eastAsia" w:hAnsi="宋体"/>
                <w:highlight w:val="none"/>
              </w:rPr>
              <w:t>蒽、苯并</w:t>
            </w:r>
            <w:r>
              <w:rPr>
                <w:rFonts w:hAnsi="宋体"/>
                <w:highlight w:val="none"/>
              </w:rPr>
              <w:t>[a]</w:t>
            </w:r>
            <w:r>
              <w:rPr>
                <w:rFonts w:hint="eastAsia" w:hAnsi="宋体"/>
                <w:highlight w:val="none"/>
              </w:rPr>
              <w:t>芘、苯并</w:t>
            </w:r>
            <w:r>
              <w:rPr>
                <w:rFonts w:hAnsi="宋体"/>
                <w:highlight w:val="none"/>
              </w:rPr>
              <w:t>[b]</w:t>
            </w:r>
            <w:r>
              <w:rPr>
                <w:rFonts w:hint="eastAsia" w:hAnsi="宋体"/>
                <w:highlight w:val="none"/>
              </w:rPr>
              <w:t>荧蒽、苯并</w:t>
            </w:r>
            <w:r>
              <w:rPr>
                <w:rFonts w:hAnsi="宋体"/>
                <w:highlight w:val="none"/>
              </w:rPr>
              <w:t>[k]</w:t>
            </w:r>
            <w:r>
              <w:rPr>
                <w:rFonts w:hint="eastAsia" w:hAnsi="宋体"/>
                <w:highlight w:val="none"/>
              </w:rPr>
              <w:t>荧蒽、䓛、二苯并[a,h］蒽、茚并［l,2,3-cd］芘、萘45项基本项；</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现状评价</w:t>
            </w:r>
          </w:p>
        </w:tc>
        <w:tc>
          <w:tcPr>
            <w:tcW w:w="1668" w:type="dxa"/>
            <w:vAlign w:val="center"/>
          </w:tcPr>
          <w:p>
            <w:pPr>
              <w:pStyle w:val="64"/>
              <w:rPr>
                <w:rFonts w:hAnsi="宋体"/>
                <w:highlight w:val="none"/>
              </w:rPr>
            </w:pPr>
            <w:r>
              <w:rPr>
                <w:rFonts w:hint="eastAsia" w:hAnsi="宋体"/>
                <w:highlight w:val="none"/>
              </w:rPr>
              <w:t>评价因子</w:t>
            </w:r>
          </w:p>
        </w:tc>
        <w:tc>
          <w:tcPr>
            <w:tcW w:w="5976" w:type="dxa"/>
            <w:gridSpan w:val="6"/>
            <w:vAlign w:val="center"/>
          </w:tcPr>
          <w:p>
            <w:pPr>
              <w:pStyle w:val="64"/>
              <w:jc w:val="both"/>
              <w:rPr>
                <w:rFonts w:hAnsi="宋体"/>
                <w:highlight w:val="none"/>
              </w:rPr>
            </w:pPr>
            <w:r>
              <w:rPr>
                <w:rFonts w:hint="eastAsia" w:hAnsi="宋体"/>
                <w:highlight w:val="none"/>
              </w:rPr>
              <w:t>砷、镉、铬（六价）、铜、铅、汞、镍、四氯化碳、氯仿、氯甲烷、</w:t>
            </w:r>
            <w:r>
              <w:rPr>
                <w:rFonts w:hAnsi="宋体"/>
                <w:highlight w:val="none"/>
              </w:rPr>
              <w:t>1,1-</w:t>
            </w:r>
            <w:r>
              <w:rPr>
                <w:rFonts w:hint="eastAsia" w:hAnsi="宋体"/>
                <w:highlight w:val="none"/>
              </w:rPr>
              <w:t>二氯乙烷、</w:t>
            </w:r>
            <w:r>
              <w:rPr>
                <w:rFonts w:hAnsi="宋体"/>
                <w:highlight w:val="none"/>
              </w:rPr>
              <w:t>1,2-</w:t>
            </w:r>
            <w:r>
              <w:rPr>
                <w:rFonts w:hint="eastAsia" w:hAnsi="宋体"/>
                <w:highlight w:val="none"/>
              </w:rPr>
              <w:t>二氯乙烷、</w:t>
            </w:r>
            <w:r>
              <w:rPr>
                <w:rFonts w:hAnsi="宋体"/>
                <w:highlight w:val="none"/>
              </w:rPr>
              <w:t>1,1-</w:t>
            </w:r>
            <w:r>
              <w:rPr>
                <w:rFonts w:hint="eastAsia" w:hAnsi="宋体"/>
                <w:highlight w:val="none"/>
              </w:rPr>
              <w:t>二氯乙烯、顺</w:t>
            </w:r>
            <w:r>
              <w:rPr>
                <w:rFonts w:hAnsi="宋体"/>
                <w:highlight w:val="none"/>
              </w:rPr>
              <w:t>-1,2-</w:t>
            </w:r>
            <w:r>
              <w:rPr>
                <w:rFonts w:hint="eastAsia" w:hAnsi="宋体"/>
                <w:highlight w:val="none"/>
              </w:rPr>
              <w:t>二氯乙烯、反</w:t>
            </w:r>
            <w:r>
              <w:rPr>
                <w:rFonts w:hAnsi="宋体"/>
                <w:highlight w:val="none"/>
              </w:rPr>
              <w:t>-1,2-</w:t>
            </w:r>
            <w:r>
              <w:rPr>
                <w:rFonts w:hint="eastAsia" w:hAnsi="宋体"/>
                <w:highlight w:val="none"/>
              </w:rPr>
              <w:t>二氯乙烯、二氯甲烷、</w:t>
            </w:r>
            <w:r>
              <w:rPr>
                <w:rFonts w:hAnsi="宋体"/>
                <w:highlight w:val="none"/>
              </w:rPr>
              <w:t>1,2-</w:t>
            </w:r>
            <w:r>
              <w:rPr>
                <w:rFonts w:hint="eastAsia" w:hAnsi="宋体"/>
                <w:highlight w:val="none"/>
              </w:rPr>
              <w:t>二氯丙烷、</w:t>
            </w:r>
            <w:r>
              <w:rPr>
                <w:rFonts w:hAnsi="宋体"/>
                <w:highlight w:val="none"/>
              </w:rPr>
              <w:t>l,l,l,2-</w:t>
            </w:r>
            <w:r>
              <w:rPr>
                <w:rFonts w:hint="eastAsia" w:hAnsi="宋体"/>
                <w:highlight w:val="none"/>
              </w:rPr>
              <w:t>四氯乙烷、</w:t>
            </w:r>
            <w:r>
              <w:rPr>
                <w:rFonts w:hAnsi="宋体"/>
                <w:highlight w:val="none"/>
              </w:rPr>
              <w:t>l,1,2,2-</w:t>
            </w:r>
            <w:r>
              <w:rPr>
                <w:rFonts w:hint="eastAsia" w:hAnsi="宋体"/>
                <w:highlight w:val="none"/>
              </w:rPr>
              <w:t>四氯乙烷、四氯乙烯、</w:t>
            </w:r>
            <w:r>
              <w:rPr>
                <w:rFonts w:hAnsi="宋体"/>
                <w:highlight w:val="none"/>
              </w:rPr>
              <w:t>1,1,1-</w:t>
            </w:r>
            <w:r>
              <w:rPr>
                <w:rFonts w:hint="eastAsia" w:hAnsi="宋体"/>
                <w:highlight w:val="none"/>
              </w:rPr>
              <w:t>三氯乙烷、</w:t>
            </w:r>
            <w:r>
              <w:rPr>
                <w:rFonts w:hAnsi="宋体"/>
                <w:highlight w:val="none"/>
              </w:rPr>
              <w:t>1,1,2-</w:t>
            </w:r>
            <w:r>
              <w:rPr>
                <w:rFonts w:hint="eastAsia" w:hAnsi="宋体"/>
                <w:highlight w:val="none"/>
              </w:rPr>
              <w:t>三氯乙烷、三氯乙烯、</w:t>
            </w:r>
            <w:r>
              <w:rPr>
                <w:rFonts w:hAnsi="宋体"/>
                <w:highlight w:val="none"/>
              </w:rPr>
              <w:t>1,2,3-</w:t>
            </w:r>
            <w:r>
              <w:rPr>
                <w:rFonts w:hint="eastAsia" w:hAnsi="宋体"/>
                <w:highlight w:val="none"/>
              </w:rPr>
              <w:t>三氯丙烷、氯乙烯、苯、氯苯、</w:t>
            </w:r>
            <w:r>
              <w:rPr>
                <w:rFonts w:hAnsi="宋体"/>
                <w:highlight w:val="none"/>
              </w:rPr>
              <w:t>1,2-</w:t>
            </w:r>
            <w:r>
              <w:rPr>
                <w:rFonts w:hint="eastAsia" w:hAnsi="宋体"/>
                <w:highlight w:val="none"/>
              </w:rPr>
              <w:t>二氯苯、</w:t>
            </w:r>
            <w:r>
              <w:rPr>
                <w:rFonts w:hAnsi="宋体"/>
                <w:highlight w:val="none"/>
              </w:rPr>
              <w:t>1,4-</w:t>
            </w:r>
            <w:r>
              <w:rPr>
                <w:rFonts w:hint="eastAsia" w:hAnsi="宋体"/>
                <w:highlight w:val="none"/>
              </w:rPr>
              <w:t>二氯苯、乙苯、苯乙烯、甲苯、间二甲苯＋对二甲苯、邻二甲苯、硝基苯、苯胺、</w:t>
            </w:r>
            <w:r>
              <w:rPr>
                <w:rFonts w:hAnsi="宋体"/>
                <w:highlight w:val="none"/>
              </w:rPr>
              <w:t>2-</w:t>
            </w:r>
            <w:r>
              <w:rPr>
                <w:rFonts w:hint="eastAsia" w:hAnsi="宋体"/>
                <w:highlight w:val="none"/>
              </w:rPr>
              <w:t>氯酚、苯并</w:t>
            </w:r>
            <w:r>
              <w:rPr>
                <w:rFonts w:hAnsi="宋体"/>
                <w:highlight w:val="none"/>
              </w:rPr>
              <w:t>[a]</w:t>
            </w:r>
            <w:r>
              <w:rPr>
                <w:rFonts w:hint="eastAsia" w:hAnsi="宋体"/>
                <w:highlight w:val="none"/>
              </w:rPr>
              <w:t>蒽、苯并</w:t>
            </w:r>
            <w:r>
              <w:rPr>
                <w:rFonts w:hAnsi="宋体"/>
                <w:highlight w:val="none"/>
              </w:rPr>
              <w:t>[a]</w:t>
            </w:r>
            <w:r>
              <w:rPr>
                <w:rFonts w:hint="eastAsia" w:hAnsi="宋体"/>
                <w:highlight w:val="none"/>
              </w:rPr>
              <w:t>芘、苯并</w:t>
            </w:r>
            <w:r>
              <w:rPr>
                <w:rFonts w:hAnsi="宋体"/>
                <w:highlight w:val="none"/>
              </w:rPr>
              <w:t>[b]</w:t>
            </w:r>
            <w:r>
              <w:rPr>
                <w:rFonts w:hint="eastAsia" w:hAnsi="宋体"/>
                <w:highlight w:val="none"/>
              </w:rPr>
              <w:t>荧蒽、苯并</w:t>
            </w:r>
            <w:r>
              <w:rPr>
                <w:rFonts w:hAnsi="宋体"/>
                <w:highlight w:val="none"/>
              </w:rPr>
              <w:t>[k]</w:t>
            </w:r>
            <w:r>
              <w:rPr>
                <w:rFonts w:hint="eastAsia" w:hAnsi="宋体"/>
                <w:highlight w:val="none"/>
              </w:rPr>
              <w:t>荧蒽、䓛、二苯并[a,h］蒽、茚并［l,2,3-cd］芘、萘45项基本项；</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评价标准</w:t>
            </w:r>
          </w:p>
        </w:tc>
        <w:tc>
          <w:tcPr>
            <w:tcW w:w="5976" w:type="dxa"/>
            <w:gridSpan w:val="6"/>
            <w:vAlign w:val="center"/>
          </w:tcPr>
          <w:p>
            <w:pPr>
              <w:pStyle w:val="64"/>
              <w:jc w:val="left"/>
              <w:rPr>
                <w:rFonts w:hAnsi="宋体"/>
                <w:highlight w:val="none"/>
              </w:rPr>
            </w:pPr>
            <w:r>
              <w:rPr>
                <w:rFonts w:hint="eastAsia" w:hAnsi="宋体"/>
                <w:highlight w:val="none"/>
              </w:rPr>
              <w:t>GB15618□；GB36600</w:t>
            </w:r>
            <w:r>
              <w:rPr>
                <w:rFonts w:hint="eastAsia" w:ascii="MS Mincho" w:hAnsi="MS Mincho" w:eastAsia="MS Mincho" w:cs="MS Mincho"/>
                <w:highlight w:val="none"/>
              </w:rPr>
              <w:t>☑</w:t>
            </w:r>
            <w:r>
              <w:rPr>
                <w:rFonts w:hint="eastAsia" w:hAnsi="宋体"/>
                <w:highlight w:val="none"/>
              </w:rPr>
              <w:t>；表D.1□；D.2□；其他□</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现状评价结论</w:t>
            </w:r>
          </w:p>
        </w:tc>
        <w:tc>
          <w:tcPr>
            <w:tcW w:w="5976" w:type="dxa"/>
            <w:gridSpan w:val="6"/>
            <w:vAlign w:val="center"/>
          </w:tcPr>
          <w:p>
            <w:pPr>
              <w:pStyle w:val="64"/>
              <w:rPr>
                <w:rFonts w:hAnsi="宋体"/>
                <w:highlight w:val="none"/>
              </w:rPr>
            </w:pPr>
            <w:r>
              <w:rPr>
                <w:rFonts w:hint="eastAsia" w:hAnsi="宋体"/>
                <w:highlight w:val="none"/>
              </w:rPr>
              <w:t>项目所在地土壤环境质量各污染因子均满足《土壤环境质量建设用地土壤污染风险管控标准（试行）》（GB36600-2018）中表1第二类用地土地污染风险筛选值。</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影响预测</w:t>
            </w:r>
          </w:p>
        </w:tc>
        <w:tc>
          <w:tcPr>
            <w:tcW w:w="1668" w:type="dxa"/>
            <w:vAlign w:val="center"/>
          </w:tcPr>
          <w:p>
            <w:pPr>
              <w:pStyle w:val="64"/>
              <w:rPr>
                <w:rFonts w:hAnsi="宋体"/>
                <w:highlight w:val="none"/>
              </w:rPr>
            </w:pPr>
            <w:r>
              <w:rPr>
                <w:rFonts w:hint="eastAsia" w:hAnsi="宋体"/>
                <w:highlight w:val="none"/>
              </w:rPr>
              <w:t>预测因子</w:t>
            </w:r>
          </w:p>
        </w:tc>
        <w:tc>
          <w:tcPr>
            <w:tcW w:w="5976" w:type="dxa"/>
            <w:gridSpan w:val="6"/>
            <w:vAlign w:val="center"/>
          </w:tcPr>
          <w:p>
            <w:pPr>
              <w:pStyle w:val="64"/>
              <w:rPr>
                <w:rFonts w:hAnsi="宋体"/>
                <w:highlight w:val="none"/>
              </w:rPr>
            </w:pP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预测方法</w:t>
            </w:r>
          </w:p>
        </w:tc>
        <w:tc>
          <w:tcPr>
            <w:tcW w:w="5976" w:type="dxa"/>
            <w:gridSpan w:val="6"/>
            <w:vAlign w:val="center"/>
          </w:tcPr>
          <w:p>
            <w:pPr>
              <w:pStyle w:val="64"/>
              <w:jc w:val="left"/>
              <w:rPr>
                <w:rFonts w:hAnsi="宋体"/>
                <w:highlight w:val="none"/>
              </w:rPr>
            </w:pPr>
            <w:r>
              <w:rPr>
                <w:rFonts w:hint="eastAsia" w:hAnsi="宋体"/>
                <w:highlight w:val="none"/>
              </w:rPr>
              <w:t>附录E</w:t>
            </w:r>
            <w:r>
              <w:rPr>
                <w:rFonts w:hint="eastAsia" w:ascii="MS Mincho" w:hAnsi="MS Mincho" w:eastAsia="MS Mincho" w:cs="MS Mincho"/>
                <w:highlight w:val="none"/>
              </w:rPr>
              <w:t>☑</w:t>
            </w:r>
            <w:r>
              <w:rPr>
                <w:rFonts w:hint="eastAsia" w:hAnsi="宋体"/>
                <w:highlight w:val="none"/>
              </w:rPr>
              <w:t>；附录F□；其他（□）</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预测分析内容</w:t>
            </w:r>
          </w:p>
        </w:tc>
        <w:tc>
          <w:tcPr>
            <w:tcW w:w="5976" w:type="dxa"/>
            <w:gridSpan w:val="6"/>
            <w:vAlign w:val="center"/>
          </w:tcPr>
          <w:p>
            <w:pPr>
              <w:pStyle w:val="64"/>
              <w:jc w:val="left"/>
              <w:rPr>
                <w:rFonts w:hAnsi="宋体"/>
                <w:highlight w:val="none"/>
              </w:rPr>
            </w:pPr>
            <w:r>
              <w:rPr>
                <w:rFonts w:hint="eastAsia" w:hAnsi="宋体"/>
                <w:highlight w:val="none"/>
              </w:rPr>
              <w:t>影响范围（）影响程度（）</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预测结论</w:t>
            </w:r>
          </w:p>
        </w:tc>
        <w:tc>
          <w:tcPr>
            <w:tcW w:w="5976" w:type="dxa"/>
            <w:gridSpan w:val="6"/>
            <w:vAlign w:val="center"/>
          </w:tcPr>
          <w:p>
            <w:pPr>
              <w:pStyle w:val="64"/>
              <w:jc w:val="left"/>
              <w:rPr>
                <w:rFonts w:hAnsi="宋体"/>
                <w:highlight w:val="none"/>
              </w:rPr>
            </w:pPr>
            <w:r>
              <w:rPr>
                <w:rFonts w:hint="eastAsia" w:hAnsi="宋体"/>
                <w:highlight w:val="none"/>
              </w:rPr>
              <w:t>达标结论：a)</w:t>
            </w:r>
            <w:r>
              <w:rPr>
                <w:rFonts w:hint="eastAsia" w:ascii="MS Mincho" w:hAnsi="MS Mincho" w:eastAsia="MS Mincho" w:cs="MS Mincho"/>
                <w:highlight w:val="none"/>
              </w:rPr>
              <w:t>☑</w:t>
            </w:r>
            <w:r>
              <w:rPr>
                <w:rFonts w:hint="eastAsia" w:hAnsi="宋体"/>
                <w:highlight w:val="none"/>
              </w:rPr>
              <w:t>；b)□；c)□</w:t>
            </w:r>
          </w:p>
          <w:p>
            <w:pPr>
              <w:pStyle w:val="64"/>
              <w:jc w:val="left"/>
              <w:rPr>
                <w:rFonts w:hAnsi="宋体"/>
                <w:highlight w:val="none"/>
              </w:rPr>
            </w:pPr>
            <w:r>
              <w:rPr>
                <w:rFonts w:hint="eastAsia" w:hAnsi="宋体"/>
                <w:highlight w:val="none"/>
              </w:rPr>
              <w:t>不达标结论：a)□；b)□</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防治措施</w:t>
            </w:r>
          </w:p>
        </w:tc>
        <w:tc>
          <w:tcPr>
            <w:tcW w:w="1668" w:type="dxa"/>
            <w:vAlign w:val="center"/>
          </w:tcPr>
          <w:p>
            <w:pPr>
              <w:pStyle w:val="64"/>
              <w:rPr>
                <w:rFonts w:hAnsi="宋体"/>
                <w:highlight w:val="none"/>
              </w:rPr>
            </w:pPr>
            <w:r>
              <w:rPr>
                <w:rFonts w:hint="eastAsia" w:hAnsi="宋体"/>
                <w:highlight w:val="none"/>
              </w:rPr>
              <w:t>防控措施</w:t>
            </w:r>
          </w:p>
        </w:tc>
        <w:tc>
          <w:tcPr>
            <w:tcW w:w="5976" w:type="dxa"/>
            <w:gridSpan w:val="6"/>
            <w:vAlign w:val="center"/>
          </w:tcPr>
          <w:p>
            <w:pPr>
              <w:pStyle w:val="64"/>
              <w:rPr>
                <w:rFonts w:hAnsi="宋体"/>
                <w:highlight w:val="none"/>
              </w:rPr>
            </w:pPr>
            <w:r>
              <w:rPr>
                <w:rFonts w:hint="eastAsia" w:hAnsi="宋体"/>
                <w:highlight w:val="none"/>
              </w:rPr>
              <w:t>土壤环境质量现状保障□；源头控制</w:t>
            </w:r>
            <w:r>
              <w:rPr>
                <w:rFonts w:hint="eastAsia" w:ascii="MS Mincho" w:hAnsi="MS Mincho" w:eastAsia="MS Mincho" w:cs="MS Mincho"/>
                <w:highlight w:val="none"/>
              </w:rPr>
              <w:t>☑</w:t>
            </w:r>
            <w:r>
              <w:rPr>
                <w:rFonts w:hint="eastAsia" w:hAnsi="宋体"/>
                <w:highlight w:val="none"/>
              </w:rPr>
              <w:t>；过程防控</w:t>
            </w:r>
            <w:r>
              <w:rPr>
                <w:rFonts w:hint="eastAsia" w:ascii="MS Mincho" w:hAnsi="MS Mincho" w:eastAsia="MS Mincho" w:cs="MS Mincho"/>
                <w:highlight w:val="none"/>
              </w:rPr>
              <w:t>☑</w:t>
            </w:r>
            <w:r>
              <w:rPr>
                <w:rFonts w:hint="eastAsia" w:hAnsi="宋体"/>
                <w:highlight w:val="none"/>
              </w:rPr>
              <w:t>；其他（□）</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restart"/>
            <w:vAlign w:val="center"/>
          </w:tcPr>
          <w:p>
            <w:pPr>
              <w:pStyle w:val="64"/>
              <w:rPr>
                <w:rFonts w:hAnsi="宋体"/>
                <w:highlight w:val="none"/>
              </w:rPr>
            </w:pPr>
            <w:r>
              <w:rPr>
                <w:rFonts w:hint="eastAsia" w:hAnsi="宋体"/>
                <w:highlight w:val="none"/>
              </w:rPr>
              <w:t>跟踪监测</w:t>
            </w:r>
          </w:p>
        </w:tc>
        <w:tc>
          <w:tcPr>
            <w:tcW w:w="2220" w:type="dxa"/>
            <w:gridSpan w:val="2"/>
            <w:vAlign w:val="center"/>
          </w:tcPr>
          <w:p>
            <w:pPr>
              <w:pStyle w:val="64"/>
              <w:rPr>
                <w:rFonts w:hAnsi="宋体"/>
                <w:highlight w:val="none"/>
              </w:rPr>
            </w:pPr>
            <w:r>
              <w:rPr>
                <w:rFonts w:hint="eastAsia" w:hAnsi="宋体"/>
                <w:highlight w:val="none"/>
              </w:rPr>
              <w:t>监测点数</w:t>
            </w:r>
          </w:p>
        </w:tc>
        <w:tc>
          <w:tcPr>
            <w:tcW w:w="1843" w:type="dxa"/>
            <w:gridSpan w:val="2"/>
            <w:vAlign w:val="center"/>
          </w:tcPr>
          <w:p>
            <w:pPr>
              <w:pStyle w:val="64"/>
              <w:rPr>
                <w:rFonts w:hAnsi="宋体"/>
                <w:highlight w:val="none"/>
              </w:rPr>
            </w:pPr>
            <w:r>
              <w:rPr>
                <w:rFonts w:hint="eastAsia" w:hAnsi="宋体"/>
                <w:highlight w:val="none"/>
              </w:rPr>
              <w:t>监测指标</w:t>
            </w:r>
          </w:p>
        </w:tc>
        <w:tc>
          <w:tcPr>
            <w:tcW w:w="1913" w:type="dxa"/>
            <w:gridSpan w:val="2"/>
            <w:vAlign w:val="center"/>
          </w:tcPr>
          <w:p>
            <w:pPr>
              <w:pStyle w:val="64"/>
              <w:rPr>
                <w:rFonts w:hAnsi="宋体"/>
                <w:highlight w:val="none"/>
              </w:rPr>
            </w:pPr>
            <w:r>
              <w:rPr>
                <w:rFonts w:hint="eastAsia" w:hAnsi="宋体"/>
                <w:highlight w:val="none"/>
              </w:rPr>
              <w:t>监测频次</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continue"/>
            <w:vAlign w:val="center"/>
          </w:tcPr>
          <w:p>
            <w:pPr>
              <w:pStyle w:val="64"/>
              <w:rPr>
                <w:rFonts w:hAnsi="宋体"/>
                <w:highlight w:val="none"/>
              </w:rPr>
            </w:pPr>
          </w:p>
        </w:tc>
        <w:tc>
          <w:tcPr>
            <w:tcW w:w="2220" w:type="dxa"/>
            <w:gridSpan w:val="2"/>
            <w:vAlign w:val="center"/>
          </w:tcPr>
          <w:p>
            <w:pPr>
              <w:pStyle w:val="64"/>
              <w:rPr>
                <w:rFonts w:hAnsi="宋体"/>
                <w:highlight w:val="none"/>
              </w:rPr>
            </w:pPr>
            <w:r>
              <w:rPr>
                <w:rFonts w:hint="eastAsia" w:hAnsi="宋体"/>
                <w:highlight w:val="none"/>
              </w:rPr>
              <w:t>危废暂存间、浓缩池</w:t>
            </w:r>
          </w:p>
        </w:tc>
        <w:tc>
          <w:tcPr>
            <w:tcW w:w="1843" w:type="dxa"/>
            <w:gridSpan w:val="2"/>
            <w:vAlign w:val="center"/>
          </w:tcPr>
          <w:p>
            <w:pPr>
              <w:pStyle w:val="64"/>
              <w:rPr>
                <w:rFonts w:hAnsi="宋体"/>
                <w:highlight w:val="none"/>
              </w:rPr>
            </w:pPr>
          </w:p>
        </w:tc>
        <w:tc>
          <w:tcPr>
            <w:tcW w:w="1913" w:type="dxa"/>
            <w:gridSpan w:val="2"/>
            <w:vAlign w:val="center"/>
          </w:tcPr>
          <w:p>
            <w:pPr>
              <w:pStyle w:val="64"/>
              <w:rPr>
                <w:rFonts w:hAnsi="宋体"/>
                <w:highlight w:val="none"/>
              </w:rPr>
            </w:pPr>
            <w:r>
              <w:rPr>
                <w:rFonts w:hint="eastAsia" w:hAnsi="宋体"/>
                <w:highlight w:val="none"/>
              </w:rPr>
              <w:t>必要时开展</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信息公开指标</w:t>
            </w:r>
          </w:p>
        </w:tc>
        <w:tc>
          <w:tcPr>
            <w:tcW w:w="5976" w:type="dxa"/>
            <w:gridSpan w:val="6"/>
            <w:vAlign w:val="center"/>
          </w:tcPr>
          <w:p>
            <w:pPr>
              <w:pStyle w:val="64"/>
              <w:rPr>
                <w:rFonts w:hAnsi="宋体"/>
                <w:highlight w:val="none"/>
              </w:rPr>
            </w:pP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141" w:type="dxa"/>
            <w:gridSpan w:val="2"/>
            <w:vAlign w:val="center"/>
          </w:tcPr>
          <w:p>
            <w:pPr>
              <w:pStyle w:val="64"/>
              <w:rPr>
                <w:rFonts w:hAnsi="宋体"/>
                <w:highlight w:val="none"/>
              </w:rPr>
            </w:pPr>
            <w:r>
              <w:rPr>
                <w:rFonts w:hint="eastAsia" w:hAnsi="宋体"/>
                <w:highlight w:val="none"/>
              </w:rPr>
              <w:t>评价结论</w:t>
            </w:r>
          </w:p>
        </w:tc>
        <w:tc>
          <w:tcPr>
            <w:tcW w:w="5976" w:type="dxa"/>
            <w:gridSpan w:val="6"/>
            <w:vAlign w:val="center"/>
          </w:tcPr>
          <w:p>
            <w:pPr>
              <w:pStyle w:val="64"/>
              <w:jc w:val="left"/>
              <w:rPr>
                <w:rFonts w:hAnsi="宋体"/>
                <w:highlight w:val="none"/>
              </w:rPr>
            </w:pPr>
            <w:r>
              <w:rPr>
                <w:rFonts w:hint="eastAsia" w:hAnsi="宋体"/>
                <w:highlight w:val="none"/>
              </w:rPr>
              <w:t>从土壤环境影响的角度，项目的建设是可行的。</w:t>
            </w:r>
          </w:p>
        </w:tc>
        <w:tc>
          <w:tcPr>
            <w:tcW w:w="1061"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178" w:type="dxa"/>
            <w:gridSpan w:val="9"/>
            <w:vAlign w:val="center"/>
          </w:tcPr>
          <w:p>
            <w:pPr>
              <w:pStyle w:val="64"/>
              <w:jc w:val="left"/>
              <w:rPr>
                <w:rFonts w:hAnsi="宋体"/>
                <w:highlight w:val="none"/>
              </w:rPr>
            </w:pPr>
            <w:r>
              <w:rPr>
                <w:rFonts w:hint="eastAsia" w:hAnsi="宋体"/>
                <w:highlight w:val="none"/>
              </w:rPr>
              <w:t>注1：“□”为沟选项，可√；“（）”为内容填写项；“备注”为其他补充内容。</w:t>
            </w:r>
          </w:p>
          <w:p>
            <w:pPr>
              <w:pStyle w:val="64"/>
              <w:jc w:val="left"/>
              <w:rPr>
                <w:rFonts w:hAnsi="宋体"/>
                <w:highlight w:val="none"/>
              </w:rPr>
            </w:pPr>
            <w:r>
              <w:rPr>
                <w:rFonts w:hint="eastAsia" w:hAnsi="宋体"/>
                <w:highlight w:val="none"/>
              </w:rPr>
              <w:t>注2：需要分别开展土壤环境影响评级工作的，分别填写自查表。</w:t>
            </w:r>
          </w:p>
        </w:tc>
      </w:tr>
    </w:tbl>
    <w:p>
      <w:pPr>
        <w:pStyle w:val="65"/>
        <w:rPr>
          <w:rFonts w:hAnsi="宋体"/>
          <w:highlight w:val="none"/>
        </w:rPr>
      </w:pPr>
      <w:r>
        <w:rPr>
          <w:rFonts w:hint="eastAsia" w:hAnsi="宋体"/>
          <w:highlight w:val="none"/>
        </w:rPr>
        <w:t>续</w:t>
      </w:r>
      <w:r>
        <w:rPr>
          <w:rFonts w:hAnsi="宋体"/>
          <w:highlight w:val="none"/>
        </w:rPr>
        <w:t>表5.8-1</w:t>
      </w:r>
      <w:r>
        <w:rPr>
          <w:rFonts w:hint="eastAsia" w:hAnsi="宋体"/>
          <w:highlight w:val="none"/>
        </w:rPr>
        <w:t xml:space="preserve">  尾矿库</w:t>
      </w:r>
      <w:r>
        <w:rPr>
          <w:rFonts w:hAnsi="宋体"/>
          <w:highlight w:val="none"/>
        </w:rPr>
        <w:t>土壤环境影响评价自查表</w:t>
      </w:r>
    </w:p>
    <w:tbl>
      <w:tblPr>
        <w:tblStyle w:val="44"/>
        <w:tblW w:w="91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73"/>
        <w:gridCol w:w="1668"/>
        <w:gridCol w:w="1936"/>
        <w:gridCol w:w="843"/>
        <w:gridCol w:w="571"/>
        <w:gridCol w:w="1274"/>
        <w:gridCol w:w="140"/>
        <w:gridCol w:w="1208"/>
        <w:gridCol w:w="10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141" w:type="dxa"/>
            <w:gridSpan w:val="2"/>
            <w:vAlign w:val="center"/>
          </w:tcPr>
          <w:p>
            <w:pPr>
              <w:pStyle w:val="64"/>
              <w:rPr>
                <w:rFonts w:hAnsi="宋体"/>
                <w:highlight w:val="none"/>
              </w:rPr>
            </w:pPr>
            <w:r>
              <w:rPr>
                <w:rFonts w:hint="eastAsia" w:hAnsi="宋体"/>
                <w:highlight w:val="none"/>
              </w:rPr>
              <w:t>工作内容</w:t>
            </w:r>
          </w:p>
        </w:tc>
        <w:tc>
          <w:tcPr>
            <w:tcW w:w="5972" w:type="dxa"/>
            <w:gridSpan w:val="6"/>
            <w:vAlign w:val="center"/>
          </w:tcPr>
          <w:p>
            <w:pPr>
              <w:pStyle w:val="64"/>
              <w:rPr>
                <w:rFonts w:hAnsi="宋体"/>
                <w:highlight w:val="none"/>
              </w:rPr>
            </w:pPr>
            <w:r>
              <w:rPr>
                <w:rFonts w:hint="eastAsia" w:hAnsi="宋体"/>
                <w:highlight w:val="none"/>
              </w:rPr>
              <w:t>完成情况</w:t>
            </w:r>
          </w:p>
        </w:tc>
        <w:tc>
          <w:tcPr>
            <w:tcW w:w="1065" w:type="dxa"/>
            <w:vAlign w:val="center"/>
          </w:tcPr>
          <w:p>
            <w:pPr>
              <w:pStyle w:val="64"/>
              <w:rPr>
                <w:rFonts w:hAnsi="宋体"/>
                <w:highlight w:val="none"/>
              </w:rPr>
            </w:pPr>
            <w:r>
              <w:rPr>
                <w:rFonts w:hint="eastAsia" w:hAnsi="宋体"/>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影响识别</w:t>
            </w:r>
          </w:p>
        </w:tc>
        <w:tc>
          <w:tcPr>
            <w:tcW w:w="1668" w:type="dxa"/>
            <w:vAlign w:val="center"/>
          </w:tcPr>
          <w:p>
            <w:pPr>
              <w:pStyle w:val="64"/>
              <w:rPr>
                <w:rFonts w:hAnsi="宋体"/>
                <w:highlight w:val="none"/>
              </w:rPr>
            </w:pPr>
            <w:r>
              <w:rPr>
                <w:rFonts w:hint="eastAsia" w:hAnsi="宋体"/>
                <w:highlight w:val="none"/>
              </w:rPr>
              <w:t>影响类型</w:t>
            </w:r>
          </w:p>
        </w:tc>
        <w:tc>
          <w:tcPr>
            <w:tcW w:w="5972" w:type="dxa"/>
            <w:gridSpan w:val="6"/>
            <w:vAlign w:val="center"/>
          </w:tcPr>
          <w:p>
            <w:pPr>
              <w:pStyle w:val="64"/>
              <w:jc w:val="left"/>
              <w:rPr>
                <w:rFonts w:hAnsi="宋体"/>
                <w:highlight w:val="none"/>
              </w:rPr>
            </w:pPr>
            <w:r>
              <w:rPr>
                <w:rFonts w:hint="eastAsia" w:hAnsi="宋体"/>
                <w:highlight w:val="none"/>
              </w:rPr>
              <w:t>污染影响型</w:t>
            </w:r>
            <w:r>
              <w:rPr>
                <w:rFonts w:hint="eastAsia" w:ascii="MS Mincho" w:hAnsi="MS Mincho" w:eastAsia="MS Mincho" w:cs="MS Mincho"/>
                <w:highlight w:val="none"/>
              </w:rPr>
              <w:t>☑</w:t>
            </w:r>
            <w:r>
              <w:rPr>
                <w:rFonts w:hint="eastAsia" w:hAnsi="宋体"/>
                <w:highlight w:val="none"/>
              </w:rPr>
              <w:t>；生态影响型□；两种兼有□</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土地利用类型</w:t>
            </w:r>
          </w:p>
        </w:tc>
        <w:tc>
          <w:tcPr>
            <w:tcW w:w="5972" w:type="dxa"/>
            <w:gridSpan w:val="6"/>
            <w:vAlign w:val="center"/>
          </w:tcPr>
          <w:p>
            <w:pPr>
              <w:pStyle w:val="64"/>
              <w:jc w:val="left"/>
              <w:rPr>
                <w:rFonts w:hAnsi="宋体"/>
                <w:highlight w:val="none"/>
              </w:rPr>
            </w:pPr>
            <w:r>
              <w:rPr>
                <w:rFonts w:hint="eastAsia" w:hAnsi="宋体"/>
                <w:highlight w:val="none"/>
              </w:rPr>
              <w:t>建设用地□；农用地□；未利用地</w:t>
            </w:r>
            <w:r>
              <w:rPr>
                <w:rFonts w:hint="eastAsia" w:ascii="MS Mincho" w:hAnsi="MS Mincho" w:eastAsia="MS Mincho" w:cs="MS Mincho"/>
                <w:highlight w:val="none"/>
              </w:rPr>
              <w:t>☑</w:t>
            </w:r>
          </w:p>
        </w:tc>
        <w:tc>
          <w:tcPr>
            <w:tcW w:w="1065" w:type="dxa"/>
            <w:vAlign w:val="center"/>
          </w:tcPr>
          <w:p>
            <w:pPr>
              <w:pStyle w:val="64"/>
              <w:rPr>
                <w:rFonts w:hAnsi="宋体"/>
                <w:highlight w:val="none"/>
              </w:rPr>
            </w:pPr>
            <w:r>
              <w:rPr>
                <w:rFonts w:hint="eastAsia" w:hAnsi="宋体"/>
                <w:highlight w:val="none"/>
              </w:rPr>
              <w:t>土地利用类型图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占地规模</w:t>
            </w:r>
          </w:p>
        </w:tc>
        <w:tc>
          <w:tcPr>
            <w:tcW w:w="5972" w:type="dxa"/>
            <w:gridSpan w:val="6"/>
            <w:vAlign w:val="center"/>
          </w:tcPr>
          <w:p>
            <w:pPr>
              <w:pStyle w:val="64"/>
              <w:jc w:val="left"/>
              <w:rPr>
                <w:rFonts w:hAnsi="宋体"/>
                <w:highlight w:val="none"/>
              </w:rPr>
            </w:pPr>
            <w:r>
              <w:rPr>
                <w:rFonts w:hint="eastAsia" w:hAnsi="宋体"/>
                <w:highlight w:val="none"/>
              </w:rPr>
              <w:t>尾矿库（1.97）hm</w:t>
            </w:r>
            <w:r>
              <w:rPr>
                <w:rFonts w:hint="eastAsia" w:hAnsi="宋体"/>
                <w:highlight w:val="none"/>
                <w:vertAlign w:val="superscript"/>
              </w:rPr>
              <w:t>2</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敏感目标信息</w:t>
            </w:r>
          </w:p>
        </w:tc>
        <w:tc>
          <w:tcPr>
            <w:tcW w:w="5972" w:type="dxa"/>
            <w:gridSpan w:val="6"/>
            <w:vAlign w:val="center"/>
          </w:tcPr>
          <w:p>
            <w:pPr>
              <w:pStyle w:val="64"/>
              <w:jc w:val="left"/>
              <w:rPr>
                <w:rFonts w:hAnsi="宋体"/>
                <w:highlight w:val="none"/>
              </w:rPr>
            </w:pPr>
            <w:r>
              <w:rPr>
                <w:rFonts w:hint="eastAsia" w:hAnsi="宋体"/>
                <w:highlight w:val="none"/>
              </w:rPr>
              <w:t>敏感目标（耕地）、方位（东、西）、距离（200m）</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影响途径</w:t>
            </w:r>
          </w:p>
        </w:tc>
        <w:tc>
          <w:tcPr>
            <w:tcW w:w="5972" w:type="dxa"/>
            <w:gridSpan w:val="6"/>
            <w:vAlign w:val="center"/>
          </w:tcPr>
          <w:p>
            <w:pPr>
              <w:pStyle w:val="64"/>
              <w:jc w:val="left"/>
              <w:rPr>
                <w:rFonts w:hAnsi="宋体"/>
                <w:highlight w:val="none"/>
              </w:rPr>
            </w:pPr>
            <w:r>
              <w:rPr>
                <w:rFonts w:hint="eastAsia" w:hAnsi="宋体"/>
                <w:highlight w:val="none"/>
              </w:rPr>
              <w:t>大气沉降□；地面漫流□；垂直入渗</w:t>
            </w:r>
            <w:r>
              <w:rPr>
                <w:rFonts w:hint="eastAsia" w:ascii="MS Mincho" w:hAnsi="MS Mincho" w:eastAsia="MS Mincho" w:cs="MS Mincho"/>
                <w:highlight w:val="none"/>
              </w:rPr>
              <w:t>☑</w:t>
            </w:r>
            <w:r>
              <w:rPr>
                <w:rFonts w:hint="eastAsia" w:hAnsi="宋体"/>
                <w:highlight w:val="none"/>
              </w:rPr>
              <w:t>；地下水位□；其他□</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全部污染物</w:t>
            </w:r>
          </w:p>
        </w:tc>
        <w:tc>
          <w:tcPr>
            <w:tcW w:w="5972" w:type="dxa"/>
            <w:gridSpan w:val="6"/>
            <w:vAlign w:val="center"/>
          </w:tcPr>
          <w:p>
            <w:pPr>
              <w:pStyle w:val="64"/>
              <w:rPr>
                <w:rFonts w:hAnsi="宋体"/>
                <w:highlight w:val="none"/>
              </w:rPr>
            </w:pPr>
            <w:r>
              <w:rPr>
                <w:rFonts w:hint="eastAsia" w:hAnsi="宋体"/>
                <w:highlight w:val="none"/>
              </w:rPr>
              <w:t>/</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特征因子</w:t>
            </w:r>
          </w:p>
        </w:tc>
        <w:tc>
          <w:tcPr>
            <w:tcW w:w="5972" w:type="dxa"/>
            <w:gridSpan w:val="6"/>
            <w:vAlign w:val="center"/>
          </w:tcPr>
          <w:p>
            <w:pPr>
              <w:pStyle w:val="64"/>
              <w:rPr>
                <w:rFonts w:hAnsi="宋体"/>
                <w:highlight w:val="none"/>
              </w:rPr>
            </w:pPr>
            <w:r>
              <w:rPr>
                <w:rFonts w:hint="eastAsia" w:hAnsi="宋体"/>
                <w:highlight w:val="none"/>
              </w:rPr>
              <w:t>/</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所属土壤环境影响评价项目类别</w:t>
            </w:r>
          </w:p>
        </w:tc>
        <w:tc>
          <w:tcPr>
            <w:tcW w:w="5972" w:type="dxa"/>
            <w:gridSpan w:val="6"/>
            <w:vAlign w:val="center"/>
          </w:tcPr>
          <w:p>
            <w:pPr>
              <w:pStyle w:val="64"/>
              <w:jc w:val="left"/>
              <w:rPr>
                <w:rFonts w:hAnsi="宋体"/>
                <w:highlight w:val="none"/>
              </w:rPr>
            </w:pPr>
            <w:r>
              <w:rPr>
                <w:rFonts w:hint="eastAsia" w:hAnsi="宋体"/>
                <w:highlight w:val="none"/>
              </w:rPr>
              <w:t>Ⅰ类□；Ⅱ类</w:t>
            </w:r>
            <w:r>
              <w:rPr>
                <w:rFonts w:hint="eastAsia" w:ascii="MS Mincho" w:hAnsi="MS Mincho" w:eastAsia="MS Mincho" w:cs="MS Mincho"/>
                <w:highlight w:val="none"/>
              </w:rPr>
              <w:t>☑</w:t>
            </w:r>
            <w:r>
              <w:rPr>
                <w:rFonts w:hint="eastAsia" w:hAnsi="宋体"/>
                <w:highlight w:val="none"/>
              </w:rPr>
              <w:t>；Ⅲ类□；Ⅳ类□</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敏感程度</w:t>
            </w:r>
          </w:p>
        </w:tc>
        <w:tc>
          <w:tcPr>
            <w:tcW w:w="5972" w:type="dxa"/>
            <w:gridSpan w:val="6"/>
            <w:vAlign w:val="center"/>
          </w:tcPr>
          <w:p>
            <w:pPr>
              <w:pStyle w:val="64"/>
              <w:jc w:val="left"/>
              <w:rPr>
                <w:rFonts w:hAnsi="宋体"/>
                <w:highlight w:val="none"/>
              </w:rPr>
            </w:pPr>
            <w:r>
              <w:rPr>
                <w:rFonts w:hint="eastAsia" w:hAnsi="宋体"/>
                <w:highlight w:val="none"/>
              </w:rPr>
              <w:t>敏感</w:t>
            </w:r>
            <w:r>
              <w:rPr>
                <w:rFonts w:hint="eastAsia" w:ascii="MS Mincho" w:hAnsi="MS Mincho" w:eastAsia="MS Mincho" w:cs="MS Mincho"/>
                <w:highlight w:val="none"/>
              </w:rPr>
              <w:t>☑</w:t>
            </w:r>
            <w:r>
              <w:rPr>
                <w:rFonts w:hint="eastAsia" w:hAnsi="宋体"/>
                <w:highlight w:val="none"/>
              </w:rPr>
              <w:t>；较敏感□；不敏感□</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141" w:type="dxa"/>
            <w:gridSpan w:val="2"/>
            <w:vAlign w:val="center"/>
          </w:tcPr>
          <w:p>
            <w:pPr>
              <w:pStyle w:val="64"/>
              <w:rPr>
                <w:rFonts w:hAnsi="宋体"/>
                <w:highlight w:val="none"/>
              </w:rPr>
            </w:pPr>
            <w:r>
              <w:rPr>
                <w:rFonts w:hint="eastAsia" w:hAnsi="宋体"/>
                <w:highlight w:val="none"/>
              </w:rPr>
              <w:t>评价工作等级</w:t>
            </w:r>
          </w:p>
        </w:tc>
        <w:tc>
          <w:tcPr>
            <w:tcW w:w="5972" w:type="dxa"/>
            <w:gridSpan w:val="6"/>
            <w:vAlign w:val="center"/>
          </w:tcPr>
          <w:p>
            <w:pPr>
              <w:pStyle w:val="64"/>
              <w:jc w:val="left"/>
              <w:rPr>
                <w:rFonts w:hAnsi="宋体"/>
                <w:highlight w:val="none"/>
              </w:rPr>
            </w:pPr>
            <w:r>
              <w:rPr>
                <w:rFonts w:hint="eastAsia" w:hAnsi="宋体"/>
                <w:highlight w:val="none"/>
              </w:rPr>
              <w:t>一级□；二级</w:t>
            </w:r>
            <w:r>
              <w:rPr>
                <w:rFonts w:hint="eastAsia" w:ascii="MS Mincho" w:hAnsi="MS Mincho" w:eastAsia="MS Mincho" w:cs="MS Mincho"/>
                <w:highlight w:val="none"/>
              </w:rPr>
              <w:t>☑</w:t>
            </w:r>
            <w:r>
              <w:rPr>
                <w:rFonts w:hint="eastAsia" w:hAnsi="宋体"/>
                <w:highlight w:val="none"/>
              </w:rPr>
              <w:t>；三级□</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restart"/>
            <w:vAlign w:val="center"/>
          </w:tcPr>
          <w:p>
            <w:pPr>
              <w:pStyle w:val="64"/>
              <w:rPr>
                <w:rFonts w:hAnsi="宋体"/>
                <w:highlight w:val="none"/>
              </w:rPr>
            </w:pPr>
            <w:r>
              <w:rPr>
                <w:rFonts w:hint="eastAsia" w:hAnsi="宋体"/>
                <w:highlight w:val="none"/>
              </w:rPr>
              <w:t>现状调查内容</w:t>
            </w:r>
          </w:p>
        </w:tc>
        <w:tc>
          <w:tcPr>
            <w:tcW w:w="1668" w:type="dxa"/>
            <w:vAlign w:val="center"/>
          </w:tcPr>
          <w:p>
            <w:pPr>
              <w:pStyle w:val="64"/>
              <w:rPr>
                <w:rFonts w:hAnsi="宋体"/>
                <w:highlight w:val="none"/>
              </w:rPr>
            </w:pPr>
            <w:r>
              <w:rPr>
                <w:rFonts w:hint="eastAsia" w:hAnsi="宋体"/>
                <w:highlight w:val="none"/>
              </w:rPr>
              <w:t>资料收集</w:t>
            </w:r>
          </w:p>
        </w:tc>
        <w:tc>
          <w:tcPr>
            <w:tcW w:w="5972" w:type="dxa"/>
            <w:gridSpan w:val="6"/>
            <w:vAlign w:val="center"/>
          </w:tcPr>
          <w:p>
            <w:pPr>
              <w:pStyle w:val="64"/>
              <w:jc w:val="left"/>
              <w:rPr>
                <w:rFonts w:hAnsi="宋体"/>
                <w:highlight w:val="none"/>
              </w:rPr>
            </w:pPr>
            <w:r>
              <w:rPr>
                <w:rFonts w:hint="eastAsia" w:hAnsi="宋体"/>
                <w:highlight w:val="none"/>
              </w:rPr>
              <w:t>a)</w:t>
            </w:r>
            <w:r>
              <w:rPr>
                <w:rFonts w:hint="eastAsia" w:ascii="MS Mincho" w:hAnsi="MS Mincho" w:eastAsia="MS Mincho" w:cs="MS Mincho"/>
                <w:highlight w:val="none"/>
              </w:rPr>
              <w:t>☑</w:t>
            </w:r>
            <w:r>
              <w:rPr>
                <w:rFonts w:hint="eastAsia" w:hAnsi="宋体"/>
                <w:highlight w:val="none"/>
              </w:rPr>
              <w:t>；b)</w:t>
            </w:r>
            <w:r>
              <w:rPr>
                <w:rFonts w:hint="eastAsia" w:ascii="MS Mincho" w:hAnsi="MS Mincho" w:eastAsia="MS Mincho" w:cs="MS Mincho"/>
                <w:highlight w:val="none"/>
              </w:rPr>
              <w:t>☑</w:t>
            </w:r>
            <w:r>
              <w:rPr>
                <w:rFonts w:hint="eastAsia" w:hAnsi="宋体"/>
                <w:highlight w:val="none"/>
              </w:rPr>
              <w:t>；c)□；d）□</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理化特性</w:t>
            </w:r>
          </w:p>
        </w:tc>
        <w:tc>
          <w:tcPr>
            <w:tcW w:w="5972" w:type="dxa"/>
            <w:gridSpan w:val="6"/>
            <w:vAlign w:val="center"/>
          </w:tcPr>
          <w:p>
            <w:pPr>
              <w:pStyle w:val="64"/>
              <w:rPr>
                <w:rFonts w:hAnsi="宋体"/>
                <w:highlight w:val="none"/>
              </w:rPr>
            </w:pPr>
          </w:p>
        </w:tc>
        <w:tc>
          <w:tcPr>
            <w:tcW w:w="1065" w:type="dxa"/>
            <w:vAlign w:val="center"/>
          </w:tcPr>
          <w:p>
            <w:pPr>
              <w:pStyle w:val="64"/>
              <w:rPr>
                <w:rFonts w:hAnsi="宋体"/>
                <w:highlight w:val="none"/>
              </w:rPr>
            </w:pPr>
            <w:r>
              <w:rPr>
                <w:rFonts w:hint="eastAsia" w:hAnsi="宋体"/>
                <w:highlight w:val="none"/>
              </w:rPr>
              <w:t>同附录C</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restart"/>
            <w:vAlign w:val="center"/>
          </w:tcPr>
          <w:p>
            <w:pPr>
              <w:pStyle w:val="64"/>
              <w:rPr>
                <w:rFonts w:hAnsi="宋体"/>
                <w:highlight w:val="none"/>
              </w:rPr>
            </w:pPr>
            <w:r>
              <w:rPr>
                <w:rFonts w:hint="eastAsia" w:hAnsi="宋体"/>
                <w:highlight w:val="none"/>
              </w:rPr>
              <w:t>现状监测点位</w:t>
            </w:r>
          </w:p>
        </w:tc>
        <w:tc>
          <w:tcPr>
            <w:tcW w:w="1936" w:type="dxa"/>
            <w:vAlign w:val="center"/>
          </w:tcPr>
          <w:p>
            <w:pPr>
              <w:pStyle w:val="64"/>
              <w:rPr>
                <w:rFonts w:hAnsi="宋体"/>
                <w:bCs/>
                <w:highlight w:val="none"/>
              </w:rPr>
            </w:pPr>
          </w:p>
        </w:tc>
        <w:tc>
          <w:tcPr>
            <w:tcW w:w="1414" w:type="dxa"/>
            <w:gridSpan w:val="2"/>
            <w:vAlign w:val="center"/>
          </w:tcPr>
          <w:p>
            <w:pPr>
              <w:pStyle w:val="64"/>
              <w:rPr>
                <w:rFonts w:hAnsi="宋体"/>
                <w:bCs/>
                <w:highlight w:val="none"/>
              </w:rPr>
            </w:pPr>
            <w:r>
              <w:rPr>
                <w:rFonts w:hint="eastAsia" w:hAnsi="宋体"/>
                <w:bCs/>
                <w:highlight w:val="none"/>
              </w:rPr>
              <w:t>占地范围内</w:t>
            </w:r>
          </w:p>
        </w:tc>
        <w:tc>
          <w:tcPr>
            <w:tcW w:w="1274" w:type="dxa"/>
            <w:vAlign w:val="center"/>
          </w:tcPr>
          <w:p>
            <w:pPr>
              <w:pStyle w:val="64"/>
              <w:rPr>
                <w:rFonts w:hAnsi="宋体"/>
                <w:bCs/>
                <w:highlight w:val="none"/>
              </w:rPr>
            </w:pPr>
            <w:r>
              <w:rPr>
                <w:rFonts w:hint="eastAsia" w:hAnsi="宋体"/>
                <w:bCs/>
                <w:highlight w:val="none"/>
              </w:rPr>
              <w:t>占地范围外</w:t>
            </w:r>
          </w:p>
        </w:tc>
        <w:tc>
          <w:tcPr>
            <w:tcW w:w="1348" w:type="dxa"/>
            <w:gridSpan w:val="2"/>
            <w:vAlign w:val="center"/>
          </w:tcPr>
          <w:p>
            <w:pPr>
              <w:pStyle w:val="64"/>
              <w:rPr>
                <w:rFonts w:hAnsi="宋体"/>
                <w:bCs/>
                <w:highlight w:val="none"/>
              </w:rPr>
            </w:pPr>
            <w:r>
              <w:rPr>
                <w:rFonts w:hint="eastAsia" w:hAnsi="宋体"/>
                <w:bCs/>
                <w:highlight w:val="none"/>
              </w:rPr>
              <w:t>深度</w:t>
            </w:r>
          </w:p>
        </w:tc>
        <w:tc>
          <w:tcPr>
            <w:tcW w:w="1065" w:type="dxa"/>
            <w:vMerge w:val="restart"/>
            <w:vAlign w:val="center"/>
          </w:tcPr>
          <w:p>
            <w:pPr>
              <w:pStyle w:val="64"/>
              <w:rPr>
                <w:rFonts w:hAnsi="宋体"/>
                <w:highlight w:val="none"/>
              </w:rPr>
            </w:pPr>
            <w:r>
              <w:rPr>
                <w:rFonts w:hint="eastAsia" w:hAnsi="宋体"/>
                <w:highlight w:val="none"/>
              </w:rPr>
              <w:t>点位布置图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continue"/>
            <w:vAlign w:val="center"/>
          </w:tcPr>
          <w:p>
            <w:pPr>
              <w:pStyle w:val="64"/>
              <w:rPr>
                <w:rFonts w:hAnsi="宋体"/>
                <w:highlight w:val="none"/>
              </w:rPr>
            </w:pPr>
          </w:p>
        </w:tc>
        <w:tc>
          <w:tcPr>
            <w:tcW w:w="1936" w:type="dxa"/>
            <w:vAlign w:val="center"/>
          </w:tcPr>
          <w:p>
            <w:pPr>
              <w:pStyle w:val="64"/>
              <w:rPr>
                <w:rFonts w:hAnsi="宋体"/>
                <w:bCs/>
                <w:highlight w:val="none"/>
              </w:rPr>
            </w:pPr>
            <w:r>
              <w:rPr>
                <w:rFonts w:hint="eastAsia" w:hAnsi="宋体"/>
                <w:bCs/>
                <w:highlight w:val="none"/>
              </w:rPr>
              <w:t>表层样点数</w:t>
            </w:r>
          </w:p>
        </w:tc>
        <w:tc>
          <w:tcPr>
            <w:tcW w:w="1414" w:type="dxa"/>
            <w:gridSpan w:val="2"/>
            <w:vAlign w:val="center"/>
          </w:tcPr>
          <w:p>
            <w:pPr>
              <w:pStyle w:val="64"/>
              <w:rPr>
                <w:rFonts w:hAnsi="宋体"/>
                <w:bCs/>
                <w:highlight w:val="none"/>
              </w:rPr>
            </w:pPr>
            <w:r>
              <w:rPr>
                <w:rFonts w:hint="eastAsia" w:hAnsi="宋体"/>
                <w:bCs/>
                <w:highlight w:val="none"/>
              </w:rPr>
              <w:t>1</w:t>
            </w:r>
          </w:p>
        </w:tc>
        <w:tc>
          <w:tcPr>
            <w:tcW w:w="1274" w:type="dxa"/>
            <w:vAlign w:val="center"/>
          </w:tcPr>
          <w:p>
            <w:pPr>
              <w:pStyle w:val="64"/>
              <w:rPr>
                <w:rFonts w:hAnsi="宋体"/>
                <w:bCs/>
                <w:highlight w:val="none"/>
              </w:rPr>
            </w:pPr>
            <w:r>
              <w:rPr>
                <w:rFonts w:hint="eastAsia" w:hAnsi="宋体"/>
                <w:bCs/>
                <w:highlight w:val="none"/>
              </w:rPr>
              <w:t>2</w:t>
            </w:r>
          </w:p>
        </w:tc>
        <w:tc>
          <w:tcPr>
            <w:tcW w:w="1348" w:type="dxa"/>
            <w:gridSpan w:val="2"/>
            <w:vAlign w:val="center"/>
          </w:tcPr>
          <w:p>
            <w:pPr>
              <w:pStyle w:val="64"/>
              <w:rPr>
                <w:rFonts w:hAnsi="宋体"/>
                <w:bCs/>
                <w:highlight w:val="none"/>
              </w:rPr>
            </w:pPr>
            <w:r>
              <w:rPr>
                <w:rFonts w:hint="eastAsia" w:hAnsi="宋体"/>
                <w:bCs/>
                <w:highlight w:val="none"/>
              </w:rPr>
              <w:t>0~0.2</w:t>
            </w:r>
          </w:p>
        </w:tc>
        <w:tc>
          <w:tcPr>
            <w:tcW w:w="1065"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Merge w:val="continue"/>
            <w:vAlign w:val="center"/>
          </w:tcPr>
          <w:p>
            <w:pPr>
              <w:pStyle w:val="64"/>
              <w:rPr>
                <w:rFonts w:hAnsi="宋体"/>
                <w:highlight w:val="none"/>
              </w:rPr>
            </w:pPr>
          </w:p>
        </w:tc>
        <w:tc>
          <w:tcPr>
            <w:tcW w:w="1936" w:type="dxa"/>
            <w:vAlign w:val="center"/>
          </w:tcPr>
          <w:p>
            <w:pPr>
              <w:pStyle w:val="64"/>
              <w:rPr>
                <w:rFonts w:hAnsi="宋体"/>
                <w:bCs/>
                <w:highlight w:val="none"/>
              </w:rPr>
            </w:pPr>
            <w:r>
              <w:rPr>
                <w:rFonts w:hint="eastAsia" w:hAnsi="宋体"/>
                <w:bCs/>
                <w:highlight w:val="none"/>
              </w:rPr>
              <w:t>柱状样点数</w:t>
            </w:r>
          </w:p>
        </w:tc>
        <w:tc>
          <w:tcPr>
            <w:tcW w:w="1414" w:type="dxa"/>
            <w:gridSpan w:val="2"/>
            <w:vAlign w:val="center"/>
          </w:tcPr>
          <w:p>
            <w:pPr>
              <w:pStyle w:val="64"/>
              <w:rPr>
                <w:rFonts w:hAnsi="宋体"/>
                <w:bCs/>
                <w:highlight w:val="none"/>
              </w:rPr>
            </w:pPr>
            <w:r>
              <w:rPr>
                <w:rFonts w:hint="eastAsia" w:hAnsi="宋体"/>
                <w:bCs/>
                <w:highlight w:val="none"/>
              </w:rPr>
              <w:t>3</w:t>
            </w:r>
          </w:p>
        </w:tc>
        <w:tc>
          <w:tcPr>
            <w:tcW w:w="1274" w:type="dxa"/>
            <w:vAlign w:val="center"/>
          </w:tcPr>
          <w:p>
            <w:pPr>
              <w:pStyle w:val="64"/>
              <w:rPr>
                <w:rFonts w:hAnsi="宋体"/>
                <w:bCs/>
                <w:highlight w:val="none"/>
              </w:rPr>
            </w:pPr>
          </w:p>
        </w:tc>
        <w:tc>
          <w:tcPr>
            <w:tcW w:w="1348" w:type="dxa"/>
            <w:gridSpan w:val="2"/>
            <w:vAlign w:val="center"/>
          </w:tcPr>
          <w:p>
            <w:pPr>
              <w:pStyle w:val="64"/>
              <w:rPr>
                <w:rFonts w:hAnsi="宋体"/>
                <w:bCs/>
                <w:highlight w:val="none"/>
              </w:rPr>
            </w:pPr>
          </w:p>
        </w:tc>
        <w:tc>
          <w:tcPr>
            <w:tcW w:w="1065"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现状监测因子</w:t>
            </w:r>
          </w:p>
        </w:tc>
        <w:tc>
          <w:tcPr>
            <w:tcW w:w="5972" w:type="dxa"/>
            <w:gridSpan w:val="6"/>
            <w:vAlign w:val="center"/>
          </w:tcPr>
          <w:p>
            <w:pPr>
              <w:pStyle w:val="64"/>
              <w:jc w:val="left"/>
              <w:rPr>
                <w:rFonts w:hAnsi="宋体"/>
                <w:highlight w:val="none"/>
              </w:rPr>
            </w:pPr>
            <w:r>
              <w:rPr>
                <w:rFonts w:hint="eastAsia" w:hAnsi="宋体"/>
                <w:highlight w:val="none"/>
              </w:rPr>
              <w:t>镉、汞、砷、铅、铬、铜、镍、锌8项；</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现状评价</w:t>
            </w:r>
          </w:p>
        </w:tc>
        <w:tc>
          <w:tcPr>
            <w:tcW w:w="1668" w:type="dxa"/>
            <w:vAlign w:val="center"/>
          </w:tcPr>
          <w:p>
            <w:pPr>
              <w:pStyle w:val="64"/>
              <w:rPr>
                <w:rFonts w:hAnsi="宋体"/>
                <w:highlight w:val="none"/>
              </w:rPr>
            </w:pPr>
            <w:r>
              <w:rPr>
                <w:rFonts w:hint="eastAsia" w:hAnsi="宋体"/>
                <w:highlight w:val="none"/>
              </w:rPr>
              <w:t>评价因子</w:t>
            </w:r>
          </w:p>
        </w:tc>
        <w:tc>
          <w:tcPr>
            <w:tcW w:w="5972" w:type="dxa"/>
            <w:gridSpan w:val="6"/>
            <w:vAlign w:val="center"/>
          </w:tcPr>
          <w:p>
            <w:pPr>
              <w:pStyle w:val="64"/>
              <w:jc w:val="left"/>
              <w:rPr>
                <w:rFonts w:hAnsi="宋体"/>
                <w:highlight w:val="none"/>
              </w:rPr>
            </w:pPr>
            <w:r>
              <w:rPr>
                <w:rFonts w:hint="eastAsia" w:hAnsi="宋体"/>
                <w:highlight w:val="none"/>
              </w:rPr>
              <w:t>镉、汞、砷、铅、铬、铜、镍、锌8项；</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评价标准</w:t>
            </w:r>
          </w:p>
        </w:tc>
        <w:tc>
          <w:tcPr>
            <w:tcW w:w="5972" w:type="dxa"/>
            <w:gridSpan w:val="6"/>
            <w:vAlign w:val="center"/>
          </w:tcPr>
          <w:p>
            <w:pPr>
              <w:pStyle w:val="64"/>
              <w:jc w:val="left"/>
              <w:rPr>
                <w:rFonts w:hAnsi="宋体"/>
                <w:highlight w:val="none"/>
              </w:rPr>
            </w:pPr>
            <w:r>
              <w:rPr>
                <w:rFonts w:hint="eastAsia" w:hAnsi="宋体"/>
                <w:highlight w:val="none"/>
              </w:rPr>
              <w:t>GB15618</w:t>
            </w:r>
            <w:r>
              <w:rPr>
                <w:rFonts w:hint="eastAsia" w:ascii="MS Mincho" w:hAnsi="MS Mincho" w:eastAsia="MS Mincho" w:cs="MS Mincho"/>
                <w:highlight w:val="none"/>
              </w:rPr>
              <w:t>☑</w:t>
            </w:r>
            <w:r>
              <w:rPr>
                <w:rFonts w:hint="eastAsia" w:hAnsi="宋体"/>
                <w:highlight w:val="none"/>
              </w:rPr>
              <w:t>；GB36600□；表D.1□；D.2□；其他□</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现状评价结论</w:t>
            </w:r>
          </w:p>
        </w:tc>
        <w:tc>
          <w:tcPr>
            <w:tcW w:w="5972" w:type="dxa"/>
            <w:gridSpan w:val="6"/>
            <w:vAlign w:val="center"/>
          </w:tcPr>
          <w:p>
            <w:pPr>
              <w:pStyle w:val="64"/>
              <w:rPr>
                <w:rFonts w:hAnsi="宋体"/>
                <w:highlight w:val="none"/>
              </w:rPr>
            </w:pPr>
            <w:r>
              <w:rPr>
                <w:rFonts w:hint="eastAsia" w:hAnsi="宋体"/>
                <w:highlight w:val="none"/>
              </w:rPr>
              <w:t>项目所在地土壤环境质量各污染因子均满足《土壤环境质量标准》（GB15618-2018）中的农用地土壤污染风险筛选值。</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影响预测</w:t>
            </w:r>
          </w:p>
        </w:tc>
        <w:tc>
          <w:tcPr>
            <w:tcW w:w="1668" w:type="dxa"/>
            <w:vAlign w:val="center"/>
          </w:tcPr>
          <w:p>
            <w:pPr>
              <w:pStyle w:val="64"/>
              <w:rPr>
                <w:rFonts w:hAnsi="宋体"/>
                <w:highlight w:val="none"/>
              </w:rPr>
            </w:pPr>
            <w:r>
              <w:rPr>
                <w:rFonts w:hint="eastAsia" w:hAnsi="宋体"/>
                <w:highlight w:val="none"/>
              </w:rPr>
              <w:t>预测因子</w:t>
            </w:r>
          </w:p>
        </w:tc>
        <w:tc>
          <w:tcPr>
            <w:tcW w:w="5972" w:type="dxa"/>
            <w:gridSpan w:val="6"/>
            <w:vAlign w:val="center"/>
          </w:tcPr>
          <w:p>
            <w:pPr>
              <w:pStyle w:val="64"/>
              <w:rPr>
                <w:rFonts w:hAnsi="宋体"/>
                <w:highlight w:val="none"/>
              </w:rPr>
            </w:pP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预测方法</w:t>
            </w:r>
          </w:p>
        </w:tc>
        <w:tc>
          <w:tcPr>
            <w:tcW w:w="5972" w:type="dxa"/>
            <w:gridSpan w:val="6"/>
            <w:vAlign w:val="center"/>
          </w:tcPr>
          <w:p>
            <w:pPr>
              <w:pStyle w:val="64"/>
              <w:jc w:val="left"/>
              <w:rPr>
                <w:rFonts w:hAnsi="宋体"/>
                <w:highlight w:val="none"/>
              </w:rPr>
            </w:pPr>
            <w:r>
              <w:rPr>
                <w:rFonts w:hint="eastAsia" w:hAnsi="宋体"/>
                <w:highlight w:val="none"/>
              </w:rPr>
              <w:t>附录E</w:t>
            </w:r>
            <w:r>
              <w:rPr>
                <w:rFonts w:hint="eastAsia" w:ascii="MS Mincho" w:hAnsi="MS Mincho" w:eastAsia="MS Mincho" w:cs="MS Mincho"/>
                <w:highlight w:val="none"/>
              </w:rPr>
              <w:t>☑</w:t>
            </w:r>
            <w:r>
              <w:rPr>
                <w:rFonts w:hint="eastAsia" w:hAnsi="宋体"/>
                <w:highlight w:val="none"/>
              </w:rPr>
              <w:t>；附录F□；其他（□）</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预测分析内容</w:t>
            </w:r>
          </w:p>
        </w:tc>
        <w:tc>
          <w:tcPr>
            <w:tcW w:w="5972" w:type="dxa"/>
            <w:gridSpan w:val="6"/>
            <w:vAlign w:val="center"/>
          </w:tcPr>
          <w:p>
            <w:pPr>
              <w:pStyle w:val="64"/>
              <w:jc w:val="left"/>
              <w:rPr>
                <w:rFonts w:hAnsi="宋体"/>
                <w:highlight w:val="none"/>
              </w:rPr>
            </w:pPr>
            <w:r>
              <w:rPr>
                <w:rFonts w:hint="eastAsia" w:hAnsi="宋体"/>
                <w:highlight w:val="none"/>
              </w:rPr>
              <w:t>影响范围（）影响程度（）</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预测结论</w:t>
            </w:r>
          </w:p>
        </w:tc>
        <w:tc>
          <w:tcPr>
            <w:tcW w:w="5972" w:type="dxa"/>
            <w:gridSpan w:val="6"/>
            <w:vAlign w:val="center"/>
          </w:tcPr>
          <w:p>
            <w:pPr>
              <w:pStyle w:val="64"/>
              <w:jc w:val="left"/>
              <w:rPr>
                <w:rFonts w:hAnsi="宋体"/>
                <w:highlight w:val="none"/>
              </w:rPr>
            </w:pPr>
            <w:r>
              <w:rPr>
                <w:rFonts w:hint="eastAsia" w:hAnsi="宋体"/>
                <w:highlight w:val="none"/>
              </w:rPr>
              <w:t>达标结论：a)</w:t>
            </w:r>
            <w:r>
              <w:rPr>
                <w:rFonts w:hint="eastAsia" w:ascii="MS Mincho" w:hAnsi="MS Mincho" w:eastAsia="MS Mincho" w:cs="MS Mincho"/>
                <w:highlight w:val="none"/>
              </w:rPr>
              <w:t>☑</w:t>
            </w:r>
            <w:r>
              <w:rPr>
                <w:rFonts w:hint="eastAsia" w:hAnsi="宋体"/>
                <w:highlight w:val="none"/>
              </w:rPr>
              <w:t>；b)□；c)□</w:t>
            </w:r>
          </w:p>
          <w:p>
            <w:pPr>
              <w:pStyle w:val="64"/>
              <w:jc w:val="left"/>
              <w:rPr>
                <w:rFonts w:hAnsi="宋体"/>
                <w:highlight w:val="none"/>
              </w:rPr>
            </w:pPr>
            <w:r>
              <w:rPr>
                <w:rFonts w:hint="eastAsia" w:hAnsi="宋体"/>
                <w:highlight w:val="none"/>
              </w:rPr>
              <w:t>不达标结论：a)□；b)□</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restart"/>
            <w:vAlign w:val="center"/>
          </w:tcPr>
          <w:p>
            <w:pPr>
              <w:pStyle w:val="64"/>
              <w:rPr>
                <w:rFonts w:hAnsi="宋体"/>
                <w:highlight w:val="none"/>
              </w:rPr>
            </w:pPr>
            <w:r>
              <w:rPr>
                <w:rFonts w:hint="eastAsia" w:hAnsi="宋体"/>
                <w:highlight w:val="none"/>
              </w:rPr>
              <w:t>防治措施</w:t>
            </w:r>
          </w:p>
        </w:tc>
        <w:tc>
          <w:tcPr>
            <w:tcW w:w="1668" w:type="dxa"/>
            <w:vAlign w:val="center"/>
          </w:tcPr>
          <w:p>
            <w:pPr>
              <w:pStyle w:val="64"/>
              <w:rPr>
                <w:rFonts w:hAnsi="宋体"/>
                <w:highlight w:val="none"/>
              </w:rPr>
            </w:pPr>
            <w:r>
              <w:rPr>
                <w:rFonts w:hint="eastAsia" w:hAnsi="宋体"/>
                <w:highlight w:val="none"/>
              </w:rPr>
              <w:t>防控措施</w:t>
            </w:r>
          </w:p>
        </w:tc>
        <w:tc>
          <w:tcPr>
            <w:tcW w:w="5972" w:type="dxa"/>
            <w:gridSpan w:val="6"/>
            <w:vAlign w:val="center"/>
          </w:tcPr>
          <w:p>
            <w:pPr>
              <w:pStyle w:val="64"/>
              <w:rPr>
                <w:rFonts w:hAnsi="宋体"/>
                <w:highlight w:val="none"/>
              </w:rPr>
            </w:pPr>
            <w:r>
              <w:rPr>
                <w:rFonts w:hint="eastAsia" w:hAnsi="宋体"/>
                <w:highlight w:val="none"/>
              </w:rPr>
              <w:t>土壤环境质量现状保障□；源头控制</w:t>
            </w:r>
            <w:r>
              <w:rPr>
                <w:rFonts w:hint="eastAsia" w:ascii="MS Mincho" w:hAnsi="MS Mincho" w:eastAsia="MS Mincho" w:cs="MS Mincho"/>
                <w:highlight w:val="none"/>
              </w:rPr>
              <w:t>☑</w:t>
            </w:r>
            <w:r>
              <w:rPr>
                <w:rFonts w:hint="eastAsia" w:hAnsi="宋体"/>
                <w:highlight w:val="none"/>
              </w:rPr>
              <w:t>；过程防控</w:t>
            </w:r>
            <w:r>
              <w:rPr>
                <w:rFonts w:hint="eastAsia" w:ascii="MS Mincho" w:hAnsi="MS Mincho" w:eastAsia="MS Mincho" w:cs="MS Mincho"/>
                <w:highlight w:val="none"/>
              </w:rPr>
              <w:t>☑</w:t>
            </w:r>
            <w:r>
              <w:rPr>
                <w:rFonts w:hint="eastAsia" w:hAnsi="宋体"/>
                <w:highlight w:val="none"/>
              </w:rPr>
              <w:t>；其他（□）</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restart"/>
            <w:vAlign w:val="center"/>
          </w:tcPr>
          <w:p>
            <w:pPr>
              <w:pStyle w:val="64"/>
              <w:rPr>
                <w:rFonts w:hAnsi="宋体"/>
                <w:highlight w:val="none"/>
              </w:rPr>
            </w:pPr>
            <w:r>
              <w:rPr>
                <w:rFonts w:hint="eastAsia" w:hAnsi="宋体"/>
                <w:highlight w:val="none"/>
              </w:rPr>
              <w:t>跟踪监测</w:t>
            </w:r>
          </w:p>
        </w:tc>
        <w:tc>
          <w:tcPr>
            <w:tcW w:w="2779" w:type="dxa"/>
            <w:gridSpan w:val="2"/>
            <w:vAlign w:val="center"/>
          </w:tcPr>
          <w:p>
            <w:pPr>
              <w:pStyle w:val="64"/>
              <w:rPr>
                <w:rFonts w:hAnsi="宋体"/>
                <w:highlight w:val="none"/>
              </w:rPr>
            </w:pPr>
            <w:r>
              <w:rPr>
                <w:rFonts w:hint="eastAsia" w:hAnsi="宋体"/>
                <w:highlight w:val="none"/>
              </w:rPr>
              <w:t>监测点数</w:t>
            </w:r>
          </w:p>
        </w:tc>
        <w:tc>
          <w:tcPr>
            <w:tcW w:w="1985" w:type="dxa"/>
            <w:gridSpan w:val="3"/>
            <w:vAlign w:val="center"/>
          </w:tcPr>
          <w:p>
            <w:pPr>
              <w:pStyle w:val="64"/>
              <w:rPr>
                <w:rFonts w:hAnsi="宋体"/>
                <w:highlight w:val="none"/>
              </w:rPr>
            </w:pPr>
            <w:r>
              <w:rPr>
                <w:rFonts w:hint="eastAsia" w:hAnsi="宋体"/>
                <w:highlight w:val="none"/>
              </w:rPr>
              <w:t>监测指标</w:t>
            </w:r>
          </w:p>
        </w:tc>
        <w:tc>
          <w:tcPr>
            <w:tcW w:w="1208" w:type="dxa"/>
            <w:vAlign w:val="center"/>
          </w:tcPr>
          <w:p>
            <w:pPr>
              <w:pStyle w:val="64"/>
              <w:rPr>
                <w:rFonts w:hAnsi="宋体"/>
                <w:highlight w:val="none"/>
              </w:rPr>
            </w:pPr>
            <w:r>
              <w:rPr>
                <w:rFonts w:hint="eastAsia" w:hAnsi="宋体"/>
                <w:highlight w:val="none"/>
              </w:rPr>
              <w:t>监测频次</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3" w:type="dxa"/>
            <w:vMerge w:val="continue"/>
            <w:vAlign w:val="center"/>
          </w:tcPr>
          <w:p>
            <w:pPr>
              <w:pStyle w:val="64"/>
              <w:rPr>
                <w:rFonts w:hAnsi="宋体"/>
                <w:highlight w:val="none"/>
              </w:rPr>
            </w:pPr>
          </w:p>
        </w:tc>
        <w:tc>
          <w:tcPr>
            <w:tcW w:w="1668" w:type="dxa"/>
            <w:vMerge w:val="continue"/>
            <w:vAlign w:val="center"/>
          </w:tcPr>
          <w:p>
            <w:pPr>
              <w:pStyle w:val="64"/>
              <w:rPr>
                <w:rFonts w:hAnsi="宋体"/>
                <w:highlight w:val="none"/>
              </w:rPr>
            </w:pPr>
          </w:p>
        </w:tc>
        <w:tc>
          <w:tcPr>
            <w:tcW w:w="2779" w:type="dxa"/>
            <w:gridSpan w:val="2"/>
            <w:vAlign w:val="center"/>
          </w:tcPr>
          <w:p>
            <w:pPr>
              <w:pStyle w:val="64"/>
              <w:rPr>
                <w:rFonts w:hAnsi="宋体"/>
                <w:highlight w:val="none"/>
              </w:rPr>
            </w:pPr>
            <w:r>
              <w:rPr>
                <w:rFonts w:hint="eastAsia" w:hAnsi="宋体"/>
                <w:highlight w:val="none"/>
              </w:rPr>
              <w:t>尾矿库坝址下游北侧山谷</w:t>
            </w:r>
          </w:p>
        </w:tc>
        <w:tc>
          <w:tcPr>
            <w:tcW w:w="1985" w:type="dxa"/>
            <w:gridSpan w:val="3"/>
            <w:vAlign w:val="center"/>
          </w:tcPr>
          <w:p>
            <w:pPr>
              <w:pStyle w:val="64"/>
              <w:rPr>
                <w:rFonts w:hAnsi="宋体"/>
                <w:highlight w:val="none"/>
              </w:rPr>
            </w:pPr>
          </w:p>
        </w:tc>
        <w:tc>
          <w:tcPr>
            <w:tcW w:w="1208" w:type="dxa"/>
            <w:vAlign w:val="center"/>
          </w:tcPr>
          <w:p>
            <w:pPr>
              <w:pStyle w:val="64"/>
              <w:rPr>
                <w:rFonts w:hAnsi="宋体"/>
                <w:highlight w:val="none"/>
              </w:rPr>
            </w:pPr>
            <w:r>
              <w:rPr>
                <w:rFonts w:hint="eastAsia" w:hAnsi="宋体"/>
                <w:highlight w:val="none"/>
              </w:rPr>
              <w:t>5年1次</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73" w:type="dxa"/>
            <w:vMerge w:val="continue"/>
            <w:vAlign w:val="center"/>
          </w:tcPr>
          <w:p>
            <w:pPr>
              <w:pStyle w:val="64"/>
              <w:rPr>
                <w:rFonts w:hAnsi="宋体"/>
                <w:highlight w:val="none"/>
              </w:rPr>
            </w:pPr>
          </w:p>
        </w:tc>
        <w:tc>
          <w:tcPr>
            <w:tcW w:w="1668" w:type="dxa"/>
            <w:vAlign w:val="center"/>
          </w:tcPr>
          <w:p>
            <w:pPr>
              <w:pStyle w:val="64"/>
              <w:rPr>
                <w:rFonts w:hAnsi="宋体"/>
                <w:highlight w:val="none"/>
              </w:rPr>
            </w:pPr>
            <w:r>
              <w:rPr>
                <w:rFonts w:hint="eastAsia" w:hAnsi="宋体"/>
                <w:highlight w:val="none"/>
              </w:rPr>
              <w:t>信息公开指标</w:t>
            </w:r>
          </w:p>
        </w:tc>
        <w:tc>
          <w:tcPr>
            <w:tcW w:w="5972" w:type="dxa"/>
            <w:gridSpan w:val="6"/>
            <w:vAlign w:val="center"/>
          </w:tcPr>
          <w:p>
            <w:pPr>
              <w:pStyle w:val="64"/>
              <w:rPr>
                <w:rFonts w:hAnsi="宋体"/>
                <w:highlight w:val="none"/>
              </w:rPr>
            </w:pP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141" w:type="dxa"/>
            <w:gridSpan w:val="2"/>
            <w:vAlign w:val="center"/>
          </w:tcPr>
          <w:p>
            <w:pPr>
              <w:pStyle w:val="64"/>
              <w:rPr>
                <w:rFonts w:hAnsi="宋体"/>
                <w:highlight w:val="none"/>
              </w:rPr>
            </w:pPr>
            <w:r>
              <w:rPr>
                <w:rFonts w:hint="eastAsia" w:hAnsi="宋体"/>
                <w:highlight w:val="none"/>
              </w:rPr>
              <w:t>评价结论</w:t>
            </w:r>
          </w:p>
        </w:tc>
        <w:tc>
          <w:tcPr>
            <w:tcW w:w="5972" w:type="dxa"/>
            <w:gridSpan w:val="6"/>
            <w:vAlign w:val="center"/>
          </w:tcPr>
          <w:p>
            <w:pPr>
              <w:pStyle w:val="64"/>
              <w:jc w:val="left"/>
              <w:rPr>
                <w:rFonts w:hAnsi="宋体"/>
                <w:highlight w:val="none"/>
              </w:rPr>
            </w:pPr>
            <w:r>
              <w:rPr>
                <w:rFonts w:hint="eastAsia" w:hAnsi="宋体"/>
                <w:highlight w:val="none"/>
              </w:rPr>
              <w:t>从土壤环境影响的角度，项目的建设是可行的。</w:t>
            </w:r>
          </w:p>
        </w:tc>
        <w:tc>
          <w:tcPr>
            <w:tcW w:w="1065"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9178" w:type="dxa"/>
            <w:gridSpan w:val="9"/>
            <w:vAlign w:val="center"/>
          </w:tcPr>
          <w:p>
            <w:pPr>
              <w:pStyle w:val="64"/>
              <w:jc w:val="left"/>
              <w:rPr>
                <w:rFonts w:hAnsi="宋体"/>
                <w:highlight w:val="none"/>
              </w:rPr>
            </w:pPr>
            <w:r>
              <w:rPr>
                <w:rFonts w:hint="eastAsia" w:hAnsi="宋体"/>
                <w:highlight w:val="none"/>
              </w:rPr>
              <w:t>注1：“□”为沟选项，可√；“（）”为内容填写项；“备注”为其他补充内容。</w:t>
            </w:r>
          </w:p>
          <w:p>
            <w:pPr>
              <w:pStyle w:val="64"/>
              <w:jc w:val="left"/>
              <w:rPr>
                <w:rFonts w:hAnsi="宋体"/>
                <w:highlight w:val="none"/>
              </w:rPr>
            </w:pPr>
            <w:r>
              <w:rPr>
                <w:rFonts w:hint="eastAsia" w:hAnsi="宋体"/>
                <w:highlight w:val="none"/>
              </w:rPr>
              <w:t>注2：需要分别开展土壤环境影响评级工作的，分别填写自查表。</w:t>
            </w:r>
          </w:p>
        </w:tc>
      </w:tr>
    </w:tbl>
    <w:p>
      <w:pPr>
        <w:pStyle w:val="3"/>
        <w:ind w:firstLine="643"/>
        <w:rPr>
          <w:rFonts w:hAnsi="宋体" w:cs="宋体"/>
          <w:highlight w:val="none"/>
          <w:lang w:bidi="zh-CN"/>
        </w:rPr>
      </w:pPr>
      <w:bookmarkStart w:id="333" w:name="_Toc70201037"/>
      <w:r>
        <w:rPr>
          <w:rFonts w:hAnsi="宋体"/>
          <w:highlight w:val="none"/>
        </w:rPr>
        <w:t>5.9</w:t>
      </w:r>
      <w:bookmarkEnd w:id="333"/>
      <w:bookmarkStart w:id="334" w:name="_Toc66347169"/>
      <w:r>
        <w:rPr>
          <w:rFonts w:hAnsi="宋体" w:cs="宋体"/>
          <w:highlight w:val="none"/>
          <w:lang w:bidi="zh-CN"/>
        </w:rPr>
        <w:t>生态环境影响预测与评价</w:t>
      </w:r>
      <w:bookmarkEnd w:id="334"/>
    </w:p>
    <w:p>
      <w:pPr>
        <w:ind w:firstLine="496"/>
        <w:rPr>
          <w:rFonts w:ascii="宋体"/>
          <w:spacing w:val="4"/>
          <w:highlight w:val="none"/>
        </w:rPr>
      </w:pPr>
      <w:r>
        <w:rPr>
          <w:rFonts w:ascii="宋体"/>
          <w:spacing w:val="4"/>
          <w:highlight w:val="none"/>
        </w:rPr>
        <w:t>通过对本项目所在地区自然资源和社会经济状况的调查，土壤、农作物和自然生态环境现状分析，结合本工程施工和运营的影响特征，对评价范围动植物、土地肥力、农业生产等生态质量影响做出综合分析，在此基础上，提出项目建设和运营时区域生态环境保护措施和要求。</w:t>
      </w:r>
    </w:p>
    <w:p>
      <w:pPr>
        <w:autoSpaceDE w:val="0"/>
        <w:autoSpaceDN w:val="0"/>
        <w:spacing w:line="460" w:lineRule="exact"/>
        <w:ind w:firstLine="562"/>
        <w:outlineLvl w:val="2"/>
        <w:rPr>
          <w:rFonts w:ascii="宋体" w:hAnsi="宋体" w:cs="宋体"/>
          <w:b/>
          <w:bCs/>
          <w:kern w:val="0"/>
          <w:sz w:val="28"/>
          <w:szCs w:val="30"/>
          <w:highlight w:val="none"/>
          <w:lang w:val="zh-CN"/>
        </w:rPr>
      </w:pPr>
      <w:bookmarkStart w:id="335" w:name="_Toc386711253"/>
      <w:bookmarkStart w:id="336" w:name="_Toc321829611"/>
      <w:bookmarkStart w:id="337" w:name="_Toc383014919"/>
      <w:r>
        <w:rPr>
          <w:rFonts w:ascii="宋体" w:hAnsi="宋体" w:cs="宋体"/>
          <w:b/>
          <w:bCs/>
          <w:kern w:val="0"/>
          <w:sz w:val="28"/>
          <w:szCs w:val="30"/>
          <w:highlight w:val="none"/>
          <w:lang w:val="zh-CN"/>
        </w:rPr>
        <w:t>5.9.1</w:t>
      </w:r>
      <w:r>
        <w:rPr>
          <w:rFonts w:hint="eastAsia" w:ascii="宋体" w:hAnsi="宋体" w:cs="宋体"/>
          <w:b/>
          <w:bCs/>
          <w:kern w:val="0"/>
          <w:sz w:val="28"/>
          <w:szCs w:val="30"/>
          <w:highlight w:val="none"/>
          <w:lang w:val="zh-CN"/>
        </w:rPr>
        <w:t>预测</w:t>
      </w:r>
      <w:r>
        <w:rPr>
          <w:rFonts w:ascii="宋体" w:hAnsi="宋体" w:cs="宋体"/>
          <w:b/>
          <w:bCs/>
          <w:kern w:val="0"/>
          <w:sz w:val="28"/>
          <w:szCs w:val="30"/>
          <w:highlight w:val="none"/>
          <w:lang w:val="zh-CN"/>
        </w:rPr>
        <w:t>范围</w:t>
      </w:r>
      <w:bookmarkEnd w:id="335"/>
      <w:bookmarkEnd w:id="336"/>
      <w:bookmarkEnd w:id="337"/>
    </w:p>
    <w:p>
      <w:pPr>
        <w:ind w:firstLine="480"/>
        <w:rPr>
          <w:rFonts w:ascii="宋体"/>
          <w:highlight w:val="none"/>
        </w:rPr>
      </w:pPr>
      <w:r>
        <w:rPr>
          <w:rFonts w:ascii="宋体"/>
          <w:highlight w:val="none"/>
        </w:rPr>
        <w:t>根据拟建工程的建设规模、污染物排放情况以及建设地点，确定本次生态环境</w:t>
      </w:r>
      <w:r>
        <w:rPr>
          <w:rFonts w:hint="eastAsia" w:ascii="宋体"/>
          <w:highlight w:val="none"/>
        </w:rPr>
        <w:t>预测范围为</w:t>
      </w:r>
      <w:r>
        <w:rPr>
          <w:rFonts w:ascii="宋体"/>
          <w:highlight w:val="none"/>
        </w:rPr>
        <w:t>本项目堆场范围的生态环境</w:t>
      </w:r>
      <w:r>
        <w:rPr>
          <w:rFonts w:hint="eastAsia" w:ascii="宋体"/>
          <w:highlight w:val="none"/>
        </w:rPr>
        <w:t>变化</w:t>
      </w:r>
      <w:r>
        <w:rPr>
          <w:rFonts w:ascii="宋体"/>
          <w:highlight w:val="none"/>
        </w:rPr>
        <w:t>。</w:t>
      </w:r>
    </w:p>
    <w:p>
      <w:pPr>
        <w:autoSpaceDE w:val="0"/>
        <w:autoSpaceDN w:val="0"/>
        <w:spacing w:line="460" w:lineRule="exact"/>
        <w:ind w:firstLine="562"/>
        <w:outlineLvl w:val="2"/>
        <w:rPr>
          <w:rFonts w:ascii="宋体" w:hAnsi="宋体" w:cs="宋体"/>
          <w:b/>
          <w:bCs/>
          <w:kern w:val="0"/>
          <w:sz w:val="28"/>
          <w:szCs w:val="30"/>
          <w:highlight w:val="none"/>
          <w:lang w:val="zh-CN"/>
        </w:rPr>
      </w:pPr>
      <w:bookmarkStart w:id="338" w:name="_Toc321829612"/>
      <w:bookmarkStart w:id="339" w:name="_Toc383014920"/>
      <w:bookmarkStart w:id="340" w:name="_Toc386711254"/>
      <w:r>
        <w:rPr>
          <w:rFonts w:ascii="宋体" w:hAnsi="宋体" w:cs="宋体"/>
          <w:b/>
          <w:bCs/>
          <w:kern w:val="0"/>
          <w:sz w:val="28"/>
          <w:szCs w:val="30"/>
          <w:highlight w:val="none"/>
          <w:lang w:val="zh-CN"/>
        </w:rPr>
        <w:t>5.9.2</w:t>
      </w:r>
      <w:r>
        <w:rPr>
          <w:rFonts w:hint="eastAsia" w:ascii="宋体" w:hAnsi="宋体" w:cs="宋体"/>
          <w:b/>
          <w:bCs/>
          <w:kern w:val="0"/>
          <w:sz w:val="28"/>
          <w:szCs w:val="30"/>
          <w:highlight w:val="none"/>
          <w:lang w:val="zh-CN"/>
        </w:rPr>
        <w:t>预测</w:t>
      </w:r>
      <w:r>
        <w:rPr>
          <w:rFonts w:ascii="宋体" w:hAnsi="宋体" w:cs="宋体"/>
          <w:b/>
          <w:bCs/>
          <w:kern w:val="0"/>
          <w:sz w:val="28"/>
          <w:szCs w:val="30"/>
          <w:highlight w:val="none"/>
          <w:lang w:val="zh-CN"/>
        </w:rPr>
        <w:t>方法和内容</w:t>
      </w:r>
      <w:bookmarkEnd w:id="338"/>
      <w:bookmarkEnd w:id="339"/>
      <w:bookmarkEnd w:id="340"/>
    </w:p>
    <w:p>
      <w:pPr>
        <w:ind w:firstLine="480"/>
        <w:rPr>
          <w:rFonts w:ascii="宋体"/>
          <w:highlight w:val="none"/>
        </w:rPr>
      </w:pPr>
      <w:r>
        <w:rPr>
          <w:rFonts w:ascii="宋体"/>
          <w:highlight w:val="none"/>
        </w:rPr>
        <w:t>本次</w:t>
      </w:r>
      <w:r>
        <w:rPr>
          <w:rFonts w:ascii="宋体" w:hAnsi="Calibri"/>
          <w:szCs w:val="22"/>
          <w:highlight w:val="none"/>
        </w:rPr>
        <w:t>生态环境的</w:t>
      </w:r>
      <w:r>
        <w:rPr>
          <w:rFonts w:hint="eastAsia" w:ascii="宋体" w:hAnsi="Calibri"/>
          <w:szCs w:val="22"/>
          <w:highlight w:val="none"/>
        </w:rPr>
        <w:t>预测</w:t>
      </w:r>
      <w:r>
        <w:rPr>
          <w:rFonts w:ascii="宋体" w:hAnsi="Calibri"/>
          <w:szCs w:val="22"/>
          <w:highlight w:val="none"/>
        </w:rPr>
        <w:t>和影响分析</w:t>
      </w:r>
      <w:r>
        <w:rPr>
          <w:rFonts w:ascii="宋体"/>
          <w:highlight w:val="none"/>
        </w:rPr>
        <w:t>主要针对项目</w:t>
      </w:r>
      <w:r>
        <w:rPr>
          <w:rFonts w:hint="eastAsia" w:ascii="宋体"/>
          <w:highlight w:val="none"/>
        </w:rPr>
        <w:t>场区</w:t>
      </w:r>
      <w:r>
        <w:rPr>
          <w:rFonts w:ascii="宋体"/>
          <w:highlight w:val="none"/>
        </w:rPr>
        <w:t>的农业生态环境，重点</w:t>
      </w:r>
      <w:r>
        <w:rPr>
          <w:rFonts w:hint="eastAsia" w:ascii="宋体"/>
          <w:highlight w:val="none"/>
        </w:rPr>
        <w:t>预测土地复垦后生态指数变化。</w:t>
      </w:r>
    </w:p>
    <w:p>
      <w:pPr>
        <w:pStyle w:val="4"/>
        <w:ind w:firstLine="562"/>
        <w:rPr>
          <w:highlight w:val="none"/>
        </w:rPr>
      </w:pPr>
      <w:r>
        <w:rPr>
          <w:highlight w:val="none"/>
        </w:rPr>
        <w:t>5.9.3运营期生态环境影响</w:t>
      </w:r>
      <w:r>
        <w:rPr>
          <w:rFonts w:hint="eastAsia"/>
          <w:highlight w:val="none"/>
        </w:rPr>
        <w:t>预测</w:t>
      </w:r>
    </w:p>
    <w:p>
      <w:pPr>
        <w:ind w:firstLine="480"/>
        <w:rPr>
          <w:rFonts w:ascii="宋体"/>
          <w:highlight w:val="none"/>
        </w:rPr>
      </w:pPr>
      <w:r>
        <w:rPr>
          <w:rFonts w:ascii="宋体"/>
          <w:highlight w:val="none"/>
        </w:rPr>
        <w:t>1</w:t>
      </w:r>
      <w:r>
        <w:rPr>
          <w:rFonts w:hint="eastAsia" w:ascii="宋体"/>
          <w:highlight w:val="none"/>
        </w:rPr>
        <w:t>、项目</w:t>
      </w:r>
      <w:r>
        <w:rPr>
          <w:rFonts w:ascii="宋体"/>
          <w:highlight w:val="none"/>
        </w:rPr>
        <w:t>场区</w:t>
      </w:r>
      <w:r>
        <w:rPr>
          <w:rFonts w:hint="eastAsia" w:ascii="宋体"/>
          <w:highlight w:val="none"/>
        </w:rPr>
        <w:t>植被分布预测</w:t>
      </w:r>
    </w:p>
    <w:p>
      <w:pPr>
        <w:ind w:firstLine="480"/>
        <w:rPr>
          <w:rFonts w:ascii="宋体"/>
          <w:highlight w:val="none"/>
        </w:rPr>
      </w:pPr>
      <w:r>
        <w:rPr>
          <w:rFonts w:hint="eastAsia" w:ascii="宋体"/>
          <w:szCs w:val="20"/>
          <w:highlight w:val="none"/>
        </w:rPr>
        <w:t>本项目厂区内</w:t>
      </w:r>
      <w:r>
        <w:rPr>
          <w:rFonts w:hint="eastAsia" w:ascii="宋体"/>
          <w:highlight w:val="none"/>
        </w:rPr>
        <w:t>植被覆盖预测见表</w:t>
      </w:r>
      <w:r>
        <w:rPr>
          <w:rFonts w:ascii="宋体"/>
          <w:spacing w:val="4"/>
          <w:highlight w:val="none"/>
        </w:rPr>
        <w:t>5.9-</w:t>
      </w:r>
      <w:r>
        <w:rPr>
          <w:rFonts w:hint="eastAsia" w:ascii="宋体"/>
          <w:spacing w:val="4"/>
          <w:highlight w:val="none"/>
        </w:rPr>
        <w:t>1</w:t>
      </w:r>
      <w:r>
        <w:rPr>
          <w:rFonts w:hint="eastAsia" w:ascii="宋体"/>
          <w:highlight w:val="none"/>
        </w:rPr>
        <w:t>。</w:t>
      </w:r>
    </w:p>
    <w:p>
      <w:pPr>
        <w:spacing w:line="320" w:lineRule="exact"/>
        <w:ind w:firstLine="480"/>
        <w:jc w:val="center"/>
        <w:rPr>
          <w:rFonts w:ascii="宋体" w:hAnsi="Calibri"/>
          <w:kern w:val="0"/>
          <w:highlight w:val="none"/>
        </w:rPr>
      </w:pPr>
      <w:r>
        <w:rPr>
          <w:rFonts w:hint="eastAsia" w:ascii="宋体" w:hAnsi="Calibri"/>
          <w:kern w:val="0"/>
          <w:highlight w:val="none"/>
        </w:rPr>
        <w:t>表</w:t>
      </w:r>
      <w:r>
        <w:rPr>
          <w:rFonts w:ascii="宋体"/>
          <w:spacing w:val="4"/>
          <w:highlight w:val="none"/>
        </w:rPr>
        <w:t>5.9-</w:t>
      </w:r>
      <w:r>
        <w:rPr>
          <w:rFonts w:hint="eastAsia" w:ascii="宋体"/>
          <w:spacing w:val="4"/>
          <w:highlight w:val="none"/>
        </w:rPr>
        <w:t>1</w:t>
      </w:r>
      <w:r>
        <w:rPr>
          <w:rFonts w:ascii="宋体" w:hAnsi="Calibri"/>
          <w:kern w:val="0"/>
          <w:highlight w:val="none"/>
        </w:rPr>
        <w:t xml:space="preserve">  </w:t>
      </w:r>
      <w:r>
        <w:rPr>
          <w:rFonts w:hint="eastAsia" w:ascii="宋体" w:hAnsi="Calibri"/>
          <w:kern w:val="0"/>
          <w:highlight w:val="none"/>
        </w:rPr>
        <w:t>项目</w:t>
      </w:r>
      <w:r>
        <w:rPr>
          <w:rFonts w:ascii="宋体" w:hAnsi="Calibri"/>
          <w:kern w:val="0"/>
          <w:highlight w:val="none"/>
        </w:rPr>
        <w:t>场区</w:t>
      </w:r>
      <w:r>
        <w:rPr>
          <w:rFonts w:hint="eastAsia" w:ascii="宋体" w:hAnsi="Calibri"/>
          <w:kern w:val="0"/>
          <w:highlight w:val="none"/>
        </w:rPr>
        <w:t>植被类型现状表</w:t>
      </w:r>
    </w:p>
    <w:tbl>
      <w:tblPr>
        <w:tblStyle w:val="44"/>
        <w:tblW w:w="917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38"/>
        <w:gridCol w:w="2210"/>
        <w:gridCol w:w="3155"/>
        <w:gridCol w:w="237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38"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序号</w:t>
            </w:r>
          </w:p>
        </w:tc>
        <w:tc>
          <w:tcPr>
            <w:tcW w:w="2210"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地类</w:t>
            </w:r>
          </w:p>
        </w:tc>
        <w:tc>
          <w:tcPr>
            <w:tcW w:w="3155"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面积（m</w:t>
            </w:r>
            <w:r>
              <w:rPr>
                <w:rFonts w:hint="eastAsia" w:ascii="宋体" w:hAnsi="宋体"/>
                <w:bCs/>
                <w:color w:val="000000"/>
                <w:sz w:val="21"/>
                <w:szCs w:val="22"/>
                <w:highlight w:val="none"/>
                <w:vertAlign w:val="superscript"/>
              </w:rPr>
              <w:t>2</w:t>
            </w:r>
            <w:r>
              <w:rPr>
                <w:rFonts w:hint="eastAsia" w:ascii="宋体" w:hAnsi="宋体"/>
                <w:bCs/>
                <w:color w:val="000000"/>
                <w:sz w:val="21"/>
                <w:szCs w:val="22"/>
                <w:highlight w:val="none"/>
              </w:rPr>
              <w:t>）</w:t>
            </w:r>
          </w:p>
        </w:tc>
        <w:tc>
          <w:tcPr>
            <w:tcW w:w="2375"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38"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1</w:t>
            </w:r>
          </w:p>
        </w:tc>
        <w:tc>
          <w:tcPr>
            <w:tcW w:w="2210"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color w:val="000000"/>
                <w:sz w:val="21"/>
                <w:szCs w:val="22"/>
                <w:highlight w:val="none"/>
              </w:rPr>
              <w:t>农田作物</w:t>
            </w:r>
          </w:p>
        </w:tc>
        <w:tc>
          <w:tcPr>
            <w:tcW w:w="315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37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38"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2</w:t>
            </w:r>
          </w:p>
        </w:tc>
        <w:tc>
          <w:tcPr>
            <w:tcW w:w="2210"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工矿用地</w:t>
            </w:r>
          </w:p>
        </w:tc>
        <w:tc>
          <w:tcPr>
            <w:tcW w:w="3155" w:type="dxa"/>
            <w:shd w:val="clear" w:color="auto" w:fill="auto"/>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37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1438"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r>
              <w:rPr>
                <w:rFonts w:ascii="宋体" w:hAnsi="宋体"/>
                <w:bCs/>
                <w:color w:val="000000"/>
                <w:sz w:val="21"/>
                <w:szCs w:val="22"/>
                <w:highlight w:val="none"/>
              </w:rPr>
              <w:t>合计</w:t>
            </w:r>
          </w:p>
        </w:tc>
        <w:tc>
          <w:tcPr>
            <w:tcW w:w="2210" w:type="dxa"/>
            <w:shd w:val="clear" w:color="auto" w:fill="auto"/>
            <w:vAlign w:val="center"/>
          </w:tcPr>
          <w:p>
            <w:pPr>
              <w:widowControl/>
              <w:spacing w:line="320" w:lineRule="exact"/>
              <w:ind w:firstLine="0" w:firstLineChars="0"/>
              <w:jc w:val="center"/>
              <w:rPr>
                <w:rFonts w:ascii="宋体" w:hAnsi="宋体"/>
                <w:bCs/>
                <w:color w:val="000000"/>
                <w:sz w:val="21"/>
                <w:szCs w:val="22"/>
                <w:highlight w:val="none"/>
              </w:rPr>
            </w:pPr>
          </w:p>
        </w:tc>
        <w:tc>
          <w:tcPr>
            <w:tcW w:w="3155" w:type="dxa"/>
            <w:shd w:val="clear" w:color="auto" w:fill="auto"/>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375" w:type="dxa"/>
            <w:shd w:val="clear" w:color="auto" w:fill="auto"/>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r>
    </w:tbl>
    <w:p>
      <w:pPr>
        <w:ind w:firstLine="480"/>
        <w:rPr>
          <w:rFonts w:ascii="宋体"/>
          <w:highlight w:val="none"/>
        </w:rPr>
      </w:pPr>
      <w:r>
        <w:rPr>
          <w:rFonts w:hint="eastAsia" w:ascii="宋体"/>
          <w:highlight w:val="none"/>
        </w:rPr>
        <w:t>由上表，可知项目场区范围内农田作物占58.98</w:t>
      </w:r>
      <w:r>
        <w:rPr>
          <w:rFonts w:ascii="宋体"/>
          <w:highlight w:val="none"/>
        </w:rPr>
        <w:t>%</w:t>
      </w:r>
      <w:r>
        <w:rPr>
          <w:rFonts w:hint="eastAsia" w:ascii="宋体"/>
          <w:highlight w:val="none"/>
        </w:rPr>
        <w:t>，其次为工矿用地，占41.02</w:t>
      </w:r>
      <w:r>
        <w:rPr>
          <w:rFonts w:ascii="宋体"/>
          <w:highlight w:val="none"/>
        </w:rPr>
        <w:t>%</w:t>
      </w:r>
      <w:r>
        <w:rPr>
          <w:rFonts w:hint="eastAsia" w:ascii="宋体"/>
          <w:highlight w:val="none"/>
        </w:rPr>
        <w:t>。</w:t>
      </w:r>
    </w:p>
    <w:p>
      <w:pPr>
        <w:autoSpaceDE w:val="0"/>
        <w:autoSpaceDN w:val="0"/>
        <w:ind w:firstLine="480"/>
        <w:rPr>
          <w:rFonts w:ascii="宋体" w:hAnsi="宋体" w:cs="宋体"/>
          <w:kern w:val="0"/>
          <w:szCs w:val="22"/>
          <w:highlight w:val="none"/>
        </w:rPr>
      </w:pPr>
      <w:r>
        <w:rPr>
          <w:rFonts w:hint="eastAsia" w:ascii="宋体" w:hAnsi="宋体" w:cs="宋体"/>
          <w:kern w:val="0"/>
          <w:szCs w:val="22"/>
          <w:highlight w:val="none"/>
        </w:rPr>
        <w:t>2、</w:t>
      </w:r>
      <w:r>
        <w:rPr>
          <w:rFonts w:hint="eastAsia" w:ascii="宋体" w:cs="宋体"/>
          <w:kern w:val="0"/>
          <w:highlight w:val="none"/>
        </w:rPr>
        <w:t>项目场区</w:t>
      </w:r>
      <w:r>
        <w:rPr>
          <w:rFonts w:hint="eastAsia" w:ascii="宋体" w:hAnsi="宋体" w:cs="宋体"/>
          <w:kern w:val="0"/>
          <w:szCs w:val="22"/>
          <w:highlight w:val="none"/>
        </w:rPr>
        <w:t>土地利用预测与评价</w:t>
      </w:r>
    </w:p>
    <w:p>
      <w:pPr>
        <w:ind w:firstLine="480"/>
        <w:rPr>
          <w:rFonts w:ascii="宋体"/>
          <w:highlight w:val="none"/>
        </w:rPr>
      </w:pPr>
      <w:r>
        <w:rPr>
          <w:rFonts w:ascii="宋体"/>
          <w:highlight w:val="none"/>
        </w:rPr>
        <w:t>1</w:t>
      </w:r>
      <w:r>
        <w:rPr>
          <w:rFonts w:hint="eastAsia" w:ascii="宋体"/>
          <w:highlight w:val="none"/>
        </w:rPr>
        <w:t>）土地利用预测</w:t>
      </w:r>
    </w:p>
    <w:p>
      <w:pPr>
        <w:ind w:firstLine="480"/>
        <w:rPr>
          <w:rFonts w:ascii="宋体"/>
          <w:highlight w:val="none"/>
        </w:rPr>
      </w:pPr>
      <w:r>
        <w:rPr>
          <w:rFonts w:hint="eastAsia" w:ascii="宋体"/>
          <w:highlight w:val="none"/>
        </w:rPr>
        <w:t>项目建成后，厂区内的土地利用主要为其他草地和旱地，各类型用地的面积和百分比见表</w:t>
      </w:r>
      <w:r>
        <w:rPr>
          <w:rFonts w:ascii="宋体"/>
          <w:spacing w:val="4"/>
          <w:highlight w:val="none"/>
        </w:rPr>
        <w:t>5.9-</w:t>
      </w:r>
      <w:r>
        <w:rPr>
          <w:rFonts w:hint="eastAsia" w:ascii="宋体"/>
          <w:spacing w:val="4"/>
          <w:highlight w:val="none"/>
        </w:rPr>
        <w:t>2</w:t>
      </w:r>
      <w:r>
        <w:rPr>
          <w:rFonts w:hint="eastAsia" w:ascii="宋体"/>
          <w:highlight w:val="none"/>
        </w:rPr>
        <w:t>。</w:t>
      </w:r>
    </w:p>
    <w:p>
      <w:pPr>
        <w:ind w:firstLine="0" w:firstLineChars="0"/>
        <w:jc w:val="center"/>
        <w:rPr>
          <w:rFonts w:ascii="宋体" w:hAnsi="Calibri"/>
          <w:highlight w:val="none"/>
        </w:rPr>
      </w:pPr>
      <w:r>
        <w:rPr>
          <w:rFonts w:hint="eastAsia" w:ascii="宋体" w:hAnsi="Calibri"/>
          <w:highlight w:val="none"/>
        </w:rPr>
        <w:t>表</w:t>
      </w:r>
      <w:r>
        <w:rPr>
          <w:rFonts w:ascii="宋体"/>
          <w:spacing w:val="4"/>
          <w:highlight w:val="none"/>
        </w:rPr>
        <w:t>5.9-</w:t>
      </w:r>
      <w:r>
        <w:rPr>
          <w:rFonts w:hint="eastAsia" w:ascii="宋体"/>
          <w:spacing w:val="4"/>
          <w:highlight w:val="none"/>
        </w:rPr>
        <w:t>2</w:t>
      </w:r>
      <w:r>
        <w:rPr>
          <w:rFonts w:ascii="宋体" w:hAnsi="Calibri"/>
          <w:highlight w:val="none"/>
        </w:rPr>
        <w:t xml:space="preserve">  </w:t>
      </w:r>
      <w:r>
        <w:rPr>
          <w:rFonts w:hint="eastAsia" w:ascii="宋体" w:hAnsi="Calibri"/>
          <w:highlight w:val="none"/>
        </w:rPr>
        <w:t>场区土地利用现状类型面积及比例表</w:t>
      </w:r>
    </w:p>
    <w:tbl>
      <w:tblPr>
        <w:tblStyle w:val="44"/>
        <w:tblW w:w="917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2662"/>
        <w:gridCol w:w="2317"/>
        <w:gridCol w:w="206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序号</w:t>
            </w:r>
          </w:p>
        </w:tc>
        <w:tc>
          <w:tcPr>
            <w:tcW w:w="2662"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地类</w:t>
            </w:r>
          </w:p>
        </w:tc>
        <w:tc>
          <w:tcPr>
            <w:tcW w:w="2317"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面积（m</w:t>
            </w:r>
            <w:r>
              <w:rPr>
                <w:rFonts w:hint="eastAsia" w:ascii="宋体" w:hAnsi="宋体"/>
                <w:bCs/>
                <w:color w:val="000000"/>
                <w:sz w:val="21"/>
                <w:szCs w:val="22"/>
                <w:highlight w:val="none"/>
                <w:vertAlign w:val="superscript"/>
              </w:rPr>
              <w:t>2</w:t>
            </w:r>
            <w:r>
              <w:rPr>
                <w:rFonts w:hint="eastAsia" w:ascii="宋体" w:hAnsi="宋体"/>
                <w:bCs/>
                <w:color w:val="000000"/>
                <w:sz w:val="21"/>
                <w:szCs w:val="22"/>
                <w:highlight w:val="none"/>
              </w:rPr>
              <w:t>）</w:t>
            </w:r>
          </w:p>
        </w:tc>
        <w:tc>
          <w:tcPr>
            <w:tcW w:w="2069"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1</w:t>
            </w:r>
          </w:p>
        </w:tc>
        <w:tc>
          <w:tcPr>
            <w:tcW w:w="2662"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Calibri"/>
                <w:szCs w:val="22"/>
                <w:highlight w:val="none"/>
              </w:rPr>
              <w:t>旱地</w:t>
            </w:r>
          </w:p>
        </w:tc>
        <w:tc>
          <w:tcPr>
            <w:tcW w:w="23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06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2</w:t>
            </w:r>
          </w:p>
        </w:tc>
        <w:tc>
          <w:tcPr>
            <w:tcW w:w="2662"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工矿用地</w:t>
            </w:r>
          </w:p>
        </w:tc>
        <w:tc>
          <w:tcPr>
            <w:tcW w:w="2317"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06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color w:val="000000"/>
                <w:sz w:val="21"/>
                <w:szCs w:val="22"/>
                <w:highlight w:val="none"/>
              </w:rPr>
            </w:pPr>
            <w:r>
              <w:rPr>
                <w:rFonts w:ascii="宋体" w:hAnsi="宋体"/>
                <w:bCs/>
                <w:color w:val="000000"/>
                <w:sz w:val="21"/>
                <w:szCs w:val="22"/>
                <w:highlight w:val="none"/>
              </w:rPr>
              <w:t>合计</w:t>
            </w:r>
          </w:p>
        </w:tc>
        <w:tc>
          <w:tcPr>
            <w:tcW w:w="2662" w:type="dxa"/>
            <w:vAlign w:val="center"/>
          </w:tcPr>
          <w:p>
            <w:pPr>
              <w:widowControl/>
              <w:spacing w:line="320" w:lineRule="exact"/>
              <w:ind w:firstLine="0" w:firstLineChars="0"/>
              <w:jc w:val="center"/>
              <w:rPr>
                <w:rFonts w:ascii="宋体" w:hAnsi="宋体"/>
                <w:bCs/>
                <w:sz w:val="21"/>
                <w:szCs w:val="22"/>
                <w:highlight w:val="none"/>
              </w:rPr>
            </w:pPr>
          </w:p>
        </w:tc>
        <w:tc>
          <w:tcPr>
            <w:tcW w:w="2317"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069"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r>
    </w:tbl>
    <w:p>
      <w:pPr>
        <w:ind w:firstLine="480"/>
        <w:rPr>
          <w:rFonts w:ascii="宋体"/>
          <w:highlight w:val="none"/>
        </w:rPr>
      </w:pPr>
      <w:r>
        <w:rPr>
          <w:rFonts w:hint="eastAsia" w:ascii="宋体"/>
          <w:highlight w:val="none"/>
        </w:rPr>
        <w:t>由表可知，项目场区土地利用类型主要为</w:t>
      </w:r>
      <w:r>
        <w:rPr>
          <w:rFonts w:hint="eastAsia" w:ascii="宋体" w:hAnsi="Calibri"/>
          <w:szCs w:val="22"/>
          <w:highlight w:val="none"/>
        </w:rPr>
        <w:t>旱地和</w:t>
      </w:r>
      <w:r>
        <w:rPr>
          <w:rFonts w:ascii="宋体" w:hAnsi="宋体"/>
          <w:bCs/>
          <w:sz w:val="21"/>
          <w:szCs w:val="22"/>
          <w:highlight w:val="none"/>
        </w:rPr>
        <w:t>工矿用地</w:t>
      </w:r>
      <w:r>
        <w:rPr>
          <w:rFonts w:hint="eastAsia" w:ascii="宋体"/>
          <w:highlight w:val="none"/>
        </w:rPr>
        <w:t>，分别占总面积的</w:t>
      </w:r>
      <w:r>
        <w:rPr>
          <w:rFonts w:hint="eastAsia" w:ascii="宋体" w:hAnsi="Calibri"/>
          <w:szCs w:val="22"/>
          <w:highlight w:val="none"/>
        </w:rPr>
        <w:t>58.98</w:t>
      </w:r>
      <w:r>
        <w:rPr>
          <w:rFonts w:ascii="宋体"/>
          <w:highlight w:val="none"/>
        </w:rPr>
        <w:t>%</w:t>
      </w:r>
      <w:r>
        <w:rPr>
          <w:rFonts w:hint="eastAsia" w:ascii="宋体"/>
          <w:highlight w:val="none"/>
        </w:rPr>
        <w:t>、</w:t>
      </w:r>
      <w:r>
        <w:rPr>
          <w:rFonts w:hint="eastAsia" w:ascii="宋体" w:hAnsi="Calibri"/>
          <w:szCs w:val="22"/>
          <w:highlight w:val="none"/>
        </w:rPr>
        <w:t>41.02</w:t>
      </w:r>
      <w:r>
        <w:rPr>
          <w:rFonts w:ascii="宋体"/>
          <w:highlight w:val="none"/>
        </w:rPr>
        <w:t>%</w:t>
      </w:r>
      <w:r>
        <w:rPr>
          <w:rFonts w:hint="eastAsia" w:ascii="宋体"/>
          <w:highlight w:val="none"/>
        </w:rPr>
        <w:t>。</w:t>
      </w:r>
    </w:p>
    <w:p>
      <w:pPr>
        <w:spacing w:line="400" w:lineRule="exact"/>
        <w:ind w:firstLine="480"/>
        <w:rPr>
          <w:rFonts w:ascii="宋体" w:hAnsi="宋体"/>
          <w:highlight w:val="none"/>
        </w:rPr>
      </w:pPr>
      <w:r>
        <w:rPr>
          <w:rFonts w:ascii="宋体" w:hAnsi="宋体"/>
          <w:highlight w:val="none"/>
        </w:rPr>
        <w:t>2</w:t>
      </w:r>
      <w:r>
        <w:rPr>
          <w:rFonts w:hint="eastAsia" w:ascii="宋体" w:hAnsi="宋体"/>
          <w:highlight w:val="none"/>
        </w:rPr>
        <w:t>）</w:t>
      </w:r>
      <w:r>
        <w:rPr>
          <w:rFonts w:hint="eastAsia" w:ascii="宋体"/>
          <w:highlight w:val="none"/>
        </w:rPr>
        <w:t>土地利用评价</w:t>
      </w:r>
    </w:p>
    <w:p>
      <w:pPr>
        <w:spacing w:line="400" w:lineRule="exact"/>
        <w:ind w:firstLine="436" w:firstLineChars="182"/>
        <w:rPr>
          <w:rFonts w:ascii="宋体" w:hAnsi="宋体"/>
          <w:highlight w:val="none"/>
        </w:rPr>
      </w:pPr>
      <w:r>
        <w:rPr>
          <w:rFonts w:hint="eastAsia" w:ascii="宋体" w:hAnsi="宋体"/>
          <w:highlight w:val="none"/>
        </w:rPr>
        <w:t>生物量是指生物在单位面积和单位时间所产生的有机物质的重量，亦指生长速度，以</w:t>
      </w:r>
      <w:r>
        <w:rPr>
          <w:rFonts w:ascii="宋体" w:hAnsi="宋体"/>
          <w:highlight w:val="none"/>
        </w:rPr>
        <w:t>t/(hm</w:t>
      </w:r>
      <w:r>
        <w:rPr>
          <w:rFonts w:ascii="宋体" w:hAnsi="宋体"/>
          <w:highlight w:val="none"/>
          <w:vertAlign w:val="superscript"/>
        </w:rPr>
        <w:t>2</w:t>
      </w:r>
      <w:r>
        <w:rPr>
          <w:rFonts w:hint="eastAsia" w:ascii="宋体" w:hAnsi="宋体"/>
          <w:highlight w:val="none"/>
        </w:rPr>
        <w:t>·</w:t>
      </w:r>
      <w:r>
        <w:rPr>
          <w:rFonts w:ascii="宋体" w:hAnsi="宋体"/>
          <w:highlight w:val="none"/>
        </w:rPr>
        <w:t>a)</w:t>
      </w:r>
      <w:r>
        <w:rPr>
          <w:rFonts w:hint="eastAsia" w:ascii="宋体" w:hAnsi="宋体"/>
          <w:highlight w:val="none"/>
        </w:rPr>
        <w:t>表示。以测定绿色植物生长快慢或其他指标来代表生物生产力，以</w:t>
      </w:r>
      <w:r>
        <w:rPr>
          <w:rFonts w:ascii="宋体" w:hAnsi="宋体"/>
          <w:highlight w:val="none"/>
        </w:rPr>
        <w:t>Pa</w:t>
      </w:r>
      <w:r>
        <w:rPr>
          <w:rFonts w:hint="eastAsia" w:ascii="宋体" w:hAnsi="宋体"/>
          <w:highlight w:val="none"/>
        </w:rPr>
        <w:t>表示：</w:t>
      </w:r>
      <w:r>
        <w:rPr>
          <w:rFonts w:ascii="宋体" w:hAnsi="宋体"/>
          <w:highlight w:val="none"/>
        </w:rPr>
        <w:t xml:space="preserve"> Pa=Ba/Bmo</w:t>
      </w:r>
    </w:p>
    <w:p>
      <w:pPr>
        <w:spacing w:line="400" w:lineRule="exact"/>
        <w:ind w:firstLine="480"/>
        <w:rPr>
          <w:rFonts w:ascii="宋体" w:hAnsi="宋体"/>
          <w:highlight w:val="none"/>
        </w:rPr>
      </w:pPr>
      <w:r>
        <w:rPr>
          <w:rFonts w:hint="eastAsia" w:ascii="宋体" w:hAnsi="宋体"/>
          <w:highlight w:val="none"/>
        </w:rPr>
        <w:t>式中：</w:t>
      </w:r>
      <w:r>
        <w:rPr>
          <w:rFonts w:ascii="宋体" w:hAnsi="宋体"/>
          <w:highlight w:val="none"/>
        </w:rPr>
        <w:t>Ba</w:t>
      </w:r>
      <w:r>
        <w:rPr>
          <w:rFonts w:hint="eastAsia" w:ascii="宋体" w:hAnsi="宋体"/>
          <w:highlight w:val="none"/>
        </w:rPr>
        <w:t>—生物量</w:t>
      </w:r>
    </w:p>
    <w:p>
      <w:pPr>
        <w:spacing w:line="400" w:lineRule="exact"/>
        <w:ind w:firstLine="480"/>
        <w:rPr>
          <w:rFonts w:ascii="宋体" w:hAnsi="宋体"/>
          <w:highlight w:val="none"/>
        </w:rPr>
      </w:pPr>
      <w:r>
        <w:rPr>
          <w:rFonts w:ascii="宋体" w:hAnsi="宋体"/>
          <w:highlight w:val="none"/>
        </w:rPr>
        <w:t xml:space="preserve">      Bmo</w:t>
      </w:r>
      <w:r>
        <w:rPr>
          <w:rFonts w:hint="eastAsia" w:ascii="宋体" w:hAnsi="宋体"/>
          <w:highlight w:val="none"/>
        </w:rPr>
        <w:t>—标定生物量</w:t>
      </w:r>
    </w:p>
    <w:p>
      <w:pPr>
        <w:spacing w:line="400" w:lineRule="exact"/>
        <w:ind w:firstLine="480"/>
        <w:jc w:val="left"/>
        <w:rPr>
          <w:rFonts w:ascii="宋体" w:hAnsi="宋体"/>
          <w:highlight w:val="none"/>
        </w:rPr>
      </w:pPr>
      <w:r>
        <w:rPr>
          <w:rFonts w:ascii="宋体" w:hAnsi="宋体"/>
          <w:highlight w:val="none"/>
        </w:rPr>
        <w:t>Pa</w:t>
      </w:r>
      <w:r>
        <w:rPr>
          <w:rFonts w:hint="eastAsia" w:ascii="宋体" w:hAnsi="宋体"/>
          <w:highlight w:val="none"/>
        </w:rPr>
        <w:t>值越大，则土地利用功能变化就越好。</w:t>
      </w:r>
    </w:p>
    <w:p>
      <w:pPr>
        <w:spacing w:line="400" w:lineRule="exact"/>
        <w:ind w:firstLine="480"/>
        <w:jc w:val="left"/>
        <w:rPr>
          <w:rFonts w:ascii="宋体" w:hAnsi="宋体"/>
          <w:highlight w:val="none"/>
        </w:rPr>
      </w:pPr>
      <w:r>
        <w:rPr>
          <w:rFonts w:hint="eastAsia" w:ascii="宋体" w:hAnsi="宋体"/>
          <w:highlight w:val="none"/>
        </w:rPr>
        <w:t>土地利用现状生物量表</w:t>
      </w:r>
      <w:r>
        <w:rPr>
          <w:rFonts w:ascii="宋体"/>
          <w:spacing w:val="4"/>
          <w:highlight w:val="none"/>
        </w:rPr>
        <w:t>5.9-</w:t>
      </w:r>
      <w:r>
        <w:rPr>
          <w:rFonts w:hint="eastAsia" w:ascii="宋体"/>
          <w:spacing w:val="4"/>
          <w:highlight w:val="none"/>
        </w:rPr>
        <w:t>3</w:t>
      </w:r>
      <w:r>
        <w:rPr>
          <w:rFonts w:hint="eastAsia" w:ascii="宋体" w:hAnsi="宋体"/>
          <w:highlight w:val="none"/>
        </w:rPr>
        <w:t>。</w:t>
      </w:r>
    </w:p>
    <w:p>
      <w:pPr>
        <w:ind w:firstLine="0" w:firstLineChars="0"/>
        <w:jc w:val="center"/>
        <w:rPr>
          <w:rFonts w:ascii="宋体" w:hAnsi="Calibri"/>
          <w:highlight w:val="none"/>
        </w:rPr>
      </w:pPr>
      <w:r>
        <w:rPr>
          <w:rFonts w:hint="eastAsia" w:ascii="宋体" w:hAnsi="Calibri"/>
          <w:highlight w:val="none"/>
        </w:rPr>
        <w:t>表</w:t>
      </w:r>
      <w:r>
        <w:rPr>
          <w:rFonts w:ascii="宋体"/>
          <w:spacing w:val="4"/>
          <w:highlight w:val="none"/>
        </w:rPr>
        <w:t>5.9-</w:t>
      </w:r>
      <w:r>
        <w:rPr>
          <w:rFonts w:hint="eastAsia" w:ascii="宋体"/>
          <w:spacing w:val="4"/>
          <w:highlight w:val="none"/>
        </w:rPr>
        <w:t>3</w:t>
      </w:r>
      <w:r>
        <w:rPr>
          <w:rFonts w:ascii="宋体" w:hAnsi="Calibri"/>
          <w:highlight w:val="none"/>
        </w:rPr>
        <w:t xml:space="preserve">  </w:t>
      </w:r>
      <w:r>
        <w:rPr>
          <w:rFonts w:hint="eastAsia" w:ascii="宋体" w:hAnsi="Calibri"/>
          <w:kern w:val="0"/>
          <w:highlight w:val="none"/>
        </w:rPr>
        <w:t>项目</w:t>
      </w:r>
      <w:r>
        <w:rPr>
          <w:rFonts w:ascii="宋体" w:hAnsi="Calibri"/>
          <w:kern w:val="0"/>
          <w:highlight w:val="none"/>
        </w:rPr>
        <w:t>场区</w:t>
      </w:r>
      <w:r>
        <w:rPr>
          <w:rFonts w:hint="eastAsia" w:ascii="宋体" w:hAnsi="Calibri"/>
          <w:highlight w:val="none"/>
        </w:rPr>
        <w:t>土地利用现状生物量</w:t>
      </w:r>
    </w:p>
    <w:tbl>
      <w:tblPr>
        <w:tblStyle w:val="44"/>
        <w:tblW w:w="917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2662"/>
        <w:gridCol w:w="2317"/>
        <w:gridCol w:w="206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地类</w:t>
            </w:r>
          </w:p>
        </w:tc>
        <w:tc>
          <w:tcPr>
            <w:tcW w:w="2662"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面积（</w:t>
            </w:r>
            <w:r>
              <w:rPr>
                <w:rFonts w:ascii="宋体" w:hAnsi="宋体"/>
                <w:bCs/>
                <w:color w:val="000000"/>
                <w:sz w:val="21"/>
                <w:szCs w:val="22"/>
                <w:highlight w:val="none"/>
              </w:rPr>
              <w:t>m</w:t>
            </w:r>
            <w:r>
              <w:rPr>
                <w:rFonts w:ascii="宋体" w:hAnsi="宋体"/>
                <w:bCs/>
                <w:color w:val="000000"/>
                <w:sz w:val="21"/>
                <w:szCs w:val="22"/>
                <w:highlight w:val="none"/>
                <w:vertAlign w:val="superscript"/>
              </w:rPr>
              <w:t>2</w:t>
            </w:r>
            <w:r>
              <w:rPr>
                <w:rFonts w:hint="eastAsia" w:ascii="宋体" w:hAnsi="宋体"/>
                <w:bCs/>
                <w:color w:val="000000"/>
                <w:sz w:val="21"/>
                <w:szCs w:val="22"/>
                <w:highlight w:val="none"/>
              </w:rPr>
              <w:t>）</w:t>
            </w:r>
          </w:p>
        </w:tc>
        <w:tc>
          <w:tcPr>
            <w:tcW w:w="2317"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比例</w:t>
            </w:r>
          </w:p>
        </w:tc>
        <w:tc>
          <w:tcPr>
            <w:tcW w:w="2069"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cs="宋体"/>
                <w:bCs/>
                <w:color w:val="000000"/>
                <w:sz w:val="21"/>
                <w:szCs w:val="22"/>
                <w:highlight w:val="none"/>
              </w:rPr>
              <w:t>生物量</w:t>
            </w:r>
            <w:r>
              <w:rPr>
                <w:rFonts w:ascii="宋体" w:hAnsi="宋体" w:cs="宋体"/>
                <w:bCs/>
                <w:color w:val="000000"/>
                <w:sz w:val="21"/>
                <w:szCs w:val="22"/>
                <w:highlight w:val="none"/>
              </w:rPr>
              <w:t>t/(hm</w:t>
            </w:r>
            <w:r>
              <w:rPr>
                <w:rFonts w:ascii="宋体" w:hAnsi="宋体" w:cs="宋体"/>
                <w:bCs/>
                <w:color w:val="000000"/>
                <w:sz w:val="21"/>
                <w:szCs w:val="22"/>
                <w:highlight w:val="none"/>
                <w:vertAlign w:val="superscript"/>
              </w:rPr>
              <w:t>2</w:t>
            </w:r>
            <w:r>
              <w:rPr>
                <w:rFonts w:hint="eastAsia" w:ascii="宋体" w:hAnsi="宋体" w:cs="宋体"/>
                <w:bCs/>
                <w:color w:val="000000"/>
                <w:sz w:val="21"/>
                <w:szCs w:val="22"/>
                <w:highlight w:val="none"/>
              </w:rPr>
              <w:t>·</w:t>
            </w:r>
            <w:r>
              <w:rPr>
                <w:rFonts w:ascii="宋体" w:hAnsi="宋体" w:cs="宋体"/>
                <w:bCs/>
                <w:color w:val="000000"/>
                <w:sz w:val="21"/>
                <w:szCs w:val="22"/>
                <w:highlight w:val="none"/>
              </w:rPr>
              <w: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Calibri"/>
                <w:szCs w:val="22"/>
                <w:highlight w:val="none"/>
              </w:rPr>
              <w:t>旱地</w:t>
            </w:r>
          </w:p>
        </w:tc>
        <w:tc>
          <w:tcPr>
            <w:tcW w:w="2662"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3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c>
          <w:tcPr>
            <w:tcW w:w="2069"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工矿用地</w:t>
            </w:r>
          </w:p>
        </w:tc>
        <w:tc>
          <w:tcPr>
            <w:tcW w:w="2662"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317"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c>
          <w:tcPr>
            <w:tcW w:w="2069"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合计</w:t>
            </w:r>
          </w:p>
        </w:tc>
        <w:tc>
          <w:tcPr>
            <w:tcW w:w="2662" w:type="dxa"/>
            <w:vAlign w:val="center"/>
          </w:tcPr>
          <w:p>
            <w:pPr>
              <w:widowControl/>
              <w:spacing w:line="320" w:lineRule="exact"/>
              <w:ind w:firstLine="0" w:firstLineChars="0"/>
              <w:jc w:val="center"/>
              <w:rPr>
                <w:rFonts w:hint="eastAsia" w:ascii="宋体" w:hAnsi="宋体" w:eastAsia="宋体"/>
                <w:bCs/>
                <w:color w:val="000000"/>
                <w:sz w:val="21"/>
                <w:szCs w:val="22"/>
                <w:highlight w:val="none"/>
                <w:lang w:eastAsia="zh-CN"/>
              </w:rPr>
            </w:pPr>
            <w:r>
              <w:rPr>
                <w:rFonts w:hint="eastAsia" w:ascii="宋体" w:hAnsi="宋体"/>
                <w:bCs/>
                <w:color w:val="000000"/>
                <w:sz w:val="21"/>
                <w:szCs w:val="22"/>
                <w:highlight w:val="none"/>
                <w:lang w:eastAsia="zh-CN"/>
              </w:rPr>
              <w:t>32800</w:t>
            </w:r>
          </w:p>
        </w:tc>
        <w:tc>
          <w:tcPr>
            <w:tcW w:w="2317"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100</w:t>
            </w:r>
          </w:p>
        </w:tc>
        <w:tc>
          <w:tcPr>
            <w:tcW w:w="2069" w:type="dxa"/>
            <w:vAlign w:val="center"/>
          </w:tcPr>
          <w:p>
            <w:pPr>
              <w:widowControl/>
              <w:spacing w:line="320" w:lineRule="exact"/>
              <w:ind w:firstLine="0" w:firstLineChars="0"/>
              <w:jc w:val="center"/>
              <w:rPr>
                <w:rFonts w:ascii="宋体" w:hAnsi="宋体"/>
                <w:bCs/>
                <w:color w:val="000000"/>
                <w:sz w:val="21"/>
                <w:szCs w:val="22"/>
                <w:highlight w:val="none"/>
              </w:rPr>
            </w:pPr>
            <w:r>
              <w:rPr>
                <w:rFonts w:ascii="宋体" w:hAnsi="宋体"/>
                <w:bCs/>
                <w:color w:val="000000"/>
                <w:sz w:val="21"/>
                <w:szCs w:val="22"/>
                <w:highlight w:val="none"/>
              </w:rPr>
              <w:t>12.6</w:t>
            </w:r>
            <w:r>
              <w:rPr>
                <w:rFonts w:hint="eastAsia" w:ascii="宋体" w:hAnsi="宋体"/>
                <w:bCs/>
                <w:color w:val="000000"/>
                <w:sz w:val="21"/>
                <w:szCs w:val="22"/>
                <w:highlight w:val="none"/>
              </w:rPr>
              <w:t>2</w:t>
            </w:r>
          </w:p>
        </w:tc>
      </w:tr>
    </w:tbl>
    <w:p>
      <w:pPr>
        <w:ind w:firstLine="480"/>
        <w:rPr>
          <w:rFonts w:ascii="宋体" w:hAnsi="宋体"/>
          <w:highlight w:val="none"/>
        </w:rPr>
      </w:pPr>
      <w:r>
        <w:rPr>
          <w:rFonts w:hint="eastAsia" w:ascii="宋体" w:hAnsi="宋体"/>
          <w:highlight w:val="none"/>
        </w:rPr>
        <w:t>经过预测，</w:t>
      </w:r>
      <w:r>
        <w:rPr>
          <w:rFonts w:hint="eastAsia" w:ascii="宋体" w:hAnsi="Calibri"/>
          <w:kern w:val="0"/>
          <w:highlight w:val="none"/>
        </w:rPr>
        <w:t>项目</w:t>
      </w:r>
      <w:r>
        <w:rPr>
          <w:rFonts w:ascii="宋体" w:hAnsi="Calibri"/>
          <w:kern w:val="0"/>
          <w:highlight w:val="none"/>
        </w:rPr>
        <w:t>场区</w:t>
      </w:r>
      <w:r>
        <w:rPr>
          <w:rFonts w:hint="eastAsia" w:ascii="宋体" w:hAnsi="宋体"/>
          <w:highlight w:val="none"/>
        </w:rPr>
        <w:t>土地生物量约为12.62</w:t>
      </w:r>
      <w:r>
        <w:rPr>
          <w:rFonts w:ascii="宋体" w:hAnsi="宋体"/>
          <w:highlight w:val="none"/>
        </w:rPr>
        <w:t>t/hm</w:t>
      </w:r>
      <w:r>
        <w:rPr>
          <w:rFonts w:ascii="宋体" w:hAnsi="宋体"/>
          <w:highlight w:val="none"/>
          <w:vertAlign w:val="superscript"/>
        </w:rPr>
        <w:t>2</w:t>
      </w:r>
      <w:r>
        <w:rPr>
          <w:rFonts w:hint="eastAsia" w:ascii="宋体" w:hAnsi="宋体"/>
          <w:highlight w:val="none"/>
        </w:rPr>
        <w:t>·</w:t>
      </w:r>
      <w:r>
        <w:rPr>
          <w:rFonts w:ascii="宋体" w:hAnsi="宋体"/>
          <w:highlight w:val="none"/>
        </w:rPr>
        <w:t>a</w:t>
      </w:r>
      <w:r>
        <w:rPr>
          <w:rFonts w:hint="eastAsia" w:ascii="宋体" w:hAnsi="宋体"/>
          <w:highlight w:val="none"/>
        </w:rPr>
        <w:t>。将不同土地利用类型中生物量最大的林地确定为标定生物量，即</w:t>
      </w:r>
      <w:r>
        <w:rPr>
          <w:rFonts w:ascii="宋体" w:hAnsi="宋体"/>
          <w:highlight w:val="none"/>
        </w:rPr>
        <w:t>20</w:t>
      </w:r>
      <w:r>
        <w:rPr>
          <w:rFonts w:hint="eastAsia" w:ascii="宋体" w:hAnsi="宋体"/>
          <w:highlight w:val="none"/>
        </w:rPr>
        <w:t>，根据公式：</w:t>
      </w:r>
      <w:r>
        <w:rPr>
          <w:rFonts w:ascii="宋体" w:hAnsi="宋体"/>
          <w:highlight w:val="none"/>
        </w:rPr>
        <w:t>Pa=Ba/Bmo</w:t>
      </w:r>
      <w:r>
        <w:rPr>
          <w:rFonts w:hint="eastAsia" w:ascii="宋体" w:hAnsi="宋体"/>
          <w:highlight w:val="none"/>
        </w:rPr>
        <w:t>得出，</w:t>
      </w:r>
      <w:r>
        <w:rPr>
          <w:rFonts w:hint="eastAsia" w:ascii="宋体" w:hAnsi="Calibri"/>
          <w:kern w:val="0"/>
          <w:highlight w:val="none"/>
        </w:rPr>
        <w:t>项目厂区内</w:t>
      </w:r>
      <w:r>
        <w:rPr>
          <w:rFonts w:hint="eastAsia" w:ascii="宋体" w:hAnsi="宋体"/>
          <w:highlight w:val="none"/>
        </w:rPr>
        <w:t>土地利用预测评价值为</w:t>
      </w:r>
      <w:r>
        <w:rPr>
          <w:rFonts w:ascii="宋体" w:hAnsi="宋体"/>
          <w:highlight w:val="none"/>
        </w:rPr>
        <w:t>0</w:t>
      </w:r>
      <w:r>
        <w:rPr>
          <w:rFonts w:hint="eastAsia" w:ascii="宋体" w:hAnsi="宋体"/>
          <w:highlight w:val="none"/>
        </w:rPr>
        <w:t>.631。</w:t>
      </w:r>
    </w:p>
    <w:p>
      <w:pPr>
        <w:ind w:firstLine="480"/>
        <w:rPr>
          <w:rFonts w:ascii="宋体" w:hAnsi="宋体"/>
          <w:highlight w:val="none"/>
        </w:rPr>
      </w:pPr>
      <w:r>
        <w:rPr>
          <w:rFonts w:hint="eastAsia" w:ascii="宋体" w:hAnsi="Calibri"/>
          <w:kern w:val="0"/>
          <w:highlight w:val="none"/>
        </w:rPr>
        <w:t>项目厂区内</w:t>
      </w:r>
      <w:r>
        <w:rPr>
          <w:rFonts w:hint="eastAsia" w:ascii="宋体" w:hAnsi="宋体"/>
          <w:highlight w:val="none"/>
        </w:rPr>
        <w:t>土地利用评价值由</w:t>
      </w:r>
      <w:r>
        <w:rPr>
          <w:rFonts w:ascii="宋体" w:hAnsi="宋体"/>
          <w:highlight w:val="none"/>
        </w:rPr>
        <w:t>0</w:t>
      </w:r>
      <w:r>
        <w:rPr>
          <w:rFonts w:hint="eastAsia" w:ascii="宋体" w:hAnsi="宋体"/>
          <w:highlight w:val="none"/>
        </w:rPr>
        <w:t>.336增加至</w:t>
      </w:r>
      <w:r>
        <w:rPr>
          <w:rFonts w:ascii="宋体" w:hAnsi="宋体"/>
          <w:highlight w:val="none"/>
        </w:rPr>
        <w:t>0</w:t>
      </w:r>
      <w:r>
        <w:rPr>
          <w:rFonts w:hint="eastAsia" w:ascii="宋体" w:hAnsi="宋体"/>
          <w:highlight w:val="none"/>
        </w:rPr>
        <w:t>.631。Pa值增大，土地利用功能向好的方向变化。</w:t>
      </w:r>
    </w:p>
    <w:p>
      <w:pPr>
        <w:autoSpaceDE w:val="0"/>
        <w:autoSpaceDN w:val="0"/>
        <w:ind w:firstLine="480"/>
        <w:rPr>
          <w:rFonts w:ascii="宋体" w:hAnsi="宋体" w:cs="宋体"/>
          <w:kern w:val="0"/>
          <w:szCs w:val="22"/>
          <w:highlight w:val="none"/>
        </w:rPr>
      </w:pPr>
      <w:r>
        <w:rPr>
          <w:rFonts w:hint="eastAsia" w:ascii="宋体" w:hAnsi="宋体" w:cs="宋体"/>
          <w:kern w:val="0"/>
          <w:szCs w:val="22"/>
          <w:highlight w:val="none"/>
        </w:rPr>
        <w:t>3、土壤侵蚀预测与评价</w:t>
      </w:r>
    </w:p>
    <w:p>
      <w:pPr>
        <w:ind w:firstLine="480"/>
        <w:rPr>
          <w:rFonts w:ascii="宋体"/>
          <w:bCs/>
          <w:highlight w:val="none"/>
        </w:rPr>
      </w:pPr>
      <w:r>
        <w:rPr>
          <w:rFonts w:hint="eastAsia" w:ascii="宋体"/>
          <w:bCs/>
          <w:highlight w:val="none"/>
        </w:rPr>
        <w:t>1）</w:t>
      </w:r>
      <w:r>
        <w:rPr>
          <w:rFonts w:hint="eastAsia" w:ascii="宋体" w:hAnsi="等线 Light"/>
          <w:bCs/>
          <w:szCs w:val="28"/>
          <w:highlight w:val="none"/>
        </w:rPr>
        <w:t>土壤侵蚀</w:t>
      </w:r>
      <w:r>
        <w:rPr>
          <w:rFonts w:hint="eastAsia" w:ascii="宋体"/>
          <w:bCs/>
          <w:highlight w:val="none"/>
        </w:rPr>
        <w:t>预测</w:t>
      </w:r>
    </w:p>
    <w:p>
      <w:pPr>
        <w:ind w:firstLine="480"/>
        <w:rPr>
          <w:rFonts w:ascii="宋体"/>
          <w:bCs/>
          <w:highlight w:val="none"/>
        </w:rPr>
      </w:pPr>
      <w:r>
        <w:rPr>
          <w:rFonts w:hint="eastAsia" w:ascii="宋体" w:hAnsi="等线 Light"/>
          <w:bCs/>
          <w:szCs w:val="28"/>
          <w:highlight w:val="none"/>
        </w:rPr>
        <w:t>项目场区土壤侵蚀</w:t>
      </w:r>
      <w:r>
        <w:rPr>
          <w:rFonts w:hint="eastAsia" w:ascii="宋体"/>
          <w:bCs/>
          <w:highlight w:val="none"/>
        </w:rPr>
        <w:t>预测结果</w:t>
      </w:r>
      <w:r>
        <w:rPr>
          <w:rFonts w:hint="eastAsia" w:ascii="宋体"/>
          <w:highlight w:val="none"/>
        </w:rPr>
        <w:t>，统计见表</w:t>
      </w:r>
      <w:r>
        <w:rPr>
          <w:rFonts w:ascii="宋体"/>
          <w:spacing w:val="4"/>
          <w:highlight w:val="none"/>
        </w:rPr>
        <w:t>5.9-</w:t>
      </w:r>
      <w:r>
        <w:rPr>
          <w:rFonts w:hint="eastAsia" w:ascii="宋体"/>
          <w:spacing w:val="4"/>
          <w:highlight w:val="none"/>
        </w:rPr>
        <w:t>4</w:t>
      </w:r>
      <w:r>
        <w:rPr>
          <w:rFonts w:hint="eastAsia" w:ascii="宋体"/>
          <w:highlight w:val="none"/>
        </w:rPr>
        <w:t>。</w:t>
      </w:r>
    </w:p>
    <w:p>
      <w:pPr>
        <w:ind w:firstLine="0" w:firstLineChars="0"/>
        <w:jc w:val="center"/>
        <w:rPr>
          <w:rFonts w:ascii="宋体" w:hAnsi="Calibri"/>
          <w:highlight w:val="none"/>
        </w:rPr>
      </w:pPr>
      <w:r>
        <w:rPr>
          <w:rFonts w:hint="eastAsia" w:ascii="宋体" w:hAnsi="Calibri"/>
          <w:highlight w:val="none"/>
        </w:rPr>
        <w:t>表</w:t>
      </w:r>
      <w:r>
        <w:rPr>
          <w:rFonts w:ascii="宋体"/>
          <w:spacing w:val="4"/>
          <w:highlight w:val="none"/>
        </w:rPr>
        <w:t>5.9-</w:t>
      </w:r>
      <w:r>
        <w:rPr>
          <w:rFonts w:hint="eastAsia" w:ascii="宋体"/>
          <w:spacing w:val="4"/>
          <w:highlight w:val="none"/>
        </w:rPr>
        <w:t>4</w:t>
      </w:r>
      <w:r>
        <w:rPr>
          <w:rFonts w:ascii="宋体" w:hAnsi="Calibri"/>
          <w:highlight w:val="none"/>
        </w:rPr>
        <w:t xml:space="preserve">  </w:t>
      </w:r>
      <w:r>
        <w:rPr>
          <w:rFonts w:hint="eastAsia" w:ascii="宋体" w:hAnsi="Calibri"/>
          <w:highlight w:val="none"/>
        </w:rPr>
        <w:t>土壤侵蚀情况表</w:t>
      </w:r>
    </w:p>
    <w:tbl>
      <w:tblPr>
        <w:tblStyle w:val="44"/>
        <w:tblW w:w="917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77"/>
        <w:gridCol w:w="2574"/>
        <w:gridCol w:w="2353"/>
        <w:gridCol w:w="207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77"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序号</w:t>
            </w:r>
          </w:p>
        </w:tc>
        <w:tc>
          <w:tcPr>
            <w:tcW w:w="2574"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地类</w:t>
            </w:r>
          </w:p>
        </w:tc>
        <w:tc>
          <w:tcPr>
            <w:tcW w:w="2353"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面积（</w:t>
            </w:r>
            <w:r>
              <w:rPr>
                <w:rFonts w:ascii="宋体" w:hAnsi="宋体"/>
                <w:bCs/>
                <w:color w:val="000000"/>
                <w:sz w:val="21"/>
                <w:szCs w:val="22"/>
                <w:highlight w:val="none"/>
              </w:rPr>
              <w:t>m</w:t>
            </w:r>
            <w:r>
              <w:rPr>
                <w:rFonts w:ascii="宋体" w:hAnsi="宋体"/>
                <w:bCs/>
                <w:color w:val="000000"/>
                <w:sz w:val="21"/>
                <w:szCs w:val="22"/>
                <w:highlight w:val="none"/>
                <w:vertAlign w:val="superscript"/>
              </w:rPr>
              <w:t>2</w:t>
            </w:r>
            <w:r>
              <w:rPr>
                <w:rFonts w:hint="eastAsia" w:ascii="宋体" w:hAnsi="宋体"/>
                <w:bCs/>
                <w:color w:val="000000"/>
                <w:sz w:val="21"/>
                <w:szCs w:val="22"/>
                <w:highlight w:val="none"/>
              </w:rPr>
              <w:t>）</w:t>
            </w:r>
          </w:p>
        </w:tc>
        <w:tc>
          <w:tcPr>
            <w:tcW w:w="2074"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7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1</w:t>
            </w:r>
          </w:p>
        </w:tc>
        <w:tc>
          <w:tcPr>
            <w:tcW w:w="2574"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中度</w:t>
            </w:r>
          </w:p>
        </w:tc>
        <w:tc>
          <w:tcPr>
            <w:tcW w:w="2353"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19700</w:t>
            </w:r>
          </w:p>
        </w:tc>
        <w:tc>
          <w:tcPr>
            <w:tcW w:w="2074"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58.98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77"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2</w:t>
            </w:r>
          </w:p>
        </w:tc>
        <w:tc>
          <w:tcPr>
            <w:tcW w:w="2574" w:type="dxa"/>
            <w:vAlign w:val="center"/>
          </w:tcPr>
          <w:p>
            <w:pPr>
              <w:widowControl/>
              <w:spacing w:line="320" w:lineRule="exact"/>
              <w:ind w:firstLine="0" w:firstLineChars="0"/>
              <w:jc w:val="center"/>
              <w:rPr>
                <w:rFonts w:ascii="宋体" w:hAnsi="宋体"/>
                <w:bCs/>
                <w:sz w:val="21"/>
                <w:szCs w:val="22"/>
                <w:highlight w:val="none"/>
              </w:rPr>
            </w:pPr>
            <w:r>
              <w:rPr>
                <w:rFonts w:ascii="宋体" w:hAnsi="宋体"/>
                <w:bCs/>
                <w:sz w:val="21"/>
                <w:szCs w:val="22"/>
                <w:highlight w:val="none"/>
              </w:rPr>
              <w:t>重度</w:t>
            </w:r>
          </w:p>
        </w:tc>
        <w:tc>
          <w:tcPr>
            <w:tcW w:w="2353"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13100</w:t>
            </w:r>
          </w:p>
        </w:tc>
        <w:tc>
          <w:tcPr>
            <w:tcW w:w="2074"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41.02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2177"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合计</w:t>
            </w:r>
          </w:p>
        </w:tc>
        <w:tc>
          <w:tcPr>
            <w:tcW w:w="2574" w:type="dxa"/>
            <w:vAlign w:val="center"/>
          </w:tcPr>
          <w:p>
            <w:pPr>
              <w:widowControl/>
              <w:spacing w:line="320" w:lineRule="exact"/>
              <w:ind w:firstLine="0" w:firstLineChars="0"/>
              <w:jc w:val="center"/>
              <w:rPr>
                <w:rFonts w:ascii="宋体" w:hAnsi="宋体"/>
                <w:bCs/>
                <w:color w:val="000000"/>
                <w:sz w:val="21"/>
                <w:szCs w:val="22"/>
                <w:highlight w:val="none"/>
              </w:rPr>
            </w:pPr>
          </w:p>
        </w:tc>
        <w:tc>
          <w:tcPr>
            <w:tcW w:w="2353" w:type="dxa"/>
            <w:vAlign w:val="center"/>
          </w:tcPr>
          <w:p>
            <w:pPr>
              <w:widowControl/>
              <w:spacing w:line="320" w:lineRule="exact"/>
              <w:ind w:firstLine="0" w:firstLineChars="0"/>
              <w:jc w:val="center"/>
              <w:rPr>
                <w:rFonts w:hint="eastAsia" w:ascii="宋体" w:hAnsi="宋体" w:eastAsia="宋体"/>
                <w:bCs/>
                <w:sz w:val="21"/>
                <w:szCs w:val="22"/>
                <w:highlight w:val="none"/>
                <w:lang w:eastAsia="zh-CN"/>
              </w:rPr>
            </w:pPr>
            <w:r>
              <w:rPr>
                <w:rFonts w:hint="eastAsia" w:ascii="宋体" w:hAnsi="宋体"/>
                <w:bCs/>
                <w:sz w:val="21"/>
                <w:szCs w:val="22"/>
                <w:highlight w:val="none"/>
                <w:lang w:eastAsia="zh-CN"/>
              </w:rPr>
              <w:t>32800</w:t>
            </w:r>
          </w:p>
        </w:tc>
        <w:tc>
          <w:tcPr>
            <w:tcW w:w="2074" w:type="dxa"/>
            <w:vAlign w:val="center"/>
          </w:tcPr>
          <w:p>
            <w:pPr>
              <w:widowControl/>
              <w:spacing w:line="320" w:lineRule="exact"/>
              <w:ind w:firstLine="0" w:firstLineChars="0"/>
              <w:jc w:val="center"/>
              <w:rPr>
                <w:rFonts w:ascii="宋体" w:hAnsi="宋体"/>
                <w:bCs/>
                <w:sz w:val="21"/>
                <w:szCs w:val="22"/>
                <w:highlight w:val="none"/>
              </w:rPr>
            </w:pPr>
            <w:r>
              <w:rPr>
                <w:rFonts w:hint="eastAsia" w:ascii="宋体" w:hAnsi="宋体"/>
                <w:bCs/>
                <w:sz w:val="21"/>
                <w:szCs w:val="22"/>
                <w:highlight w:val="none"/>
              </w:rPr>
              <w:t>100.00</w:t>
            </w:r>
          </w:p>
        </w:tc>
      </w:tr>
    </w:tbl>
    <w:p>
      <w:pPr>
        <w:ind w:firstLine="480"/>
        <w:rPr>
          <w:rFonts w:ascii="宋体" w:hAnsi="宋体"/>
          <w:highlight w:val="none"/>
        </w:rPr>
      </w:pPr>
      <w:r>
        <w:rPr>
          <w:rFonts w:hint="eastAsia" w:ascii="宋体" w:hAnsi="Calibri"/>
          <w:kern w:val="0"/>
          <w:highlight w:val="none"/>
        </w:rPr>
        <w:t>项目</w:t>
      </w:r>
      <w:r>
        <w:rPr>
          <w:rFonts w:ascii="宋体" w:hAnsi="Calibri"/>
          <w:kern w:val="0"/>
          <w:highlight w:val="none"/>
        </w:rPr>
        <w:t>场区</w:t>
      </w:r>
      <w:r>
        <w:rPr>
          <w:rFonts w:hint="eastAsia" w:ascii="宋体" w:hAnsi="宋体"/>
          <w:highlight w:val="none"/>
        </w:rPr>
        <w:t>范围土地面积共计</w:t>
      </w:r>
      <w:r>
        <w:rPr>
          <w:rFonts w:hint="eastAsia" w:ascii="宋体" w:hAnsi="Calibri"/>
          <w:szCs w:val="22"/>
          <w:highlight w:val="none"/>
          <w:lang w:eastAsia="zh-CN"/>
        </w:rPr>
        <w:t>32800</w:t>
      </w:r>
      <w:r>
        <w:rPr>
          <w:rFonts w:ascii="宋体" w:hAnsi="宋体"/>
          <w:highlight w:val="none"/>
        </w:rPr>
        <w:t>m</w:t>
      </w:r>
      <w:r>
        <w:rPr>
          <w:rFonts w:ascii="宋体" w:hAnsi="宋体"/>
          <w:highlight w:val="none"/>
          <w:vertAlign w:val="superscript"/>
        </w:rPr>
        <w:t>2</w:t>
      </w:r>
      <w:r>
        <w:rPr>
          <w:rFonts w:hint="eastAsia" w:ascii="宋体" w:hAnsi="宋体"/>
          <w:highlight w:val="none"/>
        </w:rPr>
        <w:t>。场区土壤侵蚀现状以中度侵蚀为主，占评价区总面积的58.98</w:t>
      </w:r>
      <w:r>
        <w:rPr>
          <w:rFonts w:ascii="宋体" w:hAnsi="宋体"/>
          <w:highlight w:val="none"/>
        </w:rPr>
        <w:t>%</w:t>
      </w:r>
      <w:r>
        <w:rPr>
          <w:rFonts w:hint="eastAsia" w:ascii="宋体" w:hAnsi="宋体"/>
          <w:highlight w:val="none"/>
        </w:rPr>
        <w:t>。</w:t>
      </w:r>
    </w:p>
    <w:p>
      <w:pPr>
        <w:ind w:firstLine="480"/>
        <w:rPr>
          <w:rFonts w:ascii="宋体"/>
          <w:highlight w:val="none"/>
        </w:rPr>
      </w:pPr>
      <w:r>
        <w:rPr>
          <w:rFonts w:hint="eastAsia" w:ascii="宋体"/>
          <w:highlight w:val="none"/>
        </w:rPr>
        <w:t>2）土壤侵蚀现状评价</w:t>
      </w:r>
    </w:p>
    <w:p>
      <w:pPr>
        <w:ind w:firstLine="480"/>
        <w:rPr>
          <w:highlight w:val="none"/>
        </w:rPr>
      </w:pPr>
      <w:r>
        <w:rPr>
          <w:rFonts w:hint="eastAsia"/>
          <w:highlight w:val="none"/>
        </w:rPr>
        <w:t>本区域造成水土流失主要原因是由于每年雨季发生的暴雨，特别是一些高强度、大面积雷阵雨造成。因此，本区侵蚀以水力侵蚀为主。</w:t>
      </w:r>
      <w:r>
        <w:rPr>
          <w:rFonts w:hint="eastAsia" w:ascii="宋体" w:hAnsi="Calibri"/>
          <w:szCs w:val="22"/>
          <w:highlight w:val="none"/>
        </w:rPr>
        <w:t>项目场区</w:t>
      </w:r>
      <w:r>
        <w:rPr>
          <w:rFonts w:hint="eastAsia"/>
          <w:highlight w:val="none"/>
        </w:rPr>
        <w:t>土壤侵蚀预测量见表</w:t>
      </w:r>
      <w:r>
        <w:rPr>
          <w:rFonts w:ascii="宋体"/>
          <w:spacing w:val="4"/>
          <w:highlight w:val="none"/>
        </w:rPr>
        <w:t>5.9-</w:t>
      </w:r>
      <w:r>
        <w:rPr>
          <w:rFonts w:hint="eastAsia" w:ascii="宋体"/>
          <w:spacing w:val="4"/>
          <w:highlight w:val="none"/>
        </w:rPr>
        <w:t>5</w:t>
      </w:r>
      <w:r>
        <w:rPr>
          <w:rFonts w:hint="eastAsia"/>
          <w:highlight w:val="none"/>
        </w:rPr>
        <w:t>。</w:t>
      </w:r>
    </w:p>
    <w:p>
      <w:pPr>
        <w:ind w:firstLine="0" w:firstLineChars="0"/>
        <w:jc w:val="center"/>
        <w:rPr>
          <w:rFonts w:ascii="宋体" w:hAnsi="Calibri"/>
          <w:highlight w:val="none"/>
        </w:rPr>
      </w:pPr>
      <w:r>
        <w:rPr>
          <w:rFonts w:hint="eastAsia" w:ascii="宋体" w:hAnsi="Calibri"/>
          <w:highlight w:val="none"/>
        </w:rPr>
        <w:t>表</w:t>
      </w:r>
      <w:r>
        <w:rPr>
          <w:rFonts w:ascii="宋体"/>
          <w:spacing w:val="4"/>
          <w:highlight w:val="none"/>
        </w:rPr>
        <w:t>5.9-</w:t>
      </w:r>
      <w:r>
        <w:rPr>
          <w:rFonts w:hint="eastAsia" w:ascii="宋体"/>
          <w:spacing w:val="4"/>
          <w:highlight w:val="none"/>
        </w:rPr>
        <w:t>5</w:t>
      </w:r>
      <w:r>
        <w:rPr>
          <w:rFonts w:ascii="宋体" w:hAnsi="Calibri"/>
          <w:highlight w:val="none"/>
        </w:rPr>
        <w:t xml:space="preserve">  </w:t>
      </w:r>
      <w:r>
        <w:rPr>
          <w:rFonts w:hint="eastAsia" w:ascii="宋体" w:hAnsi="Calibri"/>
          <w:highlight w:val="none"/>
        </w:rPr>
        <w:t>项目场区土壤侵蚀量</w:t>
      </w:r>
    </w:p>
    <w:tbl>
      <w:tblPr>
        <w:tblStyle w:val="44"/>
        <w:tblW w:w="91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49"/>
        <w:gridCol w:w="1870"/>
        <w:gridCol w:w="1670"/>
        <w:gridCol w:w="2502"/>
        <w:gridCol w:w="20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49"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序</w:t>
            </w:r>
            <w:r>
              <w:rPr>
                <w:rFonts w:ascii="宋体" w:hAnsi="宋体"/>
                <w:bCs/>
                <w:color w:val="000000"/>
                <w:sz w:val="21"/>
                <w:szCs w:val="22"/>
                <w:highlight w:val="none"/>
              </w:rPr>
              <w:t xml:space="preserve"> </w:t>
            </w:r>
            <w:r>
              <w:rPr>
                <w:rFonts w:hint="eastAsia" w:ascii="宋体" w:hAnsi="宋体"/>
                <w:bCs/>
                <w:color w:val="000000"/>
                <w:sz w:val="21"/>
                <w:szCs w:val="22"/>
                <w:highlight w:val="none"/>
              </w:rPr>
              <w:t>号</w:t>
            </w:r>
          </w:p>
        </w:tc>
        <w:tc>
          <w:tcPr>
            <w:tcW w:w="187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土壤侵蚀强度</w:t>
            </w:r>
          </w:p>
        </w:tc>
        <w:tc>
          <w:tcPr>
            <w:tcW w:w="1670"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面积（</w:t>
            </w:r>
            <w:r>
              <w:rPr>
                <w:rFonts w:ascii="宋体" w:hAnsi="宋体"/>
                <w:bCs/>
                <w:color w:val="000000"/>
                <w:sz w:val="21"/>
                <w:szCs w:val="22"/>
                <w:highlight w:val="none"/>
              </w:rPr>
              <w:t>m</w:t>
            </w:r>
            <w:r>
              <w:rPr>
                <w:rFonts w:ascii="宋体" w:hAnsi="宋体"/>
                <w:bCs/>
                <w:color w:val="000000"/>
                <w:sz w:val="21"/>
                <w:szCs w:val="22"/>
                <w:highlight w:val="none"/>
                <w:vertAlign w:val="superscript"/>
              </w:rPr>
              <w:t>2</w:t>
            </w:r>
            <w:r>
              <w:rPr>
                <w:rFonts w:hint="eastAsia" w:ascii="宋体" w:hAnsi="宋体"/>
                <w:bCs/>
                <w:color w:val="000000"/>
                <w:sz w:val="21"/>
                <w:szCs w:val="22"/>
                <w:highlight w:val="none"/>
              </w:rPr>
              <w:t>）</w:t>
            </w:r>
          </w:p>
        </w:tc>
        <w:tc>
          <w:tcPr>
            <w:tcW w:w="2502"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侵蚀模数（</w:t>
            </w:r>
            <w:r>
              <w:rPr>
                <w:rFonts w:ascii="宋体" w:hAnsi="宋体"/>
                <w:bCs/>
                <w:color w:val="000000"/>
                <w:sz w:val="21"/>
                <w:szCs w:val="22"/>
                <w:highlight w:val="none"/>
              </w:rPr>
              <w:t>t/km</w:t>
            </w:r>
            <w:r>
              <w:rPr>
                <w:rFonts w:ascii="宋体" w:hAnsi="宋体"/>
                <w:bCs/>
                <w:color w:val="000000"/>
                <w:sz w:val="21"/>
                <w:szCs w:val="22"/>
                <w:highlight w:val="none"/>
                <w:vertAlign w:val="superscript"/>
              </w:rPr>
              <w:t>2</w:t>
            </w:r>
            <w:r>
              <w:rPr>
                <w:rFonts w:hint="eastAsia" w:ascii="宋体" w:hAnsi="宋体"/>
                <w:bCs/>
                <w:color w:val="000000"/>
                <w:sz w:val="21"/>
                <w:szCs w:val="22"/>
                <w:highlight w:val="none"/>
              </w:rPr>
              <w:t>·</w:t>
            </w:r>
            <w:r>
              <w:rPr>
                <w:rFonts w:ascii="宋体" w:hAnsi="宋体"/>
                <w:bCs/>
                <w:color w:val="000000"/>
                <w:sz w:val="21"/>
                <w:szCs w:val="22"/>
                <w:highlight w:val="none"/>
              </w:rPr>
              <w:t>a</w:t>
            </w:r>
            <w:r>
              <w:rPr>
                <w:rFonts w:hint="eastAsia" w:ascii="宋体" w:hAnsi="宋体"/>
                <w:bCs/>
                <w:color w:val="000000"/>
                <w:sz w:val="21"/>
                <w:szCs w:val="22"/>
                <w:highlight w:val="none"/>
              </w:rPr>
              <w:t>）</w:t>
            </w:r>
          </w:p>
        </w:tc>
        <w:tc>
          <w:tcPr>
            <w:tcW w:w="2087" w:type="dxa"/>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侵蚀量（</w:t>
            </w:r>
            <w:r>
              <w:rPr>
                <w:rFonts w:ascii="宋体" w:hAnsi="宋体"/>
                <w:bCs/>
                <w:color w:val="000000"/>
                <w:sz w:val="21"/>
                <w:szCs w:val="22"/>
                <w:highlight w:val="none"/>
              </w:rPr>
              <w:t>t</w:t>
            </w:r>
            <w:r>
              <w:rPr>
                <w:rFonts w:hint="eastAsia" w:ascii="宋体" w:hAnsi="宋体"/>
                <w:bCs/>
                <w:color w:val="000000"/>
                <w:sz w:val="21"/>
                <w:szCs w:val="22"/>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49" w:type="dxa"/>
            <w:vAlign w:val="center"/>
          </w:tcPr>
          <w:p>
            <w:pPr>
              <w:pStyle w:val="64"/>
              <w:rPr>
                <w:highlight w:val="none"/>
              </w:rPr>
            </w:pPr>
            <w:r>
              <w:rPr>
                <w:rFonts w:hint="eastAsia"/>
                <w:highlight w:val="none"/>
              </w:rPr>
              <w:t>1</w:t>
            </w:r>
          </w:p>
        </w:tc>
        <w:tc>
          <w:tcPr>
            <w:tcW w:w="1870" w:type="dxa"/>
            <w:vAlign w:val="bottom"/>
          </w:tcPr>
          <w:p>
            <w:pPr>
              <w:pStyle w:val="64"/>
              <w:rPr>
                <w:highlight w:val="none"/>
              </w:rPr>
            </w:pPr>
            <w:r>
              <w:rPr>
                <w:rFonts w:hint="eastAsia"/>
                <w:highlight w:val="none"/>
              </w:rPr>
              <w:t>中度侵蚀</w:t>
            </w:r>
          </w:p>
        </w:tc>
        <w:tc>
          <w:tcPr>
            <w:tcW w:w="1670" w:type="dxa"/>
            <w:vAlign w:val="center"/>
          </w:tcPr>
          <w:p>
            <w:pPr>
              <w:pStyle w:val="64"/>
              <w:rPr>
                <w:highlight w:val="none"/>
              </w:rPr>
            </w:pPr>
            <w:r>
              <w:rPr>
                <w:rFonts w:hint="eastAsia"/>
                <w:highlight w:val="none"/>
              </w:rPr>
              <w:t>19700</w:t>
            </w:r>
          </w:p>
        </w:tc>
        <w:tc>
          <w:tcPr>
            <w:tcW w:w="2502" w:type="dxa"/>
            <w:vAlign w:val="bottom"/>
          </w:tcPr>
          <w:p>
            <w:pPr>
              <w:pStyle w:val="64"/>
              <w:rPr>
                <w:highlight w:val="none"/>
              </w:rPr>
            </w:pPr>
            <w:r>
              <w:rPr>
                <w:highlight w:val="none"/>
              </w:rPr>
              <w:t>2500</w:t>
            </w:r>
          </w:p>
        </w:tc>
        <w:tc>
          <w:tcPr>
            <w:tcW w:w="2087" w:type="dxa"/>
            <w:vAlign w:val="center"/>
          </w:tcPr>
          <w:p>
            <w:pPr>
              <w:pStyle w:val="64"/>
              <w:rPr>
                <w:highlight w:val="none"/>
              </w:rPr>
            </w:pPr>
            <w:r>
              <w:rPr>
                <w:rFonts w:hint="eastAsia"/>
                <w:highlight w:val="none"/>
              </w:rPr>
              <w:t xml:space="preserve">49.3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49" w:type="dxa"/>
            <w:vAlign w:val="center"/>
          </w:tcPr>
          <w:p>
            <w:pPr>
              <w:pStyle w:val="64"/>
              <w:rPr>
                <w:highlight w:val="none"/>
              </w:rPr>
            </w:pPr>
            <w:r>
              <w:rPr>
                <w:rFonts w:hint="eastAsia"/>
                <w:highlight w:val="none"/>
              </w:rPr>
              <w:t>2</w:t>
            </w:r>
          </w:p>
        </w:tc>
        <w:tc>
          <w:tcPr>
            <w:tcW w:w="1870" w:type="dxa"/>
            <w:vAlign w:val="bottom"/>
          </w:tcPr>
          <w:p>
            <w:pPr>
              <w:pStyle w:val="64"/>
              <w:rPr>
                <w:highlight w:val="none"/>
              </w:rPr>
            </w:pPr>
            <w:r>
              <w:rPr>
                <w:rFonts w:hint="eastAsia"/>
                <w:highlight w:val="none"/>
              </w:rPr>
              <w:t>重度侵蚀</w:t>
            </w:r>
          </w:p>
        </w:tc>
        <w:tc>
          <w:tcPr>
            <w:tcW w:w="1670" w:type="dxa"/>
            <w:vAlign w:val="center"/>
          </w:tcPr>
          <w:p>
            <w:pPr>
              <w:pStyle w:val="64"/>
              <w:rPr>
                <w:rFonts w:hint="eastAsia" w:eastAsia="宋体"/>
                <w:highlight w:val="none"/>
                <w:lang w:eastAsia="zh-CN"/>
              </w:rPr>
            </w:pPr>
            <w:r>
              <w:rPr>
                <w:rFonts w:hint="eastAsia"/>
                <w:highlight w:val="none"/>
                <w:lang w:eastAsia="zh-CN"/>
              </w:rPr>
              <w:t>13100</w:t>
            </w:r>
          </w:p>
        </w:tc>
        <w:tc>
          <w:tcPr>
            <w:tcW w:w="2502" w:type="dxa"/>
            <w:vAlign w:val="bottom"/>
          </w:tcPr>
          <w:p>
            <w:pPr>
              <w:pStyle w:val="64"/>
              <w:rPr>
                <w:highlight w:val="none"/>
              </w:rPr>
            </w:pPr>
            <w:r>
              <w:rPr>
                <w:highlight w:val="none"/>
              </w:rPr>
              <w:t>5000</w:t>
            </w:r>
          </w:p>
        </w:tc>
        <w:tc>
          <w:tcPr>
            <w:tcW w:w="2087" w:type="dxa"/>
            <w:vAlign w:val="center"/>
          </w:tcPr>
          <w:p>
            <w:pPr>
              <w:pStyle w:val="64"/>
              <w:rPr>
                <w:highlight w:val="none"/>
              </w:rPr>
            </w:pPr>
            <w:r>
              <w:rPr>
                <w:rFonts w:hint="eastAsia"/>
                <w:highlight w:val="none"/>
              </w:rPr>
              <w:t xml:space="preserve">68.5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2919" w:type="dxa"/>
            <w:gridSpan w:val="2"/>
            <w:vAlign w:val="center"/>
          </w:tcPr>
          <w:p>
            <w:pPr>
              <w:widowControl/>
              <w:spacing w:line="320" w:lineRule="exact"/>
              <w:ind w:firstLine="0" w:firstLineChars="0"/>
              <w:jc w:val="center"/>
              <w:rPr>
                <w:rFonts w:ascii="宋体" w:hAnsi="宋体"/>
                <w:bCs/>
                <w:color w:val="000000"/>
                <w:sz w:val="21"/>
                <w:szCs w:val="22"/>
                <w:highlight w:val="none"/>
              </w:rPr>
            </w:pPr>
            <w:r>
              <w:rPr>
                <w:rFonts w:hint="eastAsia" w:ascii="宋体" w:hAnsi="宋体"/>
                <w:bCs/>
                <w:color w:val="000000"/>
                <w:sz w:val="21"/>
                <w:szCs w:val="22"/>
                <w:highlight w:val="none"/>
              </w:rPr>
              <w:t>合计</w:t>
            </w:r>
          </w:p>
        </w:tc>
        <w:tc>
          <w:tcPr>
            <w:tcW w:w="1670" w:type="dxa"/>
            <w:vAlign w:val="bottom"/>
          </w:tcPr>
          <w:p>
            <w:pPr>
              <w:pStyle w:val="64"/>
              <w:rPr>
                <w:rFonts w:hint="eastAsia" w:eastAsia="宋体"/>
                <w:highlight w:val="none"/>
                <w:lang w:eastAsia="zh-CN"/>
              </w:rPr>
            </w:pPr>
            <w:r>
              <w:rPr>
                <w:rFonts w:hint="eastAsia"/>
                <w:highlight w:val="none"/>
                <w:lang w:eastAsia="zh-CN"/>
              </w:rPr>
              <w:t>32800</w:t>
            </w:r>
          </w:p>
        </w:tc>
        <w:tc>
          <w:tcPr>
            <w:tcW w:w="2502" w:type="dxa"/>
            <w:vAlign w:val="center"/>
          </w:tcPr>
          <w:p>
            <w:pPr>
              <w:pStyle w:val="64"/>
              <w:rPr>
                <w:highlight w:val="none"/>
              </w:rPr>
            </w:pPr>
            <w:r>
              <w:rPr>
                <w:highlight w:val="none"/>
              </w:rPr>
              <w:t>3525.4</w:t>
            </w:r>
          </w:p>
        </w:tc>
        <w:tc>
          <w:tcPr>
            <w:tcW w:w="2087" w:type="dxa"/>
            <w:vAlign w:val="center"/>
          </w:tcPr>
          <w:p>
            <w:pPr>
              <w:pStyle w:val="64"/>
              <w:rPr>
                <w:highlight w:val="none"/>
              </w:rPr>
            </w:pPr>
            <w:r>
              <w:rPr>
                <w:rFonts w:hint="eastAsia"/>
                <w:highlight w:val="none"/>
              </w:rPr>
              <w:t>117.8</w:t>
            </w:r>
          </w:p>
        </w:tc>
      </w:tr>
    </w:tbl>
    <w:p>
      <w:pPr>
        <w:ind w:firstLine="480"/>
        <w:rPr>
          <w:rFonts w:ascii="宋体" w:hAnsi="宋体"/>
          <w:szCs w:val="22"/>
          <w:highlight w:val="none"/>
        </w:rPr>
      </w:pPr>
      <w:r>
        <w:rPr>
          <w:rFonts w:hint="eastAsia" w:ascii="宋体" w:hAnsi="宋体"/>
          <w:szCs w:val="22"/>
          <w:highlight w:val="none"/>
        </w:rPr>
        <w:t>项目场区年侵蚀量为117.8</w:t>
      </w:r>
      <w:r>
        <w:rPr>
          <w:rFonts w:ascii="宋体" w:hAnsi="宋体"/>
          <w:szCs w:val="22"/>
          <w:highlight w:val="none"/>
        </w:rPr>
        <w:t>t</w:t>
      </w:r>
      <w:r>
        <w:rPr>
          <w:rFonts w:hint="eastAsia" w:ascii="宋体" w:hAnsi="宋体"/>
          <w:szCs w:val="22"/>
          <w:highlight w:val="none"/>
        </w:rPr>
        <w:t>，由此可计算出本项目场区土壤侵蚀模数为</w:t>
      </w:r>
      <w:r>
        <w:rPr>
          <w:rFonts w:hint="eastAsia" w:ascii="宋体" w:hAnsi="宋体"/>
          <w:szCs w:val="21"/>
          <w:highlight w:val="none"/>
        </w:rPr>
        <w:t>3525.4</w:t>
      </w:r>
      <w:r>
        <w:rPr>
          <w:rFonts w:ascii="宋体" w:hAnsi="宋体"/>
          <w:szCs w:val="22"/>
          <w:highlight w:val="none"/>
        </w:rPr>
        <w:t>t/km</w:t>
      </w:r>
      <w:r>
        <w:rPr>
          <w:rFonts w:ascii="宋体" w:hAnsi="宋体"/>
          <w:szCs w:val="22"/>
          <w:highlight w:val="none"/>
          <w:vertAlign w:val="superscript"/>
        </w:rPr>
        <w:t>2</w:t>
      </w:r>
      <w:r>
        <w:rPr>
          <w:rFonts w:ascii="宋体" w:hAnsi="宋体"/>
          <w:szCs w:val="22"/>
          <w:highlight w:val="none"/>
        </w:rPr>
        <w:t>.a</w:t>
      </w:r>
      <w:r>
        <w:rPr>
          <w:rFonts w:hint="eastAsia" w:ascii="宋体" w:hAnsi="宋体"/>
          <w:szCs w:val="22"/>
          <w:highlight w:val="none"/>
        </w:rPr>
        <w:t>。</w:t>
      </w:r>
    </w:p>
    <w:p>
      <w:pPr>
        <w:ind w:firstLine="480"/>
        <w:rPr>
          <w:highlight w:val="none"/>
        </w:rPr>
      </w:pPr>
      <w:r>
        <w:rPr>
          <w:rFonts w:hint="eastAsia" w:ascii="宋体" w:hAnsi="宋体"/>
          <w:highlight w:val="none"/>
        </w:rPr>
        <w:t>通过计算出总的水土流失侵蚀模数</w:t>
      </w:r>
      <w:r>
        <w:rPr>
          <w:rFonts w:ascii="宋体" w:hAnsi="宋体"/>
          <w:highlight w:val="none"/>
        </w:rPr>
        <w:t>(</w:t>
      </w:r>
      <w:r>
        <w:rPr>
          <w:rFonts w:hint="eastAsia" w:ascii="宋体" w:hAnsi="宋体"/>
          <w:highlight w:val="none"/>
        </w:rPr>
        <w:t>单位为</w:t>
      </w:r>
      <w:r>
        <w:rPr>
          <w:rFonts w:ascii="宋体" w:hAnsi="宋体"/>
          <w:highlight w:val="none"/>
        </w:rPr>
        <w:t>t/km</w:t>
      </w:r>
      <w:r>
        <w:rPr>
          <w:rFonts w:ascii="宋体" w:hAnsi="宋体"/>
          <w:highlight w:val="none"/>
          <w:vertAlign w:val="superscript"/>
        </w:rPr>
        <w:t>2</w:t>
      </w:r>
      <w:r>
        <w:rPr>
          <w:rFonts w:ascii="宋体" w:hAnsi="宋体"/>
          <w:highlight w:val="none"/>
        </w:rPr>
        <w:t>.a)</w:t>
      </w:r>
      <w:r>
        <w:rPr>
          <w:rFonts w:hint="eastAsia" w:ascii="宋体" w:hAnsi="宋体"/>
          <w:highlight w:val="none"/>
        </w:rPr>
        <w:t>以后，确定区域的标定水土流失侵蚀模数，计算其减水减沙量</w:t>
      </w:r>
      <w:r>
        <w:rPr>
          <w:rFonts w:hint="eastAsia"/>
          <w:highlight w:val="none"/>
        </w:rPr>
        <w:t>，按公式：</w:t>
      </w:r>
    </w:p>
    <w:p>
      <w:pPr>
        <w:ind w:firstLine="480"/>
        <w:rPr>
          <w:rFonts w:ascii="宋体" w:hAnsi="宋体"/>
          <w:highlight w:val="none"/>
        </w:rPr>
      </w:pPr>
      <w:r>
        <w:rPr>
          <w:rFonts w:ascii="宋体" w:hAnsi="宋体"/>
          <w:highlight w:val="none"/>
        </w:rPr>
        <w:t>Pb=(Bbo-Bb)/Bbo</w:t>
      </w:r>
    </w:p>
    <w:p>
      <w:pPr>
        <w:ind w:firstLine="480"/>
        <w:rPr>
          <w:rFonts w:ascii="宋体" w:hAnsi="宋体"/>
          <w:highlight w:val="none"/>
        </w:rPr>
      </w:pPr>
      <w:r>
        <w:rPr>
          <w:rFonts w:hint="eastAsia" w:ascii="宋体" w:hAnsi="宋体"/>
          <w:highlight w:val="none"/>
        </w:rPr>
        <w:t>式中：</w:t>
      </w:r>
      <w:r>
        <w:rPr>
          <w:rFonts w:ascii="宋体" w:hAnsi="宋体"/>
          <w:highlight w:val="none"/>
        </w:rPr>
        <w:t>Bb</w:t>
      </w:r>
      <w:r>
        <w:rPr>
          <w:rFonts w:hint="eastAsia" w:ascii="宋体" w:hAnsi="宋体"/>
          <w:highlight w:val="none"/>
        </w:rPr>
        <w:t>——水土流失侵蚀模数；</w:t>
      </w:r>
    </w:p>
    <w:p>
      <w:pPr>
        <w:ind w:firstLine="480"/>
        <w:rPr>
          <w:rFonts w:ascii="宋体" w:hAnsi="宋体"/>
          <w:highlight w:val="none"/>
        </w:rPr>
      </w:pPr>
      <w:r>
        <w:rPr>
          <w:rFonts w:ascii="宋体" w:hAnsi="宋体"/>
          <w:highlight w:val="none"/>
        </w:rPr>
        <w:t>Bbo</w:t>
      </w:r>
      <w:r>
        <w:rPr>
          <w:rFonts w:hint="eastAsia" w:ascii="宋体" w:hAnsi="宋体"/>
          <w:highlight w:val="none"/>
        </w:rPr>
        <w:t>——标定水土流失侵蚀模数。</w:t>
      </w:r>
    </w:p>
    <w:p>
      <w:pPr>
        <w:ind w:firstLine="480"/>
        <w:rPr>
          <w:rFonts w:ascii="宋体" w:hAnsi="宋体"/>
          <w:highlight w:val="none"/>
        </w:rPr>
      </w:pPr>
      <w:r>
        <w:rPr>
          <w:rFonts w:ascii="宋体" w:hAnsi="宋体"/>
          <w:highlight w:val="none"/>
        </w:rPr>
        <w:t>Pb</w:t>
      </w:r>
      <w:r>
        <w:rPr>
          <w:rFonts w:hint="eastAsia" w:ascii="宋体" w:hAnsi="宋体"/>
          <w:highlight w:val="none"/>
        </w:rPr>
        <w:t>越大，则水土流失量越小。</w:t>
      </w:r>
    </w:p>
    <w:p>
      <w:pPr>
        <w:ind w:firstLine="480"/>
        <w:rPr>
          <w:rFonts w:ascii="宋体" w:hAnsi="宋体"/>
          <w:highlight w:val="none"/>
        </w:rPr>
      </w:pPr>
      <w:r>
        <w:rPr>
          <w:rFonts w:hint="eastAsia" w:ascii="宋体" w:hAnsi="宋体"/>
          <w:highlight w:val="none"/>
        </w:rPr>
        <w:t>评价区土壤侵蚀模数为</w:t>
      </w:r>
      <w:r>
        <w:rPr>
          <w:rFonts w:ascii="宋体" w:hAnsi="宋体"/>
          <w:szCs w:val="22"/>
          <w:highlight w:val="none"/>
        </w:rPr>
        <w:t>2544.5</w:t>
      </w:r>
      <w:r>
        <w:rPr>
          <w:rFonts w:ascii="宋体" w:hAnsi="宋体"/>
          <w:highlight w:val="none"/>
        </w:rPr>
        <w:t>t/km</w:t>
      </w:r>
      <w:r>
        <w:rPr>
          <w:rFonts w:ascii="宋体" w:hAnsi="宋体"/>
          <w:highlight w:val="none"/>
          <w:vertAlign w:val="superscript"/>
        </w:rPr>
        <w:t>2</w:t>
      </w:r>
      <w:r>
        <w:rPr>
          <w:rFonts w:ascii="宋体" w:hAnsi="宋体"/>
          <w:highlight w:val="none"/>
        </w:rPr>
        <w:t>.a</w:t>
      </w:r>
      <w:r>
        <w:rPr>
          <w:rFonts w:hint="eastAsia" w:ascii="宋体" w:hAnsi="宋体"/>
          <w:highlight w:val="none"/>
        </w:rPr>
        <w:t>，将强度侵蚀模数</w:t>
      </w:r>
      <w:r>
        <w:rPr>
          <w:rFonts w:ascii="宋体" w:hAnsi="宋体"/>
          <w:highlight w:val="none"/>
        </w:rPr>
        <w:t>5000t/km</w:t>
      </w:r>
      <w:r>
        <w:rPr>
          <w:rFonts w:ascii="宋体" w:hAnsi="宋体"/>
          <w:highlight w:val="none"/>
          <w:vertAlign w:val="superscript"/>
        </w:rPr>
        <w:t>2</w:t>
      </w:r>
      <w:r>
        <w:rPr>
          <w:rFonts w:ascii="宋体" w:hAnsi="宋体"/>
          <w:highlight w:val="none"/>
        </w:rPr>
        <w:t>.a</w:t>
      </w:r>
      <w:r>
        <w:rPr>
          <w:rFonts w:hint="eastAsia" w:ascii="宋体" w:hAnsi="宋体"/>
          <w:highlight w:val="none"/>
        </w:rPr>
        <w:t>作为标定侵蚀模数，计算出评价范围内水土流失综合值为</w:t>
      </w:r>
      <w:r>
        <w:rPr>
          <w:rFonts w:ascii="宋体" w:hAnsi="宋体"/>
          <w:highlight w:val="none"/>
        </w:rPr>
        <w:t>(5000-2544.5)/5000=</w:t>
      </w:r>
      <w:r>
        <w:rPr>
          <w:rFonts w:hint="eastAsia" w:ascii="宋体" w:hAnsi="宋体"/>
          <w:highlight w:val="none"/>
        </w:rPr>
        <w:t>0.4911。</w:t>
      </w:r>
    </w:p>
    <w:p>
      <w:pPr>
        <w:ind w:firstLine="480"/>
        <w:rPr>
          <w:rFonts w:ascii="宋体" w:hAnsi="宋体"/>
          <w:highlight w:val="none"/>
        </w:rPr>
      </w:pPr>
      <w:r>
        <w:rPr>
          <w:rFonts w:hint="eastAsia" w:ascii="宋体" w:hAnsi="宋体"/>
          <w:highlight w:val="none"/>
        </w:rPr>
        <w:t>本项目建成后，水土流失量未变化。</w:t>
      </w:r>
    </w:p>
    <w:p>
      <w:pPr>
        <w:autoSpaceDE w:val="0"/>
        <w:autoSpaceDN w:val="0"/>
        <w:spacing w:line="460" w:lineRule="exact"/>
        <w:ind w:firstLine="562"/>
        <w:outlineLvl w:val="2"/>
        <w:rPr>
          <w:rFonts w:ascii="宋体" w:hAnsi="宋体" w:cs="宋体"/>
          <w:b/>
          <w:bCs/>
          <w:kern w:val="0"/>
          <w:sz w:val="28"/>
          <w:szCs w:val="30"/>
          <w:highlight w:val="none"/>
          <w:lang w:val="zh-CN"/>
        </w:rPr>
      </w:pPr>
      <w:r>
        <w:rPr>
          <w:rFonts w:ascii="宋体" w:hAnsi="宋体" w:cs="宋体"/>
          <w:b/>
          <w:bCs/>
          <w:kern w:val="0"/>
          <w:sz w:val="28"/>
          <w:szCs w:val="30"/>
          <w:highlight w:val="none"/>
          <w:lang w:val="zh-CN"/>
        </w:rPr>
        <w:t>5.9.4生态环境保护措施</w:t>
      </w:r>
    </w:p>
    <w:p>
      <w:pPr>
        <w:autoSpaceDE w:val="0"/>
        <w:autoSpaceDN w:val="0"/>
        <w:ind w:firstLine="480"/>
        <w:rPr>
          <w:rFonts w:ascii="宋体" w:hAnsi="宋体" w:cs="宋体"/>
          <w:kern w:val="0"/>
          <w:szCs w:val="22"/>
          <w:highlight w:val="none"/>
        </w:rPr>
      </w:pPr>
      <w:r>
        <w:rPr>
          <w:rFonts w:ascii="宋体" w:hAnsi="宋体" w:cs="宋体"/>
          <w:kern w:val="0"/>
          <w:szCs w:val="22"/>
          <w:highlight w:val="none"/>
        </w:rPr>
        <w:t>5.</w:t>
      </w:r>
      <w:r>
        <w:rPr>
          <w:rFonts w:hint="eastAsia" w:ascii="宋体" w:hAnsi="宋体" w:cs="宋体"/>
          <w:kern w:val="0"/>
          <w:szCs w:val="22"/>
          <w:highlight w:val="none"/>
        </w:rPr>
        <w:t>9</w:t>
      </w:r>
      <w:r>
        <w:rPr>
          <w:rFonts w:ascii="宋体" w:hAnsi="宋体" w:cs="宋体"/>
          <w:kern w:val="0"/>
          <w:szCs w:val="22"/>
          <w:highlight w:val="none"/>
        </w:rPr>
        <w:t>.4.1生态保护与恢复的基本要求</w:t>
      </w:r>
    </w:p>
    <w:p>
      <w:pPr>
        <w:kinsoku w:val="0"/>
        <w:overflowPunct w:val="0"/>
        <w:spacing w:line="420" w:lineRule="atLeast"/>
        <w:ind w:firstLine="480"/>
        <w:rPr>
          <w:rFonts w:ascii="宋体"/>
          <w:szCs w:val="22"/>
          <w:highlight w:val="none"/>
        </w:rPr>
      </w:pPr>
      <w:r>
        <w:rPr>
          <w:rFonts w:ascii="宋体"/>
          <w:szCs w:val="22"/>
          <w:highlight w:val="none"/>
        </w:rPr>
        <w:t>1、本项目应根据当地气候气象、水文地质和环境容量要求，合理设计，加强施工管理，严格把关各污染环节防治措施，定期对环保设施进行检修，保证其正常稳定运行，使处理效果达到工程设计要求，从源头最大限度地减少气、水、声及固体废物向环境的排放，降低对周围生态环境影响。</w:t>
      </w:r>
    </w:p>
    <w:p>
      <w:pPr>
        <w:autoSpaceDE w:val="0"/>
        <w:autoSpaceDN w:val="0"/>
        <w:ind w:firstLine="480"/>
        <w:rPr>
          <w:rFonts w:ascii="宋体" w:hAnsi="宋体" w:cs="宋体"/>
          <w:kern w:val="0"/>
          <w:szCs w:val="22"/>
          <w:highlight w:val="none"/>
        </w:rPr>
      </w:pPr>
      <w:r>
        <w:rPr>
          <w:rFonts w:ascii="宋体" w:hAnsi="宋体" w:cs="宋体"/>
          <w:kern w:val="0"/>
          <w:szCs w:val="22"/>
          <w:highlight w:val="none"/>
        </w:rPr>
        <w:t>2、因项目建设过程中土地开挖等导致土地地表性质变化及土层结构疏松，遇雨即成为水土流失的土源，造成局部泥水蔓延，若在后期未实施处置的情况下，将导致长期水土流失。对此，评价要求各场区不应存在裸露地表，空闲场地应进行绿化或硬化。</w:t>
      </w:r>
    </w:p>
    <w:p>
      <w:pPr>
        <w:kinsoku w:val="0"/>
        <w:overflowPunct w:val="0"/>
        <w:spacing w:line="420" w:lineRule="atLeast"/>
        <w:ind w:firstLine="480"/>
        <w:rPr>
          <w:rFonts w:ascii="宋体"/>
          <w:szCs w:val="22"/>
          <w:highlight w:val="none"/>
        </w:rPr>
      </w:pPr>
      <w:r>
        <w:rPr>
          <w:rFonts w:ascii="宋体"/>
          <w:szCs w:val="22"/>
          <w:highlight w:val="none"/>
        </w:rPr>
        <w:t>3、除工程直接影响区外，工程应针对其</w:t>
      </w:r>
      <w:r>
        <w:rPr>
          <w:rFonts w:hint="eastAsia" w:ascii="宋体"/>
          <w:szCs w:val="22"/>
          <w:highlight w:val="none"/>
        </w:rPr>
        <w:t>厂界</w:t>
      </w:r>
      <w:r>
        <w:rPr>
          <w:rFonts w:ascii="宋体"/>
          <w:szCs w:val="22"/>
          <w:highlight w:val="none"/>
        </w:rPr>
        <w:t>实施水土流失防护措施，主要以绿化方式进行。</w:t>
      </w:r>
    </w:p>
    <w:p>
      <w:pPr>
        <w:kinsoku w:val="0"/>
        <w:overflowPunct w:val="0"/>
        <w:spacing w:line="420" w:lineRule="atLeast"/>
        <w:ind w:firstLine="480"/>
        <w:rPr>
          <w:rFonts w:ascii="宋体"/>
          <w:szCs w:val="22"/>
          <w:highlight w:val="none"/>
        </w:rPr>
      </w:pPr>
      <w:r>
        <w:rPr>
          <w:rFonts w:ascii="宋体"/>
          <w:szCs w:val="22"/>
          <w:highlight w:val="none"/>
        </w:rPr>
        <w:t>4、随着本项目施工进度，企业应健全管理体制，加强生态意识教育，以利于生态环境资源的保护。对项目产生的各种污染物，严格执行设计及评价要求的防治措施，严格控制污染物排放，减小对生态环境的影响。</w:t>
      </w:r>
    </w:p>
    <w:p>
      <w:pPr>
        <w:kinsoku w:val="0"/>
        <w:overflowPunct w:val="0"/>
        <w:spacing w:line="420" w:lineRule="atLeast"/>
        <w:ind w:firstLine="480"/>
        <w:rPr>
          <w:rFonts w:ascii="宋体"/>
          <w:szCs w:val="22"/>
          <w:highlight w:val="none"/>
        </w:rPr>
      </w:pPr>
      <w:r>
        <w:rPr>
          <w:rFonts w:ascii="宋体"/>
          <w:szCs w:val="22"/>
          <w:highlight w:val="none"/>
        </w:rPr>
        <w:t>5、实施生态补偿，重点针对项目直接影响区外围、交通道路等范围实施，提高区域生态质量。</w:t>
      </w:r>
    </w:p>
    <w:p>
      <w:pPr>
        <w:pStyle w:val="62"/>
        <w:ind w:firstLine="480"/>
        <w:rPr>
          <w:rFonts w:hAnsi="宋体"/>
          <w:highlight w:val="none"/>
        </w:rPr>
      </w:pPr>
      <w:r>
        <w:rPr>
          <w:rFonts w:hAnsi="宋体" w:cs="宋体"/>
          <w:kern w:val="0"/>
          <w:szCs w:val="22"/>
          <w:highlight w:val="none"/>
        </w:rPr>
        <w:t>5.</w:t>
      </w:r>
      <w:r>
        <w:rPr>
          <w:rFonts w:hint="eastAsia" w:hAnsi="宋体" w:cs="宋体"/>
          <w:kern w:val="0"/>
          <w:szCs w:val="22"/>
          <w:highlight w:val="none"/>
        </w:rPr>
        <w:t>9</w:t>
      </w:r>
      <w:r>
        <w:rPr>
          <w:rFonts w:hAnsi="宋体" w:cs="宋体"/>
          <w:kern w:val="0"/>
          <w:szCs w:val="22"/>
          <w:highlight w:val="none"/>
        </w:rPr>
        <w:t>.4.</w:t>
      </w:r>
      <w:r>
        <w:rPr>
          <w:rFonts w:hint="eastAsia" w:hAnsi="宋体" w:cs="宋体"/>
          <w:kern w:val="0"/>
          <w:szCs w:val="22"/>
          <w:highlight w:val="none"/>
        </w:rPr>
        <w:t>2</w:t>
      </w:r>
      <w:r>
        <w:rPr>
          <w:rFonts w:hAnsi="宋体"/>
          <w:spacing w:val="7"/>
          <w:highlight w:val="none"/>
        </w:rPr>
        <w:t>尾矿库</w:t>
      </w:r>
      <w:r>
        <w:rPr>
          <w:rFonts w:hAnsi="宋体"/>
          <w:highlight w:val="none"/>
        </w:rPr>
        <w:t>的生态保护和恢复措施</w:t>
      </w:r>
    </w:p>
    <w:p>
      <w:pPr>
        <w:pStyle w:val="62"/>
        <w:ind w:firstLine="480"/>
        <w:rPr>
          <w:highlight w:val="none"/>
        </w:rPr>
      </w:pPr>
      <w:r>
        <w:rPr>
          <w:highlight w:val="none"/>
        </w:rPr>
        <w:t>当</w:t>
      </w:r>
      <w:r>
        <w:rPr>
          <w:rFonts w:hint="eastAsia"/>
          <w:highlight w:val="none"/>
        </w:rPr>
        <w:t>尾矿库</w:t>
      </w:r>
      <w:r>
        <w:rPr>
          <w:highlight w:val="none"/>
        </w:rPr>
        <w:t>堆至设计高程时</w:t>
      </w:r>
      <w:r>
        <w:rPr>
          <w:spacing w:val="-20"/>
          <w:highlight w:val="none"/>
        </w:rPr>
        <w:t>，</w:t>
      </w:r>
      <w:r>
        <w:rPr>
          <w:highlight w:val="none"/>
        </w:rPr>
        <w:t>应及时采用种植土对坡面及平台进行覆土</w:t>
      </w:r>
      <w:r>
        <w:rPr>
          <w:spacing w:val="-20"/>
          <w:highlight w:val="none"/>
        </w:rPr>
        <w:t>，</w:t>
      </w:r>
      <w:r>
        <w:rPr>
          <w:highlight w:val="none"/>
        </w:rPr>
        <w:t>平台覆土厚度为</w:t>
      </w:r>
      <w:r>
        <w:rPr>
          <w:rFonts w:cs="hakuyoxingshu7000"/>
          <w:highlight w:val="none"/>
        </w:rPr>
        <w:t>1.0</w:t>
      </w:r>
      <w:r>
        <w:rPr>
          <w:rFonts w:cs="hakuyoxingshu7000"/>
          <w:spacing w:val="-2"/>
          <w:highlight w:val="none"/>
        </w:rPr>
        <w:t>m</w:t>
      </w:r>
      <w:r>
        <w:rPr>
          <w:highlight w:val="none"/>
        </w:rPr>
        <w:t>，坡面覆土厚度为</w:t>
      </w:r>
      <w:r>
        <w:rPr>
          <w:rFonts w:cs="hakuyoxingshu7000"/>
          <w:highlight w:val="none"/>
        </w:rPr>
        <w:t>0.6m</w:t>
      </w:r>
      <w:r>
        <w:rPr>
          <w:highlight w:val="none"/>
        </w:rPr>
        <w:t>，复垦为耕地。</w:t>
      </w:r>
    </w:p>
    <w:p>
      <w:pPr>
        <w:pStyle w:val="62"/>
        <w:ind w:firstLine="480"/>
        <w:rPr>
          <w:highlight w:val="none"/>
        </w:rPr>
      </w:pPr>
      <w:r>
        <w:rPr>
          <w:rFonts w:hint="eastAsia"/>
          <w:highlight w:val="none"/>
        </w:rPr>
        <w:t>尾矿库封场后上面1米覆壤土，封场后恢复为耕地，封场后的高程与东侧耕地高程一致，恢复耕地面积1.97hm</w:t>
      </w:r>
      <w:r>
        <w:rPr>
          <w:rFonts w:hint="eastAsia"/>
          <w:highlight w:val="none"/>
          <w:vertAlign w:val="superscript"/>
        </w:rPr>
        <w:t>2</w:t>
      </w:r>
      <w:r>
        <w:rPr>
          <w:rFonts w:hint="eastAsia"/>
          <w:highlight w:val="none"/>
        </w:rPr>
        <w:t>。东侧已设置的550m截水沟封场后作为灌溉渠。</w:t>
      </w:r>
    </w:p>
    <w:p>
      <w:pPr>
        <w:pStyle w:val="62"/>
        <w:ind w:firstLine="480"/>
        <w:rPr>
          <w:highlight w:val="none"/>
        </w:rPr>
      </w:pPr>
      <w:r>
        <w:rPr>
          <w:highlight w:val="none"/>
        </w:rPr>
        <w:t>项目需覆种植土</w:t>
      </w:r>
      <w:r>
        <w:rPr>
          <w:rFonts w:hint="eastAsia" w:cs="hakuyoxingshu7000"/>
          <w:highlight w:val="none"/>
        </w:rPr>
        <w:t>1.97</w:t>
      </w:r>
      <w:r>
        <w:rPr>
          <w:highlight w:val="none"/>
        </w:rPr>
        <w:t>万</w:t>
      </w:r>
      <w:r>
        <w:rPr>
          <w:rFonts w:cs="hakuyoxingshu7000"/>
          <w:highlight w:val="none"/>
        </w:rPr>
        <w:t>m</w:t>
      </w:r>
      <w:r>
        <w:rPr>
          <w:rFonts w:cs="hakuyoxingshu7000"/>
          <w:spacing w:val="-2"/>
          <w:position w:val="8"/>
          <w:sz w:val="15"/>
          <w:szCs w:val="15"/>
          <w:highlight w:val="none"/>
        </w:rPr>
        <w:t>3</w:t>
      </w:r>
      <w:r>
        <w:rPr>
          <w:spacing w:val="-63"/>
          <w:highlight w:val="none"/>
        </w:rPr>
        <w:t>，</w:t>
      </w:r>
      <w:r>
        <w:rPr>
          <w:highlight w:val="none"/>
        </w:rPr>
        <w:t>取土来源为库区原地表剥离土和部分外购</w:t>
      </w:r>
      <w:r>
        <w:rPr>
          <w:spacing w:val="2"/>
          <w:highlight w:val="none"/>
        </w:rPr>
        <w:t>土</w:t>
      </w:r>
      <w:r>
        <w:rPr>
          <w:highlight w:val="none"/>
        </w:rPr>
        <w:t>，不另设取土场。</w:t>
      </w:r>
    </w:p>
    <w:p>
      <w:pPr>
        <w:pStyle w:val="62"/>
        <w:ind w:firstLine="480"/>
        <w:rPr>
          <w:szCs w:val="22"/>
          <w:highlight w:val="none"/>
        </w:rPr>
      </w:pPr>
      <w:r>
        <w:rPr>
          <w:rFonts w:hint="eastAsia"/>
          <w:highlight w:val="none"/>
          <w:lang w:val="en-US"/>
        </w:rPr>
        <w:t>生态保护措施图见附图5-7</w:t>
      </w:r>
      <w:r>
        <w:rPr>
          <w:rFonts w:hint="eastAsia"/>
          <w:szCs w:val="22"/>
          <w:highlight w:val="none"/>
        </w:rPr>
        <w:t>。</w:t>
      </w:r>
    </w:p>
    <w:p>
      <w:pPr>
        <w:kinsoku w:val="0"/>
        <w:overflowPunct w:val="0"/>
        <w:spacing w:line="420" w:lineRule="atLeast"/>
        <w:ind w:firstLine="480"/>
        <w:rPr>
          <w:rFonts w:ascii="宋体"/>
          <w:szCs w:val="22"/>
          <w:highlight w:val="none"/>
        </w:rPr>
      </w:pPr>
      <w:r>
        <w:rPr>
          <w:rFonts w:ascii="宋体"/>
          <w:szCs w:val="22"/>
          <w:highlight w:val="none"/>
        </w:rPr>
        <w:t>5.9.4.</w:t>
      </w:r>
      <w:r>
        <w:rPr>
          <w:rFonts w:hint="eastAsia" w:ascii="宋体"/>
          <w:szCs w:val="22"/>
          <w:highlight w:val="none"/>
        </w:rPr>
        <w:t>3</w:t>
      </w:r>
      <w:r>
        <w:rPr>
          <w:rFonts w:ascii="宋体"/>
          <w:szCs w:val="22"/>
          <w:highlight w:val="none"/>
        </w:rPr>
        <w:t>运营期生态影响防护措施</w:t>
      </w:r>
    </w:p>
    <w:p>
      <w:pPr>
        <w:kinsoku w:val="0"/>
        <w:overflowPunct w:val="0"/>
        <w:ind w:firstLine="480"/>
        <w:rPr>
          <w:rFonts w:ascii="宋体"/>
          <w:highlight w:val="none"/>
        </w:rPr>
      </w:pPr>
      <w:r>
        <w:rPr>
          <w:rFonts w:ascii="宋体"/>
          <w:highlight w:val="none"/>
        </w:rPr>
        <w:t>营运期管理措施如下：</w:t>
      </w:r>
    </w:p>
    <w:p>
      <w:pPr>
        <w:kinsoku w:val="0"/>
        <w:overflowPunct w:val="0"/>
        <w:ind w:firstLine="480"/>
        <w:rPr>
          <w:rFonts w:ascii="宋体"/>
          <w:highlight w:val="none"/>
        </w:rPr>
      </w:pPr>
      <w:r>
        <w:rPr>
          <w:rFonts w:ascii="宋体"/>
          <w:highlight w:val="none"/>
        </w:rPr>
        <w:t>1</w:t>
      </w:r>
      <w:r>
        <w:rPr>
          <w:rFonts w:hint="eastAsia" w:ascii="宋体"/>
          <w:highlight w:val="none"/>
        </w:rPr>
        <w:t>、</w:t>
      </w:r>
      <w:r>
        <w:rPr>
          <w:rFonts w:ascii="宋体"/>
          <w:highlight w:val="none"/>
        </w:rPr>
        <w:t>应建立检查维护制度。定期检查拦</w:t>
      </w:r>
      <w:r>
        <w:rPr>
          <w:rFonts w:hint="eastAsia" w:ascii="宋体"/>
          <w:highlight w:val="none"/>
        </w:rPr>
        <w:t>渣</w:t>
      </w:r>
      <w:r>
        <w:rPr>
          <w:rFonts w:ascii="宋体"/>
          <w:highlight w:val="none"/>
        </w:rPr>
        <w:t>坝、截排水沟等设施，发现有损坏可能或异常，应及时采取必要措施，以保障正常运行。</w:t>
      </w:r>
    </w:p>
    <w:p>
      <w:pPr>
        <w:kinsoku w:val="0"/>
        <w:overflowPunct w:val="0"/>
        <w:ind w:firstLine="480"/>
        <w:rPr>
          <w:rFonts w:ascii="宋体"/>
          <w:highlight w:val="none"/>
        </w:rPr>
      </w:pPr>
      <w:r>
        <w:rPr>
          <w:rFonts w:ascii="宋体"/>
          <w:highlight w:val="none"/>
        </w:rPr>
        <w:t>2</w:t>
      </w:r>
      <w:r>
        <w:rPr>
          <w:rFonts w:hint="eastAsia" w:ascii="宋体"/>
          <w:highlight w:val="none"/>
        </w:rPr>
        <w:t>、</w:t>
      </w:r>
      <w:r>
        <w:rPr>
          <w:rFonts w:ascii="宋体"/>
          <w:highlight w:val="none"/>
        </w:rPr>
        <w:t>环境保护图形标志，应按GB15562.2规定进行检查和维护。暴雨天气设置安全警戒区，禁止人</w:t>
      </w:r>
      <w:r>
        <w:rPr>
          <w:rFonts w:hint="eastAsia" w:ascii="宋体"/>
          <w:highlight w:val="none"/>
        </w:rPr>
        <w:t>畜</w:t>
      </w:r>
      <w:r>
        <w:rPr>
          <w:rFonts w:ascii="宋体"/>
          <w:highlight w:val="none"/>
        </w:rPr>
        <w:t>和车辆进入。</w:t>
      </w:r>
    </w:p>
    <w:p>
      <w:pPr>
        <w:kinsoku w:val="0"/>
        <w:overflowPunct w:val="0"/>
        <w:ind w:firstLine="480"/>
        <w:rPr>
          <w:rFonts w:ascii="宋体"/>
          <w:highlight w:val="none"/>
        </w:rPr>
      </w:pPr>
      <w:r>
        <w:rPr>
          <w:rFonts w:ascii="宋体"/>
          <w:highlight w:val="none"/>
        </w:rPr>
        <w:t>3</w:t>
      </w:r>
      <w:r>
        <w:rPr>
          <w:rFonts w:hint="eastAsia" w:ascii="宋体"/>
          <w:highlight w:val="none"/>
        </w:rPr>
        <w:t>、复垦</w:t>
      </w:r>
      <w:r>
        <w:rPr>
          <w:rFonts w:ascii="宋体"/>
          <w:highlight w:val="none"/>
        </w:rPr>
        <w:t>后，仍需继续维护管理，直到稳定为止。以防止覆土层下沉、开裂，防止一般工业固体废物堆体失稳而造成滑坡等事故。</w:t>
      </w:r>
    </w:p>
    <w:p>
      <w:pPr>
        <w:kinsoku w:val="0"/>
        <w:overflowPunct w:val="0"/>
        <w:ind w:firstLine="480"/>
        <w:rPr>
          <w:rFonts w:ascii="宋体"/>
          <w:highlight w:val="none"/>
        </w:rPr>
      </w:pPr>
      <w:r>
        <w:rPr>
          <w:rFonts w:ascii="宋体"/>
          <w:highlight w:val="none"/>
        </w:rPr>
        <w:t>4</w:t>
      </w:r>
      <w:r>
        <w:rPr>
          <w:rFonts w:hint="eastAsia" w:ascii="宋体"/>
          <w:highlight w:val="none"/>
        </w:rPr>
        <w:t>、复垦</w:t>
      </w:r>
      <w:r>
        <w:rPr>
          <w:rFonts w:ascii="宋体"/>
          <w:highlight w:val="none"/>
        </w:rPr>
        <w:t>后，按照监测计划对场</w:t>
      </w:r>
      <w:r>
        <w:rPr>
          <w:rFonts w:hint="eastAsia" w:ascii="宋体"/>
          <w:highlight w:val="none"/>
        </w:rPr>
        <w:t>区</w:t>
      </w:r>
      <w:r>
        <w:rPr>
          <w:rFonts w:ascii="宋体"/>
          <w:highlight w:val="none"/>
        </w:rPr>
        <w:t>下游水井进行监测。</w:t>
      </w:r>
      <w:r>
        <w:rPr>
          <w:rFonts w:hint="eastAsia" w:ascii="宋体"/>
          <w:highlight w:val="none"/>
        </w:rPr>
        <w:t>填充物</w:t>
      </w:r>
      <w:r>
        <w:rPr>
          <w:rFonts w:ascii="宋体"/>
          <w:highlight w:val="none"/>
        </w:rPr>
        <w:t>采取以上方式合理处置后，不会对土壤、地下水、环境空气等环境造成大的影响。</w:t>
      </w:r>
    </w:p>
    <w:p>
      <w:pPr>
        <w:pStyle w:val="62"/>
        <w:ind w:firstLine="480"/>
        <w:rPr>
          <w:highlight w:val="none"/>
        </w:rPr>
      </w:pPr>
      <w:r>
        <w:rPr>
          <w:rFonts w:hint="eastAsia"/>
          <w:highlight w:val="none"/>
        </w:rPr>
        <w:t>5、根据国家有关环保法律法规的要求，设置专门的部门和专人负责生态保护。</w:t>
      </w:r>
    </w:p>
    <w:p>
      <w:pPr>
        <w:pStyle w:val="62"/>
        <w:ind w:firstLine="480"/>
        <w:rPr>
          <w:highlight w:val="none"/>
        </w:rPr>
      </w:pPr>
      <w:r>
        <w:rPr>
          <w:rFonts w:hint="eastAsia"/>
          <w:highlight w:val="none"/>
        </w:rPr>
        <w:t>职能为：①结合当地政府部门所制定的生态环境建设规划和水土保持规划，搞好项目区及周围地区的生态环境建设。②加强生态环境保护专业队伍的建设，制定落实生态影响防护与恢复的监督管理措施。建议生态管理人员编制纳入项目的环境管理机构，并落实生态管理人员的职能。③项目环保不仅要有厂区内污染源管理职责，还应切实做好防护林建设、养护工作，协助当地政府做好区域生态环境治理工作。项目运营后，要加强对绿色植被的抚育管理，加强树木病虫害的防治工作。</w:t>
      </w:r>
    </w:p>
    <w:p>
      <w:pPr>
        <w:autoSpaceDE w:val="0"/>
        <w:autoSpaceDN w:val="0"/>
        <w:spacing w:line="460" w:lineRule="exact"/>
        <w:ind w:firstLine="562"/>
        <w:outlineLvl w:val="2"/>
        <w:rPr>
          <w:rFonts w:ascii="宋体" w:hAnsi="宋体" w:cs="宋体"/>
          <w:b/>
          <w:bCs/>
          <w:kern w:val="0"/>
          <w:sz w:val="28"/>
          <w:szCs w:val="30"/>
          <w:highlight w:val="none"/>
          <w:lang w:val="zh-CN"/>
        </w:rPr>
      </w:pPr>
      <w:r>
        <w:rPr>
          <w:rFonts w:ascii="宋体" w:hAnsi="宋体" w:cs="宋体"/>
          <w:b/>
          <w:bCs/>
          <w:kern w:val="0"/>
          <w:sz w:val="28"/>
          <w:szCs w:val="30"/>
          <w:highlight w:val="none"/>
          <w:lang w:val="zh-CN"/>
        </w:rPr>
        <w:t>5.9.5小结</w:t>
      </w:r>
    </w:p>
    <w:p>
      <w:pPr>
        <w:ind w:firstLine="496"/>
        <w:rPr>
          <w:rFonts w:ascii="宋体"/>
          <w:spacing w:val="4"/>
          <w:highlight w:val="none"/>
        </w:rPr>
      </w:pPr>
      <w:r>
        <w:rPr>
          <w:rFonts w:ascii="宋体"/>
          <w:spacing w:val="4"/>
          <w:highlight w:val="none"/>
        </w:rPr>
        <w:t>本项目在综合治理结束后对周围环境生态效益显著。</w:t>
      </w:r>
    </w:p>
    <w:p>
      <w:pPr>
        <w:pStyle w:val="4"/>
        <w:rPr>
          <w:rFonts w:hint="eastAsia"/>
          <w:lang w:val="en-US" w:eastAsia="zh-CN"/>
        </w:rPr>
      </w:pPr>
      <w:r>
        <w:rPr>
          <w:rFonts w:hint="eastAsia"/>
          <w:lang w:val="en-US" w:eastAsia="zh-CN"/>
        </w:rPr>
        <w:t>5.9.6生态影响评价自查表</w:t>
      </w:r>
    </w:p>
    <w:p>
      <w:pPr>
        <w:pStyle w:val="65"/>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rPr>
        <w:t>生态影响评价自查表</w:t>
      </w:r>
      <w:r>
        <w:rPr>
          <w:rFonts w:hint="eastAsia" w:ascii="宋体" w:hAnsi="宋体" w:eastAsia="宋体" w:cs="Times New Roman"/>
          <w:highlight w:val="none"/>
          <w:lang w:val="en-US" w:eastAsia="zh-CN"/>
        </w:rPr>
        <w:t>见表5.9-6。</w:t>
      </w:r>
    </w:p>
    <w:p>
      <w:pPr>
        <w:pStyle w:val="65"/>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 xml:space="preserve">表5.9-6  </w:t>
      </w:r>
      <w:r>
        <w:rPr>
          <w:rFonts w:hint="eastAsia" w:ascii="宋体" w:hAnsi="宋体" w:eastAsia="宋体" w:cs="Times New Roman"/>
          <w:highlight w:val="none"/>
        </w:rPr>
        <w:t>生态影响评价自查表</w:t>
      </w:r>
    </w:p>
    <w:tbl>
      <w:tblPr>
        <w:tblStyle w:val="44"/>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320"/>
        <w:gridCol w:w="6765"/>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2369"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工作内容</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049"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生态影响识别</w:t>
            </w: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生态保护目标</w:t>
            </w:r>
          </w:p>
        </w:tc>
        <w:tc>
          <w:tcPr>
            <w:tcW w:w="6766"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重要物种</w:t>
            </w:r>
            <w:r>
              <w:rPr>
                <w:rFonts w:hint="eastAsia" w:ascii="宋体" w:hAnsi="宋体" w:eastAsia="宋体" w:cs="宋体"/>
                <w:sz w:val="21"/>
                <w:szCs w:val="21"/>
                <w:vertAlign w:val="baseline"/>
                <w:lang w:eastAsia="zh-CN"/>
              </w:rPr>
              <w:sym w:font="Wingdings 2" w:char="00A3"/>
            </w:r>
            <w:r>
              <w:rPr>
                <w:rFonts w:hint="eastAsia" w:ascii="宋体" w:hAnsi="宋体" w:eastAsia="宋体" w:cs="宋体"/>
                <w:sz w:val="21"/>
                <w:szCs w:val="21"/>
              </w:rPr>
              <w:t>；国家公园</w:t>
            </w:r>
            <w:r>
              <w:rPr>
                <w:rFonts w:hint="eastAsia" w:ascii="宋体" w:hAnsi="宋体" w:eastAsia="宋体" w:cs="宋体"/>
                <w:sz w:val="21"/>
                <w:szCs w:val="21"/>
              </w:rPr>
              <w:sym w:font="Wingdings 2" w:char="00A3"/>
            </w:r>
            <w:r>
              <w:rPr>
                <w:rFonts w:hint="eastAsia" w:ascii="宋体" w:hAnsi="宋体" w:eastAsia="宋体" w:cs="宋体"/>
                <w:sz w:val="21"/>
                <w:szCs w:val="21"/>
              </w:rPr>
              <w:t>；自然保护区</w:t>
            </w:r>
            <w:r>
              <w:rPr>
                <w:rFonts w:hint="eastAsia" w:ascii="宋体" w:hAnsi="宋体" w:eastAsia="宋体" w:cs="宋体"/>
                <w:sz w:val="21"/>
                <w:szCs w:val="21"/>
              </w:rPr>
              <w:sym w:font="Wingdings 2" w:char="00A3"/>
            </w:r>
            <w:r>
              <w:rPr>
                <w:rFonts w:hint="eastAsia" w:ascii="宋体" w:hAnsi="宋体" w:eastAsia="宋体" w:cs="宋体"/>
                <w:sz w:val="21"/>
                <w:szCs w:val="21"/>
              </w:rPr>
              <w:t>；自然公园</w:t>
            </w:r>
            <w:r>
              <w:rPr>
                <w:rFonts w:hint="eastAsia" w:ascii="宋体" w:hAnsi="宋体" w:eastAsia="宋体" w:cs="宋体"/>
                <w:sz w:val="21"/>
                <w:szCs w:val="21"/>
              </w:rPr>
              <w:sym w:font="Wingdings 2" w:char="00A3"/>
            </w:r>
            <w:r>
              <w:rPr>
                <w:rFonts w:hint="eastAsia" w:ascii="宋体" w:hAnsi="宋体" w:eastAsia="宋体" w:cs="宋体"/>
                <w:sz w:val="21"/>
                <w:szCs w:val="21"/>
              </w:rPr>
              <w:t>；世界自然遗产</w:t>
            </w:r>
            <w:r>
              <w:rPr>
                <w:rFonts w:hint="eastAsia" w:ascii="宋体" w:hAnsi="宋体" w:eastAsia="宋体" w:cs="宋体"/>
                <w:sz w:val="21"/>
                <w:szCs w:val="21"/>
              </w:rPr>
              <w:sym w:font="Wingdings 2" w:char="00A3"/>
            </w:r>
            <w:r>
              <w:rPr>
                <w:rFonts w:hint="eastAsia" w:ascii="宋体" w:hAnsi="宋体" w:eastAsia="宋体" w:cs="宋体"/>
                <w:sz w:val="21"/>
                <w:szCs w:val="21"/>
              </w:rPr>
              <w:t>；生态保护红线</w:t>
            </w:r>
            <w:r>
              <w:rPr>
                <w:rFonts w:hint="eastAsia" w:ascii="宋体" w:hAnsi="宋体" w:eastAsia="宋体" w:cs="宋体"/>
                <w:sz w:val="21"/>
                <w:szCs w:val="21"/>
              </w:rPr>
              <w:sym w:font="Wingdings 2" w:char="00A3"/>
            </w:r>
            <w:r>
              <w:rPr>
                <w:rFonts w:hint="eastAsia" w:ascii="宋体" w:hAnsi="宋体" w:eastAsia="宋体" w:cs="宋体"/>
                <w:sz w:val="21"/>
                <w:szCs w:val="21"/>
              </w:rPr>
              <w:t>；重要生境</w:t>
            </w:r>
            <w:r>
              <w:rPr>
                <w:rFonts w:hint="eastAsia" w:ascii="宋体" w:hAnsi="宋体" w:eastAsia="宋体" w:cs="宋体"/>
                <w:sz w:val="21"/>
                <w:szCs w:val="21"/>
              </w:rPr>
              <w:sym w:font="Wingdings 2" w:char="00A3"/>
            </w:r>
            <w:r>
              <w:rPr>
                <w:rFonts w:hint="eastAsia" w:ascii="宋体" w:hAnsi="宋体" w:eastAsia="宋体" w:cs="宋体"/>
                <w:sz w:val="21"/>
                <w:szCs w:val="21"/>
              </w:rPr>
              <w:t>；其他具有重要生态功能、对保护生物多样性具有重要意义的区域</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影响方式</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工程占用</w:t>
            </w:r>
            <w:r>
              <w:rPr>
                <w:rFonts w:hint="eastAsia" w:ascii="宋体" w:hAnsi="宋体" w:eastAsia="宋体" w:cs="宋体"/>
                <w:sz w:val="21"/>
                <w:szCs w:val="21"/>
              </w:rPr>
              <w:sym w:font="Wingdings 2" w:char="0052"/>
            </w:r>
            <w:r>
              <w:rPr>
                <w:rFonts w:hint="eastAsia" w:ascii="宋体" w:hAnsi="宋体" w:eastAsia="宋体" w:cs="宋体"/>
                <w:sz w:val="21"/>
                <w:szCs w:val="21"/>
              </w:rPr>
              <w:t>；施工活动干扰</w:t>
            </w:r>
            <w:r>
              <w:rPr>
                <w:rFonts w:hint="eastAsia" w:ascii="宋体" w:hAnsi="宋体" w:eastAsia="宋体" w:cs="宋体"/>
                <w:sz w:val="21"/>
                <w:szCs w:val="21"/>
              </w:rPr>
              <w:sym w:font="Wingdings 2" w:char="0052"/>
            </w:r>
            <w:r>
              <w:rPr>
                <w:rFonts w:hint="eastAsia" w:ascii="宋体" w:hAnsi="宋体" w:eastAsia="宋体" w:cs="宋体"/>
                <w:sz w:val="21"/>
                <w:szCs w:val="21"/>
              </w:rPr>
              <w:t>；改变环境条件</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148"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评价因子</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物种</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生境</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生物群落</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生态系统</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生物多样性</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生态敏感区</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自然景观</w:t>
            </w:r>
            <w:r>
              <w:rPr>
                <w:rFonts w:hint="eastAsia" w:ascii="宋体" w:hAnsi="宋体" w:eastAsia="宋体" w:cs="宋体"/>
                <w:sz w:val="21"/>
                <w:szCs w:val="21"/>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自然遗迹</w:t>
            </w:r>
            <w:r>
              <w:rPr>
                <w:rFonts w:hint="eastAsia" w:ascii="宋体" w:hAnsi="宋体" w:eastAsia="宋体" w:cs="宋体"/>
                <w:sz w:val="21"/>
                <w:szCs w:val="21"/>
                <w:vertAlign w:val="baseline"/>
                <w:lang w:eastAsia="zh-CN"/>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vertAlign w:val="baseline"/>
                <w:lang w:eastAsia="zh-CN"/>
              </w:rPr>
              <w:sym w:font="Wingdings 2" w:char="00A3"/>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2369"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评价等级</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一级</w:t>
            </w:r>
            <w:r>
              <w:rPr>
                <w:rFonts w:hint="eastAsia" w:ascii="宋体" w:hAnsi="宋体" w:eastAsia="宋体" w:cs="宋体"/>
                <w:sz w:val="21"/>
                <w:szCs w:val="21"/>
              </w:rPr>
              <w:sym w:font="Wingdings 2" w:char="00A3"/>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二级</w:t>
            </w:r>
            <w:r>
              <w:rPr>
                <w:rFonts w:hint="eastAsia" w:ascii="宋体" w:hAnsi="宋体" w:eastAsia="宋体" w:cs="宋体"/>
                <w:sz w:val="21"/>
                <w:szCs w:val="21"/>
              </w:rPr>
              <w:sym w:font="Wingdings 2" w:char="00A3"/>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三级</w:t>
            </w:r>
            <w:r>
              <w:rPr>
                <w:rFonts w:hint="eastAsia" w:ascii="宋体" w:hAnsi="宋体" w:eastAsia="宋体" w:cs="宋体"/>
                <w:sz w:val="21"/>
                <w:szCs w:val="21"/>
              </w:rPr>
              <w:sym w:font="Wingdings 2" w:char="0052"/>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生态影响简单分析</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00" w:hRule="atLeast"/>
        </w:trPr>
        <w:tc>
          <w:tcPr>
            <w:tcW w:w="2369"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评价范围</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陆域面积：（</w:t>
            </w:r>
            <w:r>
              <w:rPr>
                <w:rFonts w:hint="eastAsia" w:ascii="宋体" w:hAnsi="宋体" w:eastAsia="宋体" w:cs="宋体"/>
                <w:sz w:val="21"/>
                <w:szCs w:val="21"/>
                <w:lang w:val="en-US" w:eastAsia="zh-CN"/>
              </w:rPr>
              <w:t>3.28</w:t>
            </w:r>
            <w:r>
              <w:rPr>
                <w:rFonts w:hint="eastAsia" w:ascii="宋体" w:hAnsi="宋体" w:eastAsia="宋体" w:cs="宋体"/>
                <w:sz w:val="21"/>
                <w:szCs w:val="21"/>
              </w:rPr>
              <w:t>）km</w:t>
            </w:r>
            <w:r>
              <w:rPr>
                <w:rFonts w:hint="eastAsia" w:ascii="宋体" w:hAnsi="宋体" w:eastAsia="宋体" w:cs="宋体"/>
                <w:sz w:val="21"/>
                <w:szCs w:val="21"/>
                <w:vertAlign w:val="superscript"/>
              </w:rPr>
              <w:t>2</w:t>
            </w:r>
            <w:r>
              <w:rPr>
                <w:rFonts w:hint="eastAsia" w:ascii="宋体" w:hAnsi="宋体" w:eastAsia="宋体" w:cs="宋体"/>
                <w:sz w:val="21"/>
                <w:szCs w:val="21"/>
              </w:rPr>
              <w:t>；水域面积：（</w:t>
            </w:r>
            <w:r>
              <w:rPr>
                <w:rFonts w:hint="eastAsia" w:ascii="宋体" w:hAnsi="宋体" w:eastAsia="宋体" w:cs="宋体"/>
                <w:sz w:val="21"/>
                <w:szCs w:val="21"/>
                <w:lang w:val="en-US" w:eastAsia="zh-CN"/>
              </w:rPr>
              <w:t>0</w:t>
            </w:r>
            <w:r>
              <w:rPr>
                <w:rFonts w:hint="eastAsia" w:ascii="宋体" w:hAnsi="宋体" w:eastAsia="宋体" w:cs="宋体"/>
                <w:sz w:val="21"/>
                <w:szCs w:val="21"/>
              </w:rPr>
              <w:t>）km</w:t>
            </w:r>
            <w:r>
              <w:rPr>
                <w:rFonts w:hint="eastAsia" w:ascii="宋体" w:hAnsi="宋体" w:eastAsia="宋体" w:cs="宋体"/>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049"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生态现状调查与评价</w:t>
            </w: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调查方法</w:t>
            </w:r>
          </w:p>
        </w:tc>
        <w:tc>
          <w:tcPr>
            <w:tcW w:w="6766"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资料收集</w:t>
            </w:r>
            <w:r>
              <w:rPr>
                <w:rFonts w:hint="eastAsia" w:ascii="宋体" w:hAnsi="宋体" w:eastAsia="宋体" w:cs="宋体"/>
                <w:sz w:val="21"/>
                <w:szCs w:val="21"/>
              </w:rPr>
              <w:sym w:font="Wingdings 2" w:char="00A3"/>
            </w:r>
            <w:r>
              <w:rPr>
                <w:rFonts w:hint="eastAsia" w:ascii="宋体" w:hAnsi="宋体" w:eastAsia="宋体" w:cs="宋体"/>
                <w:sz w:val="21"/>
                <w:szCs w:val="21"/>
              </w:rPr>
              <w:t>；遥感调查</w:t>
            </w:r>
            <w:r>
              <w:rPr>
                <w:rFonts w:hint="eastAsia" w:ascii="宋体" w:hAnsi="宋体" w:eastAsia="宋体" w:cs="宋体"/>
                <w:sz w:val="21"/>
                <w:szCs w:val="21"/>
              </w:rPr>
              <w:sym w:font="Wingdings 2" w:char="0052"/>
            </w:r>
            <w:r>
              <w:rPr>
                <w:rFonts w:hint="eastAsia" w:ascii="宋体" w:hAnsi="宋体" w:eastAsia="宋体" w:cs="宋体"/>
                <w:sz w:val="21"/>
                <w:szCs w:val="21"/>
              </w:rPr>
              <w:t>；调查样方、样线</w:t>
            </w:r>
            <w:r>
              <w:rPr>
                <w:rFonts w:hint="eastAsia" w:ascii="宋体" w:hAnsi="宋体" w:eastAsia="宋体" w:cs="宋体"/>
                <w:sz w:val="21"/>
                <w:szCs w:val="21"/>
              </w:rPr>
              <w:sym w:font="Wingdings 2" w:char="00A3"/>
            </w:r>
            <w:r>
              <w:rPr>
                <w:rFonts w:hint="eastAsia" w:ascii="宋体" w:hAnsi="宋体" w:eastAsia="宋体" w:cs="宋体"/>
                <w:sz w:val="21"/>
                <w:szCs w:val="21"/>
              </w:rPr>
              <w:t>；调查点位、断面</w:t>
            </w:r>
            <w:r>
              <w:rPr>
                <w:rFonts w:hint="eastAsia" w:ascii="宋体" w:hAnsi="宋体" w:eastAsia="宋体" w:cs="宋体"/>
                <w:sz w:val="21"/>
                <w:szCs w:val="21"/>
              </w:rPr>
              <w:sym w:font="Wingdings 2" w:char="00A3"/>
            </w:r>
            <w:r>
              <w:rPr>
                <w:rFonts w:hint="eastAsia" w:ascii="宋体" w:hAnsi="宋体" w:eastAsia="宋体" w:cs="宋体"/>
                <w:sz w:val="21"/>
                <w:szCs w:val="21"/>
              </w:rPr>
              <w:t>；专家和公众咨询法</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1"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调查时间</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春季</w:t>
            </w:r>
            <w:r>
              <w:rPr>
                <w:rFonts w:hint="eastAsia" w:ascii="宋体" w:hAnsi="宋体" w:eastAsia="宋体" w:cs="宋体"/>
                <w:sz w:val="21"/>
                <w:szCs w:val="21"/>
              </w:rPr>
              <w:sym w:font="Wingdings 2" w:char="00A3"/>
            </w:r>
            <w:r>
              <w:rPr>
                <w:rFonts w:hint="eastAsia" w:ascii="宋体" w:hAnsi="宋体" w:eastAsia="宋体" w:cs="宋体"/>
                <w:sz w:val="21"/>
                <w:szCs w:val="21"/>
              </w:rPr>
              <w:t>；夏季</w:t>
            </w:r>
            <w:r>
              <w:rPr>
                <w:rFonts w:hint="eastAsia" w:ascii="宋体" w:hAnsi="宋体" w:eastAsia="宋体" w:cs="宋体"/>
                <w:sz w:val="21"/>
                <w:szCs w:val="21"/>
              </w:rPr>
              <w:sym w:font="Wingdings 2" w:char="00A3"/>
            </w:r>
            <w:r>
              <w:rPr>
                <w:rFonts w:hint="eastAsia" w:ascii="宋体" w:hAnsi="宋体" w:eastAsia="宋体" w:cs="宋体"/>
                <w:sz w:val="21"/>
                <w:szCs w:val="21"/>
              </w:rPr>
              <w:t>；秋季</w:t>
            </w:r>
            <w:r>
              <w:rPr>
                <w:rFonts w:hint="eastAsia" w:ascii="宋体" w:hAnsi="宋体" w:eastAsia="宋体" w:cs="宋体"/>
                <w:sz w:val="21"/>
                <w:szCs w:val="21"/>
              </w:rPr>
              <w:sym w:font="Wingdings 2" w:char="00A3"/>
            </w:r>
            <w:r>
              <w:rPr>
                <w:rFonts w:hint="eastAsia" w:ascii="宋体" w:hAnsi="宋体" w:eastAsia="宋体" w:cs="宋体"/>
                <w:sz w:val="21"/>
                <w:szCs w:val="21"/>
              </w:rPr>
              <w:t>；冬季</w:t>
            </w:r>
            <w:r>
              <w:rPr>
                <w:rFonts w:hint="eastAsia" w:ascii="宋体" w:hAnsi="宋体" w:eastAsia="宋体" w:cs="宋体"/>
                <w:sz w:val="21"/>
                <w:szCs w:val="21"/>
              </w:rPr>
              <w:sym w:font="Wingdings 2" w:char="00A3"/>
            </w:r>
          </w:p>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丰水期</w:t>
            </w:r>
            <w:r>
              <w:rPr>
                <w:rFonts w:hint="eastAsia" w:ascii="宋体" w:hAnsi="宋体" w:eastAsia="宋体" w:cs="宋体"/>
                <w:sz w:val="21"/>
                <w:szCs w:val="21"/>
              </w:rPr>
              <w:sym w:font="Wingdings 2" w:char="00A3"/>
            </w:r>
            <w:r>
              <w:rPr>
                <w:rFonts w:hint="eastAsia" w:ascii="宋体" w:hAnsi="宋体" w:eastAsia="宋体" w:cs="宋体"/>
                <w:sz w:val="21"/>
                <w:szCs w:val="21"/>
              </w:rPr>
              <w:t>；枯水期</w:t>
            </w:r>
            <w:r>
              <w:rPr>
                <w:rFonts w:hint="eastAsia" w:ascii="宋体" w:hAnsi="宋体" w:eastAsia="宋体" w:cs="宋体"/>
                <w:sz w:val="21"/>
                <w:szCs w:val="21"/>
              </w:rPr>
              <w:sym w:font="Wingdings 2" w:char="00A3"/>
            </w:r>
            <w:r>
              <w:rPr>
                <w:rFonts w:hint="eastAsia" w:ascii="宋体" w:hAnsi="宋体" w:eastAsia="宋体" w:cs="宋体"/>
                <w:sz w:val="21"/>
                <w:szCs w:val="21"/>
              </w:rPr>
              <w:t>；平水期</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3"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所在区域的生态问题</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水土流失</w:t>
            </w:r>
            <w:r>
              <w:rPr>
                <w:rFonts w:hint="eastAsia" w:ascii="宋体" w:hAnsi="宋体" w:eastAsia="宋体" w:cs="宋体"/>
                <w:sz w:val="21"/>
                <w:szCs w:val="21"/>
              </w:rPr>
              <w:sym w:font="Wingdings 2" w:char="0052"/>
            </w:r>
            <w:r>
              <w:rPr>
                <w:rFonts w:hint="eastAsia" w:ascii="宋体" w:hAnsi="宋体" w:eastAsia="宋体" w:cs="宋体"/>
                <w:sz w:val="21"/>
                <w:szCs w:val="21"/>
              </w:rPr>
              <w:t>；沙漠化</w:t>
            </w:r>
            <w:r>
              <w:rPr>
                <w:rFonts w:hint="eastAsia" w:ascii="宋体" w:hAnsi="宋体" w:eastAsia="宋体" w:cs="宋体"/>
                <w:sz w:val="21"/>
                <w:szCs w:val="21"/>
              </w:rPr>
              <w:sym w:font="Wingdings 2" w:char="00A3"/>
            </w:r>
            <w:r>
              <w:rPr>
                <w:rFonts w:hint="eastAsia" w:ascii="宋体" w:hAnsi="宋体" w:eastAsia="宋体" w:cs="宋体"/>
                <w:sz w:val="21"/>
                <w:szCs w:val="21"/>
              </w:rPr>
              <w:t>；石漠化</w:t>
            </w:r>
            <w:r>
              <w:rPr>
                <w:rFonts w:hint="eastAsia" w:ascii="宋体" w:hAnsi="宋体" w:eastAsia="宋体" w:cs="宋体"/>
                <w:sz w:val="21"/>
                <w:szCs w:val="21"/>
              </w:rPr>
              <w:sym w:font="Wingdings 2" w:char="00A3"/>
            </w:r>
            <w:r>
              <w:rPr>
                <w:rFonts w:hint="eastAsia" w:ascii="宋体" w:hAnsi="宋体" w:eastAsia="宋体" w:cs="宋体"/>
                <w:sz w:val="21"/>
                <w:szCs w:val="21"/>
              </w:rPr>
              <w:t>；盐渍化</w:t>
            </w:r>
            <w:r>
              <w:rPr>
                <w:rFonts w:hint="eastAsia" w:ascii="宋体" w:hAnsi="宋体" w:eastAsia="宋体" w:cs="宋体"/>
                <w:sz w:val="21"/>
                <w:szCs w:val="21"/>
              </w:rPr>
              <w:sym w:font="Wingdings 2" w:char="00A3"/>
            </w:r>
            <w:r>
              <w:rPr>
                <w:rFonts w:hint="eastAsia" w:ascii="宋体" w:hAnsi="宋体" w:eastAsia="宋体" w:cs="宋体"/>
                <w:sz w:val="21"/>
                <w:szCs w:val="21"/>
              </w:rPr>
              <w:t>；生物入侵</w:t>
            </w:r>
            <w:r>
              <w:rPr>
                <w:rFonts w:hint="eastAsia" w:ascii="宋体" w:hAnsi="宋体" w:eastAsia="宋体" w:cs="宋体"/>
                <w:sz w:val="21"/>
                <w:szCs w:val="21"/>
              </w:rPr>
              <w:sym w:font="Wingdings 2" w:char="00A3"/>
            </w:r>
            <w:r>
              <w:rPr>
                <w:rFonts w:hint="eastAsia" w:ascii="宋体" w:hAnsi="宋体" w:eastAsia="宋体" w:cs="宋体"/>
                <w:sz w:val="21"/>
                <w:szCs w:val="21"/>
              </w:rPr>
              <w:t>；污染危害</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06"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评价内容</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植被/植物群落</w:t>
            </w:r>
            <w:r>
              <w:rPr>
                <w:rFonts w:hint="eastAsia" w:ascii="宋体" w:hAnsi="宋体" w:eastAsia="宋体" w:cs="宋体"/>
                <w:sz w:val="21"/>
                <w:szCs w:val="21"/>
              </w:rPr>
              <w:sym w:font="Wingdings 2" w:char="00A3"/>
            </w:r>
            <w:r>
              <w:rPr>
                <w:rFonts w:hint="eastAsia" w:ascii="宋体" w:hAnsi="宋体" w:eastAsia="宋体" w:cs="宋体"/>
                <w:sz w:val="21"/>
                <w:szCs w:val="21"/>
              </w:rPr>
              <w:t>；土地利用</w:t>
            </w:r>
            <w:r>
              <w:rPr>
                <w:rFonts w:hint="eastAsia" w:ascii="宋体" w:hAnsi="宋体" w:eastAsia="宋体" w:cs="宋体"/>
                <w:sz w:val="21"/>
                <w:szCs w:val="21"/>
              </w:rPr>
              <w:sym w:font="Wingdings 2" w:char="00A3"/>
            </w:r>
            <w:r>
              <w:rPr>
                <w:rFonts w:hint="eastAsia" w:ascii="宋体" w:hAnsi="宋体" w:eastAsia="宋体" w:cs="宋体"/>
                <w:sz w:val="21"/>
                <w:szCs w:val="21"/>
              </w:rPr>
              <w:t>；生态系统</w:t>
            </w:r>
            <w:r>
              <w:rPr>
                <w:rFonts w:hint="eastAsia" w:ascii="宋体" w:hAnsi="宋体" w:eastAsia="宋体" w:cs="宋体"/>
                <w:sz w:val="21"/>
                <w:szCs w:val="21"/>
              </w:rPr>
              <w:sym w:font="Wingdings 2" w:char="00A3"/>
            </w:r>
            <w:r>
              <w:rPr>
                <w:rFonts w:hint="eastAsia" w:ascii="宋体" w:hAnsi="宋体" w:eastAsia="宋体" w:cs="宋体"/>
                <w:sz w:val="21"/>
                <w:szCs w:val="21"/>
              </w:rPr>
              <w:t>；生物多样性</w:t>
            </w:r>
            <w:r>
              <w:rPr>
                <w:rFonts w:hint="eastAsia" w:ascii="宋体" w:hAnsi="宋体" w:eastAsia="宋体" w:cs="宋体"/>
                <w:sz w:val="21"/>
                <w:szCs w:val="21"/>
              </w:rPr>
              <w:sym w:font="Wingdings 2" w:char="00A3"/>
            </w:r>
            <w:r>
              <w:rPr>
                <w:rFonts w:hint="eastAsia" w:ascii="宋体" w:hAnsi="宋体" w:eastAsia="宋体" w:cs="宋体"/>
                <w:sz w:val="21"/>
                <w:szCs w:val="21"/>
              </w:rPr>
              <w:t>；重要物种</w:t>
            </w:r>
            <w:r>
              <w:rPr>
                <w:rFonts w:hint="eastAsia" w:ascii="宋体" w:hAnsi="宋体" w:eastAsia="宋体" w:cs="宋体"/>
                <w:sz w:val="21"/>
                <w:szCs w:val="21"/>
              </w:rPr>
              <w:sym w:font="Wingdings 2" w:char="00A3"/>
            </w:r>
            <w:r>
              <w:rPr>
                <w:rFonts w:hint="eastAsia" w:ascii="宋体" w:hAnsi="宋体" w:eastAsia="宋体" w:cs="宋体"/>
                <w:sz w:val="21"/>
                <w:szCs w:val="21"/>
              </w:rPr>
              <w:t>；生态敏感区</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49"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生态影响预测与评价</w:t>
            </w: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评价方法</w:t>
            </w:r>
          </w:p>
        </w:tc>
        <w:tc>
          <w:tcPr>
            <w:tcW w:w="6766"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定性</w:t>
            </w:r>
            <w:r>
              <w:rPr>
                <w:rFonts w:hint="eastAsia" w:ascii="宋体" w:hAnsi="宋体" w:eastAsia="宋体" w:cs="宋体"/>
                <w:sz w:val="21"/>
                <w:szCs w:val="21"/>
              </w:rPr>
              <w:sym w:font="Wingdings 2" w:char="00A3"/>
            </w:r>
            <w:r>
              <w:rPr>
                <w:rFonts w:hint="eastAsia" w:ascii="宋体" w:hAnsi="宋体" w:eastAsia="宋体" w:cs="宋体"/>
                <w:sz w:val="21"/>
                <w:szCs w:val="21"/>
              </w:rPr>
              <w:t>；定性和定量</w:t>
            </w:r>
            <w:r>
              <w:rPr>
                <w:rFonts w:hint="eastAsia" w:ascii="宋体" w:hAnsi="宋体" w:eastAsia="宋体" w:cs="宋体"/>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06"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评价内容</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植被/植物群落</w:t>
            </w:r>
            <w:r>
              <w:rPr>
                <w:rFonts w:hint="eastAsia" w:ascii="宋体" w:hAnsi="宋体" w:eastAsia="宋体" w:cs="宋体"/>
                <w:sz w:val="21"/>
                <w:szCs w:val="21"/>
              </w:rPr>
              <w:sym w:font="Wingdings 2" w:char="00A3"/>
            </w:r>
            <w:r>
              <w:rPr>
                <w:rFonts w:hint="eastAsia" w:ascii="宋体" w:hAnsi="宋体" w:eastAsia="宋体" w:cs="宋体"/>
                <w:sz w:val="21"/>
                <w:szCs w:val="21"/>
              </w:rPr>
              <w:t>；土地利用</w:t>
            </w:r>
            <w:r>
              <w:rPr>
                <w:rFonts w:hint="eastAsia" w:ascii="宋体" w:hAnsi="宋体" w:eastAsia="宋体" w:cs="宋体"/>
                <w:sz w:val="21"/>
                <w:szCs w:val="21"/>
              </w:rPr>
              <w:sym w:font="Wingdings 2" w:char="00A3"/>
            </w:r>
            <w:r>
              <w:rPr>
                <w:rFonts w:hint="eastAsia" w:ascii="宋体" w:hAnsi="宋体" w:eastAsia="宋体" w:cs="宋体"/>
                <w:sz w:val="21"/>
                <w:szCs w:val="21"/>
              </w:rPr>
              <w:t>；生态系统</w:t>
            </w:r>
            <w:r>
              <w:rPr>
                <w:rFonts w:hint="eastAsia" w:ascii="宋体" w:hAnsi="宋体" w:eastAsia="宋体" w:cs="宋体"/>
                <w:sz w:val="21"/>
                <w:szCs w:val="21"/>
              </w:rPr>
              <w:sym w:font="Wingdings 2" w:char="00A3"/>
            </w:r>
            <w:r>
              <w:rPr>
                <w:rFonts w:hint="eastAsia" w:ascii="宋体" w:hAnsi="宋体" w:eastAsia="宋体" w:cs="宋体"/>
                <w:sz w:val="21"/>
                <w:szCs w:val="21"/>
              </w:rPr>
              <w:t>；生物多样性</w:t>
            </w:r>
            <w:r>
              <w:rPr>
                <w:rFonts w:hint="eastAsia" w:ascii="宋体" w:hAnsi="宋体" w:eastAsia="宋体" w:cs="宋体"/>
                <w:sz w:val="21"/>
                <w:szCs w:val="21"/>
              </w:rPr>
              <w:sym w:font="Wingdings 2" w:char="00A3"/>
            </w:r>
            <w:r>
              <w:rPr>
                <w:rFonts w:hint="eastAsia" w:ascii="宋体" w:hAnsi="宋体" w:eastAsia="宋体" w:cs="宋体"/>
                <w:sz w:val="21"/>
                <w:szCs w:val="21"/>
              </w:rPr>
              <w:t>；重要物种</w:t>
            </w:r>
            <w:r>
              <w:rPr>
                <w:rFonts w:hint="eastAsia" w:ascii="宋体" w:hAnsi="宋体" w:eastAsia="宋体" w:cs="宋体"/>
                <w:sz w:val="21"/>
                <w:szCs w:val="21"/>
              </w:rPr>
              <w:sym w:font="Wingdings 2" w:char="00A3"/>
            </w:r>
            <w:r>
              <w:rPr>
                <w:rFonts w:hint="eastAsia" w:ascii="宋体" w:hAnsi="宋体" w:eastAsia="宋体" w:cs="宋体"/>
                <w:sz w:val="21"/>
                <w:szCs w:val="21"/>
              </w:rPr>
              <w:t>；生态敏感区</w:t>
            </w:r>
            <w:r>
              <w:rPr>
                <w:rFonts w:hint="eastAsia" w:ascii="宋体" w:hAnsi="宋体" w:eastAsia="宋体" w:cs="宋体"/>
                <w:sz w:val="21"/>
                <w:szCs w:val="21"/>
              </w:rPr>
              <w:sym w:font="Wingdings 2" w:char="00A3"/>
            </w:r>
            <w:r>
              <w:rPr>
                <w:rFonts w:hint="eastAsia" w:ascii="宋体" w:hAnsi="宋体" w:eastAsia="宋体" w:cs="宋体"/>
                <w:sz w:val="21"/>
                <w:szCs w:val="21"/>
              </w:rPr>
              <w:t>；生物入侵风险</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49"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生态保护对策措施</w:t>
            </w: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对策措施</w:t>
            </w:r>
          </w:p>
        </w:tc>
        <w:tc>
          <w:tcPr>
            <w:tcW w:w="6766"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避让</w:t>
            </w:r>
            <w:r>
              <w:rPr>
                <w:rFonts w:hint="eastAsia" w:ascii="宋体" w:hAnsi="宋体" w:eastAsia="宋体" w:cs="宋体"/>
                <w:sz w:val="21"/>
                <w:szCs w:val="21"/>
              </w:rPr>
              <w:sym w:font="Wingdings 2" w:char="00A3"/>
            </w:r>
            <w:r>
              <w:rPr>
                <w:rFonts w:hint="eastAsia" w:ascii="宋体" w:hAnsi="宋体" w:eastAsia="宋体" w:cs="宋体"/>
                <w:sz w:val="21"/>
                <w:szCs w:val="21"/>
              </w:rPr>
              <w:t>；减缓</w:t>
            </w:r>
            <w:r>
              <w:rPr>
                <w:rFonts w:hint="eastAsia" w:ascii="宋体" w:hAnsi="宋体" w:eastAsia="宋体" w:cs="宋体"/>
                <w:sz w:val="21"/>
                <w:szCs w:val="21"/>
              </w:rPr>
              <w:sym w:font="Wingdings 2" w:char="00A3"/>
            </w:r>
            <w:r>
              <w:rPr>
                <w:rFonts w:hint="eastAsia" w:ascii="宋体" w:hAnsi="宋体" w:eastAsia="宋体" w:cs="宋体"/>
                <w:sz w:val="21"/>
                <w:szCs w:val="21"/>
              </w:rPr>
              <w:t>；生态修复</w:t>
            </w:r>
            <w:r>
              <w:rPr>
                <w:rFonts w:hint="eastAsia" w:ascii="宋体" w:hAnsi="宋体" w:eastAsia="宋体" w:cs="宋体"/>
                <w:sz w:val="21"/>
                <w:szCs w:val="21"/>
              </w:rPr>
              <w:sym w:font="Wingdings 2" w:char="0052"/>
            </w:r>
            <w:r>
              <w:rPr>
                <w:rFonts w:hint="eastAsia" w:ascii="宋体" w:hAnsi="宋体" w:eastAsia="宋体" w:cs="宋体"/>
                <w:sz w:val="21"/>
                <w:szCs w:val="21"/>
              </w:rPr>
              <w:t>；生态补偿</w:t>
            </w:r>
            <w:r>
              <w:rPr>
                <w:rFonts w:hint="eastAsia" w:ascii="宋体" w:hAnsi="宋体" w:eastAsia="宋体" w:cs="宋体"/>
                <w:sz w:val="21"/>
                <w:szCs w:val="21"/>
              </w:rPr>
              <w:sym w:font="Wingdings 2" w:char="00A3"/>
            </w:r>
            <w:r>
              <w:rPr>
                <w:rFonts w:hint="eastAsia" w:ascii="宋体" w:hAnsi="宋体" w:eastAsia="宋体" w:cs="宋体"/>
                <w:sz w:val="21"/>
                <w:szCs w:val="21"/>
              </w:rPr>
              <w:t>；科研</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生态监测计划</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全生命周期</w:t>
            </w:r>
            <w:r>
              <w:rPr>
                <w:rFonts w:hint="eastAsia" w:ascii="宋体" w:hAnsi="宋体" w:eastAsia="宋体" w:cs="宋体"/>
                <w:sz w:val="21"/>
                <w:szCs w:val="21"/>
              </w:rPr>
              <w:sym w:font="Wingdings 2" w:char="00A3"/>
            </w:r>
            <w:r>
              <w:rPr>
                <w:rFonts w:hint="eastAsia" w:ascii="宋体" w:hAnsi="宋体" w:eastAsia="宋体" w:cs="宋体"/>
                <w:sz w:val="21"/>
                <w:szCs w:val="21"/>
              </w:rPr>
              <w:t>；长期跟踪</w:t>
            </w:r>
            <w:r>
              <w:rPr>
                <w:rFonts w:hint="eastAsia" w:ascii="宋体" w:hAnsi="宋体" w:eastAsia="宋体" w:cs="宋体"/>
                <w:sz w:val="21"/>
                <w:szCs w:val="21"/>
              </w:rPr>
              <w:sym w:font="Wingdings 2" w:char="00A3"/>
            </w:r>
            <w:r>
              <w:rPr>
                <w:rFonts w:hint="eastAsia" w:ascii="宋体" w:hAnsi="宋体" w:eastAsia="宋体" w:cs="宋体"/>
                <w:sz w:val="21"/>
                <w:szCs w:val="21"/>
              </w:rPr>
              <w:t>；常规</w:t>
            </w:r>
            <w:r>
              <w:rPr>
                <w:rFonts w:hint="eastAsia" w:ascii="宋体" w:hAnsi="宋体" w:eastAsia="宋体" w:cs="宋体"/>
                <w:sz w:val="21"/>
                <w:szCs w:val="21"/>
              </w:rPr>
              <w:sym w:font="Wingdings 2" w:char="00A3"/>
            </w:r>
            <w:r>
              <w:rPr>
                <w:rFonts w:hint="eastAsia" w:ascii="宋体" w:hAnsi="宋体" w:eastAsia="宋体" w:cs="宋体"/>
                <w:sz w:val="21"/>
                <w:szCs w:val="21"/>
              </w:rPr>
              <w:t>；无</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104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环境管理</w:t>
            </w:r>
          </w:p>
        </w:tc>
        <w:tc>
          <w:tcPr>
            <w:tcW w:w="676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环境监理</w:t>
            </w:r>
            <w:r>
              <w:rPr>
                <w:rFonts w:hint="eastAsia" w:ascii="宋体" w:hAnsi="宋体" w:eastAsia="宋体" w:cs="宋体"/>
                <w:sz w:val="21"/>
                <w:szCs w:val="21"/>
              </w:rPr>
              <w:sym w:font="Wingdings 2" w:char="00A3"/>
            </w:r>
            <w:r>
              <w:rPr>
                <w:rFonts w:hint="eastAsia" w:ascii="宋体" w:hAnsi="宋体" w:eastAsia="宋体" w:cs="宋体"/>
                <w:sz w:val="21"/>
                <w:szCs w:val="21"/>
              </w:rPr>
              <w:t>；环境影响后评价</w:t>
            </w: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评价结论</w:t>
            </w:r>
          </w:p>
        </w:tc>
        <w:tc>
          <w:tcPr>
            <w:tcW w:w="13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生态影响</w:t>
            </w:r>
          </w:p>
        </w:tc>
        <w:tc>
          <w:tcPr>
            <w:tcW w:w="6766"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可行</w:t>
            </w:r>
            <w:r>
              <w:rPr>
                <w:rFonts w:hint="eastAsia" w:ascii="宋体" w:hAnsi="宋体" w:eastAsia="宋体" w:cs="宋体"/>
                <w:sz w:val="21"/>
                <w:szCs w:val="21"/>
              </w:rPr>
              <w:sym w:font="Wingdings 2" w:char="0052"/>
            </w:r>
            <w:r>
              <w:rPr>
                <w:rFonts w:hint="eastAsia" w:ascii="宋体" w:hAnsi="宋体" w:eastAsia="宋体" w:cs="宋体"/>
                <w:sz w:val="21"/>
                <w:szCs w:val="21"/>
              </w:rPr>
              <w:t>；不可行</w:t>
            </w:r>
            <w:r>
              <w:rPr>
                <w:rFonts w:hint="eastAsia" w:ascii="宋体" w:hAnsi="宋体" w:eastAsia="宋体" w:cs="宋体"/>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35"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注：“□”为勾选项，可√；“（）”为内容填写项。</w:t>
            </w:r>
          </w:p>
        </w:tc>
      </w:tr>
    </w:tbl>
    <w:p>
      <w:pPr>
        <w:ind w:firstLine="480"/>
        <w:rPr>
          <w:highlight w:val="none"/>
        </w:rPr>
      </w:pPr>
    </w:p>
    <w:p>
      <w:pPr>
        <w:ind w:firstLine="480"/>
        <w:rPr>
          <w:highlight w:val="none"/>
          <w:lang w:val="zh-CN"/>
        </w:rPr>
      </w:pPr>
    </w:p>
    <w:p>
      <w:pPr>
        <w:ind w:firstLine="480"/>
        <w:rPr>
          <w:highlight w:val="none"/>
          <w:lang w:val="zh-CN"/>
        </w:rPr>
      </w:pPr>
    </w:p>
    <w:p>
      <w:pPr>
        <w:ind w:firstLine="480"/>
        <w:rPr>
          <w:highlight w:val="none"/>
          <w:lang w:val="zh-CN"/>
        </w:rPr>
      </w:pPr>
    </w:p>
    <w:p>
      <w:pPr>
        <w:ind w:firstLine="480"/>
        <w:rPr>
          <w:highlight w:val="none"/>
          <w:lang w:val="zh-CN"/>
        </w:rPr>
      </w:pPr>
    </w:p>
    <w:p>
      <w:pPr>
        <w:ind w:firstLine="480"/>
        <w:rPr>
          <w:highlight w:val="none"/>
          <w:lang w:val="zh-CN"/>
        </w:rPr>
      </w:pPr>
    </w:p>
    <w:p>
      <w:pPr>
        <w:pStyle w:val="62"/>
        <w:ind w:firstLine="480"/>
        <w:rPr>
          <w:rFonts w:hAnsi="宋体"/>
          <w:highlight w:val="none"/>
        </w:rPr>
      </w:pPr>
    </w:p>
    <w:p>
      <w:pPr>
        <w:pStyle w:val="62"/>
        <w:ind w:firstLine="480"/>
        <w:rPr>
          <w:rFonts w:hAnsi="宋体"/>
          <w:highlight w:val="none"/>
        </w:rPr>
        <w:sectPr>
          <w:pgSz w:w="11910" w:h="16840"/>
          <w:pgMar w:top="1588" w:right="1474" w:bottom="1474" w:left="1474" w:header="964" w:footer="850" w:gutter="0"/>
          <w:pgBorders>
            <w:top w:val="none" w:sz="0" w:space="0"/>
            <w:left w:val="none" w:sz="0" w:space="0"/>
            <w:bottom w:val="none" w:sz="0" w:space="0"/>
            <w:right w:val="none" w:sz="0" w:space="0"/>
          </w:pgBorders>
          <w:cols w:space="720" w:num="1"/>
          <w:docGrid w:linePitch="326" w:charSpace="0"/>
        </w:sectPr>
      </w:pPr>
    </w:p>
    <w:p>
      <w:pPr>
        <w:pStyle w:val="2"/>
        <w:ind w:firstLine="883"/>
        <w:rPr>
          <w:highlight w:val="none"/>
        </w:rPr>
      </w:pPr>
      <w:bookmarkStart w:id="341" w:name="_Toc70201038"/>
      <w:bookmarkStart w:id="342" w:name="_Toc4678495"/>
      <w:r>
        <w:rPr>
          <w:highlight w:val="none"/>
        </w:rPr>
        <w:t>第六章</w:t>
      </w:r>
      <w:r>
        <w:rPr>
          <w:rFonts w:hint="eastAsia"/>
          <w:highlight w:val="none"/>
        </w:rPr>
        <w:t xml:space="preserve">  </w:t>
      </w:r>
      <w:r>
        <w:rPr>
          <w:highlight w:val="none"/>
        </w:rPr>
        <w:t>环境保护措施及可行性论证</w:t>
      </w:r>
      <w:bookmarkEnd w:id="341"/>
      <w:bookmarkEnd w:id="342"/>
    </w:p>
    <w:p>
      <w:pPr>
        <w:pStyle w:val="3"/>
        <w:ind w:firstLine="643"/>
        <w:rPr>
          <w:rFonts w:hAnsi="宋体"/>
          <w:highlight w:val="none"/>
        </w:rPr>
      </w:pPr>
      <w:bookmarkStart w:id="343" w:name="_Toc4678501"/>
      <w:bookmarkStart w:id="344" w:name="_Toc70201039"/>
      <w:r>
        <w:rPr>
          <w:rFonts w:hAnsi="宋体"/>
          <w:highlight w:val="none"/>
        </w:rPr>
        <w:t>6.1运营期环境保护措施</w:t>
      </w:r>
      <w:bookmarkEnd w:id="343"/>
      <w:r>
        <w:rPr>
          <w:rFonts w:hAnsi="宋体"/>
          <w:highlight w:val="none"/>
        </w:rPr>
        <w:t>及可行性论证</w:t>
      </w:r>
      <w:bookmarkEnd w:id="344"/>
    </w:p>
    <w:p>
      <w:pPr>
        <w:pStyle w:val="4"/>
        <w:ind w:firstLine="562"/>
        <w:rPr>
          <w:rFonts w:hAnsi="宋体"/>
          <w:highlight w:val="none"/>
        </w:rPr>
      </w:pPr>
      <w:bookmarkStart w:id="345" w:name="_Toc4678502"/>
      <w:r>
        <w:rPr>
          <w:rFonts w:hAnsi="宋体"/>
          <w:highlight w:val="none"/>
        </w:rPr>
        <w:t>6.1.1大气污染防治措施</w:t>
      </w:r>
      <w:bookmarkEnd w:id="345"/>
    </w:p>
    <w:p>
      <w:pPr>
        <w:pStyle w:val="62"/>
        <w:ind w:firstLine="480"/>
        <w:rPr>
          <w:rFonts w:hAnsi="宋体"/>
          <w:highlight w:val="none"/>
        </w:rPr>
      </w:pPr>
      <w:r>
        <w:rPr>
          <w:rFonts w:hint="eastAsia" w:hAnsi="宋体"/>
          <w:highlight w:val="none"/>
        </w:rPr>
        <w:t>1、</w:t>
      </w:r>
      <w:r>
        <w:rPr>
          <w:rFonts w:hAnsi="宋体"/>
          <w:highlight w:val="none"/>
        </w:rPr>
        <w:t>原</w:t>
      </w:r>
      <w:r>
        <w:rPr>
          <w:rFonts w:hint="eastAsia" w:hAnsi="宋体"/>
          <w:highlight w:val="none"/>
        </w:rPr>
        <w:t>料、废石</w:t>
      </w:r>
      <w:r>
        <w:rPr>
          <w:rFonts w:hAnsi="宋体"/>
          <w:highlight w:val="none"/>
        </w:rPr>
        <w:t>及成品铁精粉堆存扬尘</w:t>
      </w:r>
    </w:p>
    <w:p>
      <w:pPr>
        <w:pStyle w:val="62"/>
        <w:ind w:firstLine="480"/>
        <w:rPr>
          <w:rFonts w:hAnsi="宋体"/>
          <w:highlight w:val="none"/>
        </w:rPr>
      </w:pPr>
      <w:r>
        <w:rPr>
          <w:rFonts w:hint="eastAsia" w:hAnsi="宋体"/>
          <w:highlight w:val="none"/>
        </w:rPr>
        <w:t>本项目</w:t>
      </w:r>
      <w:r>
        <w:rPr>
          <w:rFonts w:hAnsi="宋体"/>
          <w:highlight w:val="none"/>
        </w:rPr>
        <w:t>原料</w:t>
      </w:r>
      <w:r>
        <w:rPr>
          <w:rFonts w:hint="eastAsia" w:hAnsi="宋体"/>
          <w:highlight w:val="none"/>
        </w:rPr>
        <w:t>、废石</w:t>
      </w:r>
      <w:r>
        <w:rPr>
          <w:rFonts w:hAnsi="宋体"/>
          <w:highlight w:val="none"/>
        </w:rPr>
        <w:t>及成品铁精粉堆</w:t>
      </w:r>
      <w:r>
        <w:rPr>
          <w:rFonts w:hint="eastAsia" w:hAnsi="宋体"/>
          <w:highlight w:val="none"/>
        </w:rPr>
        <w:t>场</w:t>
      </w:r>
      <w:r>
        <w:rPr>
          <w:rFonts w:hAnsi="宋体"/>
          <w:highlight w:val="none"/>
        </w:rPr>
        <w:t>采用防风抑尘网</w:t>
      </w:r>
      <w:r>
        <w:rPr>
          <w:rFonts w:hint="eastAsia" w:hAnsi="宋体"/>
          <w:highlight w:val="none"/>
        </w:rPr>
        <w:t>，不能满足山西省人民政府办公厅于2018年5月25日发布的《山西省大气污染防治</w:t>
      </w:r>
      <w:r>
        <w:rPr>
          <w:rFonts w:hAnsi="宋体"/>
          <w:highlight w:val="none"/>
        </w:rPr>
        <w:t>2018</w:t>
      </w:r>
      <w:r>
        <w:rPr>
          <w:rFonts w:hint="eastAsia" w:hAnsi="宋体"/>
          <w:highlight w:val="none"/>
        </w:rPr>
        <w:t>年行动计划》（晋政办发〔2018〕52号）的相关要求。</w:t>
      </w:r>
    </w:p>
    <w:p>
      <w:pPr>
        <w:pStyle w:val="62"/>
        <w:ind w:firstLine="480"/>
        <w:rPr>
          <w:rFonts w:hAnsi="宋体"/>
          <w:highlight w:val="none"/>
        </w:rPr>
      </w:pPr>
      <w:r>
        <w:rPr>
          <w:rFonts w:hAnsi="宋体"/>
          <w:highlight w:val="none"/>
        </w:rPr>
        <w:t>环评认</w:t>
      </w:r>
      <w:r>
        <w:rPr>
          <w:rFonts w:hint="eastAsia" w:hAnsi="宋体"/>
          <w:highlight w:val="none"/>
        </w:rPr>
        <w:t>为堆场治理措施不可行。</w:t>
      </w:r>
    </w:p>
    <w:p>
      <w:pPr>
        <w:pStyle w:val="62"/>
        <w:ind w:firstLine="480"/>
        <w:rPr>
          <w:rFonts w:hAnsi="宋体"/>
          <w:highlight w:val="none"/>
        </w:rPr>
      </w:pPr>
      <w:r>
        <w:rPr>
          <w:rFonts w:hint="eastAsia" w:hAnsi="宋体"/>
          <w:highlight w:val="none"/>
        </w:rPr>
        <w:t>环评</w:t>
      </w:r>
      <w:r>
        <w:rPr>
          <w:rFonts w:hAnsi="宋体"/>
          <w:highlight w:val="none"/>
        </w:rPr>
        <w:t>要求：对原料</w:t>
      </w:r>
      <w:r>
        <w:rPr>
          <w:rFonts w:hint="eastAsia" w:hAnsi="宋体"/>
          <w:highlight w:val="none"/>
        </w:rPr>
        <w:t>、废石</w:t>
      </w:r>
      <w:r>
        <w:rPr>
          <w:rFonts w:hAnsi="宋体"/>
          <w:highlight w:val="none"/>
        </w:rPr>
        <w:t>及成品铁精粉堆存设置全封闭钢结构原料库及成品库，物料全部堆存于室内，同时配套喷水</w:t>
      </w:r>
      <w:r>
        <w:rPr>
          <w:rFonts w:hint="eastAsia" w:hAnsi="宋体"/>
          <w:highlight w:val="none"/>
        </w:rPr>
        <w:t>雾</w:t>
      </w:r>
      <w:r>
        <w:rPr>
          <w:rFonts w:hAnsi="宋体"/>
          <w:highlight w:val="none"/>
        </w:rPr>
        <w:t>设施抑尘</w:t>
      </w:r>
      <w:r>
        <w:rPr>
          <w:rFonts w:hint="eastAsia" w:hAnsi="宋体"/>
          <w:highlight w:val="none"/>
        </w:rPr>
        <w:t>。粉尘</w:t>
      </w:r>
      <w:r>
        <w:rPr>
          <w:rFonts w:hAnsi="宋体"/>
          <w:highlight w:val="none"/>
        </w:rPr>
        <w:t>无组织排放</w:t>
      </w:r>
      <w:r>
        <w:rPr>
          <w:rFonts w:hint="eastAsia" w:hAnsi="宋体"/>
          <w:highlight w:val="none"/>
        </w:rPr>
        <w:t>满足《铁矿采选工业污染物排放标准》（GB28661-2012）企业无组织排放限值表7的要求</w:t>
      </w:r>
      <w:r>
        <w:rPr>
          <w:rFonts w:hAnsi="宋体"/>
          <w:highlight w:val="none"/>
        </w:rPr>
        <w:t>。</w:t>
      </w:r>
    </w:p>
    <w:p>
      <w:pPr>
        <w:pStyle w:val="62"/>
        <w:ind w:firstLine="480"/>
        <w:rPr>
          <w:rFonts w:hAnsi="宋体"/>
          <w:highlight w:val="none"/>
        </w:rPr>
      </w:pPr>
      <w:r>
        <w:rPr>
          <w:rFonts w:hint="eastAsia" w:hAnsi="宋体"/>
          <w:highlight w:val="none"/>
        </w:rPr>
        <w:t>2、</w:t>
      </w:r>
      <w:r>
        <w:rPr>
          <w:rFonts w:hAnsi="宋体"/>
          <w:highlight w:val="none"/>
        </w:rPr>
        <w:t>原</w:t>
      </w:r>
      <w:r>
        <w:rPr>
          <w:rFonts w:hint="eastAsia" w:hAnsi="宋体"/>
          <w:highlight w:val="none"/>
        </w:rPr>
        <w:t>料</w:t>
      </w:r>
      <w:r>
        <w:rPr>
          <w:rFonts w:hAnsi="宋体"/>
          <w:highlight w:val="none"/>
        </w:rPr>
        <w:t>破碎、干选产生的粉尘</w:t>
      </w:r>
    </w:p>
    <w:p>
      <w:pPr>
        <w:pStyle w:val="62"/>
        <w:ind w:firstLine="480"/>
        <w:rPr>
          <w:rFonts w:hAnsi="宋体"/>
          <w:highlight w:val="none"/>
        </w:rPr>
      </w:pPr>
      <w:r>
        <w:rPr>
          <w:rFonts w:hAnsi="宋体"/>
          <w:highlight w:val="none"/>
        </w:rPr>
        <w:t>原</w:t>
      </w:r>
      <w:r>
        <w:rPr>
          <w:rFonts w:hint="eastAsia" w:hAnsi="宋体"/>
          <w:highlight w:val="none"/>
        </w:rPr>
        <w:t>料</w:t>
      </w:r>
      <w:r>
        <w:rPr>
          <w:rFonts w:hAnsi="宋体"/>
          <w:highlight w:val="none"/>
        </w:rPr>
        <w:t>破碎、干选等设备安置在全封闭的车间内，未设置集尘罩。</w:t>
      </w:r>
    </w:p>
    <w:p>
      <w:pPr>
        <w:pStyle w:val="62"/>
        <w:ind w:firstLine="480"/>
        <w:rPr>
          <w:rFonts w:hAnsi="宋体"/>
          <w:highlight w:val="none"/>
        </w:rPr>
      </w:pPr>
      <w:r>
        <w:rPr>
          <w:rFonts w:hint="eastAsia" w:hAnsi="宋体"/>
          <w:highlight w:val="none"/>
        </w:rPr>
        <w:t>环评认为：粉尘治理措施可行，但需要设置设备集气罩，将无组织排放变为有组织排放。</w:t>
      </w:r>
    </w:p>
    <w:p>
      <w:pPr>
        <w:pStyle w:val="62"/>
        <w:ind w:firstLine="480"/>
        <w:rPr>
          <w:rFonts w:hAnsi="宋体"/>
          <w:highlight w:val="none"/>
        </w:rPr>
      </w:pPr>
      <w:r>
        <w:rPr>
          <w:rFonts w:hAnsi="宋体"/>
          <w:highlight w:val="none"/>
        </w:rPr>
        <w:t>本次评价要求：鄂式破碎机、圆锥破碎机上方分别设置集尘罩，干选机进、出料口分别设置集尘罩，各产尘点废气经收集后通过风机送入一台布袋除尘器进行除尘。风机风量</w:t>
      </w:r>
      <w:r>
        <w:rPr>
          <w:rFonts w:hint="eastAsia" w:hAnsi="宋体"/>
          <w:highlight w:val="none"/>
        </w:rPr>
        <w:t>39</w:t>
      </w:r>
      <w:r>
        <w:rPr>
          <w:rFonts w:hAnsi="宋体"/>
          <w:highlight w:val="none"/>
        </w:rPr>
        <w:t>000m</w:t>
      </w:r>
      <w:r>
        <w:rPr>
          <w:rFonts w:hAnsi="宋体"/>
          <w:highlight w:val="none"/>
          <w:vertAlign w:val="superscript"/>
        </w:rPr>
        <w:t>3</w:t>
      </w:r>
      <w:r>
        <w:rPr>
          <w:rFonts w:hAnsi="宋体"/>
          <w:highlight w:val="none"/>
        </w:rPr>
        <w:t>/h，集气罩集气效率按95%计，过滤风速0.6m/min，过滤面积</w:t>
      </w:r>
      <w:r>
        <w:rPr>
          <w:rFonts w:hint="eastAsia" w:hAnsi="宋体"/>
          <w:highlight w:val="none"/>
        </w:rPr>
        <w:t>1083</w:t>
      </w:r>
      <w:r>
        <w:rPr>
          <w:rFonts w:hAnsi="宋体"/>
          <w:highlight w:val="none"/>
        </w:rPr>
        <w:t>m</w:t>
      </w:r>
      <w:r>
        <w:rPr>
          <w:rFonts w:hAnsi="宋体"/>
          <w:highlight w:val="none"/>
          <w:vertAlign w:val="superscript"/>
        </w:rPr>
        <w:t>2</w:t>
      </w:r>
      <w:r>
        <w:rPr>
          <w:rFonts w:hAnsi="宋体"/>
          <w:highlight w:val="none"/>
        </w:rPr>
        <w:t>，滤袋材质采用PPS复合覆膜，可将过滤风速控制在0.6m/min以下，除尘效率99%以上，排气筒高度15m，除尘器出口浓度控制在10mg/m</w:t>
      </w:r>
      <w:r>
        <w:rPr>
          <w:rFonts w:hAnsi="宋体"/>
          <w:highlight w:val="none"/>
          <w:vertAlign w:val="superscript"/>
        </w:rPr>
        <w:t>3</w:t>
      </w:r>
      <w:r>
        <w:rPr>
          <w:rFonts w:hAnsi="宋体"/>
          <w:highlight w:val="none"/>
        </w:rPr>
        <w:t>以下，满足《铁矿采选工业污染物排放标准》（GB28661-2012）中表6大气污染物特别排放限值的要求。</w:t>
      </w:r>
    </w:p>
    <w:p>
      <w:pPr>
        <w:pStyle w:val="62"/>
        <w:ind w:firstLine="480"/>
        <w:rPr>
          <w:rFonts w:hAnsi="宋体"/>
          <w:highlight w:val="none"/>
        </w:rPr>
      </w:pPr>
      <w:r>
        <w:rPr>
          <w:rFonts w:hint="eastAsia" w:hAnsi="宋体" w:cs="宋体"/>
          <w:highlight w:val="none"/>
        </w:rPr>
        <w:t>①</w:t>
      </w:r>
      <w:r>
        <w:rPr>
          <w:rFonts w:hAnsi="宋体"/>
          <w:highlight w:val="none"/>
        </w:rPr>
        <w:t>技术可行性分析</w:t>
      </w:r>
    </w:p>
    <w:p>
      <w:pPr>
        <w:pStyle w:val="62"/>
        <w:ind w:firstLine="480"/>
        <w:rPr>
          <w:rFonts w:hAnsi="宋体"/>
          <w:highlight w:val="none"/>
        </w:rPr>
      </w:pPr>
      <w:r>
        <w:rPr>
          <w:rFonts w:hAnsi="宋体"/>
          <w:highlight w:val="none"/>
        </w:rPr>
        <w:t>脉冲式袋式除尘器是含尘气体通过布袋滤去其中粉尘粒子的分离捕集装置，是袋式除尘器的一种，其工作原理及优点为：脉冲式袋式除尘器主要由净气室</w:t>
      </w:r>
      <w:r>
        <w:rPr>
          <w:rFonts w:hAnsi="宋体"/>
          <w:spacing w:val="-22"/>
          <w:highlight w:val="none"/>
        </w:rPr>
        <w:t>、</w:t>
      </w:r>
      <w:r>
        <w:rPr>
          <w:rFonts w:hAnsi="宋体"/>
          <w:highlight w:val="none"/>
        </w:rPr>
        <w:t>尘气室</w:t>
      </w:r>
      <w:r>
        <w:rPr>
          <w:rFonts w:hAnsi="宋体"/>
          <w:spacing w:val="-24"/>
          <w:highlight w:val="none"/>
        </w:rPr>
        <w:t>、</w:t>
      </w:r>
      <w:r>
        <w:rPr>
          <w:rFonts w:hAnsi="宋体"/>
          <w:highlight w:val="none"/>
        </w:rPr>
        <w:t>灰斗</w:t>
      </w:r>
      <w:r>
        <w:rPr>
          <w:rFonts w:hAnsi="宋体"/>
          <w:spacing w:val="-22"/>
          <w:highlight w:val="none"/>
        </w:rPr>
        <w:t>、</w:t>
      </w:r>
      <w:r>
        <w:rPr>
          <w:rFonts w:hAnsi="宋体"/>
          <w:highlight w:val="none"/>
        </w:rPr>
        <w:t>喷吹装置</w:t>
      </w:r>
      <w:r>
        <w:rPr>
          <w:rFonts w:hAnsi="宋体"/>
          <w:spacing w:val="-22"/>
          <w:highlight w:val="none"/>
        </w:rPr>
        <w:t>、</w:t>
      </w:r>
      <w:r>
        <w:rPr>
          <w:rFonts w:hAnsi="宋体"/>
          <w:highlight w:val="none"/>
        </w:rPr>
        <w:t>滤袋及滤袋框架</w:t>
      </w:r>
      <w:r>
        <w:rPr>
          <w:rFonts w:hAnsi="宋体"/>
          <w:spacing w:val="-32"/>
          <w:highlight w:val="none"/>
        </w:rPr>
        <w:t>、</w:t>
      </w:r>
      <w:r>
        <w:rPr>
          <w:rFonts w:hAnsi="宋体"/>
          <w:highlight w:val="none"/>
        </w:rPr>
        <w:t>输灰装置等构</w:t>
      </w:r>
      <w:r>
        <w:rPr>
          <w:rFonts w:hAnsi="宋体"/>
          <w:spacing w:val="2"/>
          <w:highlight w:val="none"/>
        </w:rPr>
        <w:t>成</w:t>
      </w:r>
      <w:r>
        <w:rPr>
          <w:rFonts w:hAnsi="宋体"/>
          <w:spacing w:val="-32"/>
          <w:highlight w:val="none"/>
        </w:rPr>
        <w:t>。</w:t>
      </w:r>
      <w:r>
        <w:rPr>
          <w:rFonts w:hAnsi="宋体"/>
          <w:highlight w:val="none"/>
        </w:rPr>
        <w:t>含尘气体由除尘器进风口进入尘气</w:t>
      </w:r>
      <w:r>
        <w:rPr>
          <w:rFonts w:hAnsi="宋体"/>
          <w:spacing w:val="2"/>
          <w:highlight w:val="none"/>
        </w:rPr>
        <w:t>室</w:t>
      </w:r>
      <w:r>
        <w:rPr>
          <w:rFonts w:hAnsi="宋体"/>
          <w:spacing w:val="-32"/>
          <w:highlight w:val="none"/>
        </w:rPr>
        <w:t>，</w:t>
      </w:r>
      <w:r>
        <w:rPr>
          <w:rFonts w:hAnsi="宋体"/>
          <w:highlight w:val="none"/>
        </w:rPr>
        <w:t>在挡风板形成的预分离室内</w:t>
      </w:r>
      <w:r>
        <w:rPr>
          <w:rFonts w:hAnsi="宋体"/>
          <w:spacing w:val="-32"/>
          <w:highlight w:val="none"/>
        </w:rPr>
        <w:t>，</w:t>
      </w:r>
      <w:r>
        <w:rPr>
          <w:rFonts w:hAnsi="宋体"/>
          <w:highlight w:val="none"/>
        </w:rPr>
        <w:t>大颗粒粉尘因惯性落入灰</w:t>
      </w:r>
      <w:r>
        <w:rPr>
          <w:rFonts w:hAnsi="宋体"/>
          <w:spacing w:val="2"/>
          <w:highlight w:val="none"/>
        </w:rPr>
        <w:t>斗</w:t>
      </w:r>
      <w:r>
        <w:rPr>
          <w:rFonts w:hAnsi="宋体"/>
          <w:spacing w:val="-29"/>
          <w:highlight w:val="none"/>
        </w:rPr>
        <w:t>，</w:t>
      </w:r>
      <w:r>
        <w:rPr>
          <w:rFonts w:hAnsi="宋体"/>
          <w:highlight w:val="none"/>
        </w:rPr>
        <w:t>含尘气体沿挡风板四周到达滤袋</w:t>
      </w:r>
      <w:r>
        <w:rPr>
          <w:rFonts w:hAnsi="宋体"/>
          <w:spacing w:val="-32"/>
          <w:highlight w:val="none"/>
        </w:rPr>
        <w:t>，</w:t>
      </w:r>
      <w:r>
        <w:rPr>
          <w:rFonts w:hAnsi="宋体"/>
          <w:highlight w:val="none"/>
        </w:rPr>
        <w:t>粉尘通过滤布时由于产生筛分</w:t>
      </w:r>
      <w:r>
        <w:rPr>
          <w:rFonts w:hAnsi="宋体"/>
          <w:spacing w:val="-22"/>
          <w:highlight w:val="none"/>
        </w:rPr>
        <w:t>、</w:t>
      </w:r>
      <w:r>
        <w:rPr>
          <w:rFonts w:hAnsi="宋体"/>
          <w:highlight w:val="none"/>
        </w:rPr>
        <w:t>惯性</w:t>
      </w:r>
      <w:r>
        <w:rPr>
          <w:rFonts w:hAnsi="宋体"/>
          <w:spacing w:val="-24"/>
          <w:highlight w:val="none"/>
        </w:rPr>
        <w:t>、</w:t>
      </w:r>
      <w:r>
        <w:rPr>
          <w:rFonts w:hAnsi="宋体"/>
          <w:highlight w:val="none"/>
        </w:rPr>
        <w:t>粘附</w:t>
      </w:r>
      <w:r>
        <w:rPr>
          <w:rFonts w:hAnsi="宋体"/>
          <w:spacing w:val="-22"/>
          <w:highlight w:val="none"/>
        </w:rPr>
        <w:t>、</w:t>
      </w:r>
      <w:r>
        <w:rPr>
          <w:rFonts w:hAnsi="宋体"/>
          <w:highlight w:val="none"/>
        </w:rPr>
        <w:t>扩散和静电等作用而被收集</w:t>
      </w:r>
      <w:r>
        <w:rPr>
          <w:rFonts w:hAnsi="宋体"/>
          <w:spacing w:val="-22"/>
          <w:highlight w:val="none"/>
        </w:rPr>
        <w:t>，</w:t>
      </w:r>
      <w:r>
        <w:rPr>
          <w:rFonts w:hAnsi="宋体"/>
          <w:highlight w:val="none"/>
        </w:rPr>
        <w:t>阻留在滤袋外侧</w:t>
      </w:r>
      <w:r>
        <w:rPr>
          <w:rFonts w:hAnsi="宋体"/>
          <w:spacing w:val="-22"/>
          <w:highlight w:val="none"/>
        </w:rPr>
        <w:t>；</w:t>
      </w:r>
      <w:r>
        <w:rPr>
          <w:rFonts w:hAnsi="宋体"/>
          <w:highlight w:val="none"/>
        </w:rPr>
        <w:t>净化后的气体进入袋内</w:t>
      </w:r>
      <w:r>
        <w:rPr>
          <w:rFonts w:hAnsi="宋体"/>
          <w:spacing w:val="-24"/>
          <w:highlight w:val="none"/>
        </w:rPr>
        <w:t>，</w:t>
      </w:r>
      <w:r>
        <w:rPr>
          <w:rFonts w:hAnsi="宋体"/>
          <w:highlight w:val="none"/>
        </w:rPr>
        <w:t>汇集到净气室</w:t>
      </w:r>
      <w:r>
        <w:rPr>
          <w:rFonts w:hAnsi="宋体"/>
          <w:spacing w:val="-22"/>
          <w:highlight w:val="none"/>
        </w:rPr>
        <w:t>，</w:t>
      </w:r>
      <w:r>
        <w:rPr>
          <w:rFonts w:hAnsi="宋体"/>
          <w:highlight w:val="none"/>
        </w:rPr>
        <w:t>经出门管道排放</w:t>
      </w:r>
      <w:r>
        <w:rPr>
          <w:rFonts w:hAnsi="宋体"/>
          <w:spacing w:val="-22"/>
          <w:highlight w:val="none"/>
        </w:rPr>
        <w:t>。</w:t>
      </w:r>
      <w:r>
        <w:rPr>
          <w:rFonts w:hAnsi="宋体"/>
          <w:highlight w:val="none"/>
        </w:rPr>
        <w:t>过滤时滤袋在框架的阻挡力下呈梅花状</w:t>
      </w:r>
      <w:r>
        <w:rPr>
          <w:rFonts w:hAnsi="宋体"/>
          <w:spacing w:val="-29"/>
          <w:highlight w:val="none"/>
        </w:rPr>
        <w:t>，</w:t>
      </w:r>
      <w:r>
        <w:rPr>
          <w:rFonts w:hAnsi="宋体"/>
          <w:highlight w:val="none"/>
        </w:rPr>
        <w:t>过滤一段时间后</w:t>
      </w:r>
      <w:r>
        <w:rPr>
          <w:rFonts w:hAnsi="宋体"/>
          <w:spacing w:val="-29"/>
          <w:highlight w:val="none"/>
        </w:rPr>
        <w:t>，</w:t>
      </w:r>
      <w:r>
        <w:rPr>
          <w:rFonts w:hAnsi="宋体"/>
          <w:highlight w:val="none"/>
        </w:rPr>
        <w:t>由于粘附等作用</w:t>
      </w:r>
      <w:r>
        <w:rPr>
          <w:rFonts w:hAnsi="宋体"/>
          <w:spacing w:val="-32"/>
          <w:highlight w:val="none"/>
        </w:rPr>
        <w:t>，</w:t>
      </w:r>
      <w:r>
        <w:rPr>
          <w:rFonts w:hAnsi="宋体"/>
          <w:highlight w:val="none"/>
        </w:rPr>
        <w:t>尘粒在滤布网孔中产生架桥作用</w:t>
      </w:r>
      <w:r>
        <w:rPr>
          <w:rFonts w:hAnsi="宋体"/>
          <w:spacing w:val="-106"/>
          <w:highlight w:val="none"/>
        </w:rPr>
        <w:t>，</w:t>
      </w:r>
      <w:r>
        <w:rPr>
          <w:rFonts w:hAnsi="宋体"/>
          <w:highlight w:val="none"/>
        </w:rPr>
        <w:t>使气流通过滤布的孔径变小</w:t>
      </w:r>
      <w:r>
        <w:rPr>
          <w:rFonts w:hAnsi="宋体"/>
          <w:spacing w:val="-104"/>
          <w:highlight w:val="none"/>
        </w:rPr>
        <w:t>，</w:t>
      </w:r>
      <w:r>
        <w:rPr>
          <w:rFonts w:hAnsi="宋体"/>
          <w:highlight w:val="none"/>
        </w:rPr>
        <w:t>滤布网孔及表面迅速截留粉尘，形成粉尘层</w:t>
      </w:r>
      <w:r>
        <w:rPr>
          <w:rFonts w:hAnsi="宋体"/>
          <w:spacing w:val="-29"/>
          <w:highlight w:val="none"/>
        </w:rPr>
        <w:t>。</w:t>
      </w:r>
      <w:r>
        <w:rPr>
          <w:rFonts w:hAnsi="宋体"/>
          <w:highlight w:val="none"/>
        </w:rPr>
        <w:t>随着滤布外表面的粉尘不断增加</w:t>
      </w:r>
      <w:r>
        <w:rPr>
          <w:rFonts w:hAnsi="宋体"/>
          <w:spacing w:val="-29"/>
          <w:highlight w:val="none"/>
        </w:rPr>
        <w:t>，</w:t>
      </w:r>
      <w:r>
        <w:rPr>
          <w:rFonts w:hAnsi="宋体"/>
          <w:highlight w:val="none"/>
        </w:rPr>
        <w:t>设备阻力上升</w:t>
      </w:r>
      <w:r>
        <w:rPr>
          <w:rFonts w:hAnsi="宋体"/>
          <w:spacing w:val="-32"/>
          <w:highlight w:val="none"/>
        </w:rPr>
        <w:t>，</w:t>
      </w:r>
      <w:r>
        <w:rPr>
          <w:rFonts w:hAnsi="宋体"/>
          <w:highlight w:val="none"/>
        </w:rPr>
        <w:t>当运行到设定时间或压差达到设定值时</w:t>
      </w:r>
      <w:r>
        <w:rPr>
          <w:rFonts w:hAnsi="宋体"/>
          <w:spacing w:val="-29"/>
          <w:highlight w:val="none"/>
        </w:rPr>
        <w:t>，</w:t>
      </w:r>
      <w:r>
        <w:rPr>
          <w:rFonts w:hAnsi="宋体"/>
          <w:highlight w:val="none"/>
        </w:rPr>
        <w:t>压力控制发出信号</w:t>
      </w:r>
      <w:r>
        <w:rPr>
          <w:rFonts w:hAnsi="宋体"/>
          <w:spacing w:val="-29"/>
          <w:highlight w:val="none"/>
        </w:rPr>
        <w:t>，</w:t>
      </w:r>
      <w:r>
        <w:rPr>
          <w:rFonts w:hAnsi="宋体"/>
          <w:highlight w:val="none"/>
        </w:rPr>
        <w:t>喷吹装置工作</w:t>
      </w:r>
      <w:r>
        <w:rPr>
          <w:rFonts w:hAnsi="宋体"/>
          <w:spacing w:val="-32"/>
          <w:highlight w:val="none"/>
        </w:rPr>
        <w:t>，</w:t>
      </w:r>
      <w:r>
        <w:rPr>
          <w:rFonts w:hAnsi="宋体"/>
          <w:highlight w:val="none"/>
        </w:rPr>
        <w:t>压缩气体从气包经脉冲阀流入各滤袋内</w:t>
      </w:r>
      <w:r>
        <w:rPr>
          <w:rFonts w:hAnsi="宋体"/>
          <w:spacing w:val="-46"/>
          <w:highlight w:val="none"/>
        </w:rPr>
        <w:t>，</w:t>
      </w:r>
      <w:r>
        <w:rPr>
          <w:rFonts w:hAnsi="宋体"/>
          <w:highlight w:val="none"/>
        </w:rPr>
        <w:t>由于膨胀产生的加速度和反向气流的作用</w:t>
      </w:r>
      <w:r>
        <w:rPr>
          <w:rFonts w:hAnsi="宋体"/>
          <w:spacing w:val="-44"/>
          <w:highlight w:val="none"/>
        </w:rPr>
        <w:t>，</w:t>
      </w:r>
      <w:r>
        <w:rPr>
          <w:rFonts w:hAnsi="宋体"/>
          <w:highlight w:val="none"/>
        </w:rPr>
        <w:t>附在滤袋外表面的粉尘脱离滤袋落入灰斗</w:t>
      </w:r>
      <w:r>
        <w:rPr>
          <w:rFonts w:hAnsi="宋体"/>
          <w:spacing w:val="-29"/>
          <w:highlight w:val="none"/>
        </w:rPr>
        <w:t>，</w:t>
      </w:r>
      <w:r>
        <w:rPr>
          <w:rFonts w:hAnsi="宋体"/>
          <w:highlight w:val="none"/>
        </w:rPr>
        <w:t>经螺旋输送机排出</w:t>
      </w:r>
      <w:r>
        <w:rPr>
          <w:rFonts w:hAnsi="宋体"/>
          <w:spacing w:val="-29"/>
          <w:highlight w:val="none"/>
        </w:rPr>
        <w:t>；</w:t>
      </w:r>
      <w:r>
        <w:rPr>
          <w:rFonts w:hAnsi="宋体"/>
          <w:highlight w:val="none"/>
        </w:rPr>
        <w:t>喷吹结束后</w:t>
      </w:r>
      <w:r>
        <w:rPr>
          <w:rFonts w:hAnsi="宋体"/>
          <w:spacing w:val="-32"/>
          <w:highlight w:val="none"/>
        </w:rPr>
        <w:t>，</w:t>
      </w:r>
      <w:r>
        <w:rPr>
          <w:rFonts w:hAnsi="宋体"/>
          <w:highlight w:val="none"/>
        </w:rPr>
        <w:t>滤袋即恢复过滤状态。</w:t>
      </w:r>
    </w:p>
    <w:p>
      <w:pPr>
        <w:pStyle w:val="62"/>
        <w:ind w:firstLine="480"/>
        <w:rPr>
          <w:rFonts w:hAnsi="宋体"/>
          <w:highlight w:val="none"/>
        </w:rPr>
      </w:pPr>
      <w:r>
        <w:rPr>
          <w:rFonts w:hAnsi="宋体"/>
          <w:highlight w:val="none"/>
        </w:rPr>
        <w:t>脉冲式袋式除尘器的优点如下：</w:t>
      </w:r>
    </w:p>
    <w:p>
      <w:pPr>
        <w:pStyle w:val="62"/>
        <w:ind w:firstLine="480"/>
        <w:rPr>
          <w:rFonts w:hAnsi="宋体"/>
          <w:highlight w:val="none"/>
        </w:rPr>
      </w:pPr>
      <w:r>
        <w:rPr>
          <w:rFonts w:hAnsi="宋体"/>
          <w:highlight w:val="none"/>
        </w:rPr>
        <w:t>◆对净化含微米或亚微米数量级的粉尘粒子的气体除尘效率较高，可达99%以上；</w:t>
      </w:r>
    </w:p>
    <w:p>
      <w:pPr>
        <w:pStyle w:val="62"/>
        <w:ind w:firstLine="480"/>
        <w:rPr>
          <w:rFonts w:hAnsi="宋体"/>
          <w:highlight w:val="none"/>
        </w:rPr>
      </w:pPr>
      <w:r>
        <w:rPr>
          <w:rFonts w:hAnsi="宋体"/>
          <w:highlight w:val="none"/>
        </w:rPr>
        <w:t>◆清灰能力强；采用压缩气体做清灰气源，以脉冲反吹方式在瞬间喷入滤袋，使袋壁产生向外的加速度，从而使滤袋外表面的粉尘清落下来。</w:t>
      </w:r>
    </w:p>
    <w:p>
      <w:pPr>
        <w:pStyle w:val="62"/>
        <w:ind w:firstLine="480"/>
        <w:rPr>
          <w:rFonts w:hAnsi="宋体"/>
          <w:highlight w:val="none"/>
        </w:rPr>
      </w:pPr>
      <w:r>
        <w:rPr>
          <w:rFonts w:hAnsi="宋体"/>
          <w:highlight w:val="none"/>
        </w:rPr>
        <w:t>◆喷吹压力低；由于脉冲阀为直通式结构，自身阻力大且具有快速启闭功能，喷吹时间只有0.07~0.08s，因而对滤袋造成的冲力更大，因此喷吹压力低，在清灰能力相同的条件下，仅为高压脉冲喷吹压力的1/3~1/4，因而具有较强的适应能力，在气源压力不足的场合，也能达到预期的清灰效果。</w:t>
      </w:r>
    </w:p>
    <w:p>
      <w:pPr>
        <w:pStyle w:val="62"/>
        <w:ind w:firstLine="480"/>
        <w:rPr>
          <w:rFonts w:hAnsi="宋体"/>
          <w:highlight w:val="none"/>
        </w:rPr>
      </w:pPr>
      <w:r>
        <w:rPr>
          <w:rFonts w:hAnsi="宋体"/>
          <w:highlight w:val="none"/>
        </w:rPr>
        <w:t>◆滤袋袋口采用弹性涨圈，密闭性能较好，牢固可靠，且检修换袋可在不停止系统风机，正常运行条件下分室进行。</w:t>
      </w:r>
    </w:p>
    <w:p>
      <w:pPr>
        <w:pStyle w:val="62"/>
        <w:ind w:firstLine="480"/>
        <w:rPr>
          <w:rFonts w:hAnsi="宋体"/>
          <w:highlight w:val="none"/>
        </w:rPr>
      </w:pPr>
      <w:r>
        <w:rPr>
          <w:rFonts w:hAnsi="宋体"/>
          <w:highlight w:val="none"/>
        </w:rPr>
        <w:t>◆除尘器占地面积、运行稳定可靠、没有腐蚀等问题。</w:t>
      </w:r>
    </w:p>
    <w:p>
      <w:pPr>
        <w:pStyle w:val="62"/>
        <w:ind w:firstLine="480"/>
        <w:rPr>
          <w:rFonts w:hAnsi="宋体"/>
          <w:highlight w:val="none"/>
        </w:rPr>
      </w:pPr>
      <w:r>
        <w:rPr>
          <w:rFonts w:hint="eastAsia" w:hAnsi="宋体" w:cs="宋体"/>
          <w:highlight w:val="none"/>
        </w:rPr>
        <w:t>②</w:t>
      </w:r>
      <w:r>
        <w:rPr>
          <w:rFonts w:hAnsi="宋体"/>
          <w:highlight w:val="none"/>
        </w:rPr>
        <w:t>治理效果</w:t>
      </w:r>
    </w:p>
    <w:p>
      <w:pPr>
        <w:pStyle w:val="62"/>
        <w:ind w:firstLine="480"/>
        <w:rPr>
          <w:rFonts w:hAnsi="宋体"/>
          <w:highlight w:val="none"/>
        </w:rPr>
      </w:pPr>
      <w:r>
        <w:rPr>
          <w:rFonts w:hAnsi="宋体"/>
          <w:highlight w:val="none"/>
        </w:rPr>
        <w:t>排放浓度低于</w:t>
      </w:r>
      <w:r>
        <w:rPr>
          <w:rFonts w:hAnsi="宋体" w:cs="hakuyoxingshu7000"/>
          <w:highlight w:val="none"/>
        </w:rPr>
        <w:t>10m</w:t>
      </w:r>
      <w:r>
        <w:rPr>
          <w:rFonts w:hAnsi="宋体" w:cs="hakuyoxingshu7000"/>
          <w:spacing w:val="-3"/>
          <w:highlight w:val="none"/>
        </w:rPr>
        <w:t>g</w:t>
      </w:r>
      <w:r>
        <w:rPr>
          <w:rFonts w:hAnsi="宋体" w:cs="hakuyoxingshu7000"/>
          <w:highlight w:val="none"/>
        </w:rPr>
        <w:t>/m</w:t>
      </w:r>
      <w:r>
        <w:rPr>
          <w:rFonts w:hAnsi="宋体" w:cs="hakuyoxingshu7000"/>
          <w:position w:val="8"/>
          <w:sz w:val="15"/>
          <w:szCs w:val="15"/>
          <w:highlight w:val="none"/>
        </w:rPr>
        <w:t>3</w:t>
      </w:r>
      <w:r>
        <w:rPr>
          <w:rFonts w:hAnsi="宋体"/>
          <w:highlight w:val="none"/>
        </w:rPr>
        <w:t>，满足《铁矿采选工业污染物排放标准》（</w:t>
      </w:r>
      <w:r>
        <w:rPr>
          <w:rFonts w:hAnsi="宋体" w:cs="hakuyoxingshu7000"/>
          <w:spacing w:val="-1"/>
          <w:highlight w:val="none"/>
        </w:rPr>
        <w:t>G</w:t>
      </w:r>
      <w:r>
        <w:rPr>
          <w:rFonts w:hAnsi="宋体" w:cs="hakuyoxingshu7000"/>
          <w:spacing w:val="-2"/>
          <w:highlight w:val="none"/>
        </w:rPr>
        <w:t>B</w:t>
      </w:r>
      <w:r>
        <w:rPr>
          <w:rFonts w:hAnsi="宋体" w:cs="hakuyoxingshu7000"/>
          <w:highlight w:val="none"/>
        </w:rPr>
        <w:t>28661</w:t>
      </w:r>
      <w:r>
        <w:rPr>
          <w:rFonts w:hAnsi="宋体" w:cs="hakuyoxingshu7000"/>
          <w:spacing w:val="-2"/>
          <w:highlight w:val="none"/>
        </w:rPr>
        <w:t>-</w:t>
      </w:r>
      <w:r>
        <w:rPr>
          <w:rFonts w:hAnsi="宋体" w:cs="hakuyoxingshu7000"/>
          <w:highlight w:val="none"/>
        </w:rPr>
        <w:t>201</w:t>
      </w:r>
      <w:r>
        <w:rPr>
          <w:rFonts w:hAnsi="宋体" w:cs="hakuyoxingshu7000"/>
          <w:spacing w:val="2"/>
          <w:highlight w:val="none"/>
        </w:rPr>
        <w:t>2</w:t>
      </w:r>
      <w:r>
        <w:rPr>
          <w:rFonts w:hAnsi="宋体"/>
          <w:highlight w:val="none"/>
        </w:rPr>
        <w:t>）中表</w:t>
      </w:r>
      <w:r>
        <w:rPr>
          <w:rFonts w:hAnsi="宋体" w:cs="hakuyoxingshu7000"/>
          <w:highlight w:val="none"/>
        </w:rPr>
        <w:t>6</w:t>
      </w:r>
      <w:r>
        <w:rPr>
          <w:rFonts w:hAnsi="宋体"/>
          <w:highlight w:val="none"/>
        </w:rPr>
        <w:t>大气污染物特别排放限值的要求。</w:t>
      </w:r>
    </w:p>
    <w:p>
      <w:pPr>
        <w:pStyle w:val="62"/>
        <w:ind w:firstLine="480"/>
        <w:rPr>
          <w:rFonts w:hAnsi="宋体"/>
          <w:highlight w:val="none"/>
        </w:rPr>
      </w:pPr>
      <w:r>
        <w:rPr>
          <w:rFonts w:hint="eastAsia" w:hAnsi="宋体"/>
          <w:highlight w:val="none"/>
        </w:rPr>
        <w:t>3、</w:t>
      </w:r>
      <w:r>
        <w:rPr>
          <w:rFonts w:hAnsi="宋体"/>
          <w:highlight w:val="none"/>
        </w:rPr>
        <w:t>输送转运过程产生粉尘</w:t>
      </w:r>
    </w:p>
    <w:p>
      <w:pPr>
        <w:pStyle w:val="62"/>
        <w:ind w:firstLine="480"/>
        <w:rPr>
          <w:rFonts w:hAnsi="宋体"/>
          <w:highlight w:val="none"/>
        </w:rPr>
      </w:pPr>
      <w:r>
        <w:rPr>
          <w:rFonts w:hAnsi="宋体"/>
          <w:highlight w:val="none"/>
        </w:rPr>
        <w:t>本项目输送</w:t>
      </w:r>
      <w:r>
        <w:rPr>
          <w:rFonts w:hAnsi="宋体"/>
          <w:spacing w:val="-29"/>
          <w:highlight w:val="none"/>
        </w:rPr>
        <w:t>、</w:t>
      </w:r>
      <w:r>
        <w:rPr>
          <w:rFonts w:hAnsi="宋体"/>
          <w:highlight w:val="none"/>
        </w:rPr>
        <w:t>转载过程已采用全封闭皮带通廊</w:t>
      </w:r>
      <w:r>
        <w:rPr>
          <w:rFonts w:hAnsi="宋体"/>
          <w:spacing w:val="-29"/>
          <w:highlight w:val="none"/>
        </w:rPr>
        <w:t>，</w:t>
      </w:r>
      <w:r>
        <w:rPr>
          <w:rFonts w:hAnsi="宋体"/>
          <w:highlight w:val="none"/>
        </w:rPr>
        <w:t>物料进入球磨机后</w:t>
      </w:r>
      <w:r>
        <w:rPr>
          <w:rFonts w:hAnsi="宋体"/>
          <w:spacing w:val="-32"/>
          <w:highlight w:val="none"/>
        </w:rPr>
        <w:t>，</w:t>
      </w:r>
      <w:r>
        <w:rPr>
          <w:rFonts w:hAnsi="宋体"/>
          <w:highlight w:val="none"/>
        </w:rPr>
        <w:t>生产全程皆为湿料，输送转运过程在全封闭生产车间内进行。</w:t>
      </w:r>
    </w:p>
    <w:p>
      <w:pPr>
        <w:pStyle w:val="62"/>
        <w:ind w:firstLine="480"/>
        <w:rPr>
          <w:rFonts w:hAnsi="宋体"/>
          <w:highlight w:val="none"/>
        </w:rPr>
      </w:pPr>
      <w:r>
        <w:rPr>
          <w:rFonts w:hint="eastAsia" w:hAnsi="宋体"/>
          <w:highlight w:val="none"/>
        </w:rPr>
        <w:t>环评认为治理措施可行。</w:t>
      </w:r>
    </w:p>
    <w:p>
      <w:pPr>
        <w:pStyle w:val="62"/>
        <w:ind w:firstLine="480"/>
        <w:rPr>
          <w:rFonts w:hAnsi="宋体"/>
          <w:highlight w:val="none"/>
        </w:rPr>
      </w:pPr>
      <w:r>
        <w:rPr>
          <w:rFonts w:hint="eastAsia" w:hAnsi="宋体"/>
          <w:highlight w:val="none"/>
        </w:rPr>
        <w:t>4、</w:t>
      </w:r>
      <w:r>
        <w:rPr>
          <w:rFonts w:hAnsi="宋体"/>
          <w:highlight w:val="none"/>
        </w:rPr>
        <w:t>道路扬尘</w:t>
      </w:r>
    </w:p>
    <w:p>
      <w:pPr>
        <w:pStyle w:val="62"/>
        <w:ind w:firstLine="480"/>
        <w:rPr>
          <w:rFonts w:hAnsi="宋体"/>
          <w:highlight w:val="none"/>
        </w:rPr>
      </w:pPr>
      <w:r>
        <w:rPr>
          <w:rFonts w:hAnsi="宋体"/>
          <w:highlight w:val="none"/>
        </w:rPr>
        <w:t>现场调查发现，建设单位未对运输道路进行抑尘措施。</w:t>
      </w:r>
    </w:p>
    <w:p>
      <w:pPr>
        <w:pStyle w:val="62"/>
        <w:ind w:firstLine="480"/>
        <w:rPr>
          <w:rFonts w:hAnsi="宋体"/>
          <w:highlight w:val="none"/>
        </w:rPr>
      </w:pPr>
      <w:r>
        <w:rPr>
          <w:rFonts w:hint="eastAsia" w:hAnsi="宋体"/>
          <w:highlight w:val="none"/>
        </w:rPr>
        <w:t>环评要求：</w:t>
      </w:r>
      <w:r>
        <w:rPr>
          <w:rFonts w:hAnsi="宋体"/>
          <w:highlight w:val="none"/>
        </w:rPr>
        <w:t>厂区运输道路洒水</w:t>
      </w:r>
      <w:r>
        <w:rPr>
          <w:rFonts w:hAnsi="宋体"/>
          <w:spacing w:val="-44"/>
          <w:highlight w:val="none"/>
        </w:rPr>
        <w:t>，</w:t>
      </w:r>
      <w:r>
        <w:rPr>
          <w:rFonts w:hAnsi="宋体"/>
          <w:highlight w:val="none"/>
        </w:rPr>
        <w:t>运输汽车上路前采用篷布遮盖严实</w:t>
      </w:r>
      <w:r>
        <w:rPr>
          <w:rFonts w:hAnsi="宋体"/>
          <w:spacing w:val="-46"/>
          <w:highlight w:val="none"/>
        </w:rPr>
        <w:t>，</w:t>
      </w:r>
      <w:r>
        <w:rPr>
          <w:rFonts w:hAnsi="宋体"/>
          <w:highlight w:val="none"/>
        </w:rPr>
        <w:t>并及时清理车轮附带的泥土等措施</w:t>
      </w:r>
      <w:r>
        <w:rPr>
          <w:rFonts w:hAnsi="宋体"/>
          <w:spacing w:val="-44"/>
          <w:highlight w:val="none"/>
        </w:rPr>
        <w:t>，</w:t>
      </w:r>
      <w:r>
        <w:rPr>
          <w:rFonts w:hAnsi="宋体"/>
          <w:highlight w:val="none"/>
        </w:rPr>
        <w:t>在采取防治措施后抑尘</w:t>
      </w:r>
      <w:r>
        <w:rPr>
          <w:rFonts w:hAnsi="宋体" w:cs="hakuyoxingshu7000"/>
          <w:highlight w:val="none"/>
        </w:rPr>
        <w:t>70</w:t>
      </w:r>
      <w:r>
        <w:rPr>
          <w:rFonts w:hAnsi="宋体" w:cs="hakuyoxingshu7000"/>
          <w:spacing w:val="-1"/>
          <w:highlight w:val="none"/>
        </w:rPr>
        <w:t>%</w:t>
      </w:r>
      <w:r>
        <w:rPr>
          <w:rFonts w:hAnsi="宋体"/>
          <w:highlight w:val="none"/>
        </w:rPr>
        <w:t>。</w:t>
      </w:r>
    </w:p>
    <w:p>
      <w:pPr>
        <w:pStyle w:val="62"/>
        <w:ind w:firstLine="480"/>
        <w:rPr>
          <w:rFonts w:hAnsi="宋体"/>
          <w:highlight w:val="none"/>
        </w:rPr>
      </w:pPr>
      <w:r>
        <w:rPr>
          <w:rFonts w:hint="eastAsia" w:hAnsi="宋体"/>
          <w:highlight w:val="none"/>
        </w:rPr>
        <w:t>5、</w:t>
      </w:r>
      <w:r>
        <w:rPr>
          <w:rFonts w:hAnsi="宋体"/>
          <w:highlight w:val="none"/>
        </w:rPr>
        <w:t>尾矿库扬尘</w:t>
      </w:r>
    </w:p>
    <w:p>
      <w:pPr>
        <w:pStyle w:val="62"/>
        <w:ind w:firstLine="480"/>
        <w:rPr>
          <w:rFonts w:hAnsi="宋体"/>
          <w:highlight w:val="none"/>
        </w:rPr>
      </w:pPr>
      <w:r>
        <w:rPr>
          <w:rFonts w:hAnsi="宋体"/>
          <w:highlight w:val="none"/>
        </w:rPr>
        <w:t>环评要求：倾倒过程中采取洒水抑尘措施，配置1台雾炮车，使用雾炮车定时进行洒水抑尘，使废石面裸露面保持潮湿状态，洒水周期和水量据季节和天气而定。四级及四级以上大风天气禁止作业，设专人负责洒水抑尘管理，降低物料落差。</w:t>
      </w:r>
    </w:p>
    <w:p>
      <w:pPr>
        <w:pStyle w:val="4"/>
        <w:ind w:firstLine="562"/>
        <w:rPr>
          <w:rFonts w:hAnsi="宋体"/>
          <w:highlight w:val="none"/>
        </w:rPr>
      </w:pPr>
      <w:r>
        <w:rPr>
          <w:rFonts w:hAnsi="宋体"/>
          <w:highlight w:val="none"/>
        </w:rPr>
        <w:t>6.1.2废水处理措施分析</w:t>
      </w:r>
    </w:p>
    <w:p>
      <w:pPr>
        <w:adjustRightInd w:val="0"/>
        <w:snapToGrid w:val="0"/>
        <w:ind w:firstLine="480"/>
        <w:rPr>
          <w:rFonts w:ascii="宋体" w:hAnsi="宋体"/>
          <w:kern w:val="0"/>
          <w:szCs w:val="20"/>
          <w:highlight w:val="none"/>
        </w:rPr>
      </w:pPr>
      <w:r>
        <w:rPr>
          <w:rFonts w:hint="eastAsia" w:ascii="宋体" w:hAnsi="宋体"/>
          <w:kern w:val="0"/>
          <w:szCs w:val="20"/>
          <w:highlight w:val="none"/>
        </w:rPr>
        <w:t>1、</w:t>
      </w:r>
      <w:r>
        <w:rPr>
          <w:rFonts w:ascii="宋体" w:hAnsi="宋体"/>
          <w:kern w:val="0"/>
          <w:szCs w:val="20"/>
          <w:highlight w:val="none"/>
        </w:rPr>
        <w:t>生活</w:t>
      </w:r>
      <w:r>
        <w:rPr>
          <w:rFonts w:hint="eastAsia" w:ascii="宋体" w:hAnsi="宋体"/>
          <w:kern w:val="0"/>
          <w:szCs w:val="20"/>
          <w:highlight w:val="none"/>
        </w:rPr>
        <w:t>废水</w:t>
      </w:r>
    </w:p>
    <w:p>
      <w:pPr>
        <w:adjustRightInd w:val="0"/>
        <w:snapToGrid w:val="0"/>
        <w:ind w:firstLine="480"/>
        <w:rPr>
          <w:rFonts w:ascii="宋体" w:hAnsi="宋体"/>
          <w:kern w:val="0"/>
          <w:szCs w:val="20"/>
          <w:highlight w:val="none"/>
        </w:rPr>
      </w:pPr>
      <w:r>
        <w:rPr>
          <w:rFonts w:hint="eastAsia" w:ascii="宋体" w:hAnsi="宋体"/>
          <w:kern w:val="0"/>
          <w:szCs w:val="20"/>
          <w:highlight w:val="none"/>
        </w:rPr>
        <w:t>环评要求：生活污水、食堂废水经隔油池后排入1座2m</w:t>
      </w:r>
      <w:r>
        <w:rPr>
          <w:rFonts w:hint="eastAsia" w:ascii="宋体" w:hAnsi="宋体"/>
          <w:kern w:val="0"/>
          <w:szCs w:val="20"/>
          <w:highlight w:val="none"/>
          <w:vertAlign w:val="superscript"/>
        </w:rPr>
        <w:t>3</w:t>
      </w:r>
      <w:r>
        <w:rPr>
          <w:rFonts w:hint="eastAsia" w:ascii="宋体" w:hAnsi="宋体"/>
          <w:kern w:val="0"/>
          <w:szCs w:val="20"/>
          <w:highlight w:val="none"/>
        </w:rPr>
        <w:t>的沉淀池，用于场地洒水或绿化。本项目使用旱厕，定期由附近农户清掏用作农肥。保证生活废水不外排。</w:t>
      </w:r>
    </w:p>
    <w:p>
      <w:pPr>
        <w:ind w:firstLine="470" w:firstLineChars="196"/>
        <w:rPr>
          <w:rFonts w:ascii="宋体" w:hAnsi="宋体"/>
          <w:szCs w:val="22"/>
          <w:highlight w:val="none"/>
        </w:rPr>
      </w:pPr>
      <w:r>
        <w:rPr>
          <w:rFonts w:hint="eastAsia" w:ascii="宋体" w:hAnsi="宋体"/>
          <w:szCs w:val="22"/>
          <w:highlight w:val="none"/>
        </w:rPr>
        <w:t>2、</w:t>
      </w:r>
      <w:r>
        <w:rPr>
          <w:rFonts w:ascii="宋体" w:hAnsi="宋体"/>
          <w:szCs w:val="22"/>
          <w:highlight w:val="none"/>
        </w:rPr>
        <w:t>生产</w:t>
      </w:r>
      <w:r>
        <w:rPr>
          <w:rFonts w:hint="eastAsia" w:ascii="宋体" w:hAnsi="宋体"/>
          <w:szCs w:val="22"/>
          <w:highlight w:val="none"/>
        </w:rPr>
        <w:t>废水</w:t>
      </w:r>
    </w:p>
    <w:p>
      <w:pPr>
        <w:ind w:firstLine="470" w:firstLineChars="196"/>
        <w:rPr>
          <w:rFonts w:ascii="宋体" w:hAnsi="宋体"/>
          <w:highlight w:val="none"/>
        </w:rPr>
      </w:pPr>
      <w:r>
        <w:rPr>
          <w:rFonts w:hint="eastAsia" w:ascii="宋体" w:hAnsi="宋体"/>
          <w:szCs w:val="22"/>
          <w:highlight w:val="none"/>
        </w:rPr>
        <w:t>A、</w:t>
      </w:r>
      <w:r>
        <w:rPr>
          <w:rFonts w:hint="eastAsia" w:ascii="宋体" w:hAnsi="宋体"/>
          <w:highlight w:val="none"/>
        </w:rPr>
        <w:t>尾矿浆</w:t>
      </w:r>
    </w:p>
    <w:p>
      <w:pPr>
        <w:pStyle w:val="62"/>
        <w:ind w:firstLine="480"/>
        <w:rPr>
          <w:rFonts w:hAnsi="宋体"/>
          <w:highlight w:val="none"/>
        </w:rPr>
      </w:pPr>
      <w:r>
        <w:rPr>
          <w:rFonts w:hint="eastAsia" w:hAnsi="宋体"/>
          <w:highlight w:val="none"/>
        </w:rPr>
        <w:t>环评要求：项目建设直径18m的浓缩池完全可满足本项目尾矿浆的处理需要，可确保尾矿浆全部处理循环利用不外排。同时环评要求设置1座1500m</w:t>
      </w:r>
      <w:r>
        <w:rPr>
          <w:rFonts w:hint="eastAsia" w:hAnsi="宋体"/>
          <w:highlight w:val="none"/>
          <w:vertAlign w:val="superscript"/>
        </w:rPr>
        <w:t>3</w:t>
      </w:r>
      <w:r>
        <w:rPr>
          <w:rFonts w:hint="eastAsia" w:hAnsi="宋体"/>
          <w:highlight w:val="none"/>
        </w:rPr>
        <w:t>的事故水池，在事故事态下完全可以容纳全部的尾矿浆，保证尾矿浆不外排。</w:t>
      </w:r>
    </w:p>
    <w:p>
      <w:pPr>
        <w:pStyle w:val="62"/>
        <w:ind w:firstLine="480"/>
        <w:rPr>
          <w:rFonts w:hAnsi="宋体"/>
          <w:highlight w:val="none"/>
        </w:rPr>
      </w:pPr>
      <w:r>
        <w:rPr>
          <w:rFonts w:hint="eastAsia" w:hAnsi="宋体"/>
          <w:highlight w:val="none"/>
        </w:rPr>
        <w:t>生产车间内设集中水池60m</w:t>
      </w:r>
      <w:r>
        <w:rPr>
          <w:rFonts w:hint="eastAsia" w:hAnsi="宋体"/>
          <w:highlight w:val="none"/>
          <w:vertAlign w:val="superscript"/>
        </w:rPr>
        <w:t>3</w:t>
      </w:r>
      <w:r>
        <w:rPr>
          <w:rFonts w:hint="eastAsia" w:hAnsi="宋体"/>
          <w:highlight w:val="none"/>
        </w:rPr>
        <w:t>，将跑、冒、滴、漏、地板冲洗水等经收集后，进入生产系统，作为选矿补充水，保证跑、冒、滴、漏、地板冲洗水不外排。</w:t>
      </w:r>
    </w:p>
    <w:p>
      <w:pPr>
        <w:ind w:firstLine="470" w:firstLineChars="196"/>
        <w:rPr>
          <w:rFonts w:ascii="宋体" w:hAnsi="宋体"/>
          <w:szCs w:val="22"/>
          <w:highlight w:val="none"/>
        </w:rPr>
      </w:pPr>
      <w:r>
        <w:rPr>
          <w:rFonts w:hint="eastAsia" w:ascii="宋体" w:hAnsi="宋体"/>
          <w:szCs w:val="22"/>
          <w:highlight w:val="none"/>
        </w:rPr>
        <w:t>B、</w:t>
      </w:r>
      <w:r>
        <w:rPr>
          <w:rFonts w:ascii="宋体" w:hAnsi="宋体"/>
          <w:szCs w:val="22"/>
          <w:highlight w:val="none"/>
        </w:rPr>
        <w:t>车辆冲洗用水</w:t>
      </w:r>
    </w:p>
    <w:p>
      <w:pPr>
        <w:adjustRightInd w:val="0"/>
        <w:snapToGrid w:val="0"/>
        <w:ind w:firstLine="480"/>
        <w:rPr>
          <w:rFonts w:ascii="宋体" w:hAnsi="宋体"/>
          <w:kern w:val="0"/>
          <w:szCs w:val="20"/>
          <w:highlight w:val="none"/>
        </w:rPr>
      </w:pPr>
      <w:r>
        <w:rPr>
          <w:rFonts w:hint="eastAsia" w:ascii="宋体" w:hAnsi="宋体"/>
          <w:highlight w:val="none"/>
        </w:rPr>
        <w:t>环评要求：</w:t>
      </w:r>
      <w:r>
        <w:rPr>
          <w:rFonts w:hint="eastAsia" w:ascii="宋体" w:hAnsi="宋体"/>
          <w:kern w:val="0"/>
          <w:szCs w:val="20"/>
          <w:highlight w:val="none"/>
        </w:rPr>
        <w:t>项目设置1座20m</w:t>
      </w:r>
      <w:r>
        <w:rPr>
          <w:rFonts w:hint="eastAsia" w:ascii="宋体" w:hAnsi="宋体"/>
          <w:kern w:val="0"/>
          <w:szCs w:val="20"/>
          <w:highlight w:val="none"/>
          <w:vertAlign w:val="superscript"/>
        </w:rPr>
        <w:t>3</w:t>
      </w:r>
      <w:r>
        <w:rPr>
          <w:rFonts w:hint="eastAsia" w:ascii="宋体" w:hAnsi="宋体"/>
          <w:kern w:val="0"/>
          <w:szCs w:val="20"/>
          <w:highlight w:val="none"/>
        </w:rPr>
        <w:t>多级沉淀池，洗车废水经沉淀池沉淀后循环使用，</w:t>
      </w:r>
      <w:r>
        <w:rPr>
          <w:rFonts w:hint="eastAsia" w:ascii="宋体" w:hAnsi="宋体"/>
          <w:highlight w:val="none"/>
        </w:rPr>
        <w:t>可以保证</w:t>
      </w:r>
      <w:r>
        <w:rPr>
          <w:rFonts w:hint="eastAsia" w:ascii="宋体" w:hAnsi="宋体"/>
          <w:kern w:val="0"/>
          <w:szCs w:val="20"/>
          <w:highlight w:val="none"/>
        </w:rPr>
        <w:t>洗车废水循环使用，不外排。</w:t>
      </w:r>
    </w:p>
    <w:p>
      <w:pPr>
        <w:pStyle w:val="62"/>
        <w:ind w:firstLine="480"/>
        <w:rPr>
          <w:rFonts w:hAnsi="宋体"/>
          <w:highlight w:val="none"/>
        </w:rPr>
      </w:pPr>
      <w:r>
        <w:rPr>
          <w:rFonts w:hint="eastAsia" w:hAnsi="宋体"/>
          <w:highlight w:val="none"/>
        </w:rPr>
        <w:t>3、</w:t>
      </w:r>
      <w:r>
        <w:rPr>
          <w:rFonts w:hAnsi="宋体"/>
          <w:highlight w:val="none"/>
        </w:rPr>
        <w:t>初期雨水</w:t>
      </w:r>
    </w:p>
    <w:p>
      <w:pPr>
        <w:pStyle w:val="62"/>
        <w:ind w:firstLine="480"/>
        <w:rPr>
          <w:rFonts w:hAnsi="宋体"/>
          <w:highlight w:val="none"/>
        </w:rPr>
      </w:pPr>
      <w:r>
        <w:rPr>
          <w:rFonts w:hint="eastAsia" w:hAnsi="宋体"/>
          <w:highlight w:val="none"/>
        </w:rPr>
        <w:t>环评要求：</w:t>
      </w:r>
      <w:r>
        <w:rPr>
          <w:rFonts w:hAnsi="宋体"/>
          <w:highlight w:val="none"/>
        </w:rPr>
        <w:t>项目设1座</w:t>
      </w:r>
      <w:r>
        <w:rPr>
          <w:rFonts w:hint="eastAsia" w:hAnsi="宋体"/>
          <w:highlight w:val="none"/>
        </w:rPr>
        <w:t>160</w:t>
      </w:r>
      <w:r>
        <w:rPr>
          <w:rFonts w:hAnsi="宋体"/>
          <w:highlight w:val="none"/>
        </w:rPr>
        <w:t>m</w:t>
      </w:r>
      <w:r>
        <w:rPr>
          <w:rFonts w:hAnsi="宋体"/>
          <w:highlight w:val="none"/>
          <w:vertAlign w:val="superscript"/>
        </w:rPr>
        <w:t>3</w:t>
      </w:r>
      <w:r>
        <w:rPr>
          <w:rFonts w:hAnsi="宋体"/>
          <w:highlight w:val="none"/>
        </w:rPr>
        <w:t>初期雨水收集池，最大初期雨水量为</w:t>
      </w:r>
      <w:r>
        <w:rPr>
          <w:rFonts w:hint="eastAsia" w:hAnsi="宋体"/>
          <w:highlight w:val="none"/>
        </w:rPr>
        <w:t>129.84</w:t>
      </w:r>
      <w:r>
        <w:rPr>
          <w:rFonts w:hAnsi="宋体"/>
          <w:highlight w:val="none"/>
        </w:rPr>
        <w:t>m</w:t>
      </w:r>
      <w:r>
        <w:rPr>
          <w:rFonts w:hAnsi="宋体"/>
          <w:highlight w:val="none"/>
          <w:vertAlign w:val="superscript"/>
        </w:rPr>
        <w:t>3</w:t>
      </w:r>
      <w:r>
        <w:rPr>
          <w:rFonts w:hAnsi="宋体"/>
          <w:highlight w:val="none"/>
        </w:rPr>
        <w:t>，完全可以收集全部的初期雨水。收集后的雨水经沉淀后可以用于</w:t>
      </w:r>
      <w:r>
        <w:rPr>
          <w:rFonts w:hint="eastAsia" w:hAnsi="宋体"/>
          <w:highlight w:val="none"/>
        </w:rPr>
        <w:t>原料库洒水抑尘</w:t>
      </w:r>
      <w:r>
        <w:rPr>
          <w:rFonts w:hAnsi="宋体"/>
          <w:highlight w:val="none"/>
        </w:rPr>
        <w:t>及道路降尘洒水，</w:t>
      </w:r>
      <w:r>
        <w:rPr>
          <w:rFonts w:hint="eastAsia" w:hAnsi="宋体"/>
          <w:highlight w:val="none"/>
        </w:rPr>
        <w:t>可以保证初期雨水不外排。</w:t>
      </w:r>
    </w:p>
    <w:p>
      <w:pPr>
        <w:pStyle w:val="62"/>
        <w:ind w:firstLine="480"/>
        <w:rPr>
          <w:rFonts w:hAnsi="宋体"/>
          <w:highlight w:val="none"/>
          <w:lang w:val="en-US"/>
        </w:rPr>
      </w:pPr>
      <w:r>
        <w:rPr>
          <w:rFonts w:hint="eastAsia" w:hAnsi="宋体"/>
          <w:highlight w:val="none"/>
          <w:lang w:val="en-US"/>
        </w:rPr>
        <w:t>以上废水处置措施合理，经济可行，可以保证生活废水和生产废水不外排。</w:t>
      </w:r>
    </w:p>
    <w:p>
      <w:pPr>
        <w:pStyle w:val="4"/>
        <w:ind w:firstLine="562"/>
        <w:rPr>
          <w:rFonts w:hAnsi="宋体"/>
          <w:highlight w:val="none"/>
        </w:rPr>
      </w:pPr>
      <w:r>
        <w:rPr>
          <w:rFonts w:hAnsi="宋体"/>
          <w:highlight w:val="none"/>
        </w:rPr>
        <w:t>6.1.3地下水污染防治措施</w:t>
      </w:r>
    </w:p>
    <w:p>
      <w:pPr>
        <w:pStyle w:val="62"/>
        <w:ind w:firstLine="480"/>
        <w:rPr>
          <w:rFonts w:hAnsi="宋体"/>
          <w:highlight w:val="none"/>
        </w:rPr>
      </w:pPr>
      <w:r>
        <w:rPr>
          <w:rFonts w:hAnsi="宋体"/>
          <w:highlight w:val="none"/>
        </w:rPr>
        <w:t>根据装置</w:t>
      </w:r>
      <w:r>
        <w:rPr>
          <w:rFonts w:hAnsi="宋体"/>
          <w:spacing w:val="-46"/>
          <w:highlight w:val="none"/>
        </w:rPr>
        <w:t>、</w:t>
      </w:r>
      <w:r>
        <w:rPr>
          <w:rFonts w:hAnsi="宋体"/>
          <w:highlight w:val="none"/>
        </w:rPr>
        <w:t>单元的特点和项目所处的区域</w:t>
      </w:r>
      <w:r>
        <w:rPr>
          <w:rFonts w:hAnsi="宋体"/>
          <w:spacing w:val="-44"/>
          <w:highlight w:val="none"/>
        </w:rPr>
        <w:t>，</w:t>
      </w:r>
      <w:r>
        <w:rPr>
          <w:rFonts w:hAnsi="宋体"/>
          <w:highlight w:val="none"/>
        </w:rPr>
        <w:t>将项目建设场地防渗划分为重点防渗区、一般防渗区和简单防治区。</w:t>
      </w:r>
    </w:p>
    <w:p>
      <w:pPr>
        <w:pStyle w:val="62"/>
        <w:ind w:firstLine="454"/>
        <w:rPr>
          <w:rFonts w:hAnsi="宋体"/>
          <w:sz w:val="10"/>
          <w:szCs w:val="10"/>
          <w:highlight w:val="none"/>
        </w:rPr>
      </w:pPr>
      <w:r>
        <w:rPr>
          <w:rFonts w:hAnsi="宋体" w:cs="hakuyoxingshu7000"/>
          <w:w w:val="95"/>
          <w:highlight w:val="none"/>
        </w:rPr>
        <w:t>1.</w:t>
      </w:r>
      <w:r>
        <w:rPr>
          <w:rFonts w:hAnsi="宋体"/>
          <w:w w:val="95"/>
          <w:highlight w:val="none"/>
        </w:rPr>
        <w:t>重点防渗区</w:t>
      </w:r>
    </w:p>
    <w:p>
      <w:pPr>
        <w:pStyle w:val="62"/>
        <w:ind w:firstLine="488"/>
        <w:rPr>
          <w:rFonts w:hAnsi="宋体"/>
          <w:highlight w:val="none"/>
        </w:rPr>
      </w:pPr>
      <w:r>
        <w:rPr>
          <w:rFonts w:hAnsi="宋体"/>
          <w:spacing w:val="2"/>
          <w:highlight w:val="none"/>
        </w:rPr>
        <w:t>重点防渗区防渗层防渗性能应等效黏土防渗</w:t>
      </w:r>
      <w:r>
        <w:rPr>
          <w:rFonts w:hAnsi="宋体"/>
          <w:highlight w:val="none"/>
        </w:rPr>
        <w:t>层</w:t>
      </w:r>
      <w:r>
        <w:rPr>
          <w:rFonts w:hAnsi="宋体" w:cs="hakuyoxingshu7000"/>
          <w:highlight w:val="none"/>
        </w:rPr>
        <w:t>Mb≥6.0m,</w:t>
      </w:r>
      <w:r>
        <w:rPr>
          <w:rFonts w:hAnsi="宋体" w:cs="hakuyoxingshu7000"/>
          <w:spacing w:val="-1"/>
          <w:highlight w:val="none"/>
        </w:rPr>
        <w:t>K&lt;</w:t>
      </w:r>
      <w:r>
        <w:rPr>
          <w:rFonts w:hAnsi="宋体" w:cs="hakuyoxingshu7000"/>
          <w:highlight w:val="none"/>
        </w:rPr>
        <w:t>1</w:t>
      </w:r>
      <w:r>
        <w:rPr>
          <w:rFonts w:hAnsi="宋体" w:cs="hakuyoxingshu7000"/>
          <w:spacing w:val="2"/>
          <w:highlight w:val="none"/>
        </w:rPr>
        <w:t>0</w:t>
      </w:r>
      <w:r>
        <w:rPr>
          <w:rFonts w:hAnsi="宋体" w:cs="hakuyoxingshu7000"/>
          <w:spacing w:val="-3"/>
          <w:position w:val="8"/>
          <w:sz w:val="15"/>
          <w:szCs w:val="15"/>
          <w:highlight w:val="none"/>
        </w:rPr>
        <w:t>-</w:t>
      </w:r>
      <w:r>
        <w:rPr>
          <w:rFonts w:hAnsi="宋体" w:cs="hakuyoxingshu7000"/>
          <w:spacing w:val="-2"/>
          <w:position w:val="8"/>
          <w:sz w:val="15"/>
          <w:szCs w:val="15"/>
          <w:highlight w:val="none"/>
        </w:rPr>
        <w:t>7</w:t>
      </w:r>
      <w:r>
        <w:rPr>
          <w:rFonts w:hAnsi="宋体" w:cs="hakuyoxingshu7000"/>
          <w:spacing w:val="-2"/>
          <w:highlight w:val="none"/>
        </w:rPr>
        <w:t>c</w:t>
      </w:r>
      <w:r>
        <w:rPr>
          <w:rFonts w:hAnsi="宋体" w:cs="hakuyoxingshu7000"/>
          <w:highlight w:val="none"/>
        </w:rPr>
        <w:t>m/s</w:t>
      </w:r>
      <w:r>
        <w:rPr>
          <w:rFonts w:hAnsi="宋体"/>
          <w:spacing w:val="2"/>
          <w:highlight w:val="none"/>
        </w:rPr>
        <w:t>的防</w:t>
      </w:r>
      <w:r>
        <w:rPr>
          <w:rFonts w:hAnsi="宋体"/>
          <w:highlight w:val="none"/>
        </w:rPr>
        <w:t>渗性能</w:t>
      </w:r>
      <w:r>
        <w:rPr>
          <w:rFonts w:hAnsi="宋体"/>
          <w:spacing w:val="-32"/>
          <w:highlight w:val="none"/>
        </w:rPr>
        <w:t>。</w:t>
      </w:r>
      <w:r>
        <w:rPr>
          <w:rFonts w:hAnsi="宋体"/>
          <w:highlight w:val="none"/>
        </w:rPr>
        <w:t>是指事故风险危险</w:t>
      </w:r>
      <w:r>
        <w:rPr>
          <w:rFonts w:hAnsi="宋体"/>
          <w:spacing w:val="2"/>
          <w:highlight w:val="none"/>
        </w:rPr>
        <w:t>区</w:t>
      </w:r>
      <w:r>
        <w:rPr>
          <w:rFonts w:hAnsi="宋体"/>
          <w:spacing w:val="-29"/>
          <w:highlight w:val="none"/>
        </w:rPr>
        <w:t>、</w:t>
      </w:r>
      <w:r>
        <w:rPr>
          <w:rFonts w:hAnsi="宋体"/>
          <w:highlight w:val="none"/>
        </w:rPr>
        <w:t>位于地下或者半地下的生产功能单元</w:t>
      </w:r>
      <w:r>
        <w:rPr>
          <w:rFonts w:hAnsi="宋体"/>
          <w:spacing w:val="-32"/>
          <w:highlight w:val="none"/>
        </w:rPr>
        <w:t>，</w:t>
      </w:r>
      <w:r>
        <w:rPr>
          <w:rFonts w:hAnsi="宋体"/>
          <w:highlight w:val="none"/>
        </w:rPr>
        <w:t>污染地下水</w:t>
      </w:r>
      <w:r>
        <w:rPr>
          <w:rFonts w:hAnsi="宋体"/>
          <w:spacing w:val="4"/>
          <w:highlight w:val="none"/>
        </w:rPr>
        <w:t>环境的污染物</w:t>
      </w:r>
      <w:r>
        <w:rPr>
          <w:rFonts w:hAnsi="宋体"/>
          <w:spacing w:val="2"/>
          <w:highlight w:val="none"/>
        </w:rPr>
        <w:t>泄</w:t>
      </w:r>
      <w:r>
        <w:rPr>
          <w:rFonts w:hAnsi="宋体"/>
          <w:spacing w:val="4"/>
          <w:highlight w:val="none"/>
        </w:rPr>
        <w:t>漏后不容易被及时发现和</w:t>
      </w:r>
      <w:r>
        <w:rPr>
          <w:rFonts w:hAnsi="宋体"/>
          <w:spacing w:val="2"/>
          <w:highlight w:val="none"/>
        </w:rPr>
        <w:t>处</w:t>
      </w:r>
      <w:r>
        <w:rPr>
          <w:rFonts w:hAnsi="宋体"/>
          <w:spacing w:val="4"/>
          <w:highlight w:val="none"/>
        </w:rPr>
        <w:t>理的区域或部位，包括选</w:t>
      </w:r>
      <w:r>
        <w:rPr>
          <w:rFonts w:hAnsi="宋体"/>
          <w:spacing w:val="2"/>
          <w:highlight w:val="none"/>
        </w:rPr>
        <w:t>矿</w:t>
      </w:r>
      <w:r>
        <w:rPr>
          <w:rFonts w:hAnsi="宋体"/>
          <w:spacing w:val="4"/>
          <w:highlight w:val="none"/>
        </w:rPr>
        <w:t>厂浓</w:t>
      </w:r>
      <w:r>
        <w:rPr>
          <w:rFonts w:hAnsi="宋体"/>
          <w:highlight w:val="none"/>
        </w:rPr>
        <w:t>缩池、事故池、压滤车间、雨水收集池等。</w:t>
      </w:r>
    </w:p>
    <w:p>
      <w:pPr>
        <w:pStyle w:val="62"/>
        <w:ind w:firstLine="454"/>
        <w:rPr>
          <w:rFonts w:hAnsi="宋体"/>
          <w:sz w:val="10"/>
          <w:szCs w:val="10"/>
          <w:highlight w:val="none"/>
        </w:rPr>
      </w:pPr>
      <w:r>
        <w:rPr>
          <w:rFonts w:hAnsi="宋体" w:cs="hakuyoxingshu7000"/>
          <w:w w:val="95"/>
          <w:highlight w:val="none"/>
        </w:rPr>
        <w:t>2.</w:t>
      </w:r>
      <w:r>
        <w:rPr>
          <w:rFonts w:hAnsi="宋体"/>
          <w:w w:val="95"/>
          <w:highlight w:val="none"/>
        </w:rPr>
        <w:t>一般防渗区</w:t>
      </w:r>
    </w:p>
    <w:p>
      <w:pPr>
        <w:pStyle w:val="62"/>
        <w:ind w:firstLine="488"/>
        <w:rPr>
          <w:rFonts w:hAnsi="宋体"/>
          <w:highlight w:val="none"/>
        </w:rPr>
      </w:pPr>
      <w:r>
        <w:rPr>
          <w:rFonts w:hAnsi="宋体"/>
          <w:spacing w:val="2"/>
          <w:highlight w:val="none"/>
        </w:rPr>
        <w:t>一般防渗区防渗层防渗性能应等效黏土防渗</w:t>
      </w:r>
      <w:r>
        <w:rPr>
          <w:rFonts w:hAnsi="宋体"/>
          <w:highlight w:val="none"/>
        </w:rPr>
        <w:t>层</w:t>
      </w:r>
      <w:r>
        <w:rPr>
          <w:rFonts w:hAnsi="宋体" w:cs="hakuyoxingshu7000"/>
          <w:highlight w:val="none"/>
        </w:rPr>
        <w:t>Mb≥1.5m,</w:t>
      </w:r>
      <w:r>
        <w:rPr>
          <w:rFonts w:hAnsi="宋体" w:cs="hakuyoxingshu7000"/>
          <w:spacing w:val="-1"/>
          <w:highlight w:val="none"/>
        </w:rPr>
        <w:t>K&lt;</w:t>
      </w:r>
      <w:r>
        <w:rPr>
          <w:rFonts w:hAnsi="宋体" w:cs="hakuyoxingshu7000"/>
          <w:highlight w:val="none"/>
        </w:rPr>
        <w:t>1</w:t>
      </w:r>
      <w:r>
        <w:rPr>
          <w:rFonts w:hAnsi="宋体" w:cs="hakuyoxingshu7000"/>
          <w:spacing w:val="2"/>
          <w:highlight w:val="none"/>
        </w:rPr>
        <w:t>0</w:t>
      </w:r>
      <w:r>
        <w:rPr>
          <w:rFonts w:hAnsi="宋体" w:cs="hakuyoxingshu7000"/>
          <w:spacing w:val="-3"/>
          <w:position w:val="8"/>
          <w:sz w:val="15"/>
          <w:szCs w:val="15"/>
          <w:highlight w:val="none"/>
        </w:rPr>
        <w:t>-</w:t>
      </w:r>
      <w:r>
        <w:rPr>
          <w:rFonts w:hAnsi="宋体" w:cs="hakuyoxingshu7000"/>
          <w:spacing w:val="-2"/>
          <w:position w:val="8"/>
          <w:sz w:val="15"/>
          <w:szCs w:val="15"/>
          <w:highlight w:val="none"/>
        </w:rPr>
        <w:t>7</w:t>
      </w:r>
      <w:r>
        <w:rPr>
          <w:rFonts w:hAnsi="宋体" w:cs="hakuyoxingshu7000"/>
          <w:spacing w:val="-2"/>
          <w:highlight w:val="none"/>
        </w:rPr>
        <w:t>c</w:t>
      </w:r>
      <w:r>
        <w:rPr>
          <w:rFonts w:hAnsi="宋体" w:cs="hakuyoxingshu7000"/>
          <w:highlight w:val="none"/>
        </w:rPr>
        <w:t>m/s</w:t>
      </w:r>
      <w:r>
        <w:rPr>
          <w:rFonts w:hAnsi="宋体"/>
          <w:spacing w:val="2"/>
          <w:highlight w:val="none"/>
        </w:rPr>
        <w:t>的防</w:t>
      </w:r>
      <w:r>
        <w:rPr>
          <w:rFonts w:hAnsi="宋体"/>
          <w:highlight w:val="none"/>
        </w:rPr>
        <w:t>渗性能</w:t>
      </w:r>
      <w:r>
        <w:rPr>
          <w:rFonts w:hAnsi="宋体"/>
          <w:spacing w:val="-46"/>
          <w:highlight w:val="none"/>
        </w:rPr>
        <w:t>。</w:t>
      </w:r>
      <w:r>
        <w:rPr>
          <w:rFonts w:hAnsi="宋体"/>
          <w:highlight w:val="none"/>
        </w:rPr>
        <w:t>一般防渗区指对地下水环境有污染的物料或污染物泄漏后</w:t>
      </w:r>
      <w:r>
        <w:rPr>
          <w:rFonts w:hAnsi="宋体"/>
          <w:spacing w:val="-44"/>
          <w:highlight w:val="none"/>
        </w:rPr>
        <w:t>，</w:t>
      </w:r>
      <w:r>
        <w:rPr>
          <w:rFonts w:hAnsi="宋体"/>
          <w:highlight w:val="none"/>
        </w:rPr>
        <w:t>可及时发现和处理的区域或部位，主要包括选矿车间、循环水池、原料库、成品库等。</w:t>
      </w:r>
    </w:p>
    <w:p>
      <w:pPr>
        <w:pStyle w:val="62"/>
        <w:ind w:firstLine="480"/>
        <w:rPr>
          <w:rFonts w:hAnsi="宋体"/>
          <w:highlight w:val="none"/>
        </w:rPr>
      </w:pPr>
      <w:r>
        <w:rPr>
          <w:rFonts w:hAnsi="宋体" w:cs="hakuyoxingshu7000"/>
          <w:highlight w:val="none"/>
        </w:rPr>
        <w:t>3.</w:t>
      </w:r>
      <w:r>
        <w:rPr>
          <w:rFonts w:hAnsi="宋体"/>
          <w:highlight w:val="none"/>
        </w:rPr>
        <w:t>简单防渗区</w:t>
      </w:r>
    </w:p>
    <w:p>
      <w:pPr>
        <w:pStyle w:val="62"/>
        <w:ind w:firstLine="480"/>
        <w:rPr>
          <w:rFonts w:hAnsi="宋体"/>
          <w:highlight w:val="none"/>
        </w:rPr>
      </w:pPr>
      <w:r>
        <w:rPr>
          <w:rFonts w:hAnsi="宋体"/>
          <w:highlight w:val="none"/>
        </w:rPr>
        <w:t>除重点防渗区</w:t>
      </w:r>
      <w:r>
        <w:rPr>
          <w:rFonts w:hAnsi="宋体"/>
          <w:spacing w:val="-22"/>
          <w:highlight w:val="none"/>
        </w:rPr>
        <w:t>、</w:t>
      </w:r>
      <w:r>
        <w:rPr>
          <w:rFonts w:hAnsi="宋体"/>
          <w:highlight w:val="none"/>
        </w:rPr>
        <w:t>一般防渗区外的其它建筑区</w:t>
      </w:r>
      <w:r>
        <w:rPr>
          <w:rFonts w:hAnsi="宋体"/>
          <w:spacing w:val="-24"/>
          <w:highlight w:val="none"/>
        </w:rPr>
        <w:t>，</w:t>
      </w:r>
      <w:r>
        <w:rPr>
          <w:rFonts w:hAnsi="宋体"/>
          <w:highlight w:val="none"/>
        </w:rPr>
        <w:t>厂址区道路</w:t>
      </w:r>
      <w:r>
        <w:rPr>
          <w:rFonts w:hAnsi="宋体"/>
          <w:spacing w:val="-22"/>
          <w:highlight w:val="none"/>
        </w:rPr>
        <w:t>、</w:t>
      </w:r>
      <w:r>
        <w:rPr>
          <w:rFonts w:hAnsi="宋体"/>
          <w:highlight w:val="none"/>
        </w:rPr>
        <w:t>办公区</w:t>
      </w:r>
      <w:r>
        <w:rPr>
          <w:rFonts w:hAnsi="宋体"/>
          <w:spacing w:val="-22"/>
          <w:highlight w:val="none"/>
        </w:rPr>
        <w:t>、</w:t>
      </w:r>
      <w:r>
        <w:rPr>
          <w:rFonts w:hAnsi="宋体"/>
          <w:highlight w:val="none"/>
        </w:rPr>
        <w:t>变配电室等，划为简单防渗区，防渗技术要求需做一般地面硬化。</w:t>
      </w:r>
    </w:p>
    <w:p>
      <w:pPr>
        <w:pStyle w:val="4"/>
        <w:ind w:firstLine="562"/>
        <w:rPr>
          <w:rFonts w:hAnsi="宋体"/>
          <w:highlight w:val="none"/>
        </w:rPr>
      </w:pPr>
      <w:r>
        <w:rPr>
          <w:rFonts w:hAnsi="宋体"/>
          <w:highlight w:val="none"/>
        </w:rPr>
        <w:t>6.1.4噪声污染防治措施分析</w:t>
      </w:r>
    </w:p>
    <w:p>
      <w:pPr>
        <w:ind w:firstLine="480"/>
        <w:rPr>
          <w:rFonts w:ascii="宋体" w:hAnsi="宋体"/>
          <w:bCs/>
          <w:szCs w:val="21"/>
          <w:highlight w:val="none"/>
        </w:rPr>
      </w:pPr>
      <w:r>
        <w:rPr>
          <w:rFonts w:ascii="宋体" w:hAnsi="宋体"/>
          <w:highlight w:val="none"/>
        </w:rPr>
        <w:t>本项目主要噪声来源于破碎机</w:t>
      </w:r>
      <w:r>
        <w:rPr>
          <w:rFonts w:ascii="宋体" w:hAnsi="宋体"/>
          <w:spacing w:val="-22"/>
          <w:highlight w:val="none"/>
        </w:rPr>
        <w:t>、</w:t>
      </w:r>
      <w:r>
        <w:rPr>
          <w:rFonts w:ascii="宋体" w:hAnsi="宋体"/>
          <w:highlight w:val="none"/>
        </w:rPr>
        <w:t>球磨机</w:t>
      </w:r>
      <w:r>
        <w:rPr>
          <w:rFonts w:ascii="宋体" w:hAnsi="宋体"/>
          <w:spacing w:val="-24"/>
          <w:highlight w:val="none"/>
        </w:rPr>
        <w:t>、</w:t>
      </w:r>
      <w:r>
        <w:rPr>
          <w:rFonts w:ascii="宋体" w:hAnsi="宋体"/>
          <w:highlight w:val="none"/>
        </w:rPr>
        <w:t>磁选机</w:t>
      </w:r>
      <w:r>
        <w:rPr>
          <w:rFonts w:ascii="宋体" w:hAnsi="宋体"/>
          <w:spacing w:val="-22"/>
          <w:highlight w:val="none"/>
        </w:rPr>
        <w:t>、</w:t>
      </w:r>
      <w:r>
        <w:rPr>
          <w:rFonts w:ascii="宋体" w:hAnsi="宋体"/>
          <w:highlight w:val="none"/>
        </w:rPr>
        <w:t>水泵</w:t>
      </w:r>
      <w:r>
        <w:rPr>
          <w:rFonts w:ascii="宋体" w:hAnsi="宋体"/>
          <w:spacing w:val="-22"/>
          <w:highlight w:val="none"/>
        </w:rPr>
        <w:t>、</w:t>
      </w:r>
      <w:r>
        <w:rPr>
          <w:rFonts w:ascii="宋体" w:hAnsi="宋体"/>
          <w:highlight w:val="none"/>
        </w:rPr>
        <w:t>压滤机等设备运行时产生的噪声</w:t>
      </w:r>
      <w:r>
        <w:rPr>
          <w:rFonts w:ascii="宋体" w:hAnsi="宋体"/>
          <w:spacing w:val="-15"/>
          <w:highlight w:val="none"/>
        </w:rPr>
        <w:t>，</w:t>
      </w:r>
      <w:r>
        <w:rPr>
          <w:rFonts w:ascii="宋体" w:hAnsi="宋体"/>
          <w:highlight w:val="none"/>
        </w:rPr>
        <w:t>根据类比调查</w:t>
      </w:r>
      <w:r>
        <w:rPr>
          <w:rFonts w:ascii="宋体" w:hAnsi="宋体"/>
          <w:spacing w:val="-15"/>
          <w:highlight w:val="none"/>
        </w:rPr>
        <w:t>，</w:t>
      </w:r>
      <w:r>
        <w:rPr>
          <w:rFonts w:ascii="宋体" w:hAnsi="宋体"/>
          <w:highlight w:val="none"/>
        </w:rPr>
        <w:t>其源强为</w:t>
      </w:r>
      <w:r>
        <w:rPr>
          <w:rFonts w:ascii="宋体" w:hAnsi="宋体" w:cs="hakuyoxingshu7000"/>
          <w:highlight w:val="none"/>
        </w:rPr>
        <w:t>75</w:t>
      </w:r>
      <w:r>
        <w:rPr>
          <w:rFonts w:ascii="宋体" w:hAnsi="宋体"/>
          <w:highlight w:val="none"/>
        </w:rPr>
        <w:t>～</w:t>
      </w:r>
      <w:r>
        <w:rPr>
          <w:rFonts w:ascii="宋体" w:hAnsi="宋体" w:cs="hakuyoxingshu7000"/>
          <w:highlight w:val="none"/>
        </w:rPr>
        <w:t>90d</w:t>
      </w:r>
      <w:r>
        <w:rPr>
          <w:rFonts w:ascii="宋体" w:hAnsi="宋体" w:cs="hakuyoxingshu7000"/>
          <w:spacing w:val="-2"/>
          <w:highlight w:val="none"/>
        </w:rPr>
        <w:t>B(</w:t>
      </w:r>
      <w:r>
        <w:rPr>
          <w:rFonts w:ascii="宋体" w:hAnsi="宋体" w:cs="hakuyoxingshu7000"/>
          <w:highlight w:val="none"/>
        </w:rPr>
        <w:t>A</w:t>
      </w:r>
      <w:r>
        <w:rPr>
          <w:rFonts w:ascii="宋体" w:hAnsi="宋体" w:cs="hakuyoxingshu7000"/>
          <w:spacing w:val="-2"/>
          <w:highlight w:val="none"/>
        </w:rPr>
        <w:t>)</w:t>
      </w:r>
      <w:r>
        <w:rPr>
          <w:rFonts w:ascii="宋体" w:hAnsi="宋体"/>
          <w:spacing w:val="-12"/>
          <w:highlight w:val="none"/>
        </w:rPr>
        <w:t>。</w:t>
      </w:r>
      <w:r>
        <w:rPr>
          <w:rFonts w:hint="eastAsia" w:ascii="宋体" w:hAnsi="宋体"/>
          <w:bCs/>
          <w:szCs w:val="21"/>
          <w:highlight w:val="none"/>
        </w:rPr>
        <w:t>建设单位安装生产设备时已经</w:t>
      </w:r>
      <w:r>
        <w:rPr>
          <w:rFonts w:ascii="宋体" w:hAnsi="宋体"/>
          <w:bCs/>
          <w:szCs w:val="21"/>
          <w:highlight w:val="none"/>
        </w:rPr>
        <w:t>采取了以下噪声防治措施：</w:t>
      </w:r>
    </w:p>
    <w:p>
      <w:pPr>
        <w:ind w:firstLine="480"/>
        <w:rPr>
          <w:rFonts w:ascii="宋体" w:hAnsi="宋体"/>
          <w:bCs/>
          <w:szCs w:val="21"/>
          <w:highlight w:val="none"/>
        </w:rPr>
      </w:pPr>
      <w:r>
        <w:rPr>
          <w:rFonts w:hint="eastAsia" w:ascii="宋体" w:hAnsi="宋体" w:cs="宋体"/>
          <w:bCs/>
          <w:szCs w:val="21"/>
          <w:highlight w:val="none"/>
        </w:rPr>
        <w:t>1、</w:t>
      </w:r>
      <w:r>
        <w:rPr>
          <w:rFonts w:ascii="宋体" w:hAnsi="宋体"/>
          <w:bCs/>
          <w:szCs w:val="21"/>
          <w:highlight w:val="none"/>
        </w:rPr>
        <w:t>在设备选型时，选用了低噪声设备，以降低声源噪声；</w:t>
      </w:r>
    </w:p>
    <w:p>
      <w:pPr>
        <w:ind w:firstLine="480"/>
        <w:rPr>
          <w:rFonts w:ascii="宋体" w:hAnsi="宋体"/>
          <w:bCs/>
          <w:szCs w:val="21"/>
          <w:highlight w:val="none"/>
        </w:rPr>
      </w:pPr>
      <w:r>
        <w:rPr>
          <w:rFonts w:hint="eastAsia" w:ascii="宋体" w:hAnsi="宋体" w:cs="宋体"/>
          <w:bCs/>
          <w:szCs w:val="21"/>
          <w:highlight w:val="none"/>
        </w:rPr>
        <w:t>2、</w:t>
      </w:r>
      <w:r>
        <w:rPr>
          <w:rFonts w:hint="eastAsia" w:ascii="宋体" w:hAnsi="宋体"/>
          <w:bCs/>
          <w:szCs w:val="21"/>
          <w:highlight w:val="none"/>
        </w:rPr>
        <w:t>生</w:t>
      </w:r>
      <w:r>
        <w:rPr>
          <w:rFonts w:ascii="宋体" w:hAnsi="宋体"/>
          <w:bCs/>
          <w:szCs w:val="21"/>
          <w:highlight w:val="none"/>
        </w:rPr>
        <w:t>产主要噪声设备</w:t>
      </w:r>
      <w:r>
        <w:rPr>
          <w:rFonts w:hint="eastAsia" w:ascii="宋体" w:hAnsi="宋体"/>
          <w:bCs/>
          <w:szCs w:val="21"/>
          <w:highlight w:val="none"/>
        </w:rPr>
        <w:t>全部</w:t>
      </w:r>
      <w:r>
        <w:rPr>
          <w:rFonts w:ascii="宋体" w:hAnsi="宋体"/>
          <w:bCs/>
          <w:szCs w:val="21"/>
          <w:highlight w:val="none"/>
        </w:rPr>
        <w:t>放置于车间</w:t>
      </w:r>
      <w:r>
        <w:rPr>
          <w:rFonts w:hint="eastAsia" w:ascii="宋体" w:hAnsi="宋体"/>
          <w:bCs/>
          <w:szCs w:val="21"/>
          <w:highlight w:val="none"/>
        </w:rPr>
        <w:t>内，生产车间布置在厂区北侧，厂址远离村庄，利用</w:t>
      </w:r>
      <w:r>
        <w:rPr>
          <w:rFonts w:ascii="宋体" w:hAnsi="宋体"/>
          <w:bCs/>
          <w:szCs w:val="21"/>
          <w:highlight w:val="none"/>
        </w:rPr>
        <w:t>距离衰减及车间墙壁的隔声作用，降低了项目厂界噪声排放；</w:t>
      </w:r>
    </w:p>
    <w:p>
      <w:pPr>
        <w:ind w:firstLine="480"/>
        <w:rPr>
          <w:rFonts w:ascii="宋体" w:hAnsi="宋体"/>
          <w:bCs/>
          <w:szCs w:val="21"/>
          <w:highlight w:val="none"/>
        </w:rPr>
      </w:pPr>
      <w:r>
        <w:rPr>
          <w:rFonts w:hint="eastAsia" w:ascii="宋体" w:hAnsi="宋体" w:cs="宋体"/>
          <w:bCs/>
          <w:szCs w:val="21"/>
          <w:highlight w:val="none"/>
        </w:rPr>
        <w:t>3、</w:t>
      </w:r>
      <w:r>
        <w:rPr>
          <w:rFonts w:ascii="宋体" w:hAnsi="宋体"/>
          <w:bCs/>
          <w:szCs w:val="21"/>
          <w:highlight w:val="none"/>
        </w:rPr>
        <w:t>对破碎机、磨机等高噪声源等设备安装了减振垫；</w:t>
      </w:r>
    </w:p>
    <w:p>
      <w:pPr>
        <w:ind w:firstLine="480"/>
        <w:rPr>
          <w:rFonts w:ascii="宋体" w:hAnsi="宋体"/>
          <w:bCs/>
          <w:szCs w:val="21"/>
          <w:highlight w:val="none"/>
        </w:rPr>
      </w:pPr>
      <w:r>
        <w:rPr>
          <w:rFonts w:hint="eastAsia" w:ascii="宋体" w:hAnsi="宋体" w:cs="宋体"/>
          <w:bCs/>
          <w:szCs w:val="21"/>
          <w:highlight w:val="none"/>
        </w:rPr>
        <w:t>4、</w:t>
      </w:r>
      <w:r>
        <w:rPr>
          <w:rFonts w:ascii="宋体" w:hAnsi="宋体"/>
          <w:bCs/>
          <w:szCs w:val="21"/>
          <w:highlight w:val="none"/>
        </w:rPr>
        <w:t>加强了厂区及厂界的绿化，绿化带</w:t>
      </w:r>
      <w:r>
        <w:rPr>
          <w:rFonts w:hint="eastAsia" w:ascii="宋体" w:hAnsi="宋体"/>
          <w:bCs/>
          <w:szCs w:val="21"/>
          <w:highlight w:val="none"/>
        </w:rPr>
        <w:t>采用</w:t>
      </w:r>
      <w:r>
        <w:rPr>
          <w:rFonts w:ascii="宋体" w:hAnsi="宋体"/>
          <w:bCs/>
          <w:szCs w:val="21"/>
          <w:highlight w:val="none"/>
        </w:rPr>
        <w:t>高大乔木落叶树与低矮的黄杨、松柏等构成绿化屏障来阻挡噪声。</w:t>
      </w:r>
    </w:p>
    <w:p>
      <w:pPr>
        <w:ind w:firstLine="480"/>
        <w:rPr>
          <w:rFonts w:ascii="宋体" w:hAnsi="宋体"/>
          <w:bCs/>
          <w:szCs w:val="21"/>
          <w:highlight w:val="none"/>
        </w:rPr>
      </w:pPr>
      <w:r>
        <w:rPr>
          <w:rFonts w:hint="eastAsia" w:ascii="宋体" w:hAnsi="宋体" w:cs="宋体"/>
          <w:bCs/>
          <w:szCs w:val="21"/>
          <w:highlight w:val="none"/>
        </w:rPr>
        <w:t>5、</w:t>
      </w:r>
      <w:r>
        <w:rPr>
          <w:rFonts w:ascii="宋体" w:hAnsi="宋体"/>
          <w:bCs/>
          <w:szCs w:val="21"/>
          <w:highlight w:val="none"/>
        </w:rPr>
        <w:t>对进入厂区的车辆要求减速慢行，且禁止鸣笛。运输时间限于白天，夜间不运输。</w:t>
      </w:r>
    </w:p>
    <w:p>
      <w:pPr>
        <w:ind w:firstLine="480"/>
        <w:rPr>
          <w:rFonts w:ascii="宋体" w:hAnsi="宋体"/>
          <w:bCs/>
          <w:szCs w:val="21"/>
          <w:highlight w:val="none"/>
        </w:rPr>
      </w:pPr>
      <w:r>
        <w:rPr>
          <w:rFonts w:hint="eastAsia" w:ascii="宋体" w:hAnsi="宋体"/>
          <w:bCs/>
          <w:szCs w:val="21"/>
          <w:highlight w:val="none"/>
        </w:rPr>
        <w:t>环评认为：噪声治理措施可行。</w:t>
      </w:r>
    </w:p>
    <w:p>
      <w:pPr>
        <w:pStyle w:val="4"/>
        <w:ind w:firstLine="562"/>
        <w:rPr>
          <w:rFonts w:hAnsi="宋体"/>
          <w:highlight w:val="none"/>
        </w:rPr>
      </w:pPr>
      <w:r>
        <w:rPr>
          <w:rFonts w:hAnsi="宋体"/>
          <w:highlight w:val="none"/>
        </w:rPr>
        <w:t>6.1.5固废污染防治措施</w:t>
      </w:r>
    </w:p>
    <w:p>
      <w:pPr>
        <w:pStyle w:val="62"/>
        <w:ind w:firstLine="480"/>
        <w:rPr>
          <w:rFonts w:hAnsi="宋体"/>
          <w:highlight w:val="none"/>
        </w:rPr>
      </w:pPr>
      <w:r>
        <w:rPr>
          <w:rFonts w:hAnsi="宋体"/>
          <w:highlight w:val="none"/>
        </w:rPr>
        <w:t>固体废物主要为选矿产生的尾矿</w:t>
      </w:r>
      <w:r>
        <w:rPr>
          <w:rFonts w:hAnsi="宋体"/>
          <w:spacing w:val="-46"/>
          <w:highlight w:val="none"/>
        </w:rPr>
        <w:t>、</w:t>
      </w:r>
      <w:r>
        <w:rPr>
          <w:rFonts w:hAnsi="宋体"/>
          <w:highlight w:val="none"/>
        </w:rPr>
        <w:t>除尘系统收集的粉尘</w:t>
      </w:r>
      <w:r>
        <w:rPr>
          <w:rFonts w:hAnsi="宋体"/>
          <w:spacing w:val="-44"/>
          <w:highlight w:val="none"/>
        </w:rPr>
        <w:t>、</w:t>
      </w:r>
      <w:r>
        <w:rPr>
          <w:rFonts w:hAnsi="宋体"/>
          <w:highlight w:val="none"/>
        </w:rPr>
        <w:t>废机油及少量的生活垃圾。</w:t>
      </w:r>
    </w:p>
    <w:p>
      <w:pPr>
        <w:pStyle w:val="62"/>
        <w:ind w:firstLine="480"/>
        <w:rPr>
          <w:rFonts w:hAnsi="宋体"/>
          <w:sz w:val="14"/>
          <w:szCs w:val="14"/>
          <w:highlight w:val="none"/>
        </w:rPr>
      </w:pPr>
      <w:r>
        <w:rPr>
          <w:rFonts w:hint="eastAsia" w:hAnsi="宋体"/>
          <w:highlight w:val="none"/>
        </w:rPr>
        <w:t>1、</w:t>
      </w:r>
      <w:r>
        <w:rPr>
          <w:rFonts w:hAnsi="宋体"/>
          <w:highlight w:val="none"/>
        </w:rPr>
        <w:t>尾矿</w:t>
      </w:r>
    </w:p>
    <w:p>
      <w:pPr>
        <w:pStyle w:val="62"/>
        <w:ind w:firstLine="480"/>
        <w:rPr>
          <w:rFonts w:hAnsi="宋体"/>
          <w:highlight w:val="none"/>
        </w:rPr>
      </w:pPr>
      <w:r>
        <w:rPr>
          <w:rFonts w:hAnsi="宋体"/>
          <w:highlight w:val="none"/>
        </w:rPr>
        <w:t>本项目选矿过程年产生</w:t>
      </w:r>
      <w:r>
        <w:rPr>
          <w:rFonts w:hint="eastAsia" w:hAnsi="宋体"/>
          <w:highlight w:val="none"/>
        </w:rPr>
        <w:t>废矿</w:t>
      </w:r>
      <w:r>
        <w:rPr>
          <w:rFonts w:hAnsi="宋体"/>
          <w:highlight w:val="none"/>
        </w:rPr>
        <w:t>为</w:t>
      </w:r>
      <w:r>
        <w:rPr>
          <w:rFonts w:hint="eastAsia" w:hAnsi="宋体"/>
          <w:highlight w:val="none"/>
        </w:rPr>
        <w:t>21.21</w:t>
      </w:r>
      <w:r>
        <w:rPr>
          <w:rFonts w:hAnsi="宋体"/>
          <w:highlight w:val="none"/>
        </w:rPr>
        <w:t>万吨，其中</w:t>
      </w:r>
      <w:r>
        <w:rPr>
          <w:rFonts w:hint="eastAsia" w:hAnsi="宋体"/>
          <w:highlight w:val="none"/>
        </w:rPr>
        <w:t>废石19.8</w:t>
      </w:r>
      <w:r>
        <w:rPr>
          <w:rFonts w:hAnsi="宋体"/>
          <w:highlight w:val="none"/>
        </w:rPr>
        <w:t>万吨、粗砂</w:t>
      </w:r>
      <w:r>
        <w:rPr>
          <w:rFonts w:hint="eastAsia" w:hAnsi="宋体"/>
          <w:highlight w:val="none"/>
        </w:rPr>
        <w:t>1.11</w:t>
      </w:r>
      <w:r>
        <w:rPr>
          <w:rFonts w:hAnsi="宋体"/>
          <w:highlight w:val="none"/>
        </w:rPr>
        <w:t>万吨、尾砂</w:t>
      </w:r>
      <w:r>
        <w:rPr>
          <w:rFonts w:hint="eastAsia" w:hAnsi="宋体"/>
          <w:highlight w:val="none"/>
        </w:rPr>
        <w:t>0.3</w:t>
      </w:r>
      <w:r>
        <w:rPr>
          <w:rFonts w:hAnsi="宋体"/>
          <w:highlight w:val="none"/>
        </w:rPr>
        <w:t>万吨，</w:t>
      </w:r>
      <w:r>
        <w:rPr>
          <w:rFonts w:hint="eastAsia" w:hAnsi="宋体"/>
          <w:highlight w:val="none"/>
        </w:rPr>
        <w:t>废石</w:t>
      </w:r>
      <w:r>
        <w:rPr>
          <w:rFonts w:hAnsi="宋体"/>
          <w:highlight w:val="none"/>
        </w:rPr>
        <w:t>及粗砂在废石库内暂存后外售综合利用。</w:t>
      </w:r>
    </w:p>
    <w:p>
      <w:pPr>
        <w:pStyle w:val="62"/>
        <w:ind w:firstLine="480"/>
        <w:rPr>
          <w:rFonts w:hAnsi="宋体"/>
          <w:highlight w:val="none"/>
        </w:rPr>
      </w:pPr>
      <w:r>
        <w:rPr>
          <w:rFonts w:hint="eastAsia" w:hAnsi="宋体"/>
          <w:highlight w:val="none"/>
        </w:rPr>
        <w:t>经了解，目前项目废石</w:t>
      </w:r>
      <w:r>
        <w:rPr>
          <w:rFonts w:hAnsi="宋体"/>
          <w:highlight w:val="none"/>
        </w:rPr>
        <w:t>及粗砂外售综合利用。</w:t>
      </w:r>
    </w:p>
    <w:p>
      <w:pPr>
        <w:pStyle w:val="62"/>
        <w:ind w:firstLine="480"/>
        <w:rPr>
          <w:rFonts w:hAnsi="宋体"/>
          <w:highlight w:val="none"/>
        </w:rPr>
      </w:pPr>
      <w:r>
        <w:rPr>
          <w:rFonts w:hAnsi="宋体"/>
          <w:highlight w:val="none"/>
        </w:rPr>
        <w:t>环评认为处置措施可行。</w:t>
      </w:r>
    </w:p>
    <w:p>
      <w:pPr>
        <w:pStyle w:val="62"/>
        <w:ind w:firstLine="480"/>
        <w:rPr>
          <w:rFonts w:hAnsi="宋体"/>
          <w:spacing w:val="9"/>
          <w:highlight w:val="none"/>
        </w:rPr>
      </w:pPr>
      <w:r>
        <w:rPr>
          <w:rFonts w:hint="eastAsia" w:hAnsi="宋体"/>
          <w:highlight w:val="none"/>
        </w:rPr>
        <w:t>环评要求：补充综合利用途径相关企业的合法手续，保证利用途径正规，避免废物乱堆乱放。开拓多种综合利用渠道，保证尾矿</w:t>
      </w:r>
      <w:r>
        <w:rPr>
          <w:rFonts w:hAnsi="宋体"/>
          <w:spacing w:val="9"/>
          <w:highlight w:val="none"/>
        </w:rPr>
        <w:t>销路畅</w:t>
      </w:r>
      <w:r>
        <w:rPr>
          <w:rFonts w:hint="eastAsia" w:hAnsi="宋体"/>
          <w:spacing w:val="9"/>
          <w:highlight w:val="none"/>
        </w:rPr>
        <w:t>通。</w:t>
      </w:r>
    </w:p>
    <w:p>
      <w:pPr>
        <w:pStyle w:val="62"/>
        <w:ind w:firstLine="480"/>
        <w:rPr>
          <w:rFonts w:hAnsi="宋体"/>
          <w:highlight w:val="none"/>
        </w:rPr>
      </w:pPr>
      <w:r>
        <w:rPr>
          <w:rFonts w:hint="eastAsia" w:hAnsi="宋体"/>
          <w:highlight w:val="none"/>
        </w:rPr>
        <w:t>建设单位与山西省繁峙县华胜商砼有限公司签订废石利用协议，本项目产生的废石由其进行利用。山西省繁峙县华胜商砼有限公司位于本项目西侧18km，通过砂高线可以直接将</w:t>
      </w:r>
      <w:r>
        <w:rPr>
          <w:rFonts w:hAnsi="宋体"/>
          <w:highlight w:val="none"/>
        </w:rPr>
        <w:t>尾矿</w:t>
      </w:r>
      <w:r>
        <w:rPr>
          <w:rFonts w:hint="eastAsia" w:hAnsi="宋体"/>
          <w:highlight w:val="none"/>
        </w:rPr>
        <w:t>石和</w:t>
      </w:r>
      <w:r>
        <w:rPr>
          <w:rFonts w:hAnsi="宋体"/>
          <w:highlight w:val="none"/>
        </w:rPr>
        <w:t>粗砂</w:t>
      </w:r>
      <w:r>
        <w:rPr>
          <w:rFonts w:hint="eastAsia" w:hAnsi="宋体"/>
          <w:highlight w:val="none"/>
        </w:rPr>
        <w:t>送到该公司，交通运输方便。</w:t>
      </w:r>
      <w:r>
        <w:rPr>
          <w:rFonts w:hAnsi="宋体"/>
          <w:highlight w:val="none"/>
        </w:rPr>
        <w:t>原</w:t>
      </w:r>
      <w:r>
        <w:rPr>
          <w:rFonts w:hint="eastAsia" w:hAnsi="宋体"/>
          <w:highlight w:val="none"/>
        </w:rPr>
        <w:t>繁峙</w:t>
      </w:r>
      <w:r>
        <w:rPr>
          <w:rFonts w:hAnsi="宋体"/>
          <w:highlight w:val="none"/>
        </w:rPr>
        <w:t>县环境保护局于2011年</w:t>
      </w:r>
      <w:r>
        <w:rPr>
          <w:rFonts w:hint="eastAsia" w:hAnsi="宋体"/>
          <w:highlight w:val="none"/>
        </w:rPr>
        <w:t>12</w:t>
      </w:r>
      <w:r>
        <w:rPr>
          <w:rFonts w:hAnsi="宋体"/>
          <w:highlight w:val="none"/>
        </w:rPr>
        <w:t>月2</w:t>
      </w:r>
      <w:r>
        <w:rPr>
          <w:rFonts w:hint="eastAsia" w:hAnsi="宋体"/>
          <w:highlight w:val="none"/>
        </w:rPr>
        <w:t>3</w:t>
      </w:r>
      <w:r>
        <w:rPr>
          <w:rFonts w:hAnsi="宋体"/>
          <w:highlight w:val="none"/>
        </w:rPr>
        <w:t>日对《</w:t>
      </w:r>
      <w:r>
        <w:rPr>
          <w:rFonts w:hint="eastAsia" w:hAnsi="宋体"/>
          <w:highlight w:val="none"/>
        </w:rPr>
        <w:t>山西省繁峙县华胜商砼有限公司</w:t>
      </w:r>
      <w:r>
        <w:rPr>
          <w:rFonts w:hAnsi="宋体"/>
          <w:highlight w:val="none"/>
        </w:rPr>
        <w:t>年产</w:t>
      </w:r>
      <w:r>
        <w:rPr>
          <w:rFonts w:hint="eastAsia" w:hAnsi="宋体"/>
          <w:highlight w:val="none"/>
        </w:rPr>
        <w:t>41</w:t>
      </w:r>
      <w:r>
        <w:rPr>
          <w:rFonts w:hAnsi="宋体"/>
          <w:highlight w:val="none"/>
        </w:rPr>
        <w:t>万m</w:t>
      </w:r>
      <w:r>
        <w:rPr>
          <w:rFonts w:hAnsi="宋体"/>
          <w:highlight w:val="none"/>
          <w:vertAlign w:val="superscript"/>
        </w:rPr>
        <w:t>3</w:t>
      </w:r>
      <w:r>
        <w:rPr>
          <w:rFonts w:hint="eastAsia" w:hAnsi="宋体"/>
          <w:highlight w:val="none"/>
        </w:rPr>
        <w:t>混凝</w:t>
      </w:r>
      <w:r>
        <w:rPr>
          <w:rFonts w:hAnsi="宋体"/>
          <w:highlight w:val="none"/>
        </w:rPr>
        <w:t>土搅拌站新建项目环境影响报告表》予以批复。该公司</w:t>
      </w:r>
      <w:r>
        <w:rPr>
          <w:rFonts w:hint="eastAsia" w:hAnsi="宋体"/>
          <w:highlight w:val="none"/>
        </w:rPr>
        <w:t>现</w:t>
      </w:r>
      <w:r>
        <w:rPr>
          <w:rFonts w:hAnsi="宋体"/>
          <w:highlight w:val="none"/>
        </w:rPr>
        <w:t>年产</w:t>
      </w:r>
      <w:r>
        <w:rPr>
          <w:rFonts w:hint="eastAsia" w:hAnsi="宋体"/>
          <w:highlight w:val="none"/>
        </w:rPr>
        <w:t>40</w:t>
      </w:r>
      <w:r>
        <w:rPr>
          <w:rFonts w:hAnsi="宋体"/>
          <w:highlight w:val="none"/>
        </w:rPr>
        <w:t>万m</w:t>
      </w:r>
      <w:r>
        <w:rPr>
          <w:rFonts w:hAnsi="宋体"/>
          <w:highlight w:val="none"/>
          <w:vertAlign w:val="superscript"/>
        </w:rPr>
        <w:t>3</w:t>
      </w:r>
      <w:r>
        <w:rPr>
          <w:rFonts w:hAnsi="宋体"/>
          <w:highlight w:val="none"/>
        </w:rPr>
        <w:t>商品混凝土，年需尾矿</w:t>
      </w:r>
      <w:r>
        <w:rPr>
          <w:rFonts w:hint="eastAsia" w:hAnsi="宋体"/>
          <w:highlight w:val="none"/>
        </w:rPr>
        <w:t>石</w:t>
      </w:r>
      <w:r>
        <w:rPr>
          <w:rFonts w:hAnsi="宋体"/>
          <w:highlight w:val="none"/>
        </w:rPr>
        <w:t>约</w:t>
      </w:r>
      <w:r>
        <w:rPr>
          <w:rFonts w:hint="eastAsia" w:hAnsi="宋体"/>
          <w:highlight w:val="none"/>
        </w:rPr>
        <w:t>20</w:t>
      </w:r>
      <w:r>
        <w:rPr>
          <w:rFonts w:hAnsi="宋体"/>
          <w:highlight w:val="none"/>
        </w:rPr>
        <w:t>万m</w:t>
      </w:r>
      <w:r>
        <w:rPr>
          <w:rFonts w:hAnsi="宋体"/>
          <w:highlight w:val="none"/>
          <w:vertAlign w:val="superscript"/>
        </w:rPr>
        <w:t>3</w:t>
      </w:r>
      <w:r>
        <w:rPr>
          <w:rFonts w:hAnsi="宋体"/>
          <w:highlight w:val="none"/>
        </w:rPr>
        <w:t>（折</w:t>
      </w:r>
      <w:r>
        <w:rPr>
          <w:rFonts w:hint="eastAsia" w:hAnsi="宋体"/>
          <w:highlight w:val="none"/>
        </w:rPr>
        <w:t>50</w:t>
      </w:r>
      <w:r>
        <w:rPr>
          <w:rFonts w:hAnsi="宋体"/>
          <w:highlight w:val="none"/>
        </w:rPr>
        <w:t>万吨）</w:t>
      </w:r>
      <w:r>
        <w:rPr>
          <w:rFonts w:hint="eastAsia" w:hAnsi="宋体"/>
          <w:highlight w:val="none"/>
        </w:rPr>
        <w:t>，每月</w:t>
      </w:r>
      <w:r>
        <w:rPr>
          <w:rFonts w:hAnsi="宋体"/>
          <w:highlight w:val="none"/>
        </w:rPr>
        <w:t>需尾矿</w:t>
      </w:r>
      <w:r>
        <w:rPr>
          <w:rFonts w:hint="eastAsia" w:hAnsi="宋体"/>
          <w:highlight w:val="none"/>
        </w:rPr>
        <w:t>石</w:t>
      </w:r>
      <w:r>
        <w:rPr>
          <w:rFonts w:hAnsi="宋体"/>
          <w:highlight w:val="none"/>
        </w:rPr>
        <w:t>约</w:t>
      </w:r>
      <w:r>
        <w:rPr>
          <w:rFonts w:hint="eastAsia" w:hAnsi="宋体"/>
          <w:highlight w:val="none"/>
        </w:rPr>
        <w:t>2</w:t>
      </w:r>
      <w:r>
        <w:rPr>
          <w:rFonts w:hAnsi="宋体"/>
          <w:highlight w:val="none"/>
        </w:rPr>
        <w:t>万m</w:t>
      </w:r>
      <w:r>
        <w:rPr>
          <w:rFonts w:hAnsi="宋体"/>
          <w:highlight w:val="none"/>
          <w:vertAlign w:val="superscript"/>
        </w:rPr>
        <w:t>3</w:t>
      </w:r>
      <w:r>
        <w:rPr>
          <w:rFonts w:hAnsi="宋体"/>
          <w:highlight w:val="none"/>
        </w:rPr>
        <w:t>（折</w:t>
      </w:r>
      <w:r>
        <w:rPr>
          <w:rFonts w:hint="eastAsia" w:hAnsi="宋体"/>
          <w:highlight w:val="none"/>
        </w:rPr>
        <w:t>5</w:t>
      </w:r>
      <w:r>
        <w:rPr>
          <w:rFonts w:hAnsi="宋体"/>
          <w:highlight w:val="none"/>
        </w:rPr>
        <w:t>万吨），足以消纳本项目产生的</w:t>
      </w:r>
      <w:r>
        <w:rPr>
          <w:rFonts w:hint="eastAsia" w:hAnsi="宋体"/>
          <w:highlight w:val="none"/>
        </w:rPr>
        <w:t>19.8</w:t>
      </w:r>
      <w:r>
        <w:rPr>
          <w:rFonts w:hAnsi="宋体"/>
          <w:highlight w:val="none"/>
        </w:rPr>
        <w:t>万吨</w:t>
      </w:r>
      <w:r>
        <w:rPr>
          <w:rFonts w:hint="eastAsia" w:hAnsi="宋体"/>
          <w:highlight w:val="none"/>
        </w:rPr>
        <w:t>废石</w:t>
      </w:r>
      <w:r>
        <w:rPr>
          <w:rFonts w:hAnsi="宋体"/>
          <w:highlight w:val="none"/>
        </w:rPr>
        <w:t>、</w:t>
      </w:r>
      <w:r>
        <w:rPr>
          <w:rFonts w:hint="eastAsia" w:hAnsi="宋体"/>
          <w:highlight w:val="none"/>
        </w:rPr>
        <w:t>1.11</w:t>
      </w:r>
      <w:r>
        <w:rPr>
          <w:rFonts w:hAnsi="宋体"/>
          <w:highlight w:val="none"/>
        </w:rPr>
        <w:t>万吨粗砂，该厂能够完全接纳本项目所产尾矿</w:t>
      </w:r>
      <w:r>
        <w:rPr>
          <w:rFonts w:hint="eastAsia" w:hAnsi="宋体"/>
          <w:highlight w:val="none"/>
        </w:rPr>
        <w:t>石和</w:t>
      </w:r>
      <w:r>
        <w:rPr>
          <w:rFonts w:hAnsi="宋体"/>
          <w:highlight w:val="none"/>
        </w:rPr>
        <w:t>粗砂。</w:t>
      </w:r>
    </w:p>
    <w:p>
      <w:pPr>
        <w:pStyle w:val="62"/>
        <w:ind w:firstLine="480"/>
        <w:rPr>
          <w:rFonts w:hAnsi="宋体"/>
          <w:highlight w:val="none"/>
        </w:rPr>
      </w:pPr>
      <w:r>
        <w:rPr>
          <w:rFonts w:hAnsi="宋体"/>
          <w:highlight w:val="none"/>
        </w:rPr>
        <w:t>评价要求设尾矿库，用于填埋选厂产生的尾砂，粗砂综合利用途径不畅时，置于尾矿库内合理堆存。</w:t>
      </w:r>
    </w:p>
    <w:p>
      <w:pPr>
        <w:pStyle w:val="62"/>
        <w:ind w:firstLine="480"/>
        <w:rPr>
          <w:rFonts w:hAnsi="宋体"/>
          <w:highlight w:val="none"/>
        </w:rPr>
      </w:pPr>
      <w:r>
        <w:rPr>
          <w:rFonts w:hint="eastAsia" w:hAnsi="宋体"/>
          <w:highlight w:val="none"/>
        </w:rPr>
        <w:t>尾矿库选址位于选矿厂东侧的黄土冲沟内。沟谷大致呈东南一西北走向，库区所占冲沟自沟头向下游延伸约550米。</w:t>
      </w:r>
    </w:p>
    <w:p>
      <w:pPr>
        <w:pStyle w:val="62"/>
        <w:ind w:firstLine="480"/>
        <w:rPr>
          <w:rFonts w:hAnsi="宋体"/>
          <w:highlight w:val="none"/>
        </w:rPr>
      </w:pPr>
      <w:r>
        <w:rPr>
          <w:rFonts w:hint="eastAsia" w:hAnsi="宋体"/>
          <w:highlight w:val="none"/>
        </w:rPr>
        <w:t>尾矿库占地面积约1.97hm</w:t>
      </w:r>
      <w:r>
        <w:rPr>
          <w:rFonts w:hint="eastAsia" w:hAnsi="宋体"/>
          <w:highlight w:val="none"/>
          <w:vertAlign w:val="superscript"/>
        </w:rPr>
        <w:t>2</w:t>
      </w:r>
      <w:r>
        <w:rPr>
          <w:rFonts w:hint="eastAsia" w:hAnsi="宋体"/>
          <w:highlight w:val="none"/>
        </w:rPr>
        <w:t>，荒沟深度约7米，尾砂平均堆积高度为6米，上面1米覆壤土，封场后恢复为耕地，封场后的高程与东侧耕地高程一致。尾矿库总库容13.79万m</w:t>
      </w:r>
      <w:r>
        <w:rPr>
          <w:rFonts w:hint="eastAsia" w:hAnsi="宋体"/>
          <w:highlight w:val="none"/>
          <w:vertAlign w:val="superscript"/>
        </w:rPr>
        <w:t>3</w:t>
      </w:r>
      <w:r>
        <w:rPr>
          <w:rFonts w:hint="eastAsia" w:hAnsi="宋体"/>
          <w:highlight w:val="none"/>
        </w:rPr>
        <w:t>，有效库容为10.74万m</w:t>
      </w:r>
      <w:r>
        <w:rPr>
          <w:rFonts w:hint="eastAsia" w:hAnsi="宋体"/>
          <w:highlight w:val="none"/>
          <w:vertAlign w:val="superscript"/>
        </w:rPr>
        <w:t>3</w:t>
      </w:r>
      <w:r>
        <w:rPr>
          <w:rFonts w:hint="eastAsia" w:hAnsi="宋体"/>
          <w:highlight w:val="none"/>
        </w:rPr>
        <w:t>。本项目尾砂每年产生约3000吨，约2000m</w:t>
      </w:r>
      <w:r>
        <w:rPr>
          <w:rFonts w:hint="eastAsia" w:hAnsi="宋体"/>
          <w:highlight w:val="none"/>
          <w:vertAlign w:val="superscript"/>
        </w:rPr>
        <w:t>3</w:t>
      </w:r>
      <w:r>
        <w:rPr>
          <w:rFonts w:hint="eastAsia" w:hAnsi="宋体"/>
          <w:highlight w:val="none"/>
        </w:rPr>
        <w:t>，能满足本项目50a使用。</w:t>
      </w:r>
    </w:p>
    <w:p>
      <w:pPr>
        <w:pStyle w:val="62"/>
        <w:ind w:firstLine="480"/>
        <w:rPr>
          <w:rFonts w:hAnsi="宋体"/>
          <w:highlight w:val="none"/>
        </w:rPr>
      </w:pPr>
      <w:r>
        <w:rPr>
          <w:rFonts w:hint="eastAsia" w:hAnsi="宋体"/>
          <w:highlight w:val="none"/>
        </w:rPr>
        <w:t>2、</w:t>
      </w:r>
      <w:r>
        <w:rPr>
          <w:rFonts w:hAnsi="宋体"/>
          <w:highlight w:val="none"/>
        </w:rPr>
        <w:t>除尘系统收集的粉尘</w:t>
      </w:r>
    </w:p>
    <w:p>
      <w:pPr>
        <w:pStyle w:val="62"/>
        <w:ind w:firstLine="480"/>
        <w:rPr>
          <w:rFonts w:hAnsi="宋体"/>
          <w:highlight w:val="none"/>
        </w:rPr>
      </w:pPr>
      <w:r>
        <w:rPr>
          <w:rFonts w:hAnsi="宋体"/>
          <w:highlight w:val="none"/>
        </w:rPr>
        <w:t>此粉尘均为不同粒度的矿石粉尘，作为原料回用于生产。</w:t>
      </w:r>
    </w:p>
    <w:p>
      <w:pPr>
        <w:pStyle w:val="62"/>
        <w:ind w:firstLine="480"/>
        <w:rPr>
          <w:rFonts w:hAnsi="宋体"/>
          <w:highlight w:val="none"/>
        </w:rPr>
      </w:pPr>
      <w:r>
        <w:rPr>
          <w:rFonts w:hint="eastAsia" w:hAnsi="宋体"/>
          <w:highlight w:val="none"/>
        </w:rPr>
        <w:t>环评认为治理措施可行。</w:t>
      </w:r>
    </w:p>
    <w:p>
      <w:pPr>
        <w:pStyle w:val="62"/>
        <w:ind w:firstLine="480"/>
        <w:rPr>
          <w:rFonts w:hAnsi="宋体"/>
          <w:highlight w:val="none"/>
        </w:rPr>
      </w:pPr>
      <w:r>
        <w:rPr>
          <w:rFonts w:hint="eastAsia" w:hAnsi="宋体"/>
          <w:highlight w:val="none"/>
        </w:rPr>
        <w:t>3、</w:t>
      </w:r>
      <w:r>
        <w:rPr>
          <w:rFonts w:hAnsi="宋体"/>
          <w:highlight w:val="none"/>
        </w:rPr>
        <w:t>生活垃圾</w:t>
      </w:r>
    </w:p>
    <w:p>
      <w:pPr>
        <w:pStyle w:val="62"/>
        <w:ind w:firstLine="480"/>
        <w:rPr>
          <w:rFonts w:hAnsi="宋体"/>
          <w:highlight w:val="none"/>
        </w:rPr>
      </w:pPr>
      <w:r>
        <w:rPr>
          <w:rFonts w:hAnsi="宋体"/>
          <w:highlight w:val="none"/>
        </w:rPr>
        <w:t>生活垃圾由当地环卫部门统一处置。</w:t>
      </w:r>
    </w:p>
    <w:p>
      <w:pPr>
        <w:pStyle w:val="62"/>
        <w:ind w:firstLine="480"/>
        <w:rPr>
          <w:rFonts w:hAnsi="宋体"/>
          <w:highlight w:val="none"/>
        </w:rPr>
      </w:pPr>
      <w:r>
        <w:rPr>
          <w:rFonts w:hint="eastAsia" w:hAnsi="宋体"/>
          <w:highlight w:val="none"/>
        </w:rPr>
        <w:t>环评认为治理措施可行。</w:t>
      </w:r>
    </w:p>
    <w:p>
      <w:pPr>
        <w:pStyle w:val="62"/>
        <w:ind w:firstLine="480"/>
        <w:rPr>
          <w:rFonts w:hAnsi="宋体"/>
          <w:sz w:val="20"/>
          <w:highlight w:val="none"/>
        </w:rPr>
      </w:pPr>
      <w:r>
        <w:rPr>
          <w:rFonts w:hint="eastAsia" w:hAnsi="宋体"/>
          <w:highlight w:val="none"/>
        </w:rPr>
        <w:t>4、</w:t>
      </w:r>
      <w:r>
        <w:rPr>
          <w:rFonts w:hAnsi="宋体"/>
          <w:highlight w:val="none"/>
        </w:rPr>
        <w:t>废机油</w:t>
      </w:r>
    </w:p>
    <w:p>
      <w:pPr>
        <w:pStyle w:val="62"/>
        <w:ind w:firstLine="480"/>
        <w:rPr>
          <w:rFonts w:hAnsi="宋体"/>
          <w:highlight w:val="none"/>
        </w:rPr>
      </w:pPr>
      <w:r>
        <w:rPr>
          <w:rFonts w:hint="eastAsia" w:hAnsi="宋体"/>
          <w:highlight w:val="none"/>
        </w:rPr>
        <w:t>1）</w:t>
      </w:r>
      <w:r>
        <w:rPr>
          <w:rFonts w:hAnsi="宋体"/>
          <w:highlight w:val="none"/>
        </w:rPr>
        <w:t>废机油属于危险废物，废物类别为HW08。本项目废机油产生量约为0.5吨/年</w:t>
      </w:r>
      <w:r>
        <w:rPr>
          <w:rFonts w:hint="eastAsia" w:hAnsi="宋体"/>
          <w:highlight w:val="none"/>
        </w:rPr>
        <w:t>。</w:t>
      </w:r>
      <w:r>
        <w:rPr>
          <w:rFonts w:hAnsi="宋体"/>
          <w:highlight w:val="none"/>
        </w:rPr>
        <w:t>环评要求：厂区设1间</w:t>
      </w:r>
      <w:r>
        <w:rPr>
          <w:rFonts w:hint="eastAsia" w:hAnsi="宋体"/>
          <w:highlight w:val="none"/>
        </w:rPr>
        <w:t>1</w:t>
      </w:r>
      <w:r>
        <w:rPr>
          <w:rFonts w:hAnsi="宋体"/>
          <w:highlight w:val="none"/>
        </w:rPr>
        <w:t>0m</w:t>
      </w:r>
      <w:r>
        <w:rPr>
          <w:rFonts w:hAnsi="宋体"/>
          <w:highlight w:val="none"/>
          <w:vertAlign w:val="superscript"/>
        </w:rPr>
        <w:t>2</w:t>
      </w:r>
      <w:r>
        <w:rPr>
          <w:rFonts w:hAnsi="宋体"/>
          <w:highlight w:val="none"/>
        </w:rPr>
        <w:t>危废暂存间，危废暂存间暂存，委托有危险废物处理资质的单位处置。</w:t>
      </w:r>
    </w:p>
    <w:p>
      <w:pPr>
        <w:pStyle w:val="62"/>
        <w:ind w:firstLine="480"/>
        <w:rPr>
          <w:rFonts w:hAnsi="宋体"/>
          <w:highlight w:val="none"/>
        </w:rPr>
      </w:pPr>
      <w:r>
        <w:rPr>
          <w:rFonts w:hAnsi="宋体" w:cs="hakuyoxingshu7000"/>
          <w:highlight w:val="none"/>
        </w:rPr>
        <w:t>2</w:t>
      </w:r>
      <w:r>
        <w:rPr>
          <w:rFonts w:hAnsi="宋体"/>
          <w:highlight w:val="none"/>
        </w:rPr>
        <w:t>）危险废物收集污染防治措施分析</w:t>
      </w:r>
    </w:p>
    <w:p>
      <w:pPr>
        <w:pStyle w:val="62"/>
        <w:ind w:firstLine="480"/>
        <w:rPr>
          <w:rFonts w:hAnsi="宋体"/>
          <w:highlight w:val="none"/>
        </w:rPr>
      </w:pPr>
      <w:r>
        <w:rPr>
          <w:rFonts w:hAnsi="宋体"/>
          <w:highlight w:val="none"/>
        </w:rPr>
        <w:t>危险废物在收集时</w:t>
      </w:r>
      <w:r>
        <w:rPr>
          <w:rFonts w:hAnsi="宋体"/>
          <w:spacing w:val="-46"/>
          <w:highlight w:val="none"/>
        </w:rPr>
        <w:t>，</w:t>
      </w:r>
      <w:r>
        <w:rPr>
          <w:rFonts w:hAnsi="宋体"/>
          <w:highlight w:val="none"/>
        </w:rPr>
        <w:t>应清楚废物的类别及</w:t>
      </w:r>
      <w:r>
        <w:rPr>
          <w:rFonts w:hint="eastAsia" w:hAnsi="宋体"/>
          <w:highlight w:val="none"/>
        </w:rPr>
        <w:t>主要成分</w:t>
      </w:r>
      <w:r>
        <w:rPr>
          <w:rFonts w:hAnsi="宋体"/>
          <w:spacing w:val="-44"/>
          <w:highlight w:val="none"/>
        </w:rPr>
        <w:t>，</w:t>
      </w:r>
      <w:r>
        <w:rPr>
          <w:rFonts w:hAnsi="宋体"/>
          <w:highlight w:val="none"/>
        </w:rPr>
        <w:t>以方便委托处理单位处理，根据危险废物的性质和形态，可采用不同大小和不同材质的容器进行包装，所有包装容器应足够安全</w:t>
      </w:r>
      <w:r>
        <w:rPr>
          <w:rFonts w:hAnsi="宋体"/>
          <w:spacing w:val="-29"/>
          <w:highlight w:val="none"/>
        </w:rPr>
        <w:t>，</w:t>
      </w:r>
      <w:r>
        <w:rPr>
          <w:rFonts w:hAnsi="宋体"/>
          <w:highlight w:val="none"/>
        </w:rPr>
        <w:t>并经过周密检查</w:t>
      </w:r>
      <w:r>
        <w:rPr>
          <w:rFonts w:hAnsi="宋体"/>
          <w:spacing w:val="-29"/>
          <w:highlight w:val="none"/>
        </w:rPr>
        <w:t>，</w:t>
      </w:r>
      <w:r>
        <w:rPr>
          <w:rFonts w:hAnsi="宋体"/>
          <w:highlight w:val="none"/>
        </w:rPr>
        <w:t>严防在装载</w:t>
      </w:r>
      <w:r>
        <w:rPr>
          <w:rFonts w:hAnsi="宋体"/>
          <w:spacing w:val="-32"/>
          <w:highlight w:val="none"/>
        </w:rPr>
        <w:t>、</w:t>
      </w:r>
      <w:r>
        <w:rPr>
          <w:rFonts w:hAnsi="宋体"/>
          <w:highlight w:val="none"/>
        </w:rPr>
        <w:t>搬移或运输途中出现渗漏</w:t>
      </w:r>
      <w:r>
        <w:rPr>
          <w:rFonts w:hAnsi="宋体"/>
          <w:spacing w:val="-53"/>
          <w:highlight w:val="none"/>
        </w:rPr>
        <w:t>、</w:t>
      </w:r>
      <w:r>
        <w:rPr>
          <w:rFonts w:hAnsi="宋体"/>
          <w:highlight w:val="none"/>
        </w:rPr>
        <w:t>溢出</w:t>
      </w:r>
      <w:r>
        <w:rPr>
          <w:rFonts w:hAnsi="宋体"/>
          <w:spacing w:val="-53"/>
          <w:highlight w:val="none"/>
        </w:rPr>
        <w:t>、</w:t>
      </w:r>
      <w:r>
        <w:rPr>
          <w:rFonts w:hAnsi="宋体"/>
          <w:highlight w:val="none"/>
        </w:rPr>
        <w:t>抛洒或挥发等情况</w:t>
      </w:r>
      <w:r>
        <w:rPr>
          <w:rFonts w:hAnsi="宋体"/>
          <w:spacing w:val="-51"/>
          <w:highlight w:val="none"/>
        </w:rPr>
        <w:t>。</w:t>
      </w:r>
      <w:r>
        <w:rPr>
          <w:rFonts w:hAnsi="宋体"/>
          <w:highlight w:val="none"/>
        </w:rPr>
        <w:t>最后按照相关要求</w:t>
      </w:r>
      <w:r>
        <w:rPr>
          <w:rFonts w:hAnsi="宋体"/>
          <w:spacing w:val="-53"/>
          <w:highlight w:val="none"/>
        </w:rPr>
        <w:t>，</w:t>
      </w:r>
      <w:r>
        <w:rPr>
          <w:rFonts w:hAnsi="宋体"/>
          <w:highlight w:val="none"/>
        </w:rPr>
        <w:t>对危险废物进行安全包装，并在包装的明显位置附上危险废物标签。</w:t>
      </w:r>
    </w:p>
    <w:p>
      <w:pPr>
        <w:pStyle w:val="62"/>
        <w:ind w:firstLine="480"/>
        <w:rPr>
          <w:rFonts w:hAnsi="宋体"/>
          <w:highlight w:val="none"/>
        </w:rPr>
      </w:pPr>
      <w:r>
        <w:rPr>
          <w:rFonts w:hAnsi="宋体" w:cs="hakuyoxingshu7000"/>
          <w:highlight w:val="none"/>
        </w:rPr>
        <w:t>3</w:t>
      </w:r>
      <w:r>
        <w:rPr>
          <w:rFonts w:hAnsi="宋体"/>
          <w:highlight w:val="none"/>
        </w:rPr>
        <w:t>）危险废物暂存污染防治措施分析</w:t>
      </w:r>
    </w:p>
    <w:p>
      <w:pPr>
        <w:pStyle w:val="62"/>
        <w:ind w:firstLine="480"/>
        <w:rPr>
          <w:rFonts w:hAnsi="宋体"/>
          <w:sz w:val="16"/>
          <w:szCs w:val="16"/>
          <w:highlight w:val="none"/>
        </w:rPr>
      </w:pPr>
      <w:r>
        <w:rPr>
          <w:rFonts w:hAnsi="宋体"/>
          <w:highlight w:val="none"/>
        </w:rPr>
        <w:t>危险废物应尽快送往委托单位处理</w:t>
      </w:r>
      <w:r>
        <w:rPr>
          <w:rFonts w:hAnsi="宋体"/>
          <w:spacing w:val="-46"/>
          <w:highlight w:val="none"/>
        </w:rPr>
        <w:t>，</w:t>
      </w:r>
      <w:r>
        <w:rPr>
          <w:rFonts w:hAnsi="宋体"/>
          <w:highlight w:val="none"/>
        </w:rPr>
        <w:t>不宜存放过长时间</w:t>
      </w:r>
      <w:r>
        <w:rPr>
          <w:rFonts w:hAnsi="宋体"/>
          <w:spacing w:val="-44"/>
          <w:highlight w:val="none"/>
        </w:rPr>
        <w:t>，</w:t>
      </w:r>
      <w:r>
        <w:rPr>
          <w:rFonts w:hAnsi="宋体"/>
          <w:highlight w:val="none"/>
        </w:rPr>
        <w:t>同时危废暂存间应做到以下几点：</w:t>
      </w:r>
    </w:p>
    <w:p>
      <w:pPr>
        <w:pStyle w:val="62"/>
        <w:ind w:firstLine="480"/>
        <w:rPr>
          <w:rFonts w:hAnsi="宋体"/>
          <w:highlight w:val="none"/>
        </w:rPr>
      </w:pPr>
      <w:r>
        <w:rPr>
          <w:rFonts w:hint="eastAsia" w:hAnsi="宋体" w:cs="宋体"/>
          <w:highlight w:val="none"/>
        </w:rPr>
        <w:t>①</w:t>
      </w:r>
      <w:r>
        <w:rPr>
          <w:rFonts w:hAnsi="宋体"/>
          <w:highlight w:val="none"/>
        </w:rPr>
        <w:t>贮存场所应符合</w:t>
      </w:r>
      <w:r>
        <w:rPr>
          <w:rFonts w:hAnsi="宋体" w:cs="hakuyoxingshu7000"/>
          <w:spacing w:val="-1"/>
          <w:highlight w:val="none"/>
        </w:rPr>
        <w:t>G</w:t>
      </w:r>
      <w:r>
        <w:rPr>
          <w:rFonts w:hAnsi="宋体" w:cs="hakuyoxingshu7000"/>
          <w:spacing w:val="-2"/>
          <w:highlight w:val="none"/>
        </w:rPr>
        <w:t>B</w:t>
      </w:r>
      <w:r>
        <w:rPr>
          <w:rFonts w:hAnsi="宋体" w:cs="hakuyoxingshu7000"/>
          <w:highlight w:val="none"/>
        </w:rPr>
        <w:t>18597</w:t>
      </w:r>
      <w:r>
        <w:rPr>
          <w:rFonts w:hAnsi="宋体" w:cs="hakuyoxingshu7000"/>
          <w:spacing w:val="-2"/>
          <w:highlight w:val="none"/>
        </w:rPr>
        <w:t>-</w:t>
      </w:r>
      <w:r>
        <w:rPr>
          <w:rFonts w:hAnsi="宋体" w:cs="hakuyoxingshu7000"/>
          <w:highlight w:val="none"/>
        </w:rPr>
        <w:t>2001</w:t>
      </w:r>
      <w:r>
        <w:rPr>
          <w:rFonts w:hAnsi="宋体"/>
          <w:highlight w:val="none"/>
        </w:rPr>
        <w:t>规定的贮存控制标准</w:t>
      </w:r>
      <w:r>
        <w:rPr>
          <w:rFonts w:hAnsi="宋体"/>
          <w:spacing w:val="-22"/>
          <w:highlight w:val="none"/>
        </w:rPr>
        <w:t>，</w:t>
      </w:r>
      <w:r>
        <w:rPr>
          <w:rFonts w:hAnsi="宋体"/>
          <w:highlight w:val="none"/>
        </w:rPr>
        <w:t>有符合要求的专用标志。</w:t>
      </w:r>
    </w:p>
    <w:p>
      <w:pPr>
        <w:pStyle w:val="62"/>
        <w:ind w:firstLine="480"/>
        <w:rPr>
          <w:rFonts w:hAnsi="宋体"/>
          <w:sz w:val="16"/>
          <w:szCs w:val="16"/>
          <w:highlight w:val="none"/>
        </w:rPr>
      </w:pPr>
      <w:r>
        <w:rPr>
          <w:rFonts w:hint="eastAsia" w:hAnsi="宋体" w:cs="宋体"/>
          <w:highlight w:val="none"/>
        </w:rPr>
        <w:t>②</w:t>
      </w:r>
      <w:r>
        <w:rPr>
          <w:rFonts w:hAnsi="宋体"/>
          <w:highlight w:val="none"/>
        </w:rPr>
        <w:t>贮存区内禁止混放不相容危险废物。</w:t>
      </w:r>
    </w:p>
    <w:p>
      <w:pPr>
        <w:pStyle w:val="62"/>
        <w:ind w:firstLine="480"/>
        <w:rPr>
          <w:rFonts w:hAnsi="宋体"/>
          <w:highlight w:val="none"/>
        </w:rPr>
      </w:pPr>
      <w:r>
        <w:rPr>
          <w:rFonts w:hint="eastAsia" w:hAnsi="宋体" w:cs="宋体"/>
          <w:highlight w:val="none"/>
        </w:rPr>
        <w:t>③</w:t>
      </w:r>
      <w:r>
        <w:rPr>
          <w:rFonts w:hAnsi="宋体"/>
          <w:highlight w:val="none"/>
        </w:rPr>
        <w:t>贮存区考虑</w:t>
      </w:r>
      <w:r>
        <w:rPr>
          <w:rFonts w:hAnsi="宋体"/>
          <w:spacing w:val="-12"/>
          <w:highlight w:val="none"/>
        </w:rPr>
        <w:t>相</w:t>
      </w:r>
      <w:r>
        <w:rPr>
          <w:rFonts w:hAnsi="宋体"/>
          <w:highlight w:val="none"/>
        </w:rPr>
        <w:t>“四防</w:t>
      </w:r>
      <w:r>
        <w:rPr>
          <w:rFonts w:hAnsi="宋体"/>
          <w:spacing w:val="-22"/>
          <w:highlight w:val="none"/>
        </w:rPr>
        <w:t>”</w:t>
      </w:r>
      <w:r>
        <w:rPr>
          <w:rFonts w:hAnsi="宋体"/>
          <w:highlight w:val="none"/>
        </w:rPr>
        <w:t>（防风</w:t>
      </w:r>
      <w:r>
        <w:rPr>
          <w:rFonts w:hAnsi="宋体"/>
          <w:spacing w:val="-12"/>
          <w:highlight w:val="none"/>
        </w:rPr>
        <w:t>、</w:t>
      </w:r>
      <w:r>
        <w:rPr>
          <w:rFonts w:hAnsi="宋体"/>
          <w:highlight w:val="none"/>
        </w:rPr>
        <w:t>防雨</w:t>
      </w:r>
      <w:r>
        <w:rPr>
          <w:rFonts w:hAnsi="宋体"/>
          <w:spacing w:val="-10"/>
          <w:highlight w:val="none"/>
        </w:rPr>
        <w:t>、</w:t>
      </w:r>
      <w:r>
        <w:rPr>
          <w:rFonts w:hAnsi="宋体"/>
          <w:highlight w:val="none"/>
        </w:rPr>
        <w:t>防晒</w:t>
      </w:r>
      <w:r>
        <w:rPr>
          <w:rFonts w:hAnsi="宋体"/>
          <w:spacing w:val="-12"/>
          <w:highlight w:val="none"/>
        </w:rPr>
        <w:t>、</w:t>
      </w:r>
      <w:r>
        <w:rPr>
          <w:rFonts w:hAnsi="宋体"/>
          <w:highlight w:val="none"/>
        </w:rPr>
        <w:t>防渗漏</w:t>
      </w:r>
      <w:r>
        <w:rPr>
          <w:rFonts w:hAnsi="宋体"/>
          <w:spacing w:val="-10"/>
          <w:highlight w:val="none"/>
        </w:rPr>
        <w:t>）</w:t>
      </w:r>
      <w:r>
        <w:rPr>
          <w:rFonts w:hAnsi="宋体"/>
          <w:spacing w:val="-12"/>
          <w:highlight w:val="none"/>
        </w:rPr>
        <w:t>，</w:t>
      </w:r>
      <w:r>
        <w:rPr>
          <w:rFonts w:hAnsi="宋体"/>
          <w:highlight w:val="none"/>
        </w:rPr>
        <w:t>危险废物贮存应明确集排水和防渗设施。</w:t>
      </w:r>
    </w:p>
    <w:p>
      <w:pPr>
        <w:pStyle w:val="62"/>
        <w:ind w:firstLine="480"/>
        <w:rPr>
          <w:rFonts w:hAnsi="宋体"/>
          <w:sz w:val="16"/>
          <w:szCs w:val="16"/>
          <w:highlight w:val="none"/>
        </w:rPr>
      </w:pPr>
      <w:r>
        <w:rPr>
          <w:rFonts w:hint="eastAsia" w:hAnsi="宋体" w:cs="宋体"/>
          <w:highlight w:val="none"/>
        </w:rPr>
        <w:t>④</w:t>
      </w:r>
      <w:r>
        <w:rPr>
          <w:rFonts w:hAnsi="宋体"/>
          <w:highlight w:val="none"/>
        </w:rPr>
        <w:t>贮存区符合消防要求。</w:t>
      </w:r>
    </w:p>
    <w:p>
      <w:pPr>
        <w:pStyle w:val="62"/>
        <w:ind w:firstLine="480"/>
        <w:rPr>
          <w:rFonts w:hAnsi="宋体"/>
          <w:highlight w:val="none"/>
        </w:rPr>
      </w:pPr>
      <w:r>
        <w:rPr>
          <w:rFonts w:hint="eastAsia" w:hAnsi="宋体" w:cs="宋体"/>
          <w:highlight w:val="none"/>
        </w:rPr>
        <w:t>⑤</w:t>
      </w:r>
      <w:r>
        <w:rPr>
          <w:rFonts w:hAnsi="宋体"/>
          <w:highlight w:val="none"/>
        </w:rPr>
        <w:t>贮存容器必须有明显标志</w:t>
      </w:r>
      <w:r>
        <w:rPr>
          <w:rFonts w:hAnsi="宋体"/>
          <w:spacing w:val="-29"/>
          <w:highlight w:val="none"/>
        </w:rPr>
        <w:t>，</w:t>
      </w:r>
      <w:r>
        <w:rPr>
          <w:rFonts w:hAnsi="宋体"/>
          <w:highlight w:val="none"/>
        </w:rPr>
        <w:t>具有耐腐蚀</w:t>
      </w:r>
      <w:r>
        <w:rPr>
          <w:rFonts w:hAnsi="宋体"/>
          <w:spacing w:val="-29"/>
          <w:highlight w:val="none"/>
        </w:rPr>
        <w:t>、</w:t>
      </w:r>
      <w:r>
        <w:rPr>
          <w:rFonts w:hAnsi="宋体"/>
          <w:highlight w:val="none"/>
        </w:rPr>
        <w:t>耐压</w:t>
      </w:r>
      <w:r>
        <w:rPr>
          <w:rFonts w:hAnsi="宋体"/>
          <w:spacing w:val="-32"/>
          <w:highlight w:val="none"/>
        </w:rPr>
        <w:t>、</w:t>
      </w:r>
      <w:r>
        <w:rPr>
          <w:rFonts w:hAnsi="宋体"/>
          <w:highlight w:val="none"/>
        </w:rPr>
        <w:t>密封和不与所贮存的废物发生发应等特性。</w:t>
      </w:r>
    </w:p>
    <w:p>
      <w:pPr>
        <w:pStyle w:val="62"/>
        <w:ind w:firstLine="488"/>
        <w:rPr>
          <w:rFonts w:hAnsi="宋体"/>
          <w:highlight w:val="none"/>
        </w:rPr>
      </w:pPr>
      <w:r>
        <w:rPr>
          <w:rFonts w:hint="eastAsia" w:hAnsi="宋体" w:cs="宋体"/>
          <w:spacing w:val="2"/>
          <w:highlight w:val="none"/>
        </w:rPr>
        <w:t>⑥</w:t>
      </w:r>
      <w:r>
        <w:rPr>
          <w:rFonts w:hAnsi="宋体"/>
          <w:spacing w:val="4"/>
          <w:highlight w:val="none"/>
        </w:rPr>
        <w:t>按</w:t>
      </w:r>
      <w:r>
        <w:rPr>
          <w:rFonts w:hAnsi="宋体"/>
          <w:spacing w:val="2"/>
          <w:highlight w:val="none"/>
        </w:rPr>
        <w:t>照</w:t>
      </w:r>
      <w:r>
        <w:rPr>
          <w:rFonts w:hAnsi="宋体"/>
          <w:spacing w:val="4"/>
          <w:highlight w:val="none"/>
        </w:rPr>
        <w:t>《</w:t>
      </w:r>
      <w:r>
        <w:rPr>
          <w:rFonts w:hAnsi="宋体"/>
          <w:spacing w:val="2"/>
          <w:highlight w:val="none"/>
        </w:rPr>
        <w:t>危</w:t>
      </w:r>
      <w:r>
        <w:rPr>
          <w:rFonts w:hAnsi="宋体"/>
          <w:spacing w:val="4"/>
          <w:highlight w:val="none"/>
        </w:rPr>
        <w:t>险废</w:t>
      </w:r>
      <w:r>
        <w:rPr>
          <w:rFonts w:hAnsi="宋体"/>
          <w:spacing w:val="2"/>
          <w:highlight w:val="none"/>
        </w:rPr>
        <w:t>物</w:t>
      </w:r>
      <w:r>
        <w:rPr>
          <w:rFonts w:hAnsi="宋体"/>
          <w:spacing w:val="4"/>
          <w:highlight w:val="none"/>
        </w:rPr>
        <w:t>贮</w:t>
      </w:r>
      <w:r>
        <w:rPr>
          <w:rFonts w:hAnsi="宋体"/>
          <w:spacing w:val="2"/>
          <w:highlight w:val="none"/>
        </w:rPr>
        <w:t>存</w:t>
      </w:r>
      <w:r>
        <w:rPr>
          <w:rFonts w:hAnsi="宋体"/>
          <w:spacing w:val="4"/>
          <w:highlight w:val="none"/>
        </w:rPr>
        <w:t>污染</w:t>
      </w:r>
      <w:r>
        <w:rPr>
          <w:rFonts w:hAnsi="宋体"/>
          <w:spacing w:val="2"/>
          <w:highlight w:val="none"/>
        </w:rPr>
        <w:t>控</w:t>
      </w:r>
      <w:r>
        <w:rPr>
          <w:rFonts w:hAnsi="宋体"/>
          <w:spacing w:val="4"/>
          <w:highlight w:val="none"/>
        </w:rPr>
        <w:t>制</w:t>
      </w:r>
      <w:r>
        <w:rPr>
          <w:rFonts w:hAnsi="宋体"/>
          <w:spacing w:val="2"/>
          <w:highlight w:val="none"/>
        </w:rPr>
        <w:t>标</w:t>
      </w:r>
      <w:r>
        <w:rPr>
          <w:rFonts w:hAnsi="宋体"/>
          <w:spacing w:val="4"/>
          <w:highlight w:val="none"/>
        </w:rPr>
        <w:t>准》</w:t>
      </w:r>
      <w:r>
        <w:rPr>
          <w:rFonts w:hAnsi="宋体"/>
          <w:spacing w:val="2"/>
          <w:highlight w:val="none"/>
        </w:rPr>
        <w:t>（</w:t>
      </w:r>
      <w:r>
        <w:rPr>
          <w:rFonts w:hAnsi="宋体" w:cs="hakuyoxingshu7000"/>
          <w:spacing w:val="-1"/>
          <w:highlight w:val="none"/>
        </w:rPr>
        <w:t>G</w:t>
      </w:r>
      <w:r>
        <w:rPr>
          <w:rFonts w:hAnsi="宋体" w:cs="hakuyoxingshu7000"/>
          <w:spacing w:val="-2"/>
          <w:highlight w:val="none"/>
        </w:rPr>
        <w:t>B</w:t>
      </w:r>
      <w:r>
        <w:rPr>
          <w:rFonts w:hAnsi="宋体" w:cs="hakuyoxingshu7000"/>
          <w:highlight w:val="none"/>
        </w:rPr>
        <w:t>18597</w:t>
      </w:r>
      <w:r>
        <w:rPr>
          <w:rFonts w:hAnsi="宋体" w:cs="hakuyoxingshu7000"/>
          <w:spacing w:val="1"/>
          <w:highlight w:val="none"/>
        </w:rPr>
        <w:t>-</w:t>
      </w:r>
      <w:r>
        <w:rPr>
          <w:rFonts w:hAnsi="宋体" w:cs="hakuyoxingshu7000"/>
          <w:highlight w:val="none"/>
        </w:rPr>
        <w:t>200</w:t>
      </w:r>
      <w:r>
        <w:rPr>
          <w:rFonts w:hAnsi="宋体" w:cs="hakuyoxingshu7000"/>
          <w:spacing w:val="4"/>
          <w:highlight w:val="none"/>
        </w:rPr>
        <w:t>1</w:t>
      </w:r>
      <w:r>
        <w:rPr>
          <w:rFonts w:hAnsi="宋体"/>
          <w:spacing w:val="4"/>
          <w:highlight w:val="none"/>
        </w:rPr>
        <w:t>）</w:t>
      </w:r>
      <w:r>
        <w:rPr>
          <w:rFonts w:hAnsi="宋体"/>
          <w:spacing w:val="2"/>
          <w:highlight w:val="none"/>
        </w:rPr>
        <w:t>的</w:t>
      </w:r>
      <w:r>
        <w:rPr>
          <w:rFonts w:hAnsi="宋体"/>
          <w:spacing w:val="4"/>
          <w:highlight w:val="none"/>
        </w:rPr>
        <w:t>要</w:t>
      </w:r>
      <w:r>
        <w:rPr>
          <w:rFonts w:hAnsi="宋体"/>
          <w:spacing w:val="2"/>
          <w:highlight w:val="none"/>
        </w:rPr>
        <w:t>求</w:t>
      </w:r>
      <w:r>
        <w:rPr>
          <w:rFonts w:hAnsi="宋体"/>
          <w:spacing w:val="4"/>
          <w:highlight w:val="none"/>
        </w:rPr>
        <w:t>，基</w:t>
      </w:r>
      <w:r>
        <w:rPr>
          <w:rFonts w:hAnsi="宋体"/>
          <w:spacing w:val="2"/>
          <w:highlight w:val="none"/>
        </w:rPr>
        <w:t>础</w:t>
      </w:r>
      <w:r>
        <w:rPr>
          <w:rFonts w:hAnsi="宋体"/>
          <w:highlight w:val="none"/>
        </w:rPr>
        <w:t>防渗层为至少</w:t>
      </w:r>
      <w:r>
        <w:rPr>
          <w:rFonts w:hAnsi="宋体" w:cs="hakuyoxingshu7000"/>
          <w:highlight w:val="none"/>
        </w:rPr>
        <w:t>1m</w:t>
      </w:r>
      <w:r>
        <w:rPr>
          <w:rFonts w:hAnsi="宋体"/>
          <w:highlight w:val="none"/>
        </w:rPr>
        <w:t>厚粘土</w:t>
      </w:r>
      <w:r>
        <w:rPr>
          <w:rFonts w:hAnsi="宋体"/>
          <w:spacing w:val="-5"/>
          <w:highlight w:val="none"/>
        </w:rPr>
        <w:t>层</w:t>
      </w:r>
      <w:r>
        <w:rPr>
          <w:rFonts w:hAnsi="宋体"/>
          <w:spacing w:val="-3"/>
          <w:highlight w:val="none"/>
        </w:rPr>
        <w:t>（</w:t>
      </w:r>
      <w:r>
        <w:rPr>
          <w:rFonts w:hAnsi="宋体"/>
          <w:highlight w:val="none"/>
        </w:rPr>
        <w:t>渗透系</w:t>
      </w:r>
      <w:r>
        <w:rPr>
          <w:rFonts w:hAnsi="宋体"/>
          <w:spacing w:val="2"/>
          <w:highlight w:val="none"/>
        </w:rPr>
        <w:t>数</w:t>
      </w:r>
      <w:r>
        <w:rPr>
          <w:rFonts w:hAnsi="宋体"/>
          <w:highlight w:val="none"/>
        </w:rPr>
        <w:t>≤</w:t>
      </w:r>
      <w:r>
        <w:rPr>
          <w:rFonts w:hAnsi="宋体" w:cs="hakuyoxingshu7000"/>
          <w:highlight w:val="none"/>
        </w:rPr>
        <w:t>10</w:t>
      </w:r>
      <w:r>
        <w:rPr>
          <w:rFonts w:hAnsi="宋体" w:cs="hakuyoxingshu7000"/>
          <w:spacing w:val="-3"/>
          <w:position w:val="8"/>
          <w:sz w:val="15"/>
          <w:szCs w:val="15"/>
          <w:highlight w:val="none"/>
        </w:rPr>
        <w:t>-</w:t>
      </w:r>
      <w:r>
        <w:rPr>
          <w:rFonts w:hAnsi="宋体" w:cs="hakuyoxingshu7000"/>
          <w:spacing w:val="-2"/>
          <w:position w:val="8"/>
          <w:sz w:val="15"/>
          <w:szCs w:val="15"/>
          <w:highlight w:val="none"/>
        </w:rPr>
        <w:t>7</w:t>
      </w:r>
      <w:r>
        <w:rPr>
          <w:rFonts w:hAnsi="宋体" w:cs="hakuyoxingshu7000"/>
          <w:spacing w:val="-2"/>
          <w:highlight w:val="none"/>
        </w:rPr>
        <w:t>c</w:t>
      </w:r>
      <w:r>
        <w:rPr>
          <w:rFonts w:hAnsi="宋体" w:cs="hakuyoxingshu7000"/>
          <w:highlight w:val="none"/>
        </w:rPr>
        <w:t>m/s</w:t>
      </w:r>
      <w:r>
        <w:rPr>
          <w:rFonts w:hAnsi="宋体"/>
          <w:spacing w:val="-5"/>
          <w:highlight w:val="none"/>
        </w:rPr>
        <w:t>）</w:t>
      </w:r>
      <w:r>
        <w:rPr>
          <w:rFonts w:hAnsi="宋体"/>
          <w:spacing w:val="-10"/>
          <w:highlight w:val="none"/>
        </w:rPr>
        <w:t>，</w:t>
      </w:r>
      <w:r>
        <w:rPr>
          <w:rFonts w:hAnsi="宋体"/>
          <w:highlight w:val="none"/>
        </w:rPr>
        <w:t>或</w:t>
      </w:r>
      <w:r>
        <w:rPr>
          <w:rFonts w:hAnsi="宋体" w:cs="hakuyoxingshu7000"/>
          <w:highlight w:val="none"/>
        </w:rPr>
        <w:t>2mm</w:t>
      </w:r>
      <w:r>
        <w:rPr>
          <w:rFonts w:hAnsi="宋体"/>
          <w:highlight w:val="none"/>
        </w:rPr>
        <w:t>厚高密度</w:t>
      </w:r>
      <w:r>
        <w:rPr>
          <w:rFonts w:hAnsi="宋体"/>
          <w:spacing w:val="2"/>
          <w:highlight w:val="none"/>
        </w:rPr>
        <w:t>聚</w:t>
      </w:r>
      <w:r>
        <w:rPr>
          <w:rFonts w:hAnsi="宋体"/>
          <w:highlight w:val="none"/>
        </w:rPr>
        <w:t>乙烯</w:t>
      </w:r>
      <w:r>
        <w:rPr>
          <w:rFonts w:hAnsi="宋体"/>
          <w:spacing w:val="-8"/>
          <w:highlight w:val="none"/>
        </w:rPr>
        <w:t>，</w:t>
      </w:r>
      <w:r>
        <w:rPr>
          <w:rFonts w:hAnsi="宋体"/>
          <w:highlight w:val="none"/>
        </w:rPr>
        <w:t>或至少</w:t>
      </w:r>
      <w:r>
        <w:rPr>
          <w:rFonts w:hAnsi="宋体" w:cs="hakuyoxingshu7000"/>
          <w:highlight w:val="none"/>
        </w:rPr>
        <w:t>2mm</w:t>
      </w:r>
      <w:r>
        <w:rPr>
          <w:rFonts w:hAnsi="宋体"/>
          <w:highlight w:val="none"/>
        </w:rPr>
        <w:t>厚的其他人工材料，渗透系数≤</w:t>
      </w:r>
      <w:r>
        <w:rPr>
          <w:rFonts w:hAnsi="宋体" w:cs="hakuyoxingshu7000"/>
          <w:highlight w:val="none"/>
        </w:rPr>
        <w:t>10</w:t>
      </w:r>
      <w:r>
        <w:rPr>
          <w:rFonts w:hAnsi="宋体" w:cs="hakuyoxingshu7000"/>
          <w:spacing w:val="-3"/>
          <w:position w:val="8"/>
          <w:sz w:val="15"/>
          <w:szCs w:val="15"/>
          <w:highlight w:val="none"/>
        </w:rPr>
        <w:t>-</w:t>
      </w:r>
      <w:r>
        <w:rPr>
          <w:rFonts w:hAnsi="宋体" w:cs="hakuyoxingshu7000"/>
          <w:position w:val="8"/>
          <w:sz w:val="15"/>
          <w:szCs w:val="15"/>
          <w:highlight w:val="none"/>
        </w:rPr>
        <w:t>1</w:t>
      </w:r>
      <w:r>
        <w:rPr>
          <w:rFonts w:hAnsi="宋体" w:cs="hakuyoxingshu7000"/>
          <w:spacing w:val="-2"/>
          <w:position w:val="8"/>
          <w:sz w:val="15"/>
          <w:szCs w:val="15"/>
          <w:highlight w:val="none"/>
        </w:rPr>
        <w:t>0</w:t>
      </w:r>
      <w:r>
        <w:rPr>
          <w:rFonts w:hAnsi="宋体" w:cs="hakuyoxingshu7000"/>
          <w:spacing w:val="-2"/>
          <w:highlight w:val="none"/>
        </w:rPr>
        <w:t>c</w:t>
      </w:r>
      <w:r>
        <w:rPr>
          <w:rFonts w:hAnsi="宋体" w:cs="hakuyoxingshu7000"/>
          <w:highlight w:val="none"/>
        </w:rPr>
        <w:t>m/s</w:t>
      </w:r>
      <w:r>
        <w:rPr>
          <w:rFonts w:hAnsi="宋体"/>
          <w:highlight w:val="none"/>
        </w:rPr>
        <w:t>。</w:t>
      </w:r>
    </w:p>
    <w:p>
      <w:pPr>
        <w:pStyle w:val="62"/>
        <w:ind w:firstLine="480"/>
        <w:rPr>
          <w:rFonts w:hAnsi="宋体"/>
          <w:highlight w:val="none"/>
        </w:rPr>
      </w:pPr>
      <w:r>
        <w:rPr>
          <w:rFonts w:hAnsi="宋体" w:cs="hakuyoxingshu7000"/>
          <w:highlight w:val="none"/>
        </w:rPr>
        <w:t>4</w:t>
      </w:r>
      <w:r>
        <w:rPr>
          <w:rFonts w:hAnsi="宋体"/>
          <w:highlight w:val="none"/>
        </w:rPr>
        <w:t>）危险废物运输污染防治措施分析</w:t>
      </w:r>
    </w:p>
    <w:p>
      <w:pPr>
        <w:pStyle w:val="62"/>
        <w:ind w:firstLine="480"/>
        <w:rPr>
          <w:rFonts w:hAnsi="宋体"/>
          <w:highlight w:val="none"/>
        </w:rPr>
      </w:pPr>
      <w:r>
        <w:rPr>
          <w:rFonts w:hAnsi="宋体"/>
          <w:highlight w:val="none"/>
        </w:rPr>
        <w:t>对于委托处理的危险废物，运输中应做到以下几点：</w:t>
      </w:r>
    </w:p>
    <w:p>
      <w:pPr>
        <w:pStyle w:val="62"/>
        <w:ind w:firstLine="480"/>
        <w:rPr>
          <w:rFonts w:hAnsi="宋体"/>
          <w:highlight w:val="none"/>
        </w:rPr>
      </w:pPr>
      <w:r>
        <w:rPr>
          <w:rFonts w:hint="eastAsia" w:hAnsi="宋体" w:cs="宋体"/>
          <w:highlight w:val="none"/>
        </w:rPr>
        <w:t>①</w:t>
      </w:r>
      <w:r>
        <w:rPr>
          <w:rFonts w:hAnsi="宋体"/>
          <w:highlight w:val="none"/>
        </w:rPr>
        <w:t>该运输车辆须经主管单位检查</w:t>
      </w:r>
      <w:r>
        <w:rPr>
          <w:rFonts w:hAnsi="宋体"/>
          <w:spacing w:val="-46"/>
          <w:highlight w:val="none"/>
        </w:rPr>
        <w:t>，</w:t>
      </w:r>
      <w:r>
        <w:rPr>
          <w:rFonts w:hAnsi="宋体"/>
          <w:highlight w:val="none"/>
        </w:rPr>
        <w:t>并持有有关单位签发的许可证</w:t>
      </w:r>
      <w:r>
        <w:rPr>
          <w:rFonts w:hAnsi="宋体"/>
          <w:spacing w:val="-44"/>
          <w:highlight w:val="none"/>
        </w:rPr>
        <w:t>，</w:t>
      </w:r>
      <w:r>
        <w:rPr>
          <w:rFonts w:hAnsi="宋体"/>
          <w:highlight w:val="none"/>
        </w:rPr>
        <w:t>负责运输的司机应通过培训，持有证明文件。</w:t>
      </w:r>
    </w:p>
    <w:p>
      <w:pPr>
        <w:pStyle w:val="62"/>
        <w:ind w:firstLine="480"/>
        <w:rPr>
          <w:rFonts w:hAnsi="宋体"/>
          <w:sz w:val="16"/>
          <w:szCs w:val="16"/>
          <w:highlight w:val="none"/>
        </w:rPr>
      </w:pPr>
      <w:r>
        <w:rPr>
          <w:rFonts w:hint="eastAsia" w:hAnsi="宋体" w:cs="宋体"/>
          <w:highlight w:val="none"/>
        </w:rPr>
        <w:t>②</w:t>
      </w:r>
      <w:r>
        <w:rPr>
          <w:rFonts w:hAnsi="宋体"/>
          <w:highlight w:val="none"/>
        </w:rPr>
        <w:t>承载危险废物的车辆须有明显的标志或适当的危险符号，以引起注意。</w:t>
      </w:r>
    </w:p>
    <w:p>
      <w:pPr>
        <w:pStyle w:val="62"/>
        <w:ind w:firstLine="480"/>
        <w:rPr>
          <w:rFonts w:hAnsi="宋体"/>
          <w:highlight w:val="none"/>
        </w:rPr>
      </w:pPr>
      <w:r>
        <w:rPr>
          <w:rFonts w:hint="eastAsia" w:hAnsi="宋体" w:cs="宋体"/>
          <w:highlight w:val="none"/>
        </w:rPr>
        <w:t>③</w:t>
      </w:r>
      <w:r>
        <w:rPr>
          <w:rFonts w:hAnsi="宋体"/>
          <w:highlight w:val="none"/>
        </w:rPr>
        <w:t>载有危险废物的车辆在公路上行驶时</w:t>
      </w:r>
      <w:r>
        <w:rPr>
          <w:rFonts w:hAnsi="宋体"/>
          <w:spacing w:val="-46"/>
          <w:highlight w:val="none"/>
        </w:rPr>
        <w:t>，</w:t>
      </w:r>
      <w:r>
        <w:rPr>
          <w:rFonts w:hAnsi="宋体"/>
          <w:highlight w:val="none"/>
        </w:rPr>
        <w:t>需持有运输许可证</w:t>
      </w:r>
      <w:r>
        <w:rPr>
          <w:rFonts w:hAnsi="宋体"/>
          <w:spacing w:val="-44"/>
          <w:highlight w:val="none"/>
        </w:rPr>
        <w:t>，</w:t>
      </w:r>
      <w:r>
        <w:rPr>
          <w:rFonts w:hAnsi="宋体"/>
          <w:highlight w:val="none"/>
        </w:rPr>
        <w:t>其上应注明废物来源、性质和运往地点。</w:t>
      </w:r>
    </w:p>
    <w:p>
      <w:pPr>
        <w:pStyle w:val="62"/>
        <w:ind w:firstLine="480"/>
        <w:rPr>
          <w:rFonts w:hAnsi="宋体"/>
          <w:highlight w:val="none"/>
        </w:rPr>
      </w:pPr>
      <w:r>
        <w:rPr>
          <w:rFonts w:hint="eastAsia" w:hAnsi="宋体" w:cs="宋体"/>
          <w:highlight w:val="none"/>
        </w:rPr>
        <w:t>④</w:t>
      </w:r>
      <w:r>
        <w:rPr>
          <w:rFonts w:hAnsi="宋体"/>
          <w:highlight w:val="none"/>
        </w:rPr>
        <w:t>组织危险废物的运输单位</w:t>
      </w:r>
      <w:r>
        <w:rPr>
          <w:rFonts w:hAnsi="宋体"/>
          <w:spacing w:val="-46"/>
          <w:highlight w:val="none"/>
        </w:rPr>
        <w:t>，</w:t>
      </w:r>
      <w:r>
        <w:rPr>
          <w:rFonts w:hAnsi="宋体"/>
          <w:highlight w:val="none"/>
        </w:rPr>
        <w:t>在事先需作出周密的运输计划和行驶路线</w:t>
      </w:r>
      <w:r>
        <w:rPr>
          <w:rFonts w:hAnsi="宋体"/>
          <w:spacing w:val="-44"/>
          <w:highlight w:val="none"/>
        </w:rPr>
        <w:t>，</w:t>
      </w:r>
      <w:r>
        <w:rPr>
          <w:rFonts w:hAnsi="宋体"/>
          <w:highlight w:val="none"/>
        </w:rPr>
        <w:t>其中包括有效的废物泄露情况下的应急措施。</w:t>
      </w:r>
    </w:p>
    <w:p>
      <w:pPr>
        <w:pStyle w:val="62"/>
        <w:ind w:firstLine="480"/>
        <w:rPr>
          <w:rFonts w:hAnsi="宋体"/>
          <w:highlight w:val="none"/>
        </w:rPr>
      </w:pPr>
      <w:r>
        <w:rPr>
          <w:rFonts w:hAnsi="宋体" w:cs="hakuyoxingshu7000"/>
          <w:highlight w:val="none"/>
        </w:rPr>
        <w:t>5</w:t>
      </w:r>
      <w:r>
        <w:rPr>
          <w:rFonts w:hAnsi="宋体"/>
          <w:highlight w:val="none"/>
        </w:rPr>
        <w:t>）危险废物处理可行性分析</w:t>
      </w:r>
    </w:p>
    <w:p>
      <w:pPr>
        <w:pStyle w:val="62"/>
        <w:ind w:firstLine="480"/>
        <w:rPr>
          <w:rFonts w:hAnsi="宋体"/>
          <w:sz w:val="16"/>
          <w:szCs w:val="16"/>
          <w:highlight w:val="none"/>
        </w:rPr>
      </w:pPr>
      <w:r>
        <w:rPr>
          <w:rFonts w:hAnsi="宋体"/>
          <w:highlight w:val="none"/>
        </w:rPr>
        <w:t>本项目的生产过程中产生的废机油属国家危险废物名录规定的危险废物</w:t>
      </w:r>
      <w:r>
        <w:rPr>
          <w:rFonts w:hAnsi="宋体"/>
          <w:spacing w:val="-89"/>
          <w:highlight w:val="none"/>
        </w:rPr>
        <w:t>，</w:t>
      </w:r>
      <w:r>
        <w:rPr>
          <w:rFonts w:hAnsi="宋体"/>
          <w:highlight w:val="none"/>
        </w:rPr>
        <w:t>需委托有资质单位处置。</w:t>
      </w:r>
      <w:r>
        <w:rPr>
          <w:rFonts w:hint="eastAsia" w:hAnsi="宋体"/>
          <w:highlight w:val="none"/>
        </w:rPr>
        <w:t>本次</w:t>
      </w:r>
      <w:r>
        <w:rPr>
          <w:rFonts w:hAnsi="宋体"/>
          <w:highlight w:val="none"/>
        </w:rPr>
        <w:t>环评要求企业落实以下几点要求：</w:t>
      </w:r>
    </w:p>
    <w:p>
      <w:pPr>
        <w:pStyle w:val="62"/>
        <w:ind w:firstLine="480"/>
        <w:rPr>
          <w:rFonts w:hAnsi="宋体"/>
          <w:highlight w:val="none"/>
        </w:rPr>
      </w:pPr>
      <w:r>
        <w:rPr>
          <w:rFonts w:hint="eastAsia" w:hAnsi="宋体" w:cs="宋体"/>
          <w:highlight w:val="none"/>
        </w:rPr>
        <w:t>①</w:t>
      </w:r>
      <w:r>
        <w:rPr>
          <w:rFonts w:hAnsi="宋体"/>
          <w:spacing w:val="2"/>
          <w:highlight w:val="none"/>
        </w:rPr>
        <w:t>对</w:t>
      </w:r>
      <w:r>
        <w:rPr>
          <w:rFonts w:hAnsi="宋体"/>
          <w:highlight w:val="none"/>
        </w:rPr>
        <w:t>危</w:t>
      </w:r>
      <w:r>
        <w:rPr>
          <w:rFonts w:hAnsi="宋体"/>
          <w:spacing w:val="2"/>
          <w:highlight w:val="none"/>
        </w:rPr>
        <w:t>险</w:t>
      </w:r>
      <w:r>
        <w:rPr>
          <w:rFonts w:hAnsi="宋体"/>
          <w:highlight w:val="none"/>
        </w:rPr>
        <w:t>固废</w:t>
      </w:r>
      <w:r>
        <w:rPr>
          <w:rFonts w:hAnsi="宋体"/>
          <w:spacing w:val="2"/>
          <w:highlight w:val="none"/>
        </w:rPr>
        <w:t>堆</w:t>
      </w:r>
      <w:r>
        <w:rPr>
          <w:rFonts w:hAnsi="宋体"/>
          <w:highlight w:val="none"/>
        </w:rPr>
        <w:t>场</w:t>
      </w:r>
      <w:r>
        <w:rPr>
          <w:rFonts w:hAnsi="宋体"/>
          <w:spacing w:val="2"/>
          <w:highlight w:val="none"/>
        </w:rPr>
        <w:t>区</w:t>
      </w:r>
      <w:r>
        <w:rPr>
          <w:rFonts w:hAnsi="宋体"/>
          <w:highlight w:val="none"/>
        </w:rPr>
        <w:t>域</w:t>
      </w:r>
      <w:r>
        <w:rPr>
          <w:rFonts w:hAnsi="宋体"/>
          <w:spacing w:val="2"/>
          <w:highlight w:val="none"/>
        </w:rPr>
        <w:t>设</w:t>
      </w:r>
      <w:r>
        <w:rPr>
          <w:rFonts w:hAnsi="宋体"/>
          <w:highlight w:val="none"/>
        </w:rPr>
        <w:t>立监</w:t>
      </w:r>
      <w:r>
        <w:rPr>
          <w:rFonts w:hAnsi="宋体"/>
          <w:spacing w:val="2"/>
          <w:highlight w:val="none"/>
        </w:rPr>
        <w:t>控</w:t>
      </w:r>
      <w:r>
        <w:rPr>
          <w:rFonts w:hAnsi="宋体"/>
          <w:highlight w:val="none"/>
        </w:rPr>
        <w:t>设</w:t>
      </w:r>
      <w:r>
        <w:rPr>
          <w:rFonts w:hAnsi="宋体"/>
          <w:spacing w:val="2"/>
          <w:highlight w:val="none"/>
        </w:rPr>
        <w:t>施</w:t>
      </w:r>
      <w:r>
        <w:rPr>
          <w:rFonts w:hAnsi="宋体"/>
          <w:highlight w:val="none"/>
        </w:rPr>
        <w:t>，危</w:t>
      </w:r>
      <w:r>
        <w:rPr>
          <w:rFonts w:hAnsi="宋体"/>
          <w:spacing w:val="2"/>
          <w:highlight w:val="none"/>
        </w:rPr>
        <w:t>废</w:t>
      </w:r>
      <w:r>
        <w:rPr>
          <w:rFonts w:hAnsi="宋体"/>
          <w:highlight w:val="none"/>
        </w:rPr>
        <w:t>堆</w:t>
      </w:r>
      <w:r>
        <w:rPr>
          <w:rFonts w:hAnsi="宋体"/>
          <w:spacing w:val="2"/>
          <w:highlight w:val="none"/>
        </w:rPr>
        <w:t>场</w:t>
      </w:r>
      <w:r>
        <w:rPr>
          <w:rFonts w:hAnsi="宋体"/>
          <w:highlight w:val="none"/>
        </w:rPr>
        <w:t>周</w:t>
      </w:r>
      <w:r>
        <w:rPr>
          <w:rFonts w:hAnsi="宋体"/>
          <w:spacing w:val="2"/>
          <w:highlight w:val="none"/>
        </w:rPr>
        <w:t>围</w:t>
      </w:r>
      <w:r>
        <w:rPr>
          <w:rFonts w:hAnsi="宋体"/>
          <w:highlight w:val="none"/>
        </w:rPr>
        <w:t>应设</w:t>
      </w:r>
      <w:r>
        <w:rPr>
          <w:rFonts w:hAnsi="宋体"/>
          <w:spacing w:val="2"/>
          <w:highlight w:val="none"/>
        </w:rPr>
        <w:t>置</w:t>
      </w:r>
      <w:r>
        <w:rPr>
          <w:rFonts w:hAnsi="宋体"/>
          <w:highlight w:val="none"/>
        </w:rPr>
        <w:t>围</w:t>
      </w:r>
      <w:r>
        <w:rPr>
          <w:rFonts w:hAnsi="宋体"/>
          <w:spacing w:val="2"/>
          <w:highlight w:val="none"/>
        </w:rPr>
        <w:t>墙</w:t>
      </w:r>
      <w:r>
        <w:rPr>
          <w:rFonts w:hAnsi="宋体"/>
          <w:highlight w:val="none"/>
        </w:rPr>
        <w:t>或者</w:t>
      </w:r>
      <w:r>
        <w:rPr>
          <w:rFonts w:hAnsi="宋体"/>
          <w:spacing w:val="2"/>
          <w:highlight w:val="none"/>
        </w:rPr>
        <w:t>防</w:t>
      </w:r>
      <w:r>
        <w:rPr>
          <w:rFonts w:hAnsi="宋体"/>
          <w:highlight w:val="none"/>
        </w:rPr>
        <w:t>护</w:t>
      </w:r>
      <w:r>
        <w:rPr>
          <w:rFonts w:hAnsi="宋体"/>
          <w:spacing w:val="4"/>
          <w:highlight w:val="none"/>
        </w:rPr>
        <w:t>栅</w:t>
      </w:r>
      <w:r>
        <w:rPr>
          <w:rFonts w:hAnsi="宋体"/>
          <w:spacing w:val="2"/>
          <w:highlight w:val="none"/>
        </w:rPr>
        <w:t>栏</w:t>
      </w:r>
      <w:r>
        <w:rPr>
          <w:rFonts w:hAnsi="宋体"/>
          <w:spacing w:val="4"/>
          <w:highlight w:val="none"/>
        </w:rPr>
        <w:t>，与周</w:t>
      </w:r>
      <w:r>
        <w:rPr>
          <w:rFonts w:hAnsi="宋体"/>
          <w:spacing w:val="2"/>
          <w:highlight w:val="none"/>
        </w:rPr>
        <w:t>边</w:t>
      </w:r>
      <w:r>
        <w:rPr>
          <w:rFonts w:hAnsi="宋体"/>
          <w:spacing w:val="4"/>
          <w:highlight w:val="none"/>
        </w:rPr>
        <w:t>区域</w:t>
      </w:r>
      <w:r>
        <w:rPr>
          <w:rFonts w:hAnsi="宋体"/>
          <w:spacing w:val="2"/>
          <w:highlight w:val="none"/>
        </w:rPr>
        <w:t>严</w:t>
      </w:r>
      <w:r>
        <w:rPr>
          <w:rFonts w:hAnsi="宋体"/>
          <w:spacing w:val="4"/>
          <w:highlight w:val="none"/>
        </w:rPr>
        <w:t>格分离</w:t>
      </w:r>
      <w:r>
        <w:rPr>
          <w:rFonts w:hAnsi="宋体"/>
          <w:spacing w:val="2"/>
          <w:highlight w:val="none"/>
        </w:rPr>
        <w:t>开</w:t>
      </w:r>
      <w:r>
        <w:rPr>
          <w:rFonts w:hAnsi="宋体"/>
          <w:spacing w:val="4"/>
          <w:highlight w:val="none"/>
        </w:rPr>
        <w:t>，并</w:t>
      </w:r>
      <w:r>
        <w:rPr>
          <w:rFonts w:hAnsi="宋体"/>
          <w:highlight w:val="none"/>
        </w:rPr>
        <w:t>按</w:t>
      </w:r>
      <w:r>
        <w:rPr>
          <w:rFonts w:hAnsi="宋体" w:cs="hakuyoxingshu7000"/>
          <w:spacing w:val="-1"/>
          <w:highlight w:val="none"/>
        </w:rPr>
        <w:t>G</w:t>
      </w:r>
      <w:r>
        <w:rPr>
          <w:rFonts w:hAnsi="宋体" w:cs="hakuyoxingshu7000"/>
          <w:spacing w:val="-2"/>
          <w:highlight w:val="none"/>
        </w:rPr>
        <w:t>B</w:t>
      </w:r>
      <w:r>
        <w:rPr>
          <w:rFonts w:hAnsi="宋体" w:cs="hakuyoxingshu7000"/>
          <w:highlight w:val="none"/>
        </w:rPr>
        <w:t>15562.2</w:t>
      </w:r>
      <w:r>
        <w:rPr>
          <w:rFonts w:hAnsi="宋体"/>
          <w:spacing w:val="4"/>
          <w:highlight w:val="none"/>
        </w:rPr>
        <w:t>的</w:t>
      </w:r>
      <w:r>
        <w:rPr>
          <w:rFonts w:hAnsi="宋体"/>
          <w:spacing w:val="2"/>
          <w:highlight w:val="none"/>
        </w:rPr>
        <w:t>规</w:t>
      </w:r>
      <w:r>
        <w:rPr>
          <w:rFonts w:hAnsi="宋体"/>
          <w:spacing w:val="4"/>
          <w:highlight w:val="none"/>
        </w:rPr>
        <w:t>定设置</w:t>
      </w:r>
      <w:r>
        <w:rPr>
          <w:rFonts w:hAnsi="宋体"/>
          <w:spacing w:val="2"/>
          <w:highlight w:val="none"/>
        </w:rPr>
        <w:t>警</w:t>
      </w:r>
      <w:r>
        <w:rPr>
          <w:rFonts w:hAnsi="宋体"/>
          <w:spacing w:val="4"/>
          <w:highlight w:val="none"/>
        </w:rPr>
        <w:t>示标</w:t>
      </w:r>
      <w:r>
        <w:rPr>
          <w:rFonts w:hAnsi="宋体"/>
          <w:spacing w:val="2"/>
          <w:highlight w:val="none"/>
        </w:rPr>
        <w:t>志</w:t>
      </w:r>
      <w:r>
        <w:rPr>
          <w:rFonts w:hAnsi="宋体"/>
          <w:spacing w:val="4"/>
          <w:highlight w:val="none"/>
        </w:rPr>
        <w:t>，现场</w:t>
      </w:r>
      <w:r>
        <w:rPr>
          <w:rFonts w:hAnsi="宋体"/>
          <w:highlight w:val="none"/>
        </w:rPr>
        <w:t>需配置安全防护服装与工具、通讯设备、照明设施等；</w:t>
      </w:r>
    </w:p>
    <w:p>
      <w:pPr>
        <w:pStyle w:val="62"/>
        <w:ind w:firstLine="480"/>
        <w:rPr>
          <w:rFonts w:hAnsi="宋体"/>
          <w:highlight w:val="none"/>
        </w:rPr>
      </w:pPr>
      <w:r>
        <w:rPr>
          <w:rFonts w:hint="eastAsia" w:hAnsi="宋体" w:cs="宋体"/>
          <w:highlight w:val="none"/>
        </w:rPr>
        <w:t>②</w:t>
      </w:r>
      <w:r>
        <w:rPr>
          <w:rFonts w:hAnsi="宋体"/>
          <w:highlight w:val="none"/>
        </w:rPr>
        <w:t>对固废堆场进行硬化，并采取严格的、科学的防渗措施；</w:t>
      </w:r>
    </w:p>
    <w:p>
      <w:pPr>
        <w:pStyle w:val="62"/>
        <w:ind w:firstLine="480"/>
        <w:rPr>
          <w:rFonts w:hAnsi="宋体"/>
          <w:highlight w:val="none"/>
        </w:rPr>
      </w:pPr>
      <w:r>
        <w:rPr>
          <w:rFonts w:hint="eastAsia" w:hAnsi="宋体" w:cs="宋体"/>
          <w:highlight w:val="none"/>
        </w:rPr>
        <w:t>③</w:t>
      </w:r>
      <w:r>
        <w:rPr>
          <w:rFonts w:hAnsi="宋体"/>
          <w:highlight w:val="none"/>
        </w:rPr>
        <w:t>加强固废管理，固废堆场中一般固废与危险固废的堆放位置应在物理上、空间上严格区分，确保污染物不在一般固废与危险固废间转移；危险固废及时入堆场存放，并及时通知协议处理单位进行回收处理。</w:t>
      </w:r>
    </w:p>
    <w:p>
      <w:pPr>
        <w:pStyle w:val="62"/>
        <w:ind w:firstLine="480"/>
        <w:rPr>
          <w:rFonts w:hAnsi="宋体"/>
          <w:highlight w:val="none"/>
        </w:rPr>
      </w:pPr>
      <w:r>
        <w:rPr>
          <w:rFonts w:hint="eastAsia" w:hAnsi="宋体" w:cs="宋体"/>
          <w:highlight w:val="none"/>
        </w:rPr>
        <w:t>④</w:t>
      </w:r>
      <w:r>
        <w:rPr>
          <w:rFonts w:hAnsi="宋体"/>
          <w:highlight w:val="none"/>
        </w:rPr>
        <w:t>严格落实危险固废转移台账管理，做到每一笔危险固废的去向都有台账记录，包括厂区内部的和行政管理部门的。</w:t>
      </w:r>
    </w:p>
    <w:p>
      <w:pPr>
        <w:pStyle w:val="62"/>
        <w:ind w:firstLine="480"/>
        <w:rPr>
          <w:rFonts w:hAnsi="宋体"/>
          <w:highlight w:val="none"/>
        </w:rPr>
      </w:pPr>
      <w:r>
        <w:rPr>
          <w:rFonts w:hAnsi="宋体"/>
          <w:highlight w:val="none"/>
        </w:rPr>
        <w:t>综上，本项目产生的固废</w:t>
      </w:r>
      <w:r>
        <w:rPr>
          <w:rFonts w:hint="eastAsia" w:hAnsi="宋体"/>
          <w:highlight w:val="none"/>
        </w:rPr>
        <w:t>经</w:t>
      </w:r>
      <w:r>
        <w:rPr>
          <w:rFonts w:hAnsi="宋体"/>
          <w:highlight w:val="none"/>
        </w:rPr>
        <w:t>环评要求的处置措施合理处置后，不会产生二次环境污染。</w:t>
      </w:r>
    </w:p>
    <w:p>
      <w:pPr>
        <w:pStyle w:val="4"/>
        <w:ind w:firstLine="562"/>
        <w:rPr>
          <w:rFonts w:hAnsi="宋体"/>
          <w:highlight w:val="none"/>
        </w:rPr>
      </w:pPr>
      <w:r>
        <w:rPr>
          <w:rFonts w:hAnsi="宋体"/>
          <w:highlight w:val="none"/>
        </w:rPr>
        <w:t>6.1.6生态保护措施</w:t>
      </w:r>
    </w:p>
    <w:p>
      <w:pPr>
        <w:pStyle w:val="62"/>
        <w:ind w:firstLine="508"/>
        <w:rPr>
          <w:rFonts w:hAnsi="宋体"/>
          <w:sz w:val="16"/>
          <w:szCs w:val="16"/>
          <w:highlight w:val="none"/>
        </w:rPr>
      </w:pPr>
      <w:r>
        <w:rPr>
          <w:rFonts w:hint="eastAsia" w:hAnsi="宋体" w:cs="宋体"/>
          <w:spacing w:val="7"/>
          <w:highlight w:val="none"/>
        </w:rPr>
        <w:t>1、</w:t>
      </w:r>
      <w:r>
        <w:rPr>
          <w:rFonts w:hAnsi="宋体"/>
          <w:spacing w:val="7"/>
          <w:highlight w:val="none"/>
        </w:rPr>
        <w:t>工</w:t>
      </w:r>
      <w:r>
        <w:rPr>
          <w:rFonts w:hAnsi="宋体"/>
          <w:spacing w:val="9"/>
          <w:highlight w:val="none"/>
        </w:rPr>
        <w:t>业</w:t>
      </w:r>
      <w:r>
        <w:rPr>
          <w:rFonts w:hAnsi="宋体"/>
          <w:spacing w:val="7"/>
          <w:highlight w:val="none"/>
        </w:rPr>
        <w:t>场地</w:t>
      </w:r>
      <w:r>
        <w:rPr>
          <w:rFonts w:hAnsi="宋体"/>
          <w:spacing w:val="9"/>
          <w:highlight w:val="none"/>
        </w:rPr>
        <w:t>水</w:t>
      </w:r>
      <w:r>
        <w:rPr>
          <w:rFonts w:hAnsi="宋体"/>
          <w:spacing w:val="7"/>
          <w:highlight w:val="none"/>
        </w:rPr>
        <w:t>土保</w:t>
      </w:r>
      <w:r>
        <w:rPr>
          <w:rFonts w:hAnsi="宋体"/>
          <w:spacing w:val="9"/>
          <w:highlight w:val="none"/>
        </w:rPr>
        <w:t>持</w:t>
      </w:r>
      <w:r>
        <w:rPr>
          <w:rFonts w:hAnsi="宋体"/>
          <w:spacing w:val="7"/>
          <w:highlight w:val="none"/>
        </w:rPr>
        <w:t>措</w:t>
      </w:r>
      <w:r>
        <w:rPr>
          <w:rFonts w:hAnsi="宋体"/>
          <w:highlight w:val="none"/>
        </w:rPr>
        <w:t>施</w:t>
      </w:r>
    </w:p>
    <w:p>
      <w:pPr>
        <w:pStyle w:val="62"/>
        <w:ind w:firstLine="480"/>
        <w:rPr>
          <w:rFonts w:hAnsi="宋体"/>
          <w:highlight w:val="none"/>
        </w:rPr>
      </w:pPr>
      <w:r>
        <w:rPr>
          <w:rFonts w:hAnsi="宋体"/>
          <w:highlight w:val="none"/>
        </w:rPr>
        <w:t>在生产区要结合各种生产设施的特点</w:t>
      </w:r>
      <w:r>
        <w:rPr>
          <w:rFonts w:hAnsi="宋体"/>
          <w:spacing w:val="-46"/>
          <w:highlight w:val="none"/>
        </w:rPr>
        <w:t>，</w:t>
      </w:r>
      <w:r>
        <w:rPr>
          <w:rFonts w:hAnsi="宋体"/>
          <w:highlight w:val="none"/>
        </w:rPr>
        <w:t>种植高低相结合的乔灌木</w:t>
      </w:r>
      <w:r>
        <w:rPr>
          <w:rFonts w:hAnsi="宋体"/>
          <w:spacing w:val="-46"/>
          <w:highlight w:val="none"/>
        </w:rPr>
        <w:t>，</w:t>
      </w:r>
      <w:r>
        <w:rPr>
          <w:rFonts w:hAnsi="宋体"/>
          <w:highlight w:val="none"/>
        </w:rPr>
        <w:t>形成隔离林带，防止污染扩散；办公及居住区应以美化环境为主，种植绿篙、布置花坛、草坪等。道路的绿化以种植道树为主，选择当地树种，形成沿道路的绿化带。</w:t>
      </w:r>
    </w:p>
    <w:p>
      <w:pPr>
        <w:pStyle w:val="62"/>
        <w:ind w:firstLine="508"/>
        <w:rPr>
          <w:rFonts w:hAnsi="宋体"/>
          <w:highlight w:val="none"/>
        </w:rPr>
      </w:pPr>
      <w:r>
        <w:rPr>
          <w:rFonts w:hint="eastAsia" w:hAnsi="宋体" w:cs="宋体"/>
          <w:spacing w:val="7"/>
          <w:highlight w:val="none"/>
        </w:rPr>
        <w:t>2、</w:t>
      </w:r>
      <w:r>
        <w:rPr>
          <w:rFonts w:hAnsi="宋体"/>
          <w:spacing w:val="7"/>
          <w:highlight w:val="none"/>
        </w:rPr>
        <w:t>尾矿库</w:t>
      </w:r>
      <w:r>
        <w:rPr>
          <w:rFonts w:hAnsi="宋体"/>
          <w:highlight w:val="none"/>
        </w:rPr>
        <w:t>的生态保护和恢复措施</w:t>
      </w:r>
    </w:p>
    <w:p>
      <w:pPr>
        <w:pStyle w:val="62"/>
        <w:ind w:firstLine="480"/>
        <w:rPr>
          <w:rFonts w:hAnsi="宋体"/>
          <w:highlight w:val="none"/>
        </w:rPr>
      </w:pPr>
      <w:r>
        <w:rPr>
          <w:rFonts w:hAnsi="宋体"/>
          <w:highlight w:val="none"/>
        </w:rPr>
        <w:t>当</w:t>
      </w:r>
      <w:r>
        <w:rPr>
          <w:rFonts w:hint="eastAsia" w:hAnsi="宋体"/>
          <w:highlight w:val="none"/>
        </w:rPr>
        <w:t>尾矿库</w:t>
      </w:r>
      <w:r>
        <w:rPr>
          <w:rFonts w:hAnsi="宋体"/>
          <w:highlight w:val="none"/>
        </w:rPr>
        <w:t>堆至设计高程时</w:t>
      </w:r>
      <w:r>
        <w:rPr>
          <w:rFonts w:hAnsi="宋体"/>
          <w:spacing w:val="-20"/>
          <w:highlight w:val="none"/>
        </w:rPr>
        <w:t>，</w:t>
      </w:r>
      <w:r>
        <w:rPr>
          <w:rFonts w:hAnsi="宋体"/>
          <w:highlight w:val="none"/>
        </w:rPr>
        <w:t>应及时采用种植土对坡面及平台进行覆土</w:t>
      </w:r>
      <w:r>
        <w:rPr>
          <w:rFonts w:hAnsi="宋体"/>
          <w:spacing w:val="-20"/>
          <w:highlight w:val="none"/>
        </w:rPr>
        <w:t>，</w:t>
      </w:r>
      <w:r>
        <w:rPr>
          <w:rFonts w:hAnsi="宋体"/>
          <w:highlight w:val="none"/>
        </w:rPr>
        <w:t>平台覆土厚度为</w:t>
      </w:r>
      <w:r>
        <w:rPr>
          <w:rFonts w:hAnsi="宋体" w:cs="hakuyoxingshu7000"/>
          <w:highlight w:val="none"/>
        </w:rPr>
        <w:t>1.0</w:t>
      </w:r>
      <w:r>
        <w:rPr>
          <w:rFonts w:hAnsi="宋体" w:cs="hakuyoxingshu7000"/>
          <w:spacing w:val="-2"/>
          <w:highlight w:val="none"/>
        </w:rPr>
        <w:t>m</w:t>
      </w:r>
      <w:r>
        <w:rPr>
          <w:rFonts w:hAnsi="宋体"/>
          <w:highlight w:val="none"/>
        </w:rPr>
        <w:t>，坡面覆土厚度为</w:t>
      </w:r>
      <w:r>
        <w:rPr>
          <w:rFonts w:hAnsi="宋体" w:cs="hakuyoxingshu7000"/>
          <w:highlight w:val="none"/>
        </w:rPr>
        <w:t>0.6m</w:t>
      </w:r>
      <w:r>
        <w:rPr>
          <w:rFonts w:hAnsi="宋体"/>
          <w:highlight w:val="none"/>
        </w:rPr>
        <w:t>，复垦为耕地。项目需覆种植土</w:t>
      </w:r>
      <w:r>
        <w:rPr>
          <w:rFonts w:hint="eastAsia" w:hAnsi="宋体" w:cs="hakuyoxingshu7000"/>
          <w:highlight w:val="none"/>
        </w:rPr>
        <w:t>1.97</w:t>
      </w:r>
      <w:r>
        <w:rPr>
          <w:rFonts w:hAnsi="宋体"/>
          <w:highlight w:val="none"/>
        </w:rPr>
        <w:t>万</w:t>
      </w:r>
      <w:r>
        <w:rPr>
          <w:rFonts w:hAnsi="宋体" w:cs="hakuyoxingshu7000"/>
          <w:highlight w:val="none"/>
        </w:rPr>
        <w:t>m</w:t>
      </w:r>
      <w:r>
        <w:rPr>
          <w:rFonts w:hAnsi="宋体" w:cs="hakuyoxingshu7000"/>
          <w:spacing w:val="-2"/>
          <w:position w:val="8"/>
          <w:sz w:val="15"/>
          <w:szCs w:val="15"/>
          <w:highlight w:val="none"/>
        </w:rPr>
        <w:t>3</w:t>
      </w:r>
      <w:r>
        <w:rPr>
          <w:rFonts w:hAnsi="宋体"/>
          <w:spacing w:val="-63"/>
          <w:highlight w:val="none"/>
        </w:rPr>
        <w:t>，</w:t>
      </w:r>
      <w:r>
        <w:rPr>
          <w:rFonts w:hAnsi="宋体"/>
          <w:highlight w:val="none"/>
        </w:rPr>
        <w:t>取土来源为库区原地表剥离土和部分外购</w:t>
      </w:r>
      <w:r>
        <w:rPr>
          <w:rFonts w:hAnsi="宋体"/>
          <w:spacing w:val="2"/>
          <w:highlight w:val="none"/>
        </w:rPr>
        <w:t>土</w:t>
      </w:r>
      <w:r>
        <w:rPr>
          <w:rFonts w:hAnsi="宋体"/>
          <w:highlight w:val="none"/>
        </w:rPr>
        <w:t>，不另设取土场。</w:t>
      </w:r>
    </w:p>
    <w:p>
      <w:pPr>
        <w:pStyle w:val="4"/>
        <w:ind w:firstLine="562"/>
        <w:rPr>
          <w:rFonts w:hAnsi="宋体"/>
          <w:highlight w:val="none"/>
        </w:rPr>
      </w:pPr>
      <w:r>
        <w:rPr>
          <w:rFonts w:hAnsi="宋体"/>
          <w:highlight w:val="none"/>
        </w:rPr>
        <w:t>6.1.7绿化</w:t>
      </w:r>
    </w:p>
    <w:p>
      <w:pPr>
        <w:pStyle w:val="62"/>
        <w:ind w:firstLine="480"/>
        <w:rPr>
          <w:rFonts w:hAnsi="宋体"/>
          <w:highlight w:val="none"/>
        </w:rPr>
      </w:pPr>
      <w:r>
        <w:rPr>
          <w:rFonts w:hAnsi="宋体"/>
          <w:highlight w:val="none"/>
        </w:rPr>
        <w:t>绿化具有许多特殊的环境功能，如调节温度及湿度、改良气候、净化空气、防风固沙、保持水土、隔音降噪等，另外还可以美化环境，给全公司职工创造一个舒适的工作和生活环境。结合本项目现在绿化情况，为了使厂（场）区的绿化工作能够有序地开展，具体建议如下：</w:t>
      </w:r>
    </w:p>
    <w:p>
      <w:pPr>
        <w:pStyle w:val="62"/>
        <w:ind w:firstLine="480"/>
        <w:rPr>
          <w:rFonts w:hAnsi="宋体"/>
          <w:highlight w:val="none"/>
        </w:rPr>
      </w:pPr>
      <w:r>
        <w:rPr>
          <w:rFonts w:hint="eastAsia" w:hAnsi="宋体"/>
          <w:highlight w:val="none"/>
        </w:rPr>
        <w:t>1、</w:t>
      </w:r>
      <w:r>
        <w:rPr>
          <w:rFonts w:hAnsi="宋体"/>
          <w:highlight w:val="none"/>
        </w:rPr>
        <w:t>在厂前区，选树形美观、观赏价值高的常绿灌木、无花絮乔木；</w:t>
      </w:r>
    </w:p>
    <w:p>
      <w:pPr>
        <w:pStyle w:val="62"/>
        <w:ind w:firstLine="480"/>
        <w:rPr>
          <w:rFonts w:hAnsi="宋体"/>
          <w:highlight w:val="none"/>
        </w:rPr>
      </w:pPr>
      <w:r>
        <w:rPr>
          <w:rFonts w:hint="eastAsia" w:hAnsi="宋体"/>
          <w:highlight w:val="none"/>
        </w:rPr>
        <w:t>2、</w:t>
      </w:r>
      <w:r>
        <w:rPr>
          <w:rFonts w:hAnsi="宋体"/>
          <w:highlight w:val="none"/>
        </w:rPr>
        <w:t>在厂区的各个建筑物之间，用绿化带协调和连接，多种植常青树木；</w:t>
      </w:r>
    </w:p>
    <w:p>
      <w:pPr>
        <w:pStyle w:val="62"/>
        <w:ind w:firstLine="480"/>
        <w:rPr>
          <w:rFonts w:hAnsi="宋体"/>
          <w:highlight w:val="none"/>
        </w:rPr>
      </w:pPr>
      <w:r>
        <w:rPr>
          <w:rFonts w:hint="eastAsia" w:hAnsi="宋体"/>
          <w:highlight w:val="none"/>
        </w:rPr>
        <w:t>3、</w:t>
      </w:r>
      <w:r>
        <w:rPr>
          <w:rFonts w:hAnsi="宋体"/>
          <w:highlight w:val="none"/>
        </w:rPr>
        <w:t>在厂界四周建绿化带，同时种植高大乔木，以过滤空气中的粉尘和有害气体，并兼有防火的作用，也可减小周围环境对本项目的影响；</w:t>
      </w:r>
    </w:p>
    <w:p>
      <w:pPr>
        <w:pStyle w:val="62"/>
        <w:ind w:firstLine="480"/>
        <w:rPr>
          <w:rFonts w:hAnsi="宋体"/>
          <w:highlight w:val="none"/>
        </w:rPr>
      </w:pPr>
      <w:r>
        <w:rPr>
          <w:rFonts w:hint="eastAsia" w:hAnsi="宋体"/>
          <w:highlight w:val="none"/>
        </w:rPr>
        <w:t>4、</w:t>
      </w:r>
      <w:r>
        <w:rPr>
          <w:rFonts w:hAnsi="宋体"/>
          <w:highlight w:val="none"/>
        </w:rPr>
        <w:t>厂区道路两侧选择易管理且抗旱性强的树种，如杨树、刺槐等。根据本项目的地理特点，环评要求项目绿化率达到15%，所以建设单位应加强对绿化工作及保护生态环境工作重要性的认识，配备专职人员对绿化工作进行管理，固定绿化投资，以保证绿化工作的长期开展。</w:t>
      </w:r>
    </w:p>
    <w:p>
      <w:pPr>
        <w:pStyle w:val="3"/>
        <w:ind w:firstLine="634"/>
        <w:rPr>
          <w:rFonts w:hAnsi="宋体"/>
          <w:sz w:val="12"/>
          <w:szCs w:val="12"/>
          <w:highlight w:val="none"/>
        </w:rPr>
      </w:pPr>
      <w:bookmarkStart w:id="346" w:name="_bookmark34"/>
      <w:bookmarkEnd w:id="346"/>
      <w:bookmarkStart w:id="347" w:name="_Toc70201040"/>
      <w:r>
        <w:rPr>
          <w:rFonts w:hAnsi="宋体"/>
          <w:spacing w:val="-2"/>
          <w:highlight w:val="none"/>
        </w:rPr>
        <w:t>6</w:t>
      </w:r>
      <w:r>
        <w:rPr>
          <w:rFonts w:hAnsi="宋体"/>
          <w:spacing w:val="1"/>
          <w:highlight w:val="none"/>
        </w:rPr>
        <w:t>.</w:t>
      </w:r>
      <w:r>
        <w:rPr>
          <w:rFonts w:hint="eastAsia" w:hAnsi="宋体"/>
          <w:highlight w:val="none"/>
        </w:rPr>
        <w:t>2</w:t>
      </w:r>
      <w:r>
        <w:rPr>
          <w:rFonts w:hAnsi="宋体"/>
          <w:highlight w:val="none"/>
        </w:rPr>
        <w:t>污染防治</w:t>
      </w:r>
      <w:r>
        <w:rPr>
          <w:rFonts w:hAnsi="宋体"/>
          <w:spacing w:val="2"/>
          <w:highlight w:val="none"/>
        </w:rPr>
        <w:t>环</w:t>
      </w:r>
      <w:r>
        <w:rPr>
          <w:rFonts w:hAnsi="宋体"/>
          <w:highlight w:val="none"/>
        </w:rPr>
        <w:t>保投资估算</w:t>
      </w:r>
      <w:bookmarkEnd w:id="347"/>
    </w:p>
    <w:p>
      <w:pPr>
        <w:pStyle w:val="62"/>
        <w:ind w:firstLine="480"/>
        <w:rPr>
          <w:rFonts w:hAnsi="宋体"/>
          <w:highlight w:val="none"/>
        </w:rPr>
      </w:pPr>
      <w:r>
        <w:rPr>
          <w:rFonts w:hAnsi="宋体"/>
          <w:highlight w:val="none"/>
        </w:rPr>
        <w:t>项目污染防治措施投资包括运行期的污染防治措施的总投资</w:t>
      </w:r>
      <w:r>
        <w:rPr>
          <w:rFonts w:hAnsi="宋体"/>
          <w:spacing w:val="-89"/>
          <w:highlight w:val="none"/>
        </w:rPr>
        <w:t>，</w:t>
      </w:r>
      <w:r>
        <w:rPr>
          <w:rFonts w:hAnsi="宋体"/>
          <w:highlight w:val="none"/>
        </w:rPr>
        <w:t>预计该项费用投资为</w:t>
      </w:r>
      <w:r>
        <w:rPr>
          <w:rFonts w:hint="eastAsia" w:hAnsi="宋体" w:cs="hakuyoxingshu7000"/>
          <w:highlight w:val="none"/>
        </w:rPr>
        <w:t>54.1</w:t>
      </w:r>
      <w:r>
        <w:rPr>
          <w:rFonts w:hAnsi="宋体"/>
          <w:highlight w:val="none"/>
        </w:rPr>
        <w:t>万元，占总投资的比例为</w:t>
      </w:r>
      <w:r>
        <w:rPr>
          <w:rFonts w:hint="eastAsia" w:hAnsi="宋体" w:cs="hakuyoxingshu7000"/>
          <w:highlight w:val="none"/>
        </w:rPr>
        <w:t>7.73</w:t>
      </w:r>
      <w:r>
        <w:rPr>
          <w:rFonts w:hAnsi="宋体" w:cs="hakuyoxingshu7000"/>
          <w:spacing w:val="-1"/>
          <w:highlight w:val="none"/>
        </w:rPr>
        <w:t>%</w:t>
      </w:r>
      <w:r>
        <w:rPr>
          <w:rFonts w:hAnsi="宋体"/>
          <w:highlight w:val="none"/>
        </w:rPr>
        <w:t>。具体见表</w:t>
      </w:r>
      <w:r>
        <w:rPr>
          <w:rFonts w:hAnsi="宋体" w:cs="hakuyoxingshu7000"/>
          <w:highlight w:val="none"/>
        </w:rPr>
        <w:t>6</w:t>
      </w:r>
      <w:r>
        <w:rPr>
          <w:rFonts w:hint="eastAsia" w:hAnsi="宋体" w:cs="hakuyoxingshu7000"/>
          <w:highlight w:val="none"/>
        </w:rPr>
        <w:t>.2</w:t>
      </w:r>
      <w:r>
        <w:rPr>
          <w:rFonts w:hAnsi="宋体" w:cs="hakuyoxingshu7000"/>
          <w:spacing w:val="-2"/>
          <w:highlight w:val="none"/>
        </w:rPr>
        <w:t>-</w:t>
      </w:r>
      <w:r>
        <w:rPr>
          <w:rFonts w:hint="eastAsia" w:hAnsi="宋体" w:cs="hakuyoxingshu7000"/>
          <w:highlight w:val="none"/>
        </w:rPr>
        <w:t>1</w:t>
      </w:r>
      <w:r>
        <w:rPr>
          <w:rFonts w:hAnsi="宋体"/>
          <w:highlight w:val="none"/>
        </w:rPr>
        <w:t>。</w:t>
      </w:r>
    </w:p>
    <w:p>
      <w:pPr>
        <w:pStyle w:val="65"/>
        <w:rPr>
          <w:rFonts w:hAnsi="宋体"/>
          <w:highlight w:val="none"/>
        </w:rPr>
      </w:pPr>
      <w:r>
        <w:rPr>
          <w:rFonts w:hAnsi="宋体"/>
          <w:highlight w:val="none"/>
        </w:rPr>
        <w:t>表</w:t>
      </w:r>
      <w:r>
        <w:rPr>
          <w:rFonts w:hAnsi="宋体" w:cs="hakuyoxingshu7000"/>
          <w:highlight w:val="none"/>
        </w:rPr>
        <w:t>6</w:t>
      </w:r>
      <w:r>
        <w:rPr>
          <w:rFonts w:hint="eastAsia" w:hAnsi="宋体" w:cs="hakuyoxingshu7000"/>
          <w:highlight w:val="none"/>
        </w:rPr>
        <w:t>.2</w:t>
      </w:r>
      <w:r>
        <w:rPr>
          <w:rFonts w:hAnsi="宋体" w:cs="hakuyoxingshu7000"/>
          <w:spacing w:val="-2"/>
          <w:highlight w:val="none"/>
        </w:rPr>
        <w:t>-</w:t>
      </w:r>
      <w:r>
        <w:rPr>
          <w:rFonts w:hint="eastAsia" w:hAnsi="宋体" w:cs="hakuyoxingshu7000"/>
          <w:spacing w:val="-2"/>
          <w:highlight w:val="none"/>
        </w:rPr>
        <w:t xml:space="preserve">1  </w:t>
      </w:r>
      <w:r>
        <w:rPr>
          <w:rFonts w:hAnsi="宋体"/>
          <w:highlight w:val="none"/>
        </w:rPr>
        <w:t>工程污染防治环保投资估算表</w:t>
      </w:r>
    </w:p>
    <w:tbl>
      <w:tblPr>
        <w:tblStyle w:val="44"/>
        <w:tblW w:w="89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77"/>
        <w:gridCol w:w="1135"/>
        <w:gridCol w:w="802"/>
        <w:gridCol w:w="5286"/>
        <w:gridCol w:w="95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Align w:val="center"/>
          </w:tcPr>
          <w:p>
            <w:pPr>
              <w:pStyle w:val="64"/>
              <w:rPr>
                <w:rFonts w:hAnsi="宋体"/>
                <w:highlight w:val="none"/>
              </w:rPr>
            </w:pPr>
            <w:r>
              <w:rPr>
                <w:rFonts w:hAnsi="宋体"/>
                <w:spacing w:val="-1"/>
                <w:highlight w:val="none"/>
              </w:rPr>
              <w:t>项</w:t>
            </w:r>
            <w:r>
              <w:rPr>
                <w:rFonts w:hAnsi="宋体"/>
                <w:highlight w:val="none"/>
              </w:rPr>
              <w:t>目</w:t>
            </w:r>
          </w:p>
        </w:tc>
        <w:tc>
          <w:tcPr>
            <w:tcW w:w="1937" w:type="dxa"/>
            <w:gridSpan w:val="2"/>
            <w:vAlign w:val="center"/>
          </w:tcPr>
          <w:p>
            <w:pPr>
              <w:pStyle w:val="64"/>
              <w:rPr>
                <w:rFonts w:hAnsi="宋体"/>
                <w:highlight w:val="none"/>
              </w:rPr>
            </w:pPr>
            <w:r>
              <w:rPr>
                <w:rFonts w:hAnsi="宋体"/>
                <w:spacing w:val="-1"/>
                <w:highlight w:val="none"/>
              </w:rPr>
              <w:t>污</w:t>
            </w:r>
            <w:r>
              <w:rPr>
                <w:rFonts w:hAnsi="宋体"/>
                <w:spacing w:val="2"/>
                <w:highlight w:val="none"/>
              </w:rPr>
              <w:t>染</w:t>
            </w:r>
            <w:r>
              <w:rPr>
                <w:rFonts w:hAnsi="宋体"/>
                <w:highlight w:val="none"/>
              </w:rPr>
              <w:t>源</w:t>
            </w:r>
          </w:p>
        </w:tc>
        <w:tc>
          <w:tcPr>
            <w:tcW w:w="5286" w:type="dxa"/>
            <w:vAlign w:val="center"/>
          </w:tcPr>
          <w:p>
            <w:pPr>
              <w:pStyle w:val="64"/>
              <w:rPr>
                <w:rFonts w:hAnsi="宋体"/>
                <w:highlight w:val="none"/>
              </w:rPr>
            </w:pPr>
            <w:r>
              <w:rPr>
                <w:rFonts w:hAnsi="宋体"/>
                <w:spacing w:val="-1"/>
                <w:highlight w:val="none"/>
              </w:rPr>
              <w:t>措</w:t>
            </w:r>
            <w:r>
              <w:rPr>
                <w:rFonts w:hAnsi="宋体"/>
                <w:spacing w:val="2"/>
                <w:highlight w:val="none"/>
              </w:rPr>
              <w:t>施</w:t>
            </w:r>
            <w:r>
              <w:rPr>
                <w:rFonts w:hAnsi="宋体"/>
                <w:spacing w:val="-1"/>
                <w:highlight w:val="none"/>
              </w:rPr>
              <w:t>内</w:t>
            </w:r>
            <w:r>
              <w:rPr>
                <w:rFonts w:hAnsi="宋体"/>
                <w:highlight w:val="none"/>
              </w:rPr>
              <w:t>容</w:t>
            </w:r>
          </w:p>
        </w:tc>
        <w:tc>
          <w:tcPr>
            <w:tcW w:w="950" w:type="dxa"/>
            <w:vAlign w:val="center"/>
          </w:tcPr>
          <w:p>
            <w:pPr>
              <w:pStyle w:val="64"/>
              <w:rPr>
                <w:rFonts w:hAnsi="宋体"/>
                <w:highlight w:val="none"/>
              </w:rPr>
            </w:pPr>
            <w:r>
              <w:rPr>
                <w:rFonts w:hAnsi="宋体"/>
                <w:spacing w:val="-9"/>
                <w:highlight w:val="none"/>
              </w:rPr>
              <w:t>投</w:t>
            </w:r>
            <w:r>
              <w:rPr>
                <w:rFonts w:hAnsi="宋体"/>
                <w:spacing w:val="-62"/>
                <w:highlight w:val="none"/>
              </w:rPr>
              <w:t>资</w:t>
            </w:r>
            <w:r>
              <w:rPr>
                <w:rFonts w:hAnsi="宋体"/>
                <w:spacing w:val="-6"/>
                <w:highlight w:val="none"/>
              </w:rPr>
              <w:t>（</w:t>
            </w:r>
            <w:r>
              <w:rPr>
                <w:rFonts w:hAnsi="宋体"/>
                <w:spacing w:val="-9"/>
                <w:highlight w:val="none"/>
              </w:rPr>
              <w:t>万</w:t>
            </w:r>
            <w:r>
              <w:rPr>
                <w:rFonts w:hAnsi="宋体"/>
                <w:highlight w:val="none"/>
              </w:rPr>
              <w:t>元</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restart"/>
            <w:vAlign w:val="center"/>
          </w:tcPr>
          <w:p>
            <w:pPr>
              <w:pStyle w:val="64"/>
              <w:rPr>
                <w:rFonts w:hAnsi="宋体"/>
                <w:highlight w:val="none"/>
              </w:rPr>
            </w:pPr>
            <w:r>
              <w:rPr>
                <w:rFonts w:hAnsi="宋体"/>
                <w:spacing w:val="-1"/>
                <w:highlight w:val="none"/>
              </w:rPr>
              <w:t>废</w:t>
            </w:r>
            <w:r>
              <w:rPr>
                <w:rFonts w:hAnsi="宋体"/>
                <w:highlight w:val="none"/>
              </w:rPr>
              <w:t>气</w:t>
            </w:r>
          </w:p>
        </w:tc>
        <w:tc>
          <w:tcPr>
            <w:tcW w:w="1135" w:type="dxa"/>
            <w:vAlign w:val="center"/>
          </w:tcPr>
          <w:p>
            <w:pPr>
              <w:pStyle w:val="64"/>
              <w:rPr>
                <w:rFonts w:hAnsi="宋体"/>
                <w:highlight w:val="none"/>
              </w:rPr>
            </w:pPr>
            <w:r>
              <w:rPr>
                <w:rFonts w:hAnsi="宋体"/>
                <w:spacing w:val="-1"/>
                <w:highlight w:val="none"/>
              </w:rPr>
              <w:t>破</w:t>
            </w:r>
            <w:r>
              <w:rPr>
                <w:rFonts w:hAnsi="宋体"/>
                <w:spacing w:val="2"/>
                <w:highlight w:val="none"/>
              </w:rPr>
              <w:t>碎、</w:t>
            </w:r>
            <w:r>
              <w:rPr>
                <w:rFonts w:hAnsi="宋体"/>
                <w:highlight w:val="none"/>
              </w:rPr>
              <w:t>筛</w:t>
            </w:r>
          </w:p>
          <w:p>
            <w:pPr>
              <w:pStyle w:val="64"/>
              <w:rPr>
                <w:rFonts w:hAnsi="宋体"/>
                <w:highlight w:val="none"/>
              </w:rPr>
            </w:pPr>
            <w:r>
              <w:rPr>
                <w:rFonts w:hAnsi="宋体"/>
                <w:spacing w:val="-1"/>
                <w:w w:val="95"/>
                <w:highlight w:val="none"/>
              </w:rPr>
              <w:t>分</w:t>
            </w:r>
            <w:r>
              <w:rPr>
                <w:rFonts w:hAnsi="宋体"/>
                <w:spacing w:val="1"/>
                <w:w w:val="95"/>
                <w:highlight w:val="none"/>
              </w:rPr>
              <w:t>、</w:t>
            </w:r>
            <w:r>
              <w:rPr>
                <w:rFonts w:hAnsi="宋体"/>
                <w:spacing w:val="-1"/>
                <w:w w:val="95"/>
                <w:highlight w:val="none"/>
              </w:rPr>
              <w:t>干</w:t>
            </w:r>
            <w:r>
              <w:rPr>
                <w:rFonts w:hAnsi="宋体"/>
                <w:w w:val="95"/>
                <w:highlight w:val="none"/>
              </w:rPr>
              <w:t>选</w:t>
            </w:r>
            <w:r>
              <w:rPr>
                <w:rFonts w:hAnsi="宋体"/>
                <w:spacing w:val="-1"/>
                <w:highlight w:val="none"/>
              </w:rPr>
              <w:t>工</w:t>
            </w:r>
            <w:r>
              <w:rPr>
                <w:rFonts w:hAnsi="宋体"/>
                <w:highlight w:val="none"/>
              </w:rPr>
              <w:t>段</w:t>
            </w:r>
          </w:p>
        </w:tc>
        <w:tc>
          <w:tcPr>
            <w:tcW w:w="802" w:type="dxa"/>
            <w:vAlign w:val="center"/>
          </w:tcPr>
          <w:p>
            <w:pPr>
              <w:pStyle w:val="64"/>
              <w:rPr>
                <w:rFonts w:hAnsi="宋体"/>
                <w:highlight w:val="none"/>
              </w:rPr>
            </w:pPr>
            <w:r>
              <w:rPr>
                <w:rFonts w:hAnsi="宋体"/>
                <w:spacing w:val="-1"/>
                <w:highlight w:val="none"/>
              </w:rPr>
              <w:t>粉</w:t>
            </w:r>
            <w:r>
              <w:rPr>
                <w:rFonts w:hAnsi="宋体"/>
                <w:highlight w:val="none"/>
              </w:rPr>
              <w:t>尘</w:t>
            </w:r>
          </w:p>
        </w:tc>
        <w:tc>
          <w:tcPr>
            <w:tcW w:w="5286" w:type="dxa"/>
            <w:vAlign w:val="center"/>
          </w:tcPr>
          <w:p>
            <w:pPr>
              <w:pStyle w:val="64"/>
              <w:rPr>
                <w:rFonts w:hAnsi="宋体"/>
                <w:highlight w:val="none"/>
              </w:rPr>
            </w:pPr>
            <w:r>
              <w:rPr>
                <w:rFonts w:hAnsi="宋体"/>
                <w:spacing w:val="-1"/>
                <w:w w:val="95"/>
                <w:highlight w:val="none"/>
              </w:rPr>
              <w:t>封</w:t>
            </w:r>
            <w:r>
              <w:rPr>
                <w:rFonts w:hAnsi="宋体"/>
                <w:spacing w:val="1"/>
                <w:w w:val="95"/>
                <w:highlight w:val="none"/>
              </w:rPr>
              <w:t>闭</w:t>
            </w:r>
            <w:r>
              <w:rPr>
                <w:rFonts w:hAnsi="宋体"/>
                <w:spacing w:val="-1"/>
                <w:w w:val="95"/>
                <w:highlight w:val="none"/>
              </w:rPr>
              <w:t>车</w:t>
            </w:r>
            <w:r>
              <w:rPr>
                <w:rFonts w:hAnsi="宋体"/>
                <w:spacing w:val="1"/>
                <w:w w:val="95"/>
                <w:highlight w:val="none"/>
              </w:rPr>
              <w:t>间</w:t>
            </w:r>
            <w:r>
              <w:rPr>
                <w:rFonts w:hAnsi="宋体"/>
                <w:spacing w:val="-24"/>
                <w:w w:val="95"/>
                <w:highlight w:val="none"/>
              </w:rPr>
              <w:t>，</w:t>
            </w:r>
            <w:r>
              <w:rPr>
                <w:rFonts w:hAnsi="宋体"/>
                <w:spacing w:val="-1"/>
                <w:w w:val="95"/>
                <w:highlight w:val="none"/>
              </w:rPr>
              <w:t>产</w:t>
            </w:r>
            <w:r>
              <w:rPr>
                <w:rFonts w:hAnsi="宋体"/>
                <w:spacing w:val="1"/>
                <w:w w:val="95"/>
                <w:highlight w:val="none"/>
              </w:rPr>
              <w:t>尘</w:t>
            </w:r>
            <w:r>
              <w:rPr>
                <w:rFonts w:hAnsi="宋体"/>
                <w:spacing w:val="-1"/>
                <w:w w:val="95"/>
                <w:highlight w:val="none"/>
              </w:rPr>
              <w:t>点</w:t>
            </w:r>
            <w:r>
              <w:rPr>
                <w:rFonts w:hAnsi="宋体"/>
                <w:spacing w:val="1"/>
                <w:w w:val="95"/>
                <w:highlight w:val="none"/>
              </w:rPr>
              <w:t>分</w:t>
            </w:r>
            <w:r>
              <w:rPr>
                <w:rFonts w:hAnsi="宋体"/>
                <w:spacing w:val="-1"/>
                <w:w w:val="95"/>
                <w:highlight w:val="none"/>
              </w:rPr>
              <w:t>别</w:t>
            </w:r>
            <w:r>
              <w:rPr>
                <w:rFonts w:hAnsi="宋体"/>
                <w:spacing w:val="1"/>
                <w:w w:val="95"/>
                <w:highlight w:val="none"/>
              </w:rPr>
              <w:t>设</w:t>
            </w:r>
            <w:r>
              <w:rPr>
                <w:rFonts w:hAnsi="宋体"/>
                <w:spacing w:val="-1"/>
                <w:w w:val="95"/>
                <w:highlight w:val="none"/>
              </w:rPr>
              <w:t>集</w:t>
            </w:r>
            <w:r>
              <w:rPr>
                <w:rFonts w:hAnsi="宋体"/>
                <w:spacing w:val="1"/>
                <w:w w:val="95"/>
                <w:highlight w:val="none"/>
              </w:rPr>
              <w:t>气罩</w:t>
            </w:r>
            <w:r>
              <w:rPr>
                <w:rFonts w:hAnsi="宋体"/>
                <w:spacing w:val="-24"/>
                <w:w w:val="95"/>
                <w:highlight w:val="none"/>
              </w:rPr>
              <w:t>，</w:t>
            </w:r>
            <w:r>
              <w:rPr>
                <w:rFonts w:hAnsi="宋体"/>
                <w:spacing w:val="-1"/>
                <w:w w:val="95"/>
                <w:highlight w:val="none"/>
              </w:rPr>
              <w:t>共</w:t>
            </w:r>
            <w:r>
              <w:rPr>
                <w:rFonts w:hAnsi="宋体"/>
                <w:spacing w:val="1"/>
                <w:w w:val="95"/>
                <w:highlight w:val="none"/>
              </w:rPr>
              <w:t>用</w:t>
            </w:r>
            <w:r>
              <w:rPr>
                <w:rFonts w:hAnsi="宋体"/>
                <w:spacing w:val="-1"/>
                <w:w w:val="95"/>
                <w:highlight w:val="none"/>
              </w:rPr>
              <w:t>一</w:t>
            </w:r>
            <w:r>
              <w:rPr>
                <w:rFonts w:hAnsi="宋体"/>
                <w:spacing w:val="1"/>
                <w:w w:val="95"/>
                <w:highlight w:val="none"/>
              </w:rPr>
              <w:t>台</w:t>
            </w:r>
            <w:r>
              <w:rPr>
                <w:rFonts w:hAnsi="宋体"/>
                <w:spacing w:val="-1"/>
                <w:w w:val="95"/>
                <w:highlight w:val="none"/>
              </w:rPr>
              <w:t>布</w:t>
            </w:r>
            <w:r>
              <w:rPr>
                <w:rFonts w:hAnsi="宋体"/>
                <w:spacing w:val="1"/>
                <w:w w:val="95"/>
                <w:highlight w:val="none"/>
              </w:rPr>
              <w:t>袋</w:t>
            </w:r>
            <w:r>
              <w:rPr>
                <w:rFonts w:hAnsi="宋体"/>
                <w:w w:val="95"/>
                <w:highlight w:val="none"/>
              </w:rPr>
              <w:t>除</w:t>
            </w:r>
            <w:r>
              <w:rPr>
                <w:rFonts w:hAnsi="宋体"/>
                <w:spacing w:val="-1"/>
                <w:highlight w:val="none"/>
              </w:rPr>
              <w:t>尘</w:t>
            </w:r>
            <w:r>
              <w:rPr>
                <w:rFonts w:hAnsi="宋体"/>
                <w:spacing w:val="2"/>
                <w:highlight w:val="none"/>
              </w:rPr>
              <w:t>器，</w:t>
            </w:r>
            <w:r>
              <w:rPr>
                <w:rFonts w:hAnsi="宋体"/>
                <w:spacing w:val="-1"/>
                <w:highlight w:val="none"/>
              </w:rPr>
              <w:t>集</w:t>
            </w:r>
            <w:r>
              <w:rPr>
                <w:rFonts w:hAnsi="宋体"/>
                <w:spacing w:val="2"/>
                <w:highlight w:val="none"/>
              </w:rPr>
              <w:t>气</w:t>
            </w:r>
            <w:r>
              <w:rPr>
                <w:rFonts w:hAnsi="宋体"/>
                <w:spacing w:val="-1"/>
                <w:highlight w:val="none"/>
              </w:rPr>
              <w:t>效</w:t>
            </w:r>
            <w:r>
              <w:rPr>
                <w:rFonts w:hAnsi="宋体"/>
                <w:highlight w:val="none"/>
              </w:rPr>
              <w:t>率</w:t>
            </w:r>
            <w:r>
              <w:rPr>
                <w:rFonts w:hAnsi="宋体" w:cs="hakuyoxingshu7000"/>
                <w:spacing w:val="1"/>
                <w:highlight w:val="none"/>
              </w:rPr>
              <w:t>95</w:t>
            </w:r>
            <w:r>
              <w:rPr>
                <w:rFonts w:hAnsi="宋体" w:cs="hakuyoxingshu7000"/>
                <w:highlight w:val="none"/>
              </w:rPr>
              <w:t>%</w:t>
            </w:r>
            <w:r>
              <w:rPr>
                <w:rFonts w:hAnsi="宋体"/>
                <w:spacing w:val="-1"/>
                <w:highlight w:val="none"/>
              </w:rPr>
              <w:t>、</w:t>
            </w:r>
            <w:r>
              <w:rPr>
                <w:rFonts w:hAnsi="宋体"/>
                <w:spacing w:val="2"/>
                <w:highlight w:val="none"/>
              </w:rPr>
              <w:t>除</w:t>
            </w:r>
            <w:r>
              <w:rPr>
                <w:rFonts w:hAnsi="宋体"/>
                <w:spacing w:val="-1"/>
                <w:highlight w:val="none"/>
              </w:rPr>
              <w:t>尘</w:t>
            </w:r>
            <w:r>
              <w:rPr>
                <w:rFonts w:hAnsi="宋体"/>
                <w:spacing w:val="2"/>
                <w:highlight w:val="none"/>
              </w:rPr>
              <w:t>效</w:t>
            </w:r>
            <w:r>
              <w:rPr>
                <w:rFonts w:hAnsi="宋体"/>
                <w:highlight w:val="none"/>
              </w:rPr>
              <w:t>率</w:t>
            </w:r>
            <w:r>
              <w:rPr>
                <w:rFonts w:hAnsi="宋体" w:cs="hakuyoxingshu7000"/>
                <w:spacing w:val="1"/>
                <w:highlight w:val="none"/>
              </w:rPr>
              <w:t>99</w:t>
            </w:r>
            <w:r>
              <w:rPr>
                <w:rFonts w:hAnsi="宋体" w:cs="hakuyoxingshu7000"/>
                <w:spacing w:val="-2"/>
                <w:highlight w:val="none"/>
              </w:rPr>
              <w:t>%</w:t>
            </w:r>
            <w:r>
              <w:rPr>
                <w:rFonts w:hAnsi="宋体"/>
                <w:spacing w:val="-1"/>
                <w:highlight w:val="none"/>
              </w:rPr>
              <w:t>以</w:t>
            </w:r>
            <w:r>
              <w:rPr>
                <w:rFonts w:hAnsi="宋体"/>
                <w:highlight w:val="none"/>
              </w:rPr>
              <w:t>上</w:t>
            </w:r>
          </w:p>
        </w:tc>
        <w:tc>
          <w:tcPr>
            <w:tcW w:w="950" w:type="dxa"/>
            <w:vAlign w:val="center"/>
          </w:tcPr>
          <w:p>
            <w:pPr>
              <w:pStyle w:val="64"/>
              <w:rPr>
                <w:rFonts w:hAnsi="宋体" w:cs="hakuyoxingshu7000"/>
                <w:highlight w:val="none"/>
              </w:rPr>
            </w:pPr>
            <w:r>
              <w:rPr>
                <w:rFonts w:hint="eastAsia" w:hAnsi="宋体" w:cs="hakuyoxingshu7000"/>
                <w:spacing w:val="1"/>
                <w:highlight w:val="none"/>
              </w:rPr>
              <w:t>2</w:t>
            </w:r>
            <w:r>
              <w:rPr>
                <w:rFonts w:hAnsi="宋体" w:cs="hakuyoxingshu7000"/>
                <w:highlight w:val="none"/>
              </w:rPr>
              <w:t>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135" w:type="dxa"/>
            <w:vAlign w:val="center"/>
          </w:tcPr>
          <w:p>
            <w:pPr>
              <w:pStyle w:val="64"/>
              <w:rPr>
                <w:rFonts w:hAnsi="宋体"/>
                <w:highlight w:val="none"/>
              </w:rPr>
            </w:pPr>
            <w:r>
              <w:rPr>
                <w:rFonts w:hAnsi="宋体"/>
                <w:spacing w:val="-1"/>
                <w:highlight w:val="none"/>
              </w:rPr>
              <w:t>原</w:t>
            </w:r>
            <w:r>
              <w:rPr>
                <w:rFonts w:hAnsi="宋体"/>
                <w:spacing w:val="2"/>
                <w:highlight w:val="none"/>
              </w:rPr>
              <w:t>矿</w:t>
            </w:r>
            <w:r>
              <w:rPr>
                <w:rFonts w:hAnsi="宋体"/>
                <w:spacing w:val="-1"/>
                <w:highlight w:val="none"/>
              </w:rPr>
              <w:t>、</w:t>
            </w:r>
            <w:r>
              <w:rPr>
                <w:rFonts w:hAnsi="宋体"/>
                <w:highlight w:val="none"/>
              </w:rPr>
              <w:t>精</w:t>
            </w:r>
          </w:p>
          <w:p>
            <w:pPr>
              <w:pStyle w:val="64"/>
              <w:rPr>
                <w:rFonts w:hAnsi="宋体"/>
                <w:highlight w:val="none"/>
              </w:rPr>
            </w:pPr>
            <w:r>
              <w:rPr>
                <w:rFonts w:hAnsi="宋体"/>
                <w:spacing w:val="-1"/>
                <w:highlight w:val="none"/>
              </w:rPr>
              <w:t>矿</w:t>
            </w:r>
            <w:r>
              <w:rPr>
                <w:rFonts w:hAnsi="宋体"/>
                <w:spacing w:val="2"/>
                <w:highlight w:val="none"/>
              </w:rPr>
              <w:t>堆</w:t>
            </w:r>
            <w:r>
              <w:rPr>
                <w:rFonts w:hAnsi="宋体"/>
                <w:highlight w:val="none"/>
              </w:rPr>
              <w:t>存</w:t>
            </w:r>
          </w:p>
        </w:tc>
        <w:tc>
          <w:tcPr>
            <w:tcW w:w="802" w:type="dxa"/>
            <w:vAlign w:val="center"/>
          </w:tcPr>
          <w:p>
            <w:pPr>
              <w:pStyle w:val="64"/>
              <w:rPr>
                <w:rFonts w:hAnsi="宋体"/>
                <w:highlight w:val="none"/>
              </w:rPr>
            </w:pPr>
            <w:r>
              <w:rPr>
                <w:rFonts w:hAnsi="宋体"/>
                <w:spacing w:val="-1"/>
                <w:highlight w:val="none"/>
              </w:rPr>
              <w:t>粉</w:t>
            </w:r>
            <w:r>
              <w:rPr>
                <w:rFonts w:hAnsi="宋体"/>
                <w:highlight w:val="none"/>
              </w:rPr>
              <w:t>尘</w:t>
            </w:r>
          </w:p>
        </w:tc>
        <w:tc>
          <w:tcPr>
            <w:tcW w:w="5286" w:type="dxa"/>
            <w:vAlign w:val="center"/>
          </w:tcPr>
          <w:p>
            <w:pPr>
              <w:pStyle w:val="64"/>
              <w:rPr>
                <w:rFonts w:hAnsi="宋体"/>
                <w:highlight w:val="none"/>
              </w:rPr>
            </w:pPr>
            <w:r>
              <w:rPr>
                <w:rFonts w:hAnsi="宋体"/>
                <w:spacing w:val="-1"/>
                <w:highlight w:val="none"/>
              </w:rPr>
              <w:t>地</w:t>
            </w:r>
            <w:r>
              <w:rPr>
                <w:rFonts w:hAnsi="宋体"/>
                <w:spacing w:val="2"/>
                <w:highlight w:val="none"/>
              </w:rPr>
              <w:t>面</w:t>
            </w:r>
            <w:r>
              <w:rPr>
                <w:rFonts w:hAnsi="宋体"/>
                <w:spacing w:val="-1"/>
                <w:highlight w:val="none"/>
              </w:rPr>
              <w:t>全</w:t>
            </w:r>
            <w:r>
              <w:rPr>
                <w:rFonts w:hAnsi="宋体"/>
                <w:spacing w:val="2"/>
                <w:highlight w:val="none"/>
              </w:rPr>
              <w:t>部</w:t>
            </w:r>
            <w:r>
              <w:rPr>
                <w:rFonts w:hAnsi="宋体"/>
                <w:spacing w:val="-1"/>
                <w:highlight w:val="none"/>
              </w:rPr>
              <w:t>硬</w:t>
            </w:r>
            <w:r>
              <w:rPr>
                <w:rFonts w:hAnsi="宋体"/>
                <w:spacing w:val="2"/>
                <w:highlight w:val="none"/>
              </w:rPr>
              <w:t>化</w:t>
            </w:r>
            <w:r>
              <w:rPr>
                <w:rFonts w:hAnsi="宋体"/>
                <w:spacing w:val="-1"/>
                <w:highlight w:val="none"/>
              </w:rPr>
              <w:t>，</w:t>
            </w:r>
            <w:r>
              <w:rPr>
                <w:rFonts w:hAnsi="宋体"/>
                <w:spacing w:val="2"/>
                <w:highlight w:val="none"/>
              </w:rPr>
              <w:t>设</w:t>
            </w:r>
            <w:r>
              <w:rPr>
                <w:rFonts w:hAnsi="宋体"/>
                <w:spacing w:val="-1"/>
                <w:highlight w:val="none"/>
              </w:rPr>
              <w:t>置</w:t>
            </w:r>
            <w:r>
              <w:rPr>
                <w:rFonts w:hAnsi="宋体"/>
                <w:spacing w:val="2"/>
                <w:highlight w:val="none"/>
              </w:rPr>
              <w:t>全</w:t>
            </w:r>
            <w:r>
              <w:rPr>
                <w:rFonts w:hAnsi="宋体"/>
                <w:spacing w:val="-1"/>
                <w:highlight w:val="none"/>
              </w:rPr>
              <w:t>封</w:t>
            </w:r>
            <w:r>
              <w:rPr>
                <w:rFonts w:hAnsi="宋体"/>
                <w:spacing w:val="2"/>
                <w:highlight w:val="none"/>
              </w:rPr>
              <w:t>闭</w:t>
            </w:r>
            <w:r>
              <w:rPr>
                <w:rFonts w:hAnsi="宋体"/>
                <w:spacing w:val="-1"/>
                <w:highlight w:val="none"/>
              </w:rPr>
              <w:t>钢</w:t>
            </w:r>
            <w:r>
              <w:rPr>
                <w:rFonts w:hAnsi="宋体"/>
                <w:spacing w:val="2"/>
                <w:highlight w:val="none"/>
              </w:rPr>
              <w:t>结</w:t>
            </w:r>
            <w:r>
              <w:rPr>
                <w:rFonts w:hAnsi="宋体"/>
                <w:spacing w:val="-1"/>
                <w:highlight w:val="none"/>
              </w:rPr>
              <w:t>构</w:t>
            </w:r>
            <w:r>
              <w:rPr>
                <w:rFonts w:hAnsi="宋体"/>
                <w:spacing w:val="2"/>
                <w:highlight w:val="none"/>
              </w:rPr>
              <w:t>原</w:t>
            </w:r>
            <w:r>
              <w:rPr>
                <w:rFonts w:hAnsi="宋体"/>
                <w:spacing w:val="-1"/>
                <w:highlight w:val="none"/>
              </w:rPr>
              <w:t>料</w:t>
            </w:r>
            <w:r>
              <w:rPr>
                <w:rFonts w:hAnsi="宋体"/>
                <w:spacing w:val="2"/>
                <w:highlight w:val="none"/>
              </w:rPr>
              <w:t>库</w:t>
            </w:r>
            <w:r>
              <w:rPr>
                <w:rFonts w:hAnsi="宋体"/>
                <w:spacing w:val="-1"/>
                <w:highlight w:val="none"/>
              </w:rPr>
              <w:t>及</w:t>
            </w:r>
            <w:r>
              <w:rPr>
                <w:rFonts w:hAnsi="宋体"/>
                <w:spacing w:val="2"/>
                <w:highlight w:val="none"/>
              </w:rPr>
              <w:t>成</w:t>
            </w:r>
            <w:r>
              <w:rPr>
                <w:rFonts w:hAnsi="宋体"/>
                <w:highlight w:val="none"/>
              </w:rPr>
              <w:t>品</w:t>
            </w:r>
            <w:r>
              <w:rPr>
                <w:rFonts w:hAnsi="宋体"/>
                <w:spacing w:val="2"/>
                <w:highlight w:val="none"/>
              </w:rPr>
              <w:t>库</w:t>
            </w:r>
            <w:r>
              <w:rPr>
                <w:rFonts w:hAnsi="宋体"/>
                <w:spacing w:val="-1"/>
                <w:highlight w:val="none"/>
              </w:rPr>
              <w:t>，配</w:t>
            </w:r>
            <w:r>
              <w:rPr>
                <w:rFonts w:hAnsi="宋体"/>
                <w:spacing w:val="2"/>
                <w:highlight w:val="none"/>
              </w:rPr>
              <w:t>套</w:t>
            </w:r>
            <w:r>
              <w:rPr>
                <w:rFonts w:hAnsi="宋体"/>
                <w:spacing w:val="-1"/>
                <w:highlight w:val="none"/>
              </w:rPr>
              <w:t>雾</w:t>
            </w:r>
            <w:r>
              <w:rPr>
                <w:rFonts w:hAnsi="宋体"/>
                <w:spacing w:val="2"/>
                <w:highlight w:val="none"/>
              </w:rPr>
              <w:t>化</w:t>
            </w:r>
            <w:r>
              <w:rPr>
                <w:rFonts w:hAnsi="宋体"/>
                <w:spacing w:val="-1"/>
                <w:highlight w:val="none"/>
              </w:rPr>
              <w:t>喷</w:t>
            </w:r>
            <w:r>
              <w:rPr>
                <w:rFonts w:hAnsi="宋体"/>
                <w:spacing w:val="2"/>
                <w:highlight w:val="none"/>
              </w:rPr>
              <w:t>淋</w:t>
            </w:r>
            <w:r>
              <w:rPr>
                <w:rFonts w:hAnsi="宋体"/>
                <w:spacing w:val="-1"/>
                <w:highlight w:val="none"/>
              </w:rPr>
              <w:t>设</w:t>
            </w:r>
            <w:r>
              <w:rPr>
                <w:rFonts w:hAnsi="宋体"/>
                <w:spacing w:val="2"/>
                <w:highlight w:val="none"/>
              </w:rPr>
              <w:t>施</w:t>
            </w:r>
            <w:r>
              <w:rPr>
                <w:rFonts w:hAnsi="宋体"/>
                <w:spacing w:val="-1"/>
                <w:highlight w:val="none"/>
              </w:rPr>
              <w:t>抑</w:t>
            </w:r>
            <w:r>
              <w:rPr>
                <w:rFonts w:hAnsi="宋体"/>
                <w:highlight w:val="none"/>
              </w:rPr>
              <w:t>尘</w:t>
            </w:r>
          </w:p>
        </w:tc>
        <w:tc>
          <w:tcPr>
            <w:tcW w:w="950" w:type="dxa"/>
            <w:vAlign w:val="center"/>
          </w:tcPr>
          <w:p>
            <w:pPr>
              <w:pStyle w:val="64"/>
              <w:rPr>
                <w:rFonts w:hAnsi="宋体" w:cs="hakuyoxingshu7000"/>
                <w:highlight w:val="none"/>
              </w:rPr>
            </w:pPr>
            <w:r>
              <w:rPr>
                <w:rFonts w:hint="eastAsia" w:hAnsi="宋体" w:cs="hakuyoxingshu7000"/>
                <w:spacing w:val="1"/>
                <w:highlight w:val="none"/>
              </w:rPr>
              <w:t>计</w:t>
            </w:r>
            <w:r>
              <w:rPr>
                <w:rFonts w:hAnsi="宋体" w:cs="hakuyoxingshu7000"/>
                <w:spacing w:val="1"/>
                <w:highlight w:val="none"/>
              </w:rPr>
              <w:t>入工程成本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7" w:type="dxa"/>
            <w:vMerge w:val="continue"/>
            <w:vAlign w:val="center"/>
          </w:tcPr>
          <w:p>
            <w:pPr>
              <w:pStyle w:val="64"/>
              <w:rPr>
                <w:rFonts w:hAnsi="宋体"/>
                <w:highlight w:val="none"/>
              </w:rPr>
            </w:pPr>
          </w:p>
        </w:tc>
        <w:tc>
          <w:tcPr>
            <w:tcW w:w="1135" w:type="dxa"/>
            <w:vAlign w:val="center"/>
          </w:tcPr>
          <w:p>
            <w:pPr>
              <w:pStyle w:val="64"/>
              <w:rPr>
                <w:rFonts w:hAnsi="宋体"/>
                <w:highlight w:val="none"/>
              </w:rPr>
            </w:pPr>
            <w:r>
              <w:rPr>
                <w:rFonts w:hAnsi="宋体"/>
                <w:spacing w:val="-1"/>
                <w:highlight w:val="none"/>
              </w:rPr>
              <w:t>输</w:t>
            </w:r>
            <w:r>
              <w:rPr>
                <w:rFonts w:hAnsi="宋体"/>
                <w:spacing w:val="2"/>
                <w:highlight w:val="none"/>
              </w:rPr>
              <w:t>送</w:t>
            </w:r>
            <w:r>
              <w:rPr>
                <w:rFonts w:hAnsi="宋体"/>
                <w:spacing w:val="-1"/>
                <w:highlight w:val="none"/>
              </w:rPr>
              <w:t>转</w:t>
            </w:r>
            <w:r>
              <w:rPr>
                <w:rFonts w:hAnsi="宋体"/>
                <w:highlight w:val="none"/>
              </w:rPr>
              <w:t>运</w:t>
            </w:r>
          </w:p>
        </w:tc>
        <w:tc>
          <w:tcPr>
            <w:tcW w:w="802" w:type="dxa"/>
            <w:vAlign w:val="center"/>
          </w:tcPr>
          <w:p>
            <w:pPr>
              <w:pStyle w:val="64"/>
              <w:rPr>
                <w:rFonts w:hAnsi="宋体"/>
                <w:highlight w:val="none"/>
              </w:rPr>
            </w:pPr>
            <w:r>
              <w:rPr>
                <w:rFonts w:hAnsi="宋体"/>
                <w:spacing w:val="-1"/>
                <w:highlight w:val="none"/>
              </w:rPr>
              <w:t>粉</w:t>
            </w:r>
            <w:r>
              <w:rPr>
                <w:rFonts w:hAnsi="宋体"/>
                <w:highlight w:val="none"/>
              </w:rPr>
              <w:t>尘</w:t>
            </w:r>
          </w:p>
        </w:tc>
        <w:tc>
          <w:tcPr>
            <w:tcW w:w="5286" w:type="dxa"/>
            <w:vAlign w:val="center"/>
          </w:tcPr>
          <w:p>
            <w:pPr>
              <w:pStyle w:val="64"/>
              <w:rPr>
                <w:rFonts w:hAnsi="宋体"/>
                <w:highlight w:val="none"/>
              </w:rPr>
            </w:pPr>
            <w:r>
              <w:rPr>
                <w:rFonts w:hAnsi="宋体"/>
                <w:spacing w:val="-1"/>
                <w:highlight w:val="none"/>
              </w:rPr>
              <w:t>全</w:t>
            </w:r>
            <w:r>
              <w:rPr>
                <w:rFonts w:hAnsi="宋体"/>
                <w:spacing w:val="2"/>
                <w:highlight w:val="none"/>
              </w:rPr>
              <w:t>封</w:t>
            </w:r>
            <w:r>
              <w:rPr>
                <w:rFonts w:hAnsi="宋体"/>
                <w:spacing w:val="-1"/>
                <w:highlight w:val="none"/>
              </w:rPr>
              <w:t>闭</w:t>
            </w:r>
            <w:r>
              <w:rPr>
                <w:rFonts w:hAnsi="宋体"/>
                <w:spacing w:val="2"/>
                <w:highlight w:val="none"/>
              </w:rPr>
              <w:t>皮</w:t>
            </w:r>
            <w:r>
              <w:rPr>
                <w:rFonts w:hAnsi="宋体"/>
                <w:spacing w:val="-1"/>
                <w:highlight w:val="none"/>
              </w:rPr>
              <w:t>带</w:t>
            </w:r>
            <w:r>
              <w:rPr>
                <w:rFonts w:hAnsi="宋体"/>
                <w:spacing w:val="2"/>
                <w:highlight w:val="none"/>
              </w:rPr>
              <w:t>通</w:t>
            </w:r>
            <w:r>
              <w:rPr>
                <w:rFonts w:hAnsi="宋体"/>
                <w:spacing w:val="-1"/>
                <w:highlight w:val="none"/>
              </w:rPr>
              <w:t>廊</w:t>
            </w:r>
            <w:r>
              <w:rPr>
                <w:rFonts w:hAnsi="宋体"/>
                <w:spacing w:val="2"/>
                <w:highlight w:val="none"/>
              </w:rPr>
              <w:t>，</w:t>
            </w:r>
            <w:r>
              <w:rPr>
                <w:rFonts w:hAnsi="宋体"/>
                <w:spacing w:val="-1"/>
                <w:highlight w:val="none"/>
              </w:rPr>
              <w:t>湿</w:t>
            </w:r>
            <w:r>
              <w:rPr>
                <w:rFonts w:hAnsi="宋体"/>
                <w:spacing w:val="2"/>
                <w:highlight w:val="none"/>
              </w:rPr>
              <w:t>料</w:t>
            </w:r>
            <w:r>
              <w:rPr>
                <w:rFonts w:hAnsi="宋体"/>
                <w:spacing w:val="-1"/>
                <w:highlight w:val="none"/>
              </w:rPr>
              <w:t>，基</w:t>
            </w:r>
            <w:r>
              <w:rPr>
                <w:rFonts w:hAnsi="宋体"/>
                <w:spacing w:val="2"/>
                <w:highlight w:val="none"/>
              </w:rPr>
              <w:t>本</w:t>
            </w:r>
            <w:r>
              <w:rPr>
                <w:rFonts w:hAnsi="宋体"/>
                <w:spacing w:val="-1"/>
                <w:highlight w:val="none"/>
              </w:rPr>
              <w:t>不</w:t>
            </w:r>
            <w:r>
              <w:rPr>
                <w:rFonts w:hAnsi="宋体"/>
                <w:spacing w:val="2"/>
                <w:highlight w:val="none"/>
              </w:rPr>
              <w:t>产</w:t>
            </w:r>
            <w:r>
              <w:rPr>
                <w:rFonts w:hAnsi="宋体"/>
                <w:spacing w:val="-1"/>
                <w:highlight w:val="none"/>
              </w:rPr>
              <w:t>生</w:t>
            </w:r>
            <w:r>
              <w:rPr>
                <w:rFonts w:hAnsi="宋体"/>
                <w:spacing w:val="2"/>
                <w:highlight w:val="none"/>
              </w:rPr>
              <w:t>粉</w:t>
            </w:r>
            <w:r>
              <w:rPr>
                <w:rFonts w:hAnsi="宋体"/>
                <w:highlight w:val="none"/>
              </w:rPr>
              <w:t>尘</w:t>
            </w:r>
          </w:p>
        </w:tc>
        <w:tc>
          <w:tcPr>
            <w:tcW w:w="950" w:type="dxa"/>
            <w:vAlign w:val="center"/>
          </w:tcPr>
          <w:p>
            <w:pPr>
              <w:pStyle w:val="64"/>
              <w:rPr>
                <w:rFonts w:hAnsi="宋体" w:cs="hakuyoxingshu7000"/>
                <w:highlight w:val="none"/>
              </w:rPr>
            </w:pPr>
            <w:r>
              <w:rPr>
                <w:rFonts w:hint="eastAsia" w:hAnsi="宋体" w:cs="hakuyoxingshu7000"/>
                <w:spacing w:val="1"/>
                <w:highlight w:val="none"/>
              </w:rPr>
              <w:t>计</w:t>
            </w:r>
            <w:r>
              <w:rPr>
                <w:rFonts w:hAnsi="宋体" w:cs="hakuyoxingshu7000"/>
                <w:spacing w:val="1"/>
                <w:highlight w:val="none"/>
              </w:rPr>
              <w:t>入工程成本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135" w:type="dxa"/>
            <w:vAlign w:val="center"/>
          </w:tcPr>
          <w:p>
            <w:pPr>
              <w:pStyle w:val="64"/>
              <w:rPr>
                <w:rFonts w:hAnsi="宋体"/>
                <w:highlight w:val="none"/>
              </w:rPr>
            </w:pPr>
            <w:r>
              <w:rPr>
                <w:rFonts w:hAnsi="宋体"/>
                <w:spacing w:val="-1"/>
                <w:highlight w:val="none"/>
              </w:rPr>
              <w:t>运</w:t>
            </w:r>
            <w:r>
              <w:rPr>
                <w:rFonts w:hAnsi="宋体"/>
                <w:highlight w:val="none"/>
              </w:rPr>
              <w:t>输</w:t>
            </w:r>
          </w:p>
        </w:tc>
        <w:tc>
          <w:tcPr>
            <w:tcW w:w="802" w:type="dxa"/>
            <w:vAlign w:val="center"/>
          </w:tcPr>
          <w:p>
            <w:pPr>
              <w:pStyle w:val="64"/>
              <w:rPr>
                <w:rFonts w:hAnsi="宋体"/>
                <w:highlight w:val="none"/>
              </w:rPr>
            </w:pPr>
            <w:r>
              <w:rPr>
                <w:rFonts w:hAnsi="宋体"/>
                <w:spacing w:val="-1"/>
                <w:highlight w:val="none"/>
              </w:rPr>
              <w:t>粉</w:t>
            </w:r>
            <w:r>
              <w:rPr>
                <w:rFonts w:hAnsi="宋体"/>
                <w:highlight w:val="none"/>
              </w:rPr>
              <w:t>尘</w:t>
            </w:r>
          </w:p>
        </w:tc>
        <w:tc>
          <w:tcPr>
            <w:tcW w:w="5286" w:type="dxa"/>
            <w:vAlign w:val="center"/>
          </w:tcPr>
          <w:p>
            <w:pPr>
              <w:pStyle w:val="64"/>
              <w:rPr>
                <w:rFonts w:hAnsi="宋体" w:cs="hakuyoxingshu7000"/>
                <w:highlight w:val="none"/>
              </w:rPr>
            </w:pPr>
            <w:r>
              <w:rPr>
                <w:rFonts w:hAnsi="宋体"/>
                <w:spacing w:val="-1"/>
                <w:highlight w:val="none"/>
              </w:rPr>
              <w:t>洒</w:t>
            </w:r>
            <w:r>
              <w:rPr>
                <w:rFonts w:hAnsi="宋体"/>
                <w:spacing w:val="2"/>
                <w:highlight w:val="none"/>
              </w:rPr>
              <w:t>水</w:t>
            </w:r>
            <w:r>
              <w:rPr>
                <w:rFonts w:hAnsi="宋体"/>
                <w:spacing w:val="-1"/>
                <w:highlight w:val="none"/>
              </w:rPr>
              <w:t>抑</w:t>
            </w:r>
            <w:r>
              <w:rPr>
                <w:rFonts w:hAnsi="宋体"/>
                <w:spacing w:val="2"/>
                <w:highlight w:val="none"/>
              </w:rPr>
              <w:t>尘</w:t>
            </w:r>
            <w:r>
              <w:rPr>
                <w:rFonts w:hAnsi="宋体"/>
                <w:spacing w:val="-1"/>
                <w:highlight w:val="none"/>
              </w:rPr>
              <w:t>、</w:t>
            </w:r>
            <w:r>
              <w:rPr>
                <w:rFonts w:hAnsi="宋体"/>
                <w:spacing w:val="2"/>
                <w:highlight w:val="none"/>
              </w:rPr>
              <w:t>运</w:t>
            </w:r>
            <w:r>
              <w:rPr>
                <w:rFonts w:hAnsi="宋体"/>
                <w:spacing w:val="-1"/>
                <w:highlight w:val="none"/>
              </w:rPr>
              <w:t>输</w:t>
            </w:r>
            <w:r>
              <w:rPr>
                <w:rFonts w:hAnsi="宋体"/>
                <w:spacing w:val="2"/>
                <w:highlight w:val="none"/>
              </w:rPr>
              <w:t>车</w:t>
            </w:r>
            <w:r>
              <w:rPr>
                <w:rFonts w:hAnsi="宋体"/>
                <w:spacing w:val="-1"/>
                <w:highlight w:val="none"/>
              </w:rPr>
              <w:t>辆</w:t>
            </w:r>
            <w:r>
              <w:rPr>
                <w:rFonts w:hAnsi="宋体"/>
                <w:spacing w:val="2"/>
                <w:highlight w:val="none"/>
              </w:rPr>
              <w:t>遮</w:t>
            </w:r>
            <w:r>
              <w:rPr>
                <w:rFonts w:hAnsi="宋体"/>
                <w:spacing w:val="-1"/>
                <w:highlight w:val="none"/>
              </w:rPr>
              <w:t>盖</w:t>
            </w:r>
            <w:r>
              <w:rPr>
                <w:rFonts w:hAnsi="宋体"/>
                <w:spacing w:val="2"/>
                <w:highlight w:val="none"/>
              </w:rPr>
              <w:t>严</w:t>
            </w:r>
            <w:r>
              <w:rPr>
                <w:rFonts w:hAnsi="宋体"/>
                <w:spacing w:val="-1"/>
                <w:highlight w:val="none"/>
              </w:rPr>
              <w:t>实</w:t>
            </w:r>
            <w:r>
              <w:rPr>
                <w:rFonts w:hAnsi="宋体"/>
                <w:spacing w:val="2"/>
                <w:highlight w:val="none"/>
              </w:rPr>
              <w:t>等</w:t>
            </w:r>
            <w:r>
              <w:rPr>
                <w:rFonts w:hAnsi="宋体"/>
                <w:spacing w:val="-1"/>
                <w:highlight w:val="none"/>
              </w:rPr>
              <w:t>，</w:t>
            </w:r>
            <w:r>
              <w:rPr>
                <w:rFonts w:hAnsi="宋体"/>
                <w:spacing w:val="2"/>
                <w:highlight w:val="none"/>
              </w:rPr>
              <w:t>抑</w:t>
            </w:r>
            <w:r>
              <w:rPr>
                <w:rFonts w:hAnsi="宋体"/>
                <w:spacing w:val="-1"/>
                <w:highlight w:val="none"/>
              </w:rPr>
              <w:t>尘</w:t>
            </w:r>
            <w:r>
              <w:rPr>
                <w:rFonts w:hAnsi="宋体"/>
                <w:spacing w:val="2"/>
                <w:highlight w:val="none"/>
              </w:rPr>
              <w:t>效</w:t>
            </w:r>
            <w:r>
              <w:rPr>
                <w:rFonts w:hAnsi="宋体"/>
                <w:highlight w:val="none"/>
              </w:rPr>
              <w:t>率</w:t>
            </w:r>
            <w:r>
              <w:rPr>
                <w:rFonts w:hAnsi="宋体" w:cs="hakuyoxingshu7000"/>
                <w:spacing w:val="1"/>
                <w:highlight w:val="none"/>
              </w:rPr>
              <w:t>70</w:t>
            </w:r>
            <w:r>
              <w:rPr>
                <w:rFonts w:hAnsi="宋体" w:cs="hakuyoxingshu7000"/>
                <w:highlight w:val="none"/>
              </w:rPr>
              <w:t>%</w:t>
            </w:r>
          </w:p>
        </w:tc>
        <w:tc>
          <w:tcPr>
            <w:tcW w:w="950" w:type="dxa"/>
            <w:vAlign w:val="center"/>
          </w:tcPr>
          <w:p>
            <w:pPr>
              <w:pStyle w:val="64"/>
              <w:rPr>
                <w:rFonts w:hAnsi="宋体" w:cs="hakuyoxingshu7000"/>
                <w:highlight w:val="none"/>
              </w:rPr>
            </w:pPr>
            <w:r>
              <w:rPr>
                <w:rFonts w:hAnsi="宋体" w:cs="hakuyoxingshu7000"/>
                <w:w w:val="65"/>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135" w:type="dxa"/>
            <w:vAlign w:val="center"/>
          </w:tcPr>
          <w:p>
            <w:pPr>
              <w:pStyle w:val="64"/>
              <w:rPr>
                <w:rFonts w:hAnsi="宋体"/>
                <w:highlight w:val="none"/>
              </w:rPr>
            </w:pPr>
            <w:r>
              <w:rPr>
                <w:rFonts w:hAnsi="宋体"/>
                <w:spacing w:val="-1"/>
                <w:highlight w:val="none"/>
              </w:rPr>
              <w:t>尾矿库</w:t>
            </w:r>
          </w:p>
        </w:tc>
        <w:tc>
          <w:tcPr>
            <w:tcW w:w="802" w:type="dxa"/>
            <w:vAlign w:val="center"/>
          </w:tcPr>
          <w:p>
            <w:pPr>
              <w:pStyle w:val="64"/>
              <w:rPr>
                <w:rFonts w:hAnsi="宋体"/>
                <w:highlight w:val="none"/>
              </w:rPr>
            </w:pPr>
            <w:r>
              <w:rPr>
                <w:rFonts w:hAnsi="宋体"/>
                <w:spacing w:val="-1"/>
                <w:highlight w:val="none"/>
              </w:rPr>
              <w:t>粉</w:t>
            </w:r>
            <w:r>
              <w:rPr>
                <w:rFonts w:hAnsi="宋体"/>
                <w:highlight w:val="none"/>
              </w:rPr>
              <w:t>尘</w:t>
            </w:r>
          </w:p>
        </w:tc>
        <w:tc>
          <w:tcPr>
            <w:tcW w:w="5286" w:type="dxa"/>
            <w:vAlign w:val="center"/>
          </w:tcPr>
          <w:p>
            <w:pPr>
              <w:pStyle w:val="64"/>
              <w:rPr>
                <w:rFonts w:hAnsi="宋体"/>
                <w:highlight w:val="none"/>
              </w:rPr>
            </w:pPr>
            <w:r>
              <w:rPr>
                <w:rFonts w:hAnsi="宋体"/>
                <w:spacing w:val="-1"/>
                <w:highlight w:val="none"/>
              </w:rPr>
              <w:t>配</w:t>
            </w:r>
            <w:r>
              <w:rPr>
                <w:rFonts w:hAnsi="宋体"/>
                <w:highlight w:val="none"/>
              </w:rPr>
              <w:t>置</w:t>
            </w:r>
            <w:r>
              <w:rPr>
                <w:rFonts w:hAnsi="宋体" w:cs="hakuyoxingshu7000"/>
                <w:highlight w:val="none"/>
              </w:rPr>
              <w:t>1</w:t>
            </w:r>
            <w:r>
              <w:rPr>
                <w:rFonts w:hAnsi="宋体"/>
                <w:spacing w:val="-1"/>
                <w:highlight w:val="none"/>
              </w:rPr>
              <w:t>台</w:t>
            </w:r>
            <w:r>
              <w:rPr>
                <w:rFonts w:hAnsi="宋体"/>
                <w:spacing w:val="2"/>
                <w:highlight w:val="none"/>
              </w:rPr>
              <w:t>雾</w:t>
            </w:r>
            <w:r>
              <w:rPr>
                <w:rFonts w:hAnsi="宋体"/>
                <w:spacing w:val="-1"/>
                <w:highlight w:val="none"/>
              </w:rPr>
              <w:t>炮</w:t>
            </w:r>
            <w:r>
              <w:rPr>
                <w:rFonts w:hAnsi="宋体"/>
                <w:spacing w:val="2"/>
                <w:highlight w:val="none"/>
              </w:rPr>
              <w:t>车</w:t>
            </w:r>
            <w:r>
              <w:rPr>
                <w:rFonts w:hAnsi="宋体"/>
                <w:spacing w:val="-1"/>
                <w:highlight w:val="none"/>
              </w:rPr>
              <w:t>，</w:t>
            </w:r>
            <w:r>
              <w:rPr>
                <w:rFonts w:hAnsi="宋体"/>
                <w:spacing w:val="2"/>
                <w:highlight w:val="none"/>
              </w:rPr>
              <w:t>使</w:t>
            </w:r>
            <w:r>
              <w:rPr>
                <w:rFonts w:hAnsi="宋体"/>
                <w:spacing w:val="-1"/>
                <w:highlight w:val="none"/>
              </w:rPr>
              <w:t>用</w:t>
            </w:r>
            <w:r>
              <w:rPr>
                <w:rFonts w:hAnsi="宋体"/>
                <w:spacing w:val="2"/>
                <w:highlight w:val="none"/>
              </w:rPr>
              <w:t>雾</w:t>
            </w:r>
            <w:r>
              <w:rPr>
                <w:rFonts w:hAnsi="宋体"/>
                <w:spacing w:val="-1"/>
                <w:highlight w:val="none"/>
              </w:rPr>
              <w:t>炮</w:t>
            </w:r>
            <w:r>
              <w:rPr>
                <w:rFonts w:hAnsi="宋体"/>
                <w:spacing w:val="2"/>
                <w:highlight w:val="none"/>
              </w:rPr>
              <w:t>车</w:t>
            </w:r>
            <w:r>
              <w:rPr>
                <w:rFonts w:hAnsi="宋体"/>
                <w:spacing w:val="-1"/>
                <w:highlight w:val="none"/>
              </w:rPr>
              <w:t>定</w:t>
            </w:r>
            <w:r>
              <w:rPr>
                <w:rFonts w:hAnsi="宋体"/>
                <w:spacing w:val="2"/>
                <w:highlight w:val="none"/>
              </w:rPr>
              <w:t>时</w:t>
            </w:r>
            <w:r>
              <w:rPr>
                <w:rFonts w:hAnsi="宋体"/>
                <w:spacing w:val="-1"/>
                <w:highlight w:val="none"/>
              </w:rPr>
              <w:t>进</w:t>
            </w:r>
            <w:r>
              <w:rPr>
                <w:rFonts w:hAnsi="宋体"/>
                <w:spacing w:val="2"/>
                <w:highlight w:val="none"/>
              </w:rPr>
              <w:t>行</w:t>
            </w:r>
            <w:r>
              <w:rPr>
                <w:rFonts w:hAnsi="宋体"/>
                <w:spacing w:val="-1"/>
                <w:highlight w:val="none"/>
              </w:rPr>
              <w:t>洒</w:t>
            </w:r>
            <w:r>
              <w:rPr>
                <w:rFonts w:hAnsi="宋体"/>
                <w:spacing w:val="2"/>
                <w:highlight w:val="none"/>
              </w:rPr>
              <w:t>水</w:t>
            </w:r>
            <w:r>
              <w:rPr>
                <w:rFonts w:hAnsi="宋体"/>
                <w:spacing w:val="-1"/>
                <w:highlight w:val="none"/>
              </w:rPr>
              <w:t>抑</w:t>
            </w:r>
            <w:r>
              <w:rPr>
                <w:rFonts w:hAnsi="宋体"/>
                <w:highlight w:val="none"/>
              </w:rPr>
              <w:t>尘</w:t>
            </w:r>
          </w:p>
        </w:tc>
        <w:tc>
          <w:tcPr>
            <w:tcW w:w="950" w:type="dxa"/>
            <w:vAlign w:val="center"/>
          </w:tcPr>
          <w:p>
            <w:pPr>
              <w:pStyle w:val="64"/>
              <w:rPr>
                <w:rFonts w:hAnsi="宋体" w:cs="hakuyoxingshu7000"/>
                <w:highlight w:val="none"/>
              </w:rPr>
            </w:pPr>
            <w:r>
              <w:rPr>
                <w:rFonts w:hint="eastAsia" w:hAnsi="宋体" w:cs="hakuyoxingshu7000"/>
                <w:highlight w:val="none"/>
              </w:rPr>
              <w:t>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restart"/>
            <w:vAlign w:val="center"/>
          </w:tcPr>
          <w:p>
            <w:pPr>
              <w:pStyle w:val="64"/>
              <w:rPr>
                <w:rFonts w:hAnsi="宋体"/>
                <w:highlight w:val="none"/>
              </w:rPr>
            </w:pPr>
            <w:r>
              <w:rPr>
                <w:rFonts w:hAnsi="宋体"/>
                <w:spacing w:val="-1"/>
                <w:highlight w:val="none"/>
              </w:rPr>
              <w:t>废</w:t>
            </w:r>
            <w:r>
              <w:rPr>
                <w:rFonts w:hAnsi="宋体"/>
                <w:highlight w:val="none"/>
              </w:rPr>
              <w:t>水</w:t>
            </w:r>
          </w:p>
        </w:tc>
        <w:tc>
          <w:tcPr>
            <w:tcW w:w="1937" w:type="dxa"/>
            <w:gridSpan w:val="2"/>
            <w:vAlign w:val="center"/>
          </w:tcPr>
          <w:p>
            <w:pPr>
              <w:pStyle w:val="64"/>
              <w:rPr>
                <w:rFonts w:hAnsi="宋体"/>
                <w:highlight w:val="none"/>
              </w:rPr>
            </w:pPr>
            <w:r>
              <w:rPr>
                <w:rFonts w:hAnsi="宋体"/>
                <w:spacing w:val="-1"/>
                <w:highlight w:val="none"/>
              </w:rPr>
              <w:t>生</w:t>
            </w:r>
            <w:r>
              <w:rPr>
                <w:rFonts w:hAnsi="宋体"/>
                <w:spacing w:val="2"/>
                <w:highlight w:val="none"/>
              </w:rPr>
              <w:t>活</w:t>
            </w:r>
            <w:r>
              <w:rPr>
                <w:rFonts w:hAnsi="宋体"/>
                <w:spacing w:val="-1"/>
                <w:highlight w:val="none"/>
              </w:rPr>
              <w:t>污</w:t>
            </w:r>
            <w:r>
              <w:rPr>
                <w:rFonts w:hAnsi="宋体"/>
                <w:highlight w:val="none"/>
              </w:rPr>
              <w:t>水</w:t>
            </w:r>
          </w:p>
        </w:tc>
        <w:tc>
          <w:tcPr>
            <w:tcW w:w="5286" w:type="dxa"/>
            <w:vAlign w:val="center"/>
          </w:tcPr>
          <w:p>
            <w:pPr>
              <w:pStyle w:val="64"/>
              <w:rPr>
                <w:rFonts w:hAnsi="宋体"/>
                <w:highlight w:val="none"/>
              </w:rPr>
            </w:pPr>
            <w:r>
              <w:rPr>
                <w:rFonts w:hAnsi="宋体"/>
                <w:spacing w:val="-1"/>
                <w:highlight w:val="none"/>
              </w:rPr>
              <w:t>回</w:t>
            </w:r>
            <w:r>
              <w:rPr>
                <w:rFonts w:hAnsi="宋体"/>
                <w:spacing w:val="2"/>
                <w:highlight w:val="none"/>
              </w:rPr>
              <w:t>用</w:t>
            </w:r>
            <w:r>
              <w:rPr>
                <w:rFonts w:hAnsi="宋体"/>
                <w:spacing w:val="-1"/>
                <w:highlight w:val="none"/>
              </w:rPr>
              <w:t>于</w:t>
            </w:r>
            <w:r>
              <w:rPr>
                <w:rFonts w:hAnsi="宋体"/>
                <w:spacing w:val="2"/>
                <w:highlight w:val="none"/>
              </w:rPr>
              <w:t>厂</w:t>
            </w:r>
            <w:r>
              <w:rPr>
                <w:rFonts w:hAnsi="宋体"/>
                <w:spacing w:val="-1"/>
                <w:highlight w:val="none"/>
              </w:rPr>
              <w:t>区</w:t>
            </w:r>
            <w:r>
              <w:rPr>
                <w:rFonts w:hAnsi="宋体"/>
                <w:spacing w:val="2"/>
                <w:highlight w:val="none"/>
              </w:rPr>
              <w:t>及</w:t>
            </w:r>
            <w:r>
              <w:rPr>
                <w:rFonts w:hAnsi="宋体"/>
                <w:spacing w:val="-1"/>
                <w:highlight w:val="none"/>
              </w:rPr>
              <w:t>道</w:t>
            </w:r>
            <w:r>
              <w:rPr>
                <w:rFonts w:hAnsi="宋体"/>
                <w:spacing w:val="2"/>
                <w:highlight w:val="none"/>
              </w:rPr>
              <w:t>路</w:t>
            </w:r>
            <w:r>
              <w:rPr>
                <w:rFonts w:hAnsi="宋体"/>
                <w:spacing w:val="-1"/>
                <w:highlight w:val="none"/>
              </w:rPr>
              <w:t>洒</w:t>
            </w:r>
            <w:r>
              <w:rPr>
                <w:rFonts w:hAnsi="宋体"/>
                <w:spacing w:val="2"/>
                <w:highlight w:val="none"/>
              </w:rPr>
              <w:t>水</w:t>
            </w:r>
            <w:r>
              <w:rPr>
                <w:rFonts w:hAnsi="宋体"/>
                <w:spacing w:val="-1"/>
                <w:highlight w:val="none"/>
              </w:rPr>
              <w:t>降</w:t>
            </w:r>
            <w:r>
              <w:rPr>
                <w:rFonts w:hAnsi="宋体"/>
                <w:spacing w:val="2"/>
                <w:highlight w:val="none"/>
              </w:rPr>
              <w:t>尘</w:t>
            </w:r>
            <w:r>
              <w:rPr>
                <w:rFonts w:hAnsi="宋体"/>
                <w:spacing w:val="-1"/>
                <w:highlight w:val="none"/>
              </w:rPr>
              <w:t>，</w:t>
            </w:r>
            <w:r>
              <w:rPr>
                <w:rFonts w:hAnsi="宋体"/>
                <w:spacing w:val="2"/>
                <w:highlight w:val="none"/>
              </w:rPr>
              <w:t>不</w:t>
            </w:r>
            <w:r>
              <w:rPr>
                <w:rFonts w:hAnsi="宋体"/>
                <w:spacing w:val="-1"/>
                <w:highlight w:val="none"/>
              </w:rPr>
              <w:t>外</w:t>
            </w:r>
            <w:r>
              <w:rPr>
                <w:rFonts w:hAnsi="宋体"/>
                <w:highlight w:val="none"/>
              </w:rPr>
              <w:t>排</w:t>
            </w:r>
          </w:p>
        </w:tc>
        <w:tc>
          <w:tcPr>
            <w:tcW w:w="950" w:type="dxa"/>
            <w:vAlign w:val="center"/>
          </w:tcPr>
          <w:p>
            <w:pPr>
              <w:pStyle w:val="64"/>
              <w:rPr>
                <w:rFonts w:hAnsi="宋体" w:cs="hakuyoxingshu7000"/>
                <w:highlight w:val="none"/>
              </w:rPr>
            </w:pPr>
            <w:r>
              <w:rPr>
                <w:rFonts w:hint="eastAsia" w:hAnsi="宋体" w:cs="hakuyoxingshu7000"/>
                <w:highlight w:val="none"/>
              </w:rPr>
              <w:t>0.5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初</w:t>
            </w:r>
            <w:r>
              <w:rPr>
                <w:rFonts w:hAnsi="宋体"/>
                <w:spacing w:val="2"/>
                <w:highlight w:val="none"/>
              </w:rPr>
              <w:t>期</w:t>
            </w:r>
            <w:r>
              <w:rPr>
                <w:rFonts w:hAnsi="宋体"/>
                <w:spacing w:val="-1"/>
                <w:highlight w:val="none"/>
              </w:rPr>
              <w:t>雨</w:t>
            </w:r>
            <w:r>
              <w:rPr>
                <w:rFonts w:hAnsi="宋体"/>
                <w:highlight w:val="none"/>
              </w:rPr>
              <w:t>水</w:t>
            </w:r>
          </w:p>
        </w:tc>
        <w:tc>
          <w:tcPr>
            <w:tcW w:w="5286" w:type="dxa"/>
            <w:vAlign w:val="center"/>
          </w:tcPr>
          <w:p>
            <w:pPr>
              <w:pStyle w:val="64"/>
              <w:rPr>
                <w:rFonts w:hAnsi="宋体"/>
                <w:highlight w:val="none"/>
              </w:rPr>
            </w:pPr>
            <w:r>
              <w:rPr>
                <w:rFonts w:hint="eastAsia" w:hAnsi="宋体"/>
                <w:spacing w:val="-1"/>
                <w:highlight w:val="none"/>
              </w:rPr>
              <w:t>16</w:t>
            </w:r>
            <w:r>
              <w:rPr>
                <w:rFonts w:hAnsi="宋体"/>
                <w:spacing w:val="-1"/>
                <w:highlight w:val="none"/>
              </w:rPr>
              <w:t>0m</w:t>
            </w:r>
            <w:r>
              <w:rPr>
                <w:rFonts w:hAnsi="宋体"/>
                <w:spacing w:val="-1"/>
                <w:highlight w:val="none"/>
                <w:vertAlign w:val="superscript"/>
              </w:rPr>
              <w:t>3</w:t>
            </w:r>
            <w:r>
              <w:rPr>
                <w:rFonts w:hAnsi="宋体"/>
                <w:spacing w:val="-1"/>
                <w:highlight w:val="none"/>
              </w:rPr>
              <w:t>初期雨水收集池</w:t>
            </w:r>
          </w:p>
        </w:tc>
        <w:tc>
          <w:tcPr>
            <w:tcW w:w="950" w:type="dxa"/>
            <w:vAlign w:val="center"/>
          </w:tcPr>
          <w:p>
            <w:pPr>
              <w:pStyle w:val="64"/>
              <w:rPr>
                <w:rFonts w:hAnsi="宋体" w:cs="hakuyoxingshu7000"/>
                <w:highlight w:val="none"/>
              </w:rPr>
            </w:pPr>
            <w:r>
              <w:rPr>
                <w:rFonts w:hint="eastAsia" w:hAnsi="宋体" w:cs="hakuyoxingshu7000"/>
                <w:highlight w:val="none"/>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生</w:t>
            </w:r>
            <w:r>
              <w:rPr>
                <w:rFonts w:hAnsi="宋体"/>
                <w:spacing w:val="2"/>
                <w:highlight w:val="none"/>
              </w:rPr>
              <w:t>产</w:t>
            </w:r>
            <w:r>
              <w:rPr>
                <w:rFonts w:hAnsi="宋体"/>
                <w:spacing w:val="-1"/>
                <w:highlight w:val="none"/>
              </w:rPr>
              <w:t>废</w:t>
            </w:r>
            <w:r>
              <w:rPr>
                <w:rFonts w:hAnsi="宋体"/>
                <w:highlight w:val="none"/>
              </w:rPr>
              <w:t>水</w:t>
            </w:r>
          </w:p>
        </w:tc>
        <w:tc>
          <w:tcPr>
            <w:tcW w:w="5286" w:type="dxa"/>
            <w:vAlign w:val="center"/>
          </w:tcPr>
          <w:p>
            <w:pPr>
              <w:pStyle w:val="64"/>
              <w:rPr>
                <w:rFonts w:hAnsi="宋体"/>
                <w:spacing w:val="-1"/>
                <w:highlight w:val="none"/>
              </w:rPr>
            </w:pPr>
            <w:r>
              <w:rPr>
                <w:rFonts w:hAnsi="宋体"/>
                <w:spacing w:val="-1"/>
                <w:highlight w:val="none"/>
              </w:rPr>
              <w:t>集中水池60m</w:t>
            </w:r>
            <w:r>
              <w:rPr>
                <w:rFonts w:hAnsi="宋体"/>
                <w:spacing w:val="-1"/>
                <w:highlight w:val="none"/>
                <w:vertAlign w:val="superscript"/>
              </w:rPr>
              <w:t>3</w:t>
            </w:r>
          </w:p>
        </w:tc>
        <w:tc>
          <w:tcPr>
            <w:tcW w:w="950" w:type="dxa"/>
            <w:vAlign w:val="center"/>
          </w:tcPr>
          <w:p>
            <w:pPr>
              <w:pStyle w:val="64"/>
              <w:rPr>
                <w:rFonts w:hAnsi="宋体" w:cs="hakuyoxingshu7000"/>
                <w:highlight w:val="none"/>
              </w:rPr>
            </w:pPr>
            <w:r>
              <w:rPr>
                <w:rFonts w:hAnsi="宋体" w:cs="hakuyoxingshu7000"/>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洗</w:t>
            </w:r>
            <w:r>
              <w:rPr>
                <w:rFonts w:hAnsi="宋体"/>
                <w:spacing w:val="2"/>
                <w:highlight w:val="none"/>
              </w:rPr>
              <w:t>车</w:t>
            </w:r>
            <w:r>
              <w:rPr>
                <w:rFonts w:hAnsi="宋体"/>
                <w:spacing w:val="-1"/>
                <w:highlight w:val="none"/>
              </w:rPr>
              <w:t>废</w:t>
            </w:r>
            <w:r>
              <w:rPr>
                <w:rFonts w:hAnsi="宋体"/>
                <w:highlight w:val="none"/>
              </w:rPr>
              <w:t>水</w:t>
            </w:r>
          </w:p>
        </w:tc>
        <w:tc>
          <w:tcPr>
            <w:tcW w:w="5286" w:type="dxa"/>
            <w:vAlign w:val="center"/>
          </w:tcPr>
          <w:p>
            <w:pPr>
              <w:pStyle w:val="64"/>
              <w:rPr>
                <w:rFonts w:hAnsi="宋体"/>
                <w:spacing w:val="-1"/>
                <w:highlight w:val="none"/>
              </w:rPr>
            </w:pPr>
            <w:r>
              <w:rPr>
                <w:rFonts w:hAnsi="宋体"/>
                <w:spacing w:val="-1"/>
                <w:highlight w:val="none"/>
              </w:rPr>
              <w:t>全自动洗车机，循环水池20m</w:t>
            </w:r>
            <w:r>
              <w:rPr>
                <w:rFonts w:hAnsi="宋体"/>
                <w:spacing w:val="-1"/>
                <w:highlight w:val="none"/>
                <w:vertAlign w:val="superscript"/>
              </w:rPr>
              <w:t>3</w:t>
            </w:r>
          </w:p>
        </w:tc>
        <w:tc>
          <w:tcPr>
            <w:tcW w:w="950" w:type="dxa"/>
            <w:vAlign w:val="center"/>
          </w:tcPr>
          <w:p>
            <w:pPr>
              <w:pStyle w:val="64"/>
              <w:rPr>
                <w:rFonts w:hAnsi="宋体" w:cs="hakuyoxingshu7000"/>
                <w:highlight w:val="none"/>
              </w:rPr>
            </w:pPr>
            <w:r>
              <w:rPr>
                <w:rFonts w:hint="eastAsia" w:hAnsi="宋体" w:cs="hakuyoxingshu7000"/>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事</w:t>
            </w:r>
            <w:r>
              <w:rPr>
                <w:rFonts w:hAnsi="宋体"/>
                <w:spacing w:val="2"/>
                <w:highlight w:val="none"/>
              </w:rPr>
              <w:t>故</w:t>
            </w:r>
            <w:r>
              <w:rPr>
                <w:rFonts w:hAnsi="宋体"/>
                <w:spacing w:val="-1"/>
                <w:highlight w:val="none"/>
              </w:rPr>
              <w:t>水</w:t>
            </w:r>
            <w:r>
              <w:rPr>
                <w:rFonts w:hAnsi="宋体"/>
                <w:highlight w:val="none"/>
              </w:rPr>
              <w:t>池</w:t>
            </w:r>
          </w:p>
        </w:tc>
        <w:tc>
          <w:tcPr>
            <w:tcW w:w="5286" w:type="dxa"/>
            <w:vAlign w:val="center"/>
          </w:tcPr>
          <w:p>
            <w:pPr>
              <w:pStyle w:val="64"/>
              <w:rPr>
                <w:rFonts w:hAnsi="宋体"/>
                <w:highlight w:val="none"/>
              </w:rPr>
            </w:pPr>
            <w:r>
              <w:rPr>
                <w:rFonts w:hint="eastAsia" w:hAnsi="宋体"/>
                <w:spacing w:val="-1"/>
                <w:highlight w:val="none"/>
              </w:rPr>
              <w:t>1</w:t>
            </w:r>
            <w:r>
              <w:rPr>
                <w:rFonts w:hAnsi="宋体"/>
                <w:spacing w:val="-1"/>
                <w:highlight w:val="none"/>
              </w:rPr>
              <w:t>500m</w:t>
            </w:r>
            <w:r>
              <w:rPr>
                <w:rFonts w:hAnsi="宋体"/>
                <w:spacing w:val="-1"/>
                <w:highlight w:val="none"/>
                <w:vertAlign w:val="superscript"/>
              </w:rPr>
              <w:t>3</w:t>
            </w:r>
            <w:r>
              <w:rPr>
                <w:rFonts w:hAnsi="宋体"/>
                <w:spacing w:val="-1"/>
                <w:highlight w:val="none"/>
              </w:rPr>
              <w:t>事故水池一座，事故工况将浓缩池水抽至事故水池，检修结束后该部分水用于选矿生产</w:t>
            </w:r>
          </w:p>
        </w:tc>
        <w:tc>
          <w:tcPr>
            <w:tcW w:w="950" w:type="dxa"/>
            <w:vAlign w:val="center"/>
          </w:tcPr>
          <w:p>
            <w:pPr>
              <w:pStyle w:val="64"/>
              <w:rPr>
                <w:rFonts w:hAnsi="宋体" w:cs="hakuyoxingshu7000"/>
                <w:highlight w:val="none"/>
              </w:rPr>
            </w:pPr>
            <w:r>
              <w:rPr>
                <w:rFonts w:hint="eastAsia" w:hAnsi="宋体" w:cs="hakuyoxingshu7000"/>
                <w:spacing w:val="1"/>
                <w:highlight w:val="none"/>
              </w:rPr>
              <w:t>计</w:t>
            </w:r>
            <w:r>
              <w:rPr>
                <w:rFonts w:hAnsi="宋体" w:cs="hakuyoxingshu7000"/>
                <w:spacing w:val="1"/>
                <w:highlight w:val="none"/>
              </w:rPr>
              <w:t>入工程成本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7" w:type="dxa"/>
            <w:vMerge w:val="restart"/>
            <w:vAlign w:val="center"/>
          </w:tcPr>
          <w:p>
            <w:pPr>
              <w:pStyle w:val="64"/>
              <w:rPr>
                <w:rFonts w:hAnsi="宋体"/>
                <w:highlight w:val="none"/>
              </w:rPr>
            </w:pPr>
            <w:r>
              <w:rPr>
                <w:rFonts w:hAnsi="宋体"/>
                <w:spacing w:val="-1"/>
                <w:highlight w:val="none"/>
              </w:rPr>
              <w:t>固</w:t>
            </w:r>
            <w:r>
              <w:rPr>
                <w:rFonts w:hAnsi="宋体"/>
                <w:highlight w:val="none"/>
              </w:rPr>
              <w:t>废</w:t>
            </w:r>
          </w:p>
        </w:tc>
        <w:tc>
          <w:tcPr>
            <w:tcW w:w="1937" w:type="dxa"/>
            <w:gridSpan w:val="2"/>
            <w:vAlign w:val="center"/>
          </w:tcPr>
          <w:p>
            <w:pPr>
              <w:pStyle w:val="64"/>
              <w:rPr>
                <w:rFonts w:hAnsi="宋体"/>
                <w:highlight w:val="none"/>
              </w:rPr>
            </w:pPr>
            <w:r>
              <w:rPr>
                <w:rFonts w:hAnsi="宋体"/>
                <w:spacing w:val="-1"/>
                <w:highlight w:val="none"/>
              </w:rPr>
              <w:t>尾</w:t>
            </w:r>
            <w:r>
              <w:rPr>
                <w:rFonts w:hAnsi="宋体"/>
                <w:highlight w:val="none"/>
              </w:rPr>
              <w:t>矿</w:t>
            </w:r>
          </w:p>
        </w:tc>
        <w:tc>
          <w:tcPr>
            <w:tcW w:w="5286" w:type="dxa"/>
            <w:vAlign w:val="center"/>
          </w:tcPr>
          <w:p>
            <w:pPr>
              <w:pStyle w:val="64"/>
              <w:rPr>
                <w:rFonts w:hAnsi="宋体"/>
                <w:highlight w:val="none"/>
              </w:rPr>
            </w:pPr>
            <w:r>
              <w:rPr>
                <w:rFonts w:hAnsi="宋体"/>
                <w:spacing w:val="-1"/>
                <w:highlight w:val="none"/>
              </w:rPr>
              <w:t>废石、粗</w:t>
            </w:r>
            <w:r>
              <w:rPr>
                <w:rFonts w:hAnsi="宋体"/>
                <w:spacing w:val="2"/>
                <w:highlight w:val="none"/>
              </w:rPr>
              <w:t>砂</w:t>
            </w:r>
            <w:r>
              <w:rPr>
                <w:rFonts w:hAnsi="宋体"/>
                <w:spacing w:val="-1"/>
                <w:highlight w:val="none"/>
              </w:rPr>
              <w:t>外</w:t>
            </w:r>
            <w:r>
              <w:rPr>
                <w:rFonts w:hAnsi="宋体"/>
                <w:spacing w:val="2"/>
                <w:highlight w:val="none"/>
              </w:rPr>
              <w:t>售</w:t>
            </w:r>
            <w:r>
              <w:rPr>
                <w:rFonts w:hAnsi="宋体"/>
                <w:spacing w:val="-1"/>
                <w:highlight w:val="none"/>
              </w:rPr>
              <w:t>综</w:t>
            </w:r>
            <w:r>
              <w:rPr>
                <w:rFonts w:hAnsi="宋体"/>
                <w:spacing w:val="2"/>
                <w:highlight w:val="none"/>
              </w:rPr>
              <w:t>合</w:t>
            </w:r>
            <w:r>
              <w:rPr>
                <w:rFonts w:hAnsi="宋体"/>
                <w:spacing w:val="-1"/>
                <w:highlight w:val="none"/>
              </w:rPr>
              <w:t>利</w:t>
            </w:r>
            <w:r>
              <w:rPr>
                <w:rFonts w:hAnsi="宋体"/>
                <w:spacing w:val="2"/>
                <w:highlight w:val="none"/>
              </w:rPr>
              <w:t>用</w:t>
            </w:r>
            <w:r>
              <w:rPr>
                <w:rFonts w:hAnsi="宋体"/>
                <w:spacing w:val="-50"/>
                <w:highlight w:val="none"/>
              </w:rPr>
              <w:t>，</w:t>
            </w:r>
            <w:r>
              <w:rPr>
                <w:rFonts w:hAnsi="宋体"/>
                <w:highlight w:val="none"/>
              </w:rPr>
              <w:t>销</w:t>
            </w:r>
            <w:r>
              <w:rPr>
                <w:rFonts w:hAnsi="宋体"/>
                <w:spacing w:val="-1"/>
                <w:w w:val="95"/>
                <w:highlight w:val="none"/>
              </w:rPr>
              <w:t>路</w:t>
            </w:r>
            <w:r>
              <w:rPr>
                <w:rFonts w:hAnsi="宋体"/>
                <w:spacing w:val="1"/>
                <w:w w:val="95"/>
                <w:highlight w:val="none"/>
              </w:rPr>
              <w:t>不</w:t>
            </w:r>
            <w:r>
              <w:rPr>
                <w:rFonts w:hAnsi="宋体"/>
                <w:spacing w:val="-1"/>
                <w:w w:val="95"/>
                <w:highlight w:val="none"/>
              </w:rPr>
              <w:t>畅</w:t>
            </w:r>
            <w:r>
              <w:rPr>
                <w:rFonts w:hAnsi="宋体"/>
                <w:spacing w:val="1"/>
                <w:w w:val="95"/>
                <w:highlight w:val="none"/>
              </w:rPr>
              <w:t>时</w:t>
            </w:r>
            <w:r>
              <w:rPr>
                <w:rFonts w:hAnsi="宋体"/>
                <w:spacing w:val="-1"/>
                <w:w w:val="95"/>
                <w:highlight w:val="none"/>
              </w:rPr>
              <w:t>送</w:t>
            </w:r>
            <w:r>
              <w:rPr>
                <w:rFonts w:hAnsi="宋体"/>
                <w:spacing w:val="1"/>
                <w:w w:val="95"/>
                <w:highlight w:val="none"/>
              </w:rPr>
              <w:t>选</w:t>
            </w:r>
            <w:r>
              <w:rPr>
                <w:rFonts w:hAnsi="宋体"/>
                <w:spacing w:val="-1"/>
                <w:w w:val="95"/>
                <w:highlight w:val="none"/>
              </w:rPr>
              <w:t>厂</w:t>
            </w:r>
            <w:r>
              <w:rPr>
                <w:rFonts w:hint="eastAsia" w:hAnsi="宋体"/>
                <w:spacing w:val="1"/>
                <w:w w:val="95"/>
                <w:highlight w:val="none"/>
              </w:rPr>
              <w:t>东</w:t>
            </w:r>
            <w:r>
              <w:rPr>
                <w:rFonts w:hAnsi="宋体"/>
                <w:spacing w:val="-1"/>
                <w:w w:val="95"/>
                <w:highlight w:val="none"/>
              </w:rPr>
              <w:t>侧</w:t>
            </w:r>
            <w:r>
              <w:rPr>
                <w:rFonts w:hAnsi="宋体"/>
                <w:spacing w:val="1"/>
                <w:w w:val="95"/>
                <w:highlight w:val="none"/>
              </w:rPr>
              <w:t>尾矿库堆</w:t>
            </w:r>
            <w:r>
              <w:rPr>
                <w:rFonts w:hAnsi="宋体"/>
                <w:spacing w:val="-1"/>
                <w:w w:val="95"/>
                <w:highlight w:val="none"/>
              </w:rPr>
              <w:t>存</w:t>
            </w:r>
            <w:r>
              <w:rPr>
                <w:rFonts w:hAnsi="宋体"/>
                <w:spacing w:val="-45"/>
                <w:w w:val="95"/>
                <w:highlight w:val="none"/>
              </w:rPr>
              <w:t>；</w:t>
            </w:r>
            <w:r>
              <w:rPr>
                <w:rFonts w:hAnsi="宋体"/>
                <w:spacing w:val="-1"/>
                <w:w w:val="95"/>
                <w:highlight w:val="none"/>
              </w:rPr>
              <w:t>尾砂送</w:t>
            </w:r>
            <w:r>
              <w:rPr>
                <w:rFonts w:hAnsi="宋体"/>
                <w:spacing w:val="1"/>
                <w:w w:val="95"/>
                <w:highlight w:val="none"/>
              </w:rPr>
              <w:t>选</w:t>
            </w:r>
            <w:r>
              <w:rPr>
                <w:rFonts w:hAnsi="宋体"/>
                <w:spacing w:val="-1"/>
                <w:w w:val="95"/>
                <w:highlight w:val="none"/>
              </w:rPr>
              <w:t>厂</w:t>
            </w:r>
            <w:r>
              <w:rPr>
                <w:rFonts w:hint="eastAsia" w:hAnsi="宋体"/>
                <w:w w:val="95"/>
                <w:highlight w:val="none"/>
              </w:rPr>
              <w:t>东</w:t>
            </w:r>
            <w:r>
              <w:rPr>
                <w:rFonts w:hAnsi="宋体"/>
                <w:spacing w:val="-1"/>
                <w:highlight w:val="none"/>
              </w:rPr>
              <w:t>侧</w:t>
            </w:r>
            <w:r>
              <w:rPr>
                <w:rFonts w:hAnsi="宋体"/>
                <w:spacing w:val="2"/>
                <w:highlight w:val="none"/>
              </w:rPr>
              <w:t>尾矿库堆</w:t>
            </w:r>
            <w:r>
              <w:rPr>
                <w:rFonts w:hAnsi="宋体"/>
                <w:highlight w:val="none"/>
              </w:rPr>
              <w:t>存</w:t>
            </w:r>
          </w:p>
        </w:tc>
        <w:tc>
          <w:tcPr>
            <w:tcW w:w="950" w:type="dxa"/>
            <w:vAlign w:val="center"/>
          </w:tcPr>
          <w:p>
            <w:pPr>
              <w:pStyle w:val="64"/>
              <w:rPr>
                <w:rFonts w:hAnsi="宋体"/>
                <w:highlight w:val="none"/>
              </w:rPr>
            </w:pPr>
            <w:r>
              <w:rPr>
                <w:rFonts w:hint="eastAsia" w:hAnsi="宋体" w:cs="hakuyoxingshu7000"/>
                <w:spacing w:val="1"/>
                <w:highlight w:val="none"/>
              </w:rPr>
              <w:t>计</w:t>
            </w:r>
            <w:r>
              <w:rPr>
                <w:rFonts w:hAnsi="宋体" w:cs="hakuyoxingshu7000"/>
                <w:spacing w:val="1"/>
                <w:highlight w:val="none"/>
              </w:rPr>
              <w:t>入工程成本</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除</w:t>
            </w:r>
            <w:r>
              <w:rPr>
                <w:rFonts w:hAnsi="宋体"/>
                <w:spacing w:val="2"/>
                <w:highlight w:val="none"/>
              </w:rPr>
              <w:t>尘</w:t>
            </w:r>
            <w:r>
              <w:rPr>
                <w:rFonts w:hAnsi="宋体"/>
                <w:spacing w:val="-1"/>
                <w:highlight w:val="none"/>
              </w:rPr>
              <w:t>器</w:t>
            </w:r>
            <w:r>
              <w:rPr>
                <w:rFonts w:hAnsi="宋体"/>
                <w:spacing w:val="2"/>
                <w:highlight w:val="none"/>
              </w:rPr>
              <w:t>粉</w:t>
            </w:r>
            <w:r>
              <w:rPr>
                <w:rFonts w:hAnsi="宋体"/>
                <w:highlight w:val="none"/>
              </w:rPr>
              <w:t>尘</w:t>
            </w:r>
          </w:p>
        </w:tc>
        <w:tc>
          <w:tcPr>
            <w:tcW w:w="5286" w:type="dxa"/>
            <w:vAlign w:val="center"/>
          </w:tcPr>
          <w:p>
            <w:pPr>
              <w:pStyle w:val="64"/>
              <w:rPr>
                <w:rFonts w:hAnsi="宋体"/>
                <w:highlight w:val="none"/>
              </w:rPr>
            </w:pPr>
            <w:r>
              <w:rPr>
                <w:rFonts w:hAnsi="宋体"/>
                <w:spacing w:val="-1"/>
                <w:highlight w:val="none"/>
              </w:rPr>
              <w:t>作</w:t>
            </w:r>
            <w:r>
              <w:rPr>
                <w:rFonts w:hAnsi="宋体"/>
                <w:spacing w:val="2"/>
                <w:highlight w:val="none"/>
              </w:rPr>
              <w:t>为</w:t>
            </w:r>
            <w:r>
              <w:rPr>
                <w:rFonts w:hAnsi="宋体"/>
                <w:spacing w:val="-1"/>
                <w:highlight w:val="none"/>
              </w:rPr>
              <w:t>原</w:t>
            </w:r>
            <w:r>
              <w:rPr>
                <w:rFonts w:hAnsi="宋体"/>
                <w:spacing w:val="2"/>
                <w:highlight w:val="none"/>
              </w:rPr>
              <w:t>料</w:t>
            </w:r>
            <w:r>
              <w:rPr>
                <w:rFonts w:hAnsi="宋体"/>
                <w:spacing w:val="-1"/>
                <w:highlight w:val="none"/>
              </w:rPr>
              <w:t>回</w:t>
            </w:r>
            <w:r>
              <w:rPr>
                <w:rFonts w:hAnsi="宋体"/>
                <w:spacing w:val="2"/>
                <w:highlight w:val="none"/>
              </w:rPr>
              <w:t>用</w:t>
            </w:r>
            <w:r>
              <w:rPr>
                <w:rFonts w:hAnsi="宋体"/>
                <w:spacing w:val="-1"/>
                <w:highlight w:val="none"/>
              </w:rPr>
              <w:t>于</w:t>
            </w:r>
            <w:r>
              <w:rPr>
                <w:rFonts w:hAnsi="宋体"/>
                <w:spacing w:val="2"/>
                <w:highlight w:val="none"/>
              </w:rPr>
              <w:t>生</w:t>
            </w:r>
            <w:r>
              <w:rPr>
                <w:rFonts w:hAnsi="宋体"/>
                <w:highlight w:val="none"/>
              </w:rPr>
              <w:t>产</w:t>
            </w:r>
          </w:p>
        </w:tc>
        <w:tc>
          <w:tcPr>
            <w:tcW w:w="950" w:type="dxa"/>
            <w:vAlign w:val="center"/>
          </w:tcPr>
          <w:p>
            <w:pPr>
              <w:pStyle w:val="64"/>
              <w:rPr>
                <w:rFonts w:hAnsi="宋体" w:cs="hakuyoxingshu7000"/>
                <w:highlight w:val="none"/>
              </w:rPr>
            </w:pPr>
            <w:r>
              <w:rPr>
                <w:rFonts w:hAnsi="宋体" w:cs="hakuyoxingshu7000"/>
                <w:w w:val="65"/>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生</w:t>
            </w:r>
            <w:r>
              <w:rPr>
                <w:rFonts w:hAnsi="宋体"/>
                <w:spacing w:val="2"/>
                <w:highlight w:val="none"/>
              </w:rPr>
              <w:t>活</w:t>
            </w:r>
            <w:r>
              <w:rPr>
                <w:rFonts w:hAnsi="宋体"/>
                <w:spacing w:val="-1"/>
                <w:highlight w:val="none"/>
              </w:rPr>
              <w:t>垃</w:t>
            </w:r>
            <w:r>
              <w:rPr>
                <w:rFonts w:hAnsi="宋体"/>
                <w:highlight w:val="none"/>
              </w:rPr>
              <w:t>圾</w:t>
            </w:r>
          </w:p>
        </w:tc>
        <w:tc>
          <w:tcPr>
            <w:tcW w:w="5286" w:type="dxa"/>
            <w:vAlign w:val="center"/>
          </w:tcPr>
          <w:p>
            <w:pPr>
              <w:pStyle w:val="64"/>
              <w:rPr>
                <w:rFonts w:hAnsi="宋体" w:cs="hakuyoxingshu7000"/>
                <w:highlight w:val="none"/>
              </w:rPr>
            </w:pPr>
            <w:r>
              <w:rPr>
                <w:rFonts w:hAnsi="宋体" w:cs="hakuyoxingshu7000"/>
                <w:highlight w:val="none"/>
              </w:rPr>
              <w:t>垃圾桶</w:t>
            </w:r>
          </w:p>
        </w:tc>
        <w:tc>
          <w:tcPr>
            <w:tcW w:w="950" w:type="dxa"/>
            <w:vAlign w:val="center"/>
          </w:tcPr>
          <w:p>
            <w:pPr>
              <w:pStyle w:val="64"/>
              <w:rPr>
                <w:rFonts w:hAnsi="宋体" w:cs="hakuyoxingshu7000"/>
                <w:highlight w:val="none"/>
              </w:rPr>
            </w:pPr>
            <w:r>
              <w:rPr>
                <w:rFonts w:hAnsi="宋体" w:cs="hakuyoxingshu7000"/>
                <w:highlight w:val="none"/>
              </w:rPr>
              <w:t>0.1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废</w:t>
            </w:r>
            <w:r>
              <w:rPr>
                <w:rFonts w:hAnsi="宋体"/>
                <w:spacing w:val="2"/>
                <w:highlight w:val="none"/>
              </w:rPr>
              <w:t>机</w:t>
            </w:r>
            <w:r>
              <w:rPr>
                <w:rFonts w:hAnsi="宋体"/>
                <w:highlight w:val="none"/>
              </w:rPr>
              <w:t>油</w:t>
            </w:r>
          </w:p>
        </w:tc>
        <w:tc>
          <w:tcPr>
            <w:tcW w:w="5286" w:type="dxa"/>
            <w:vAlign w:val="center"/>
          </w:tcPr>
          <w:p>
            <w:pPr>
              <w:pStyle w:val="64"/>
              <w:rPr>
                <w:rFonts w:hAnsi="宋体"/>
                <w:highlight w:val="none"/>
              </w:rPr>
            </w:pPr>
            <w:r>
              <w:rPr>
                <w:rFonts w:hAnsi="宋体"/>
                <w:spacing w:val="-1"/>
                <w:highlight w:val="none"/>
              </w:rPr>
              <w:t>危</w:t>
            </w:r>
            <w:r>
              <w:rPr>
                <w:rFonts w:hAnsi="宋体"/>
                <w:spacing w:val="2"/>
                <w:highlight w:val="none"/>
              </w:rPr>
              <w:t>废</w:t>
            </w:r>
            <w:r>
              <w:rPr>
                <w:rFonts w:hAnsi="宋体"/>
                <w:spacing w:val="-1"/>
                <w:highlight w:val="none"/>
              </w:rPr>
              <w:t>暂</w:t>
            </w:r>
            <w:r>
              <w:rPr>
                <w:rFonts w:hAnsi="宋体"/>
                <w:spacing w:val="2"/>
                <w:highlight w:val="none"/>
              </w:rPr>
              <w:t>存</w:t>
            </w:r>
            <w:r>
              <w:rPr>
                <w:rFonts w:hAnsi="宋体"/>
                <w:spacing w:val="-1"/>
                <w:highlight w:val="none"/>
              </w:rPr>
              <w:t>间</w:t>
            </w:r>
            <w:r>
              <w:rPr>
                <w:rFonts w:hAnsi="宋体"/>
                <w:spacing w:val="2"/>
                <w:highlight w:val="none"/>
              </w:rPr>
              <w:t>暂</w:t>
            </w:r>
            <w:r>
              <w:rPr>
                <w:rFonts w:hAnsi="宋体"/>
                <w:spacing w:val="-1"/>
                <w:highlight w:val="none"/>
              </w:rPr>
              <w:t>存</w:t>
            </w:r>
            <w:r>
              <w:rPr>
                <w:rFonts w:hAnsi="宋体"/>
                <w:spacing w:val="-47"/>
                <w:highlight w:val="none"/>
              </w:rPr>
              <w:t>，</w:t>
            </w:r>
            <w:r>
              <w:rPr>
                <w:rFonts w:hAnsi="宋体"/>
                <w:spacing w:val="-1"/>
                <w:highlight w:val="none"/>
              </w:rPr>
              <w:t>委</w:t>
            </w:r>
            <w:r>
              <w:rPr>
                <w:rFonts w:hAnsi="宋体"/>
                <w:spacing w:val="2"/>
                <w:highlight w:val="none"/>
              </w:rPr>
              <w:t>托</w:t>
            </w:r>
            <w:r>
              <w:rPr>
                <w:rFonts w:hAnsi="宋体"/>
                <w:spacing w:val="-1"/>
                <w:highlight w:val="none"/>
              </w:rPr>
              <w:t>有</w:t>
            </w:r>
            <w:r>
              <w:rPr>
                <w:rFonts w:hAnsi="宋体"/>
                <w:spacing w:val="2"/>
                <w:highlight w:val="none"/>
              </w:rPr>
              <w:t>危</w:t>
            </w:r>
            <w:r>
              <w:rPr>
                <w:rFonts w:hAnsi="宋体"/>
                <w:spacing w:val="-1"/>
                <w:highlight w:val="none"/>
              </w:rPr>
              <w:t>险</w:t>
            </w:r>
            <w:r>
              <w:rPr>
                <w:rFonts w:hAnsi="宋体"/>
                <w:spacing w:val="2"/>
                <w:highlight w:val="none"/>
              </w:rPr>
              <w:t>废</w:t>
            </w:r>
            <w:r>
              <w:rPr>
                <w:rFonts w:hAnsi="宋体"/>
                <w:spacing w:val="-1"/>
                <w:highlight w:val="none"/>
              </w:rPr>
              <w:t>物</w:t>
            </w:r>
            <w:r>
              <w:rPr>
                <w:rFonts w:hAnsi="宋体"/>
                <w:spacing w:val="2"/>
                <w:highlight w:val="none"/>
              </w:rPr>
              <w:t>处</w:t>
            </w:r>
            <w:r>
              <w:rPr>
                <w:rFonts w:hAnsi="宋体"/>
                <w:spacing w:val="-1"/>
                <w:highlight w:val="none"/>
              </w:rPr>
              <w:t>理</w:t>
            </w:r>
            <w:r>
              <w:rPr>
                <w:rFonts w:hAnsi="宋体"/>
                <w:spacing w:val="2"/>
                <w:highlight w:val="none"/>
              </w:rPr>
              <w:t>资</w:t>
            </w:r>
            <w:r>
              <w:rPr>
                <w:rFonts w:hAnsi="宋体"/>
                <w:spacing w:val="-1"/>
                <w:highlight w:val="none"/>
              </w:rPr>
              <w:t>质</w:t>
            </w:r>
            <w:r>
              <w:rPr>
                <w:rFonts w:hAnsi="宋体"/>
                <w:spacing w:val="2"/>
                <w:highlight w:val="none"/>
              </w:rPr>
              <w:t>的</w:t>
            </w:r>
            <w:r>
              <w:rPr>
                <w:rFonts w:hAnsi="宋体"/>
                <w:spacing w:val="-1"/>
                <w:highlight w:val="none"/>
              </w:rPr>
              <w:t>单</w:t>
            </w:r>
            <w:r>
              <w:rPr>
                <w:rFonts w:hAnsi="宋体"/>
                <w:highlight w:val="none"/>
              </w:rPr>
              <w:t>位</w:t>
            </w:r>
            <w:r>
              <w:rPr>
                <w:rFonts w:hAnsi="宋体"/>
                <w:spacing w:val="-1"/>
                <w:highlight w:val="none"/>
              </w:rPr>
              <w:t>处</w:t>
            </w:r>
            <w:r>
              <w:rPr>
                <w:rFonts w:hAnsi="宋体"/>
                <w:spacing w:val="2"/>
                <w:highlight w:val="none"/>
              </w:rPr>
              <w:t>置</w:t>
            </w:r>
            <w:r>
              <w:rPr>
                <w:rFonts w:hAnsi="宋体"/>
                <w:highlight w:val="none"/>
              </w:rPr>
              <w:t>。</w:t>
            </w:r>
          </w:p>
        </w:tc>
        <w:tc>
          <w:tcPr>
            <w:tcW w:w="950" w:type="dxa"/>
            <w:vAlign w:val="center"/>
          </w:tcPr>
          <w:p>
            <w:pPr>
              <w:pStyle w:val="64"/>
              <w:rPr>
                <w:rFonts w:hAnsi="宋体" w:cs="hakuyoxingshu7000"/>
                <w:highlight w:val="none"/>
              </w:rPr>
            </w:pPr>
            <w:r>
              <w:rPr>
                <w:rFonts w:hint="eastAsia" w:hAnsi="宋体" w:cs="hakuyoxingshu7000"/>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777" w:type="dxa"/>
            <w:vAlign w:val="center"/>
          </w:tcPr>
          <w:p>
            <w:pPr>
              <w:pStyle w:val="64"/>
              <w:rPr>
                <w:rFonts w:hAnsi="宋体"/>
                <w:highlight w:val="none"/>
              </w:rPr>
            </w:pPr>
            <w:r>
              <w:rPr>
                <w:rFonts w:hAnsi="宋体"/>
                <w:spacing w:val="-1"/>
                <w:highlight w:val="none"/>
              </w:rPr>
              <w:t>噪</w:t>
            </w:r>
            <w:r>
              <w:rPr>
                <w:rFonts w:hAnsi="宋体"/>
                <w:highlight w:val="none"/>
              </w:rPr>
              <w:t>声</w:t>
            </w:r>
          </w:p>
        </w:tc>
        <w:tc>
          <w:tcPr>
            <w:tcW w:w="1937" w:type="dxa"/>
            <w:gridSpan w:val="2"/>
            <w:vAlign w:val="center"/>
          </w:tcPr>
          <w:p>
            <w:pPr>
              <w:pStyle w:val="64"/>
              <w:rPr>
                <w:rFonts w:hAnsi="宋体"/>
                <w:highlight w:val="none"/>
              </w:rPr>
            </w:pPr>
            <w:r>
              <w:rPr>
                <w:rFonts w:hAnsi="宋体"/>
                <w:spacing w:val="-1"/>
                <w:highlight w:val="none"/>
              </w:rPr>
              <w:t>噪</w:t>
            </w:r>
            <w:r>
              <w:rPr>
                <w:rFonts w:hAnsi="宋体"/>
                <w:spacing w:val="2"/>
                <w:highlight w:val="none"/>
              </w:rPr>
              <w:t>声</w:t>
            </w:r>
            <w:r>
              <w:rPr>
                <w:rFonts w:hAnsi="宋体"/>
                <w:spacing w:val="-1"/>
                <w:highlight w:val="none"/>
              </w:rPr>
              <w:t>设</w:t>
            </w:r>
            <w:r>
              <w:rPr>
                <w:rFonts w:hAnsi="宋体"/>
                <w:highlight w:val="none"/>
              </w:rPr>
              <w:t>备</w:t>
            </w:r>
          </w:p>
        </w:tc>
        <w:tc>
          <w:tcPr>
            <w:tcW w:w="5286" w:type="dxa"/>
            <w:vAlign w:val="center"/>
          </w:tcPr>
          <w:p>
            <w:pPr>
              <w:pStyle w:val="64"/>
              <w:rPr>
                <w:rFonts w:hAnsi="宋体"/>
                <w:highlight w:val="none"/>
              </w:rPr>
            </w:pPr>
            <w:r>
              <w:rPr>
                <w:rFonts w:hAnsi="宋体"/>
                <w:spacing w:val="2"/>
                <w:highlight w:val="none"/>
              </w:rPr>
              <w:t>减</w:t>
            </w:r>
            <w:r>
              <w:rPr>
                <w:rFonts w:hAnsi="宋体"/>
                <w:spacing w:val="-1"/>
                <w:highlight w:val="none"/>
              </w:rPr>
              <w:t>振、</w:t>
            </w:r>
            <w:r>
              <w:rPr>
                <w:rFonts w:hAnsi="宋体"/>
                <w:spacing w:val="2"/>
                <w:highlight w:val="none"/>
              </w:rPr>
              <w:t>隔</w:t>
            </w:r>
            <w:r>
              <w:rPr>
                <w:rFonts w:hAnsi="宋体"/>
                <w:spacing w:val="-1"/>
                <w:highlight w:val="none"/>
              </w:rPr>
              <w:t>声</w:t>
            </w:r>
            <w:r>
              <w:rPr>
                <w:rFonts w:hAnsi="宋体"/>
                <w:spacing w:val="2"/>
                <w:highlight w:val="none"/>
              </w:rPr>
              <w:t>、</w:t>
            </w:r>
            <w:r>
              <w:rPr>
                <w:rFonts w:hAnsi="宋体"/>
                <w:spacing w:val="-1"/>
                <w:highlight w:val="none"/>
              </w:rPr>
              <w:t>降</w:t>
            </w:r>
            <w:r>
              <w:rPr>
                <w:rFonts w:hAnsi="宋体"/>
                <w:spacing w:val="2"/>
                <w:highlight w:val="none"/>
              </w:rPr>
              <w:t>噪</w:t>
            </w:r>
            <w:r>
              <w:rPr>
                <w:rFonts w:hAnsi="宋体"/>
                <w:spacing w:val="-1"/>
                <w:highlight w:val="none"/>
              </w:rPr>
              <w:t>等</w:t>
            </w:r>
            <w:r>
              <w:rPr>
                <w:rFonts w:hAnsi="宋体"/>
                <w:spacing w:val="2"/>
                <w:highlight w:val="none"/>
              </w:rPr>
              <w:t>措</w:t>
            </w:r>
            <w:r>
              <w:rPr>
                <w:rFonts w:hAnsi="宋体"/>
                <w:highlight w:val="none"/>
              </w:rPr>
              <w:t>施</w:t>
            </w:r>
          </w:p>
        </w:tc>
        <w:tc>
          <w:tcPr>
            <w:tcW w:w="950" w:type="dxa"/>
            <w:vAlign w:val="center"/>
          </w:tcPr>
          <w:p>
            <w:pPr>
              <w:pStyle w:val="64"/>
              <w:rPr>
                <w:rFonts w:hAnsi="宋体" w:cs="hakuyoxingshu7000"/>
                <w:highlight w:val="none"/>
              </w:rPr>
            </w:pPr>
            <w:r>
              <w:rPr>
                <w:rFonts w:hint="eastAsia" w:hAnsi="宋体" w:cs="hakuyoxingshu7000"/>
                <w:spacing w:val="1"/>
                <w:highlight w:val="none"/>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restart"/>
            <w:vAlign w:val="center"/>
          </w:tcPr>
          <w:p>
            <w:pPr>
              <w:pStyle w:val="64"/>
              <w:rPr>
                <w:rFonts w:hAnsi="宋体"/>
                <w:highlight w:val="none"/>
              </w:rPr>
            </w:pPr>
            <w:r>
              <w:rPr>
                <w:rFonts w:hAnsi="宋体"/>
                <w:spacing w:val="-1"/>
                <w:w w:val="95"/>
                <w:highlight w:val="none"/>
              </w:rPr>
              <w:t>防</w:t>
            </w:r>
            <w:r>
              <w:rPr>
                <w:rFonts w:hAnsi="宋体"/>
                <w:w w:val="95"/>
                <w:highlight w:val="none"/>
              </w:rPr>
              <w:t>渗</w:t>
            </w:r>
            <w:r>
              <w:rPr>
                <w:rFonts w:hAnsi="宋体"/>
                <w:spacing w:val="-1"/>
                <w:w w:val="95"/>
                <w:highlight w:val="none"/>
              </w:rPr>
              <w:t>措</w:t>
            </w:r>
            <w:r>
              <w:rPr>
                <w:rFonts w:hAnsi="宋体"/>
                <w:w w:val="95"/>
                <w:highlight w:val="none"/>
              </w:rPr>
              <w:t>施</w:t>
            </w:r>
          </w:p>
        </w:tc>
        <w:tc>
          <w:tcPr>
            <w:tcW w:w="1937" w:type="dxa"/>
            <w:gridSpan w:val="2"/>
            <w:vAlign w:val="center"/>
          </w:tcPr>
          <w:p>
            <w:pPr>
              <w:pStyle w:val="64"/>
              <w:rPr>
                <w:rFonts w:hAnsi="宋体"/>
                <w:highlight w:val="none"/>
              </w:rPr>
            </w:pPr>
            <w:r>
              <w:rPr>
                <w:rFonts w:hAnsi="宋体"/>
                <w:spacing w:val="-1"/>
                <w:highlight w:val="none"/>
              </w:rPr>
              <w:t>浓</w:t>
            </w:r>
            <w:r>
              <w:rPr>
                <w:rFonts w:hAnsi="宋体"/>
                <w:spacing w:val="2"/>
                <w:highlight w:val="none"/>
              </w:rPr>
              <w:t>缩</w:t>
            </w:r>
            <w:r>
              <w:rPr>
                <w:rFonts w:hAnsi="宋体"/>
                <w:spacing w:val="-1"/>
                <w:highlight w:val="none"/>
              </w:rPr>
              <w:t>池</w:t>
            </w:r>
            <w:r>
              <w:rPr>
                <w:rFonts w:hAnsi="宋体"/>
                <w:spacing w:val="2"/>
                <w:highlight w:val="none"/>
              </w:rPr>
              <w:t>、</w:t>
            </w:r>
            <w:r>
              <w:rPr>
                <w:rFonts w:hAnsi="宋体"/>
                <w:spacing w:val="-1"/>
                <w:highlight w:val="none"/>
              </w:rPr>
              <w:t>事</w:t>
            </w:r>
            <w:r>
              <w:rPr>
                <w:rFonts w:hAnsi="宋体"/>
                <w:spacing w:val="2"/>
                <w:highlight w:val="none"/>
              </w:rPr>
              <w:t>故池</w:t>
            </w:r>
          </w:p>
        </w:tc>
        <w:tc>
          <w:tcPr>
            <w:tcW w:w="5286" w:type="dxa"/>
            <w:vAlign w:val="center"/>
          </w:tcPr>
          <w:p>
            <w:pPr>
              <w:pStyle w:val="64"/>
              <w:rPr>
                <w:rFonts w:hAnsi="宋体"/>
                <w:highlight w:val="none"/>
              </w:rPr>
            </w:pPr>
            <w:r>
              <w:rPr>
                <w:rFonts w:hAnsi="宋体"/>
                <w:spacing w:val="-1"/>
                <w:highlight w:val="none"/>
              </w:rPr>
              <w:t>防渗层的防渗性能不应低于6.0m厚渗透系数为1.0x10</w:t>
            </w:r>
            <w:r>
              <w:rPr>
                <w:rFonts w:hAnsi="宋体"/>
                <w:spacing w:val="-1"/>
                <w:highlight w:val="none"/>
                <w:vertAlign w:val="superscript"/>
              </w:rPr>
              <w:t>-7</w:t>
            </w:r>
            <w:r>
              <w:rPr>
                <w:rFonts w:hAnsi="宋体"/>
                <w:spacing w:val="-1"/>
                <w:highlight w:val="none"/>
              </w:rPr>
              <w:t>cm/s的黏土层的防渗性能</w:t>
            </w:r>
          </w:p>
        </w:tc>
        <w:tc>
          <w:tcPr>
            <w:tcW w:w="950" w:type="dxa"/>
            <w:vAlign w:val="center"/>
          </w:tcPr>
          <w:p>
            <w:pPr>
              <w:pStyle w:val="64"/>
              <w:rPr>
                <w:rFonts w:hAnsi="宋体" w:cs="hakuyoxingshu7000"/>
                <w:highlight w:val="none"/>
              </w:rPr>
            </w:pPr>
            <w:r>
              <w:rPr>
                <w:rFonts w:hint="eastAsia" w:hAnsi="宋体" w:cs="hakuyoxingshu7000"/>
                <w:spacing w:val="1"/>
                <w:highlight w:val="none"/>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7" w:type="dxa"/>
            <w:vMerge w:val="continue"/>
            <w:vAlign w:val="center"/>
          </w:tcPr>
          <w:p>
            <w:pPr>
              <w:pStyle w:val="64"/>
              <w:rPr>
                <w:rFonts w:hAnsi="宋体"/>
                <w:highlight w:val="none"/>
              </w:rPr>
            </w:pPr>
          </w:p>
        </w:tc>
        <w:tc>
          <w:tcPr>
            <w:tcW w:w="1937" w:type="dxa"/>
            <w:gridSpan w:val="2"/>
            <w:vAlign w:val="center"/>
          </w:tcPr>
          <w:p>
            <w:pPr>
              <w:pStyle w:val="64"/>
              <w:rPr>
                <w:rFonts w:hAnsi="宋体"/>
                <w:highlight w:val="none"/>
              </w:rPr>
            </w:pPr>
            <w:r>
              <w:rPr>
                <w:rFonts w:hAnsi="宋体"/>
                <w:spacing w:val="-1"/>
                <w:highlight w:val="none"/>
              </w:rPr>
              <w:t>其</w:t>
            </w:r>
            <w:r>
              <w:rPr>
                <w:rFonts w:hAnsi="宋体"/>
                <w:spacing w:val="2"/>
                <w:highlight w:val="none"/>
              </w:rPr>
              <w:t>它</w:t>
            </w:r>
            <w:r>
              <w:rPr>
                <w:rFonts w:hAnsi="宋体"/>
                <w:spacing w:val="-1"/>
                <w:highlight w:val="none"/>
              </w:rPr>
              <w:t>厂</w:t>
            </w:r>
            <w:r>
              <w:rPr>
                <w:rFonts w:hAnsi="宋体"/>
                <w:highlight w:val="none"/>
              </w:rPr>
              <w:t>区</w:t>
            </w:r>
          </w:p>
        </w:tc>
        <w:tc>
          <w:tcPr>
            <w:tcW w:w="5286" w:type="dxa"/>
            <w:vAlign w:val="center"/>
          </w:tcPr>
          <w:p>
            <w:pPr>
              <w:pStyle w:val="64"/>
              <w:rPr>
                <w:rFonts w:hAnsi="宋体"/>
                <w:highlight w:val="none"/>
              </w:rPr>
            </w:pPr>
            <w:r>
              <w:rPr>
                <w:rFonts w:hAnsi="宋体"/>
                <w:spacing w:val="-1"/>
                <w:highlight w:val="none"/>
              </w:rPr>
              <w:t>硬</w:t>
            </w:r>
            <w:r>
              <w:rPr>
                <w:rFonts w:hAnsi="宋体"/>
                <w:spacing w:val="2"/>
                <w:highlight w:val="none"/>
              </w:rPr>
              <w:t>化</w:t>
            </w:r>
            <w:r>
              <w:rPr>
                <w:rFonts w:hAnsi="宋体"/>
                <w:spacing w:val="-1"/>
                <w:highlight w:val="none"/>
              </w:rPr>
              <w:t>绿</w:t>
            </w:r>
            <w:r>
              <w:rPr>
                <w:rFonts w:hAnsi="宋体"/>
                <w:highlight w:val="none"/>
              </w:rPr>
              <w:t>化</w:t>
            </w:r>
          </w:p>
        </w:tc>
        <w:tc>
          <w:tcPr>
            <w:tcW w:w="950" w:type="dxa"/>
            <w:vAlign w:val="center"/>
          </w:tcPr>
          <w:p>
            <w:pPr>
              <w:pStyle w:val="64"/>
              <w:rPr>
                <w:rFonts w:hAnsi="宋体" w:cs="hakuyoxingshu7000"/>
                <w:highlight w:val="none"/>
              </w:rPr>
            </w:pPr>
            <w:r>
              <w:rPr>
                <w:rFonts w:hint="eastAsia" w:hAnsi="宋体" w:cs="hakuyoxingshu7000"/>
                <w:highlight w:val="none"/>
              </w:rPr>
              <w:t>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000" w:type="dxa"/>
            <w:gridSpan w:val="4"/>
            <w:vAlign w:val="center"/>
          </w:tcPr>
          <w:p>
            <w:pPr>
              <w:pStyle w:val="64"/>
              <w:jc w:val="left"/>
              <w:rPr>
                <w:rFonts w:hAnsi="宋体"/>
                <w:highlight w:val="none"/>
              </w:rPr>
            </w:pPr>
            <w:r>
              <w:rPr>
                <w:rFonts w:hAnsi="宋体"/>
                <w:spacing w:val="-1"/>
                <w:highlight w:val="none"/>
              </w:rPr>
              <w:t>总</w:t>
            </w:r>
            <w:r>
              <w:rPr>
                <w:rFonts w:hAnsi="宋体"/>
                <w:highlight w:val="none"/>
              </w:rPr>
              <w:t>计</w:t>
            </w:r>
          </w:p>
        </w:tc>
        <w:tc>
          <w:tcPr>
            <w:tcW w:w="950" w:type="dxa"/>
            <w:vAlign w:val="center"/>
          </w:tcPr>
          <w:p>
            <w:pPr>
              <w:pStyle w:val="64"/>
              <w:rPr>
                <w:rFonts w:hAnsi="宋体" w:cs="hakuyoxingshu7000"/>
                <w:highlight w:val="none"/>
              </w:rPr>
            </w:pPr>
            <w:r>
              <w:rPr>
                <w:rFonts w:hint="eastAsia" w:hAnsi="宋体" w:cs="hakuyoxingshu7000"/>
                <w:highlight w:val="none"/>
              </w:rPr>
              <w:t>54.1</w:t>
            </w:r>
          </w:p>
        </w:tc>
      </w:tr>
    </w:tbl>
    <w:p>
      <w:pPr>
        <w:pStyle w:val="62"/>
        <w:ind w:firstLine="480"/>
        <w:rPr>
          <w:rFonts w:hAnsi="宋体"/>
          <w:highlight w:val="none"/>
        </w:rPr>
      </w:pPr>
    </w:p>
    <w:p>
      <w:pPr>
        <w:pStyle w:val="62"/>
        <w:ind w:firstLine="480"/>
        <w:rPr>
          <w:rFonts w:hAnsi="宋体"/>
          <w:highlight w:val="none"/>
        </w:rPr>
        <w:sectPr>
          <w:footerReference r:id="rId24" w:type="default"/>
          <w:pgSz w:w="11910" w:h="16840"/>
          <w:pgMar w:top="1588" w:right="1588" w:bottom="1474" w:left="1588" w:header="964" w:footer="850" w:gutter="0"/>
          <w:pgBorders>
            <w:top w:val="none" w:sz="0" w:space="0"/>
            <w:left w:val="none" w:sz="0" w:space="0"/>
            <w:bottom w:val="none" w:sz="0" w:space="0"/>
            <w:right w:val="none" w:sz="0" w:space="0"/>
          </w:pgBorders>
          <w:pgNumType w:start="1"/>
          <w:cols w:space="720" w:num="1"/>
          <w:docGrid w:linePitch="326" w:charSpace="0"/>
        </w:sectPr>
      </w:pPr>
    </w:p>
    <w:p>
      <w:pPr>
        <w:pStyle w:val="2"/>
        <w:ind w:firstLine="883"/>
        <w:rPr>
          <w:highlight w:val="none"/>
        </w:rPr>
      </w:pPr>
      <w:bookmarkStart w:id="348" w:name="_Toc4678511"/>
      <w:bookmarkStart w:id="349" w:name="_Toc70201041"/>
      <w:bookmarkStart w:id="350" w:name="_Toc487302205"/>
      <w:bookmarkStart w:id="351" w:name="_Toc1460954"/>
      <w:r>
        <w:rPr>
          <w:highlight w:val="none"/>
        </w:rPr>
        <w:t>第七章</w:t>
      </w:r>
      <w:r>
        <w:rPr>
          <w:rFonts w:hint="eastAsia"/>
          <w:highlight w:val="none"/>
        </w:rPr>
        <w:t xml:space="preserve">  </w:t>
      </w:r>
      <w:r>
        <w:rPr>
          <w:highlight w:val="none"/>
        </w:rPr>
        <w:t>环境影响经济损益分析</w:t>
      </w:r>
      <w:bookmarkEnd w:id="348"/>
      <w:bookmarkEnd w:id="349"/>
    </w:p>
    <w:p>
      <w:pPr>
        <w:pStyle w:val="3"/>
        <w:ind w:firstLine="643"/>
        <w:rPr>
          <w:rFonts w:hAnsi="宋体"/>
          <w:highlight w:val="none"/>
        </w:rPr>
      </w:pPr>
      <w:bookmarkStart w:id="352" w:name="_Toc70201042"/>
      <w:bookmarkStart w:id="353" w:name="_Toc4678512"/>
      <w:r>
        <w:rPr>
          <w:rFonts w:hAnsi="宋体"/>
          <w:highlight w:val="none"/>
        </w:rPr>
        <w:t>7.1经济效益</w:t>
      </w:r>
      <w:bookmarkEnd w:id="352"/>
    </w:p>
    <w:p>
      <w:pPr>
        <w:ind w:firstLine="480"/>
        <w:rPr>
          <w:rFonts w:ascii="宋体" w:hAnsi="宋体"/>
          <w:highlight w:val="none"/>
          <w:lang w:val="zh-CN"/>
        </w:rPr>
      </w:pPr>
      <w:r>
        <w:rPr>
          <w:rFonts w:ascii="宋体" w:hAnsi="宋体"/>
          <w:highlight w:val="none"/>
          <w:lang w:val="zh-CN"/>
        </w:rPr>
        <w:t>根据《山西省繁峙县垣利铁选厂30万吨/年低品位铁矿石综合利用项目可行性研究报告》，本项目总投资700万元，年实现利润为7</w:t>
      </w:r>
      <w:r>
        <w:rPr>
          <w:rFonts w:hint="eastAsia" w:ascii="宋体" w:hAnsi="宋体"/>
          <w:highlight w:val="none"/>
          <w:lang w:val="zh-CN"/>
        </w:rPr>
        <w:t>1</w:t>
      </w:r>
      <w:r>
        <w:rPr>
          <w:rFonts w:ascii="宋体" w:hAnsi="宋体"/>
          <w:highlight w:val="none"/>
          <w:lang w:val="zh-CN"/>
        </w:rPr>
        <w:t>3.41万元，具有良好的经济效益。</w:t>
      </w:r>
    </w:p>
    <w:p>
      <w:pPr>
        <w:pStyle w:val="3"/>
        <w:ind w:firstLine="643"/>
        <w:rPr>
          <w:rFonts w:hAnsi="宋体"/>
          <w:highlight w:val="none"/>
        </w:rPr>
      </w:pPr>
      <w:bookmarkStart w:id="354" w:name="_Toc70201043"/>
      <w:r>
        <w:rPr>
          <w:rFonts w:hAnsi="宋体"/>
          <w:highlight w:val="none"/>
        </w:rPr>
        <w:t>7.2</w:t>
      </w:r>
      <w:bookmarkEnd w:id="353"/>
      <w:r>
        <w:rPr>
          <w:rFonts w:hAnsi="宋体"/>
          <w:highlight w:val="none"/>
        </w:rPr>
        <w:t>社会效益</w:t>
      </w:r>
      <w:bookmarkEnd w:id="354"/>
    </w:p>
    <w:p>
      <w:pPr>
        <w:ind w:firstLine="480"/>
        <w:rPr>
          <w:rFonts w:ascii="宋体" w:hAnsi="宋体"/>
          <w:highlight w:val="none"/>
          <w:lang w:val="zh-CN"/>
        </w:rPr>
      </w:pPr>
      <w:r>
        <w:rPr>
          <w:rFonts w:ascii="宋体" w:hAnsi="宋体"/>
          <w:highlight w:val="none"/>
          <w:lang w:val="zh-CN"/>
        </w:rPr>
        <w:t>本项目的实施在促进企业经济效益增加的同时，可为当地创造出更多的就业机会，解决部分周围村庄剩余劳动力的就业，提高当地居民的经济收入，促进地方的经济繁荣。因此本次矿井开发具有良好的经济和社会效益。</w:t>
      </w:r>
    </w:p>
    <w:p>
      <w:pPr>
        <w:pStyle w:val="3"/>
        <w:ind w:firstLine="643"/>
        <w:rPr>
          <w:rFonts w:hAnsi="宋体"/>
          <w:highlight w:val="none"/>
        </w:rPr>
      </w:pPr>
      <w:bookmarkStart w:id="355" w:name="_Toc70201044"/>
      <w:r>
        <w:rPr>
          <w:rFonts w:hAnsi="宋体"/>
          <w:highlight w:val="none"/>
        </w:rPr>
        <w:t>7.3建设项目成本分析</w:t>
      </w:r>
      <w:bookmarkEnd w:id="355"/>
    </w:p>
    <w:p>
      <w:pPr>
        <w:ind w:firstLine="480"/>
        <w:rPr>
          <w:rFonts w:ascii="宋体" w:hAnsi="宋体"/>
          <w:highlight w:val="none"/>
        </w:rPr>
      </w:pPr>
      <w:r>
        <w:rPr>
          <w:rFonts w:ascii="宋体" w:hAnsi="宋体"/>
          <w:highlight w:val="none"/>
        </w:rPr>
        <w:t>建设项目环境成本主要包括两部分：工程环境保护措施投资和环保设施运行及管理费用（两部分费用不具有可加性）。</w:t>
      </w:r>
    </w:p>
    <w:p>
      <w:pPr>
        <w:ind w:firstLine="480"/>
        <w:rPr>
          <w:rFonts w:ascii="宋体" w:hAnsi="宋体"/>
          <w:highlight w:val="none"/>
        </w:rPr>
      </w:pPr>
      <w:r>
        <w:rPr>
          <w:rFonts w:ascii="宋体" w:hAnsi="宋体"/>
          <w:highlight w:val="none"/>
        </w:rPr>
        <w:t>1</w:t>
      </w:r>
      <w:r>
        <w:rPr>
          <w:rFonts w:hint="eastAsia" w:ascii="宋体" w:hAnsi="宋体"/>
          <w:highlight w:val="none"/>
        </w:rPr>
        <w:t>、</w:t>
      </w:r>
      <w:r>
        <w:rPr>
          <w:rFonts w:ascii="宋体" w:hAnsi="宋体"/>
          <w:highlight w:val="none"/>
        </w:rPr>
        <w:t>环保工程建设投资</w:t>
      </w:r>
    </w:p>
    <w:p>
      <w:pPr>
        <w:ind w:firstLine="480"/>
        <w:rPr>
          <w:rFonts w:ascii="宋体" w:hAnsi="宋体"/>
          <w:highlight w:val="none"/>
          <w:lang w:val="zh-CN"/>
        </w:rPr>
      </w:pPr>
      <w:r>
        <w:rPr>
          <w:rFonts w:ascii="宋体" w:hAnsi="宋体"/>
          <w:highlight w:val="none"/>
          <w:lang w:val="zh-CN"/>
        </w:rPr>
        <w:t>本项目总投资为700万元，根据估算本项目环保投资为</w:t>
      </w:r>
      <w:r>
        <w:rPr>
          <w:rFonts w:hint="eastAsia" w:ascii="宋体" w:hAnsi="宋体"/>
          <w:highlight w:val="none"/>
          <w:lang w:val="zh-CN"/>
        </w:rPr>
        <w:t>54.1</w:t>
      </w:r>
      <w:r>
        <w:rPr>
          <w:rFonts w:ascii="宋体" w:hAnsi="宋体"/>
          <w:highlight w:val="none"/>
          <w:lang w:val="zh-CN"/>
        </w:rPr>
        <w:t>万元，占总投资的</w:t>
      </w:r>
      <w:r>
        <w:rPr>
          <w:rFonts w:hint="eastAsia" w:ascii="宋体" w:hAnsi="宋体"/>
          <w:highlight w:val="none"/>
          <w:lang w:val="zh-CN"/>
        </w:rPr>
        <w:t>7.73</w:t>
      </w:r>
      <w:r>
        <w:rPr>
          <w:rFonts w:ascii="宋体" w:hAnsi="宋体"/>
          <w:highlight w:val="none"/>
          <w:lang w:val="zh-CN"/>
        </w:rPr>
        <w:t>%。</w:t>
      </w:r>
    </w:p>
    <w:p>
      <w:pPr>
        <w:ind w:firstLine="480"/>
        <w:rPr>
          <w:rFonts w:ascii="宋体" w:hAnsi="宋体"/>
          <w:highlight w:val="none"/>
        </w:rPr>
      </w:pPr>
      <w:r>
        <w:rPr>
          <w:rFonts w:ascii="宋体" w:hAnsi="宋体"/>
          <w:highlight w:val="none"/>
        </w:rPr>
        <w:t>2</w:t>
      </w:r>
      <w:r>
        <w:rPr>
          <w:rFonts w:hint="eastAsia" w:ascii="宋体" w:hAnsi="宋体"/>
          <w:highlight w:val="none"/>
        </w:rPr>
        <w:t>、</w:t>
      </w:r>
      <w:r>
        <w:rPr>
          <w:rFonts w:ascii="宋体" w:hAnsi="宋体"/>
          <w:highlight w:val="none"/>
        </w:rPr>
        <w:t>环保工程运行管理费用</w:t>
      </w:r>
    </w:p>
    <w:p>
      <w:pPr>
        <w:ind w:firstLine="480"/>
        <w:rPr>
          <w:rFonts w:ascii="宋体" w:hAnsi="宋体"/>
          <w:highlight w:val="none"/>
          <w:lang w:val="zh-CN"/>
        </w:rPr>
      </w:pPr>
      <w:r>
        <w:rPr>
          <w:rFonts w:ascii="宋体" w:hAnsi="宋体"/>
          <w:highlight w:val="none"/>
          <w:lang w:val="zh-CN"/>
        </w:rPr>
        <w:t>1）环保设备运行费用</w:t>
      </w:r>
    </w:p>
    <w:p>
      <w:pPr>
        <w:ind w:firstLine="480"/>
        <w:rPr>
          <w:rFonts w:ascii="宋体" w:hAnsi="宋体"/>
          <w:highlight w:val="none"/>
          <w:lang w:val="zh-CN"/>
        </w:rPr>
      </w:pPr>
      <w:r>
        <w:rPr>
          <w:rFonts w:ascii="宋体" w:hAnsi="宋体"/>
          <w:highlight w:val="none"/>
          <w:lang w:val="zh-CN"/>
        </w:rPr>
        <w:t>环保设备运行费用按环保设施投资的5%计算，费用为</w:t>
      </w:r>
      <w:r>
        <w:rPr>
          <w:rFonts w:hint="eastAsia" w:ascii="宋体" w:hAnsi="宋体"/>
          <w:highlight w:val="none"/>
          <w:lang w:val="zh-CN"/>
        </w:rPr>
        <w:t>2</w:t>
      </w:r>
      <w:r>
        <w:rPr>
          <w:rFonts w:ascii="宋体" w:hAnsi="宋体"/>
          <w:highlight w:val="none"/>
          <w:lang w:val="zh-CN"/>
        </w:rPr>
        <w:t>.7万元/年。</w:t>
      </w:r>
    </w:p>
    <w:p>
      <w:pPr>
        <w:ind w:firstLine="480"/>
        <w:rPr>
          <w:rFonts w:ascii="宋体" w:hAnsi="宋体"/>
          <w:highlight w:val="none"/>
          <w:lang w:val="zh-CN"/>
        </w:rPr>
      </w:pPr>
      <w:r>
        <w:rPr>
          <w:rFonts w:ascii="宋体" w:hAnsi="宋体"/>
          <w:highlight w:val="none"/>
          <w:lang w:val="zh-CN"/>
        </w:rPr>
        <w:t>2）环保工作人员成本</w:t>
      </w:r>
    </w:p>
    <w:p>
      <w:pPr>
        <w:ind w:firstLine="480"/>
        <w:rPr>
          <w:rFonts w:ascii="宋体" w:hAnsi="宋体"/>
          <w:highlight w:val="none"/>
          <w:lang w:val="zh-CN"/>
        </w:rPr>
      </w:pPr>
      <w:r>
        <w:rPr>
          <w:rFonts w:ascii="宋体" w:hAnsi="宋体"/>
          <w:highlight w:val="none"/>
          <w:lang w:val="zh-CN"/>
        </w:rPr>
        <w:t>按目前的福利水平，企业职工平均工资、福利为1万元/人·年，本项目环保工作人员总费用平均约为2万元/年。</w:t>
      </w:r>
    </w:p>
    <w:p>
      <w:pPr>
        <w:ind w:firstLine="480"/>
        <w:rPr>
          <w:rFonts w:ascii="宋体" w:hAnsi="宋体"/>
          <w:highlight w:val="none"/>
          <w:lang w:val="zh-CN"/>
        </w:rPr>
      </w:pPr>
      <w:r>
        <w:rPr>
          <w:rFonts w:ascii="宋体" w:hAnsi="宋体"/>
          <w:highlight w:val="none"/>
          <w:lang w:val="zh-CN"/>
        </w:rPr>
        <w:t>3）管理费用</w:t>
      </w:r>
    </w:p>
    <w:p>
      <w:pPr>
        <w:ind w:firstLine="480"/>
        <w:rPr>
          <w:rFonts w:ascii="宋体" w:hAnsi="宋体"/>
          <w:highlight w:val="none"/>
          <w:lang w:val="zh-CN"/>
        </w:rPr>
      </w:pPr>
      <w:r>
        <w:rPr>
          <w:rFonts w:ascii="宋体" w:hAnsi="宋体"/>
          <w:highlight w:val="none"/>
          <w:lang w:val="zh-CN"/>
        </w:rPr>
        <w:t>主要包括环保系统日常行政开支费用，日常开支估算1万元/年。</w:t>
      </w:r>
    </w:p>
    <w:p>
      <w:pPr>
        <w:ind w:firstLine="480"/>
        <w:rPr>
          <w:rFonts w:ascii="宋体" w:hAnsi="宋体"/>
          <w:highlight w:val="none"/>
          <w:lang w:val="zh-CN"/>
        </w:rPr>
      </w:pPr>
      <w:r>
        <w:rPr>
          <w:rFonts w:ascii="宋体" w:hAnsi="宋体"/>
          <w:highlight w:val="none"/>
          <w:lang w:val="zh-CN"/>
        </w:rPr>
        <w:t>本项目环境工程运行管理费用约为</w:t>
      </w:r>
      <w:r>
        <w:rPr>
          <w:rFonts w:hint="eastAsia" w:ascii="宋体" w:hAnsi="宋体"/>
          <w:highlight w:val="none"/>
          <w:lang w:val="zh-CN"/>
        </w:rPr>
        <w:t>5</w:t>
      </w:r>
      <w:r>
        <w:rPr>
          <w:rFonts w:ascii="宋体" w:hAnsi="宋体"/>
          <w:highlight w:val="none"/>
          <w:lang w:val="zh-CN"/>
        </w:rPr>
        <w:t>.7万元/年。</w:t>
      </w:r>
    </w:p>
    <w:p>
      <w:pPr>
        <w:pStyle w:val="3"/>
        <w:ind w:firstLine="643"/>
        <w:rPr>
          <w:rFonts w:hAnsi="宋体"/>
          <w:highlight w:val="none"/>
        </w:rPr>
      </w:pPr>
      <w:bookmarkStart w:id="356" w:name="_Toc70201045"/>
      <w:r>
        <w:rPr>
          <w:rFonts w:hAnsi="宋体"/>
          <w:highlight w:val="none"/>
        </w:rPr>
        <w:t>7.4环境经济损益分析</w:t>
      </w:r>
      <w:bookmarkEnd w:id="356"/>
    </w:p>
    <w:p>
      <w:pPr>
        <w:autoSpaceDE w:val="0"/>
        <w:autoSpaceDN w:val="0"/>
        <w:adjustRightInd w:val="0"/>
        <w:ind w:firstLine="480"/>
        <w:jc w:val="left"/>
        <w:rPr>
          <w:rFonts w:ascii="宋体" w:hAnsi="宋体"/>
          <w:kern w:val="0"/>
          <w:highlight w:val="none"/>
        </w:rPr>
      </w:pPr>
      <w:r>
        <w:rPr>
          <w:rFonts w:ascii="宋体" w:hAnsi="宋体"/>
          <w:kern w:val="0"/>
          <w:highlight w:val="none"/>
        </w:rPr>
        <w:t>1）环保建设费用占总建设投资比例</w:t>
      </w:r>
    </w:p>
    <w:p>
      <w:pPr>
        <w:autoSpaceDE w:val="0"/>
        <w:autoSpaceDN w:val="0"/>
        <w:adjustRightInd w:val="0"/>
        <w:ind w:firstLine="480"/>
        <w:jc w:val="left"/>
        <w:rPr>
          <w:rFonts w:ascii="宋体" w:hAnsi="宋体"/>
          <w:kern w:val="0"/>
          <w:highlight w:val="none"/>
        </w:rPr>
      </w:pPr>
      <w:r>
        <w:rPr>
          <w:rFonts w:ascii="宋体" w:hAnsi="宋体"/>
          <w:kern w:val="0"/>
          <w:highlight w:val="none"/>
        </w:rPr>
        <w:t>（环保建设费用/总投资）×100%=（</w:t>
      </w:r>
      <w:r>
        <w:rPr>
          <w:rFonts w:hint="eastAsia" w:ascii="宋体" w:hAnsi="宋体"/>
          <w:kern w:val="0"/>
          <w:highlight w:val="none"/>
        </w:rPr>
        <w:t>54.1</w:t>
      </w:r>
      <w:r>
        <w:rPr>
          <w:rFonts w:ascii="宋体" w:hAnsi="宋体"/>
          <w:kern w:val="0"/>
          <w:highlight w:val="none"/>
        </w:rPr>
        <w:t>/700）×100%=</w:t>
      </w:r>
      <w:r>
        <w:rPr>
          <w:rFonts w:hint="eastAsia" w:ascii="宋体" w:hAnsi="宋体"/>
          <w:kern w:val="0"/>
          <w:highlight w:val="none"/>
        </w:rPr>
        <w:t>7.73</w:t>
      </w:r>
      <w:r>
        <w:rPr>
          <w:rFonts w:ascii="宋体" w:hAnsi="宋体"/>
          <w:kern w:val="0"/>
          <w:highlight w:val="none"/>
        </w:rPr>
        <w:t>%</w:t>
      </w:r>
    </w:p>
    <w:p>
      <w:pPr>
        <w:autoSpaceDE w:val="0"/>
        <w:autoSpaceDN w:val="0"/>
        <w:adjustRightInd w:val="0"/>
        <w:ind w:firstLine="480"/>
        <w:jc w:val="left"/>
        <w:rPr>
          <w:rFonts w:ascii="宋体" w:hAnsi="宋体"/>
          <w:kern w:val="0"/>
          <w:highlight w:val="none"/>
        </w:rPr>
      </w:pPr>
      <w:r>
        <w:rPr>
          <w:rFonts w:ascii="宋体" w:hAnsi="宋体"/>
          <w:kern w:val="0"/>
          <w:highlight w:val="none"/>
        </w:rPr>
        <w:t>2）环境成本比率</w:t>
      </w:r>
    </w:p>
    <w:p>
      <w:pPr>
        <w:autoSpaceDE w:val="0"/>
        <w:autoSpaceDN w:val="0"/>
        <w:adjustRightInd w:val="0"/>
        <w:ind w:firstLine="480"/>
        <w:jc w:val="left"/>
        <w:rPr>
          <w:rFonts w:ascii="宋体" w:hAnsi="宋体"/>
          <w:kern w:val="0"/>
          <w:highlight w:val="none"/>
        </w:rPr>
      </w:pPr>
      <w:r>
        <w:rPr>
          <w:rFonts w:ascii="宋体" w:hAnsi="宋体"/>
          <w:kern w:val="0"/>
          <w:highlight w:val="none"/>
        </w:rPr>
        <w:t>环境成本比率是工程单位经济效益所需的环保运行管理费用（工程总经济效益按税后利润计）：</w:t>
      </w:r>
    </w:p>
    <w:p>
      <w:pPr>
        <w:autoSpaceDE w:val="0"/>
        <w:autoSpaceDN w:val="0"/>
        <w:adjustRightInd w:val="0"/>
        <w:ind w:firstLine="480"/>
        <w:jc w:val="left"/>
        <w:rPr>
          <w:rFonts w:ascii="宋体" w:hAnsi="宋体"/>
          <w:kern w:val="0"/>
          <w:highlight w:val="none"/>
        </w:rPr>
      </w:pPr>
      <w:r>
        <w:rPr>
          <w:rFonts w:ascii="宋体" w:hAnsi="宋体"/>
          <w:kern w:val="0"/>
          <w:highlight w:val="none"/>
        </w:rPr>
        <w:t>（环保运行管理费用/工程总经济效益）×100%=（</w:t>
      </w:r>
      <w:r>
        <w:rPr>
          <w:rFonts w:hint="eastAsia" w:ascii="宋体" w:hAnsi="宋体"/>
          <w:kern w:val="0"/>
          <w:highlight w:val="none"/>
        </w:rPr>
        <w:t>5</w:t>
      </w:r>
      <w:r>
        <w:rPr>
          <w:rFonts w:ascii="宋体" w:hAnsi="宋体"/>
          <w:kern w:val="0"/>
          <w:highlight w:val="none"/>
        </w:rPr>
        <w:t>.7/</w:t>
      </w:r>
      <w:r>
        <w:rPr>
          <w:rFonts w:ascii="宋体" w:hAnsi="宋体"/>
          <w:kern w:val="0"/>
          <w:highlight w:val="none"/>
          <w:lang w:val="zh-CN"/>
        </w:rPr>
        <w:t>713.41</w:t>
      </w:r>
      <w:r>
        <w:rPr>
          <w:rFonts w:ascii="宋体" w:hAnsi="宋体"/>
          <w:kern w:val="0"/>
          <w:highlight w:val="none"/>
        </w:rPr>
        <w:t>）×100%=</w:t>
      </w:r>
      <w:r>
        <w:rPr>
          <w:rFonts w:hint="eastAsia" w:ascii="宋体" w:hAnsi="宋体"/>
          <w:kern w:val="0"/>
          <w:highlight w:val="none"/>
        </w:rPr>
        <w:t>0.8</w:t>
      </w:r>
      <w:r>
        <w:rPr>
          <w:rFonts w:ascii="宋体" w:hAnsi="宋体"/>
          <w:kern w:val="0"/>
          <w:highlight w:val="none"/>
        </w:rPr>
        <w:t>%</w:t>
      </w:r>
    </w:p>
    <w:p>
      <w:pPr>
        <w:autoSpaceDE w:val="0"/>
        <w:autoSpaceDN w:val="0"/>
        <w:adjustRightInd w:val="0"/>
        <w:ind w:firstLine="480"/>
        <w:jc w:val="left"/>
        <w:rPr>
          <w:rFonts w:ascii="宋体" w:hAnsi="宋体"/>
          <w:kern w:val="0"/>
          <w:highlight w:val="none"/>
        </w:rPr>
      </w:pPr>
      <w:r>
        <w:rPr>
          <w:rFonts w:ascii="宋体" w:hAnsi="宋体"/>
          <w:kern w:val="0"/>
          <w:highlight w:val="none"/>
        </w:rPr>
        <w:t>3）环境系数</w:t>
      </w:r>
    </w:p>
    <w:p>
      <w:pPr>
        <w:autoSpaceDE w:val="0"/>
        <w:autoSpaceDN w:val="0"/>
        <w:adjustRightInd w:val="0"/>
        <w:ind w:firstLine="480"/>
        <w:jc w:val="left"/>
        <w:rPr>
          <w:rFonts w:ascii="宋体" w:hAnsi="宋体"/>
          <w:kern w:val="0"/>
          <w:highlight w:val="none"/>
        </w:rPr>
      </w:pPr>
      <w:r>
        <w:rPr>
          <w:rFonts w:ascii="宋体" w:hAnsi="宋体"/>
          <w:kern w:val="0"/>
          <w:highlight w:val="none"/>
        </w:rPr>
        <w:t>环境系数指工程单位值所需的环保运行管理费用。</w:t>
      </w:r>
    </w:p>
    <w:p>
      <w:pPr>
        <w:autoSpaceDE w:val="0"/>
        <w:autoSpaceDN w:val="0"/>
        <w:adjustRightInd w:val="0"/>
        <w:ind w:firstLine="480"/>
        <w:jc w:val="left"/>
        <w:rPr>
          <w:rFonts w:ascii="宋体" w:hAnsi="宋体"/>
          <w:kern w:val="0"/>
          <w:highlight w:val="none"/>
        </w:rPr>
      </w:pPr>
      <w:r>
        <w:rPr>
          <w:rFonts w:ascii="宋体" w:hAnsi="宋体"/>
          <w:kern w:val="0"/>
          <w:highlight w:val="none"/>
        </w:rPr>
        <w:t>（环保运行管理费用/总产值）×100%=（</w:t>
      </w:r>
      <w:r>
        <w:rPr>
          <w:rFonts w:hint="eastAsia" w:ascii="宋体" w:hAnsi="宋体"/>
          <w:kern w:val="0"/>
          <w:highlight w:val="none"/>
        </w:rPr>
        <w:t>5</w:t>
      </w:r>
      <w:r>
        <w:rPr>
          <w:rFonts w:ascii="宋体" w:hAnsi="宋体"/>
          <w:kern w:val="0"/>
          <w:highlight w:val="none"/>
        </w:rPr>
        <w:t>.7/</w:t>
      </w:r>
      <w:r>
        <w:rPr>
          <w:rFonts w:hint="eastAsia" w:ascii="宋体" w:hAnsi="宋体"/>
          <w:kern w:val="0"/>
          <w:highlight w:val="none"/>
        </w:rPr>
        <w:t>700</w:t>
      </w:r>
      <w:r>
        <w:rPr>
          <w:rFonts w:ascii="宋体" w:hAnsi="宋体"/>
          <w:kern w:val="0"/>
          <w:highlight w:val="none"/>
        </w:rPr>
        <w:t>）×100%=0.</w:t>
      </w:r>
      <w:r>
        <w:rPr>
          <w:rFonts w:hint="eastAsia" w:ascii="宋体" w:hAnsi="宋体"/>
          <w:kern w:val="0"/>
          <w:highlight w:val="none"/>
        </w:rPr>
        <w:t>81</w:t>
      </w:r>
      <w:r>
        <w:rPr>
          <w:rFonts w:ascii="宋体" w:hAnsi="宋体"/>
          <w:kern w:val="0"/>
          <w:highlight w:val="none"/>
        </w:rPr>
        <w:t>%.</w:t>
      </w:r>
    </w:p>
    <w:p>
      <w:pPr>
        <w:autoSpaceDE w:val="0"/>
        <w:autoSpaceDN w:val="0"/>
        <w:adjustRightInd w:val="0"/>
        <w:ind w:firstLine="460"/>
        <w:jc w:val="left"/>
        <w:rPr>
          <w:rFonts w:ascii="宋体" w:hAnsi="宋体"/>
          <w:kern w:val="0"/>
          <w:highlight w:val="none"/>
        </w:rPr>
      </w:pPr>
      <w:r>
        <w:rPr>
          <w:rFonts w:ascii="宋体" w:hAnsi="宋体"/>
          <w:kern w:val="0"/>
          <w:sz w:val="23"/>
          <w:szCs w:val="23"/>
          <w:highlight w:val="none"/>
        </w:rPr>
        <w:t>本</w:t>
      </w:r>
      <w:r>
        <w:rPr>
          <w:rFonts w:ascii="宋体" w:hAnsi="宋体"/>
          <w:kern w:val="0"/>
          <w:highlight w:val="none"/>
        </w:rPr>
        <w:t>项目各项环保工程投资为</w:t>
      </w:r>
      <w:r>
        <w:rPr>
          <w:rFonts w:hint="eastAsia" w:ascii="宋体" w:hAnsi="宋体"/>
          <w:kern w:val="0"/>
          <w:highlight w:val="none"/>
        </w:rPr>
        <w:t>54.1</w:t>
      </w:r>
      <w:r>
        <w:rPr>
          <w:rFonts w:ascii="宋体" w:hAnsi="宋体"/>
          <w:kern w:val="0"/>
          <w:highlight w:val="none"/>
        </w:rPr>
        <w:t>万元，包括直接投资的环保设施和属于管理范畴的工程措施，其环境效益主要体现在：通过在本项目营运期全过程环保工程措施的落实，确实有效的保护生态环境，降低周围关心目标的影响程度，达到社会经济建设和环境资源保护的协调发展。</w:t>
      </w:r>
    </w:p>
    <w:p>
      <w:pPr>
        <w:autoSpaceDE w:val="0"/>
        <w:autoSpaceDN w:val="0"/>
        <w:adjustRightInd w:val="0"/>
        <w:ind w:firstLine="480"/>
        <w:jc w:val="left"/>
        <w:rPr>
          <w:rFonts w:ascii="宋体" w:hAnsi="宋体"/>
          <w:kern w:val="0"/>
          <w:highlight w:val="none"/>
        </w:rPr>
      </w:pPr>
      <w:r>
        <w:rPr>
          <w:rFonts w:ascii="宋体" w:hAnsi="宋体"/>
          <w:kern w:val="0"/>
          <w:highlight w:val="none"/>
        </w:rPr>
        <w:t>(1)项目厂区设置1座2m</w:t>
      </w:r>
      <w:r>
        <w:rPr>
          <w:rFonts w:ascii="宋体" w:hAnsi="宋体"/>
          <w:kern w:val="0"/>
          <w:highlight w:val="none"/>
          <w:vertAlign w:val="superscript"/>
        </w:rPr>
        <w:t>3</w:t>
      </w:r>
      <w:r>
        <w:rPr>
          <w:rFonts w:ascii="宋体" w:hAnsi="宋体"/>
          <w:kern w:val="0"/>
          <w:highlight w:val="none"/>
        </w:rPr>
        <w:t>的沉淀池，生活污水经简单沉淀后用于厂区和道路洒水、绿化用水；旱厕定期清掏用于农田施肥，</w:t>
      </w:r>
      <w:r>
        <w:rPr>
          <w:rFonts w:hint="eastAsia" w:ascii="宋体" w:hAnsi="宋体"/>
          <w:kern w:val="0"/>
          <w:highlight w:val="none"/>
        </w:rPr>
        <w:t>不会对地表水水质产生影响。</w:t>
      </w:r>
    </w:p>
    <w:p>
      <w:pPr>
        <w:autoSpaceDE w:val="0"/>
        <w:autoSpaceDN w:val="0"/>
        <w:adjustRightInd w:val="0"/>
        <w:ind w:firstLine="480"/>
        <w:jc w:val="left"/>
        <w:rPr>
          <w:rFonts w:ascii="宋体" w:hAnsi="宋体"/>
          <w:kern w:val="0"/>
          <w:highlight w:val="none"/>
        </w:rPr>
      </w:pPr>
      <w:r>
        <w:rPr>
          <w:rFonts w:ascii="宋体" w:hAnsi="宋体"/>
          <w:kern w:val="0"/>
          <w:highlight w:val="none"/>
        </w:rPr>
        <w:t>(2)项目建设封闭的原料仓、成品仓和生产车间，全封闭皮带输送系统，并配套喷淋洒水装置，有效减少了粉尘的排放，对环境空气质量不产生明显的影响。</w:t>
      </w:r>
    </w:p>
    <w:p>
      <w:pPr>
        <w:autoSpaceDE w:val="0"/>
        <w:autoSpaceDN w:val="0"/>
        <w:adjustRightInd w:val="0"/>
        <w:ind w:firstLine="480"/>
        <w:jc w:val="left"/>
        <w:rPr>
          <w:rFonts w:ascii="宋体" w:hAnsi="宋体"/>
          <w:kern w:val="0"/>
          <w:highlight w:val="none"/>
        </w:rPr>
      </w:pPr>
      <w:r>
        <w:rPr>
          <w:rFonts w:ascii="宋体" w:hAnsi="宋体"/>
          <w:kern w:val="0"/>
          <w:highlight w:val="none"/>
        </w:rPr>
        <w:t>(3)对机械设备经采取选用低噪声设备、隔音、消音和设置绿化林带等措施后，有效地降低了噪声的影响。</w:t>
      </w:r>
    </w:p>
    <w:p>
      <w:pPr>
        <w:autoSpaceDE w:val="0"/>
        <w:autoSpaceDN w:val="0"/>
        <w:adjustRightInd w:val="0"/>
        <w:ind w:firstLine="480"/>
        <w:jc w:val="left"/>
        <w:rPr>
          <w:rFonts w:ascii="宋体" w:hAnsi="宋体"/>
          <w:kern w:val="0"/>
          <w:highlight w:val="none"/>
        </w:rPr>
      </w:pPr>
      <w:r>
        <w:rPr>
          <w:rFonts w:ascii="宋体" w:hAnsi="宋体"/>
          <w:kern w:val="0"/>
          <w:highlight w:val="none"/>
        </w:rPr>
        <w:t>(4)项目的产生的固废全部合理处置，降低了对环境的影响。</w:t>
      </w:r>
    </w:p>
    <w:p>
      <w:pPr>
        <w:pStyle w:val="3"/>
        <w:ind w:firstLine="643"/>
        <w:rPr>
          <w:rFonts w:hAnsi="宋体"/>
          <w:highlight w:val="none"/>
        </w:rPr>
      </w:pPr>
      <w:bookmarkStart w:id="357" w:name="_Toc70201046"/>
      <w:r>
        <w:rPr>
          <w:rFonts w:hAnsi="宋体"/>
          <w:highlight w:val="none"/>
        </w:rPr>
        <w:t>7.5结论</w:t>
      </w:r>
      <w:bookmarkEnd w:id="357"/>
    </w:p>
    <w:p>
      <w:pPr>
        <w:pStyle w:val="62"/>
        <w:ind w:firstLine="480"/>
        <w:rPr>
          <w:rFonts w:hAnsi="宋体"/>
          <w:highlight w:val="none"/>
        </w:rPr>
      </w:pPr>
      <w:r>
        <w:rPr>
          <w:rFonts w:hint="eastAsia" w:hAnsi="宋体"/>
          <w:highlight w:val="none"/>
        </w:rPr>
        <w:t>1、</w:t>
      </w:r>
      <w:r>
        <w:rPr>
          <w:rFonts w:hAnsi="宋体"/>
          <w:highlight w:val="none"/>
        </w:rPr>
        <w:t>本项目建成后，不仅增加了地方的财政收入，而且还能为企业积累大量资金，经济效益较好。</w:t>
      </w:r>
    </w:p>
    <w:p>
      <w:pPr>
        <w:pStyle w:val="62"/>
        <w:ind w:firstLine="480"/>
        <w:rPr>
          <w:rFonts w:hAnsi="宋体"/>
          <w:highlight w:val="none"/>
        </w:rPr>
      </w:pPr>
      <w:r>
        <w:rPr>
          <w:rFonts w:hint="eastAsia" w:hAnsi="宋体"/>
          <w:highlight w:val="none"/>
        </w:rPr>
        <w:t>2、</w:t>
      </w:r>
      <w:r>
        <w:rPr>
          <w:rFonts w:hAnsi="宋体"/>
          <w:highlight w:val="none"/>
        </w:rPr>
        <w:t>拟建工程完成后，当地的废石得到进一步的加工和利用，变废为宝，从低品位废矿石中进一步提取精矿粉，其余生产为石料外售，既能增强了企业的生存竞争能力，促进了当地的经济发展并改善了区域的环境状况，增加了当地居民的经济收入，又能对当地的环境改善起到积极的正效应。</w:t>
      </w:r>
    </w:p>
    <w:p>
      <w:pPr>
        <w:pStyle w:val="62"/>
        <w:ind w:firstLine="480"/>
        <w:rPr>
          <w:rFonts w:hAnsi="宋体"/>
          <w:highlight w:val="none"/>
        </w:rPr>
      </w:pPr>
      <w:r>
        <w:rPr>
          <w:rFonts w:hint="eastAsia" w:hAnsi="宋体"/>
          <w:highlight w:val="none"/>
        </w:rPr>
        <w:t>3、</w:t>
      </w:r>
      <w:r>
        <w:rPr>
          <w:rFonts w:hAnsi="宋体"/>
          <w:highlight w:val="none"/>
        </w:rPr>
        <w:t>该项目环保投资共约</w:t>
      </w:r>
      <w:r>
        <w:rPr>
          <w:rFonts w:hint="eastAsia" w:hAnsi="宋体"/>
          <w:highlight w:val="none"/>
        </w:rPr>
        <w:t>54.1</w:t>
      </w:r>
      <w:r>
        <w:rPr>
          <w:rFonts w:hAnsi="宋体"/>
          <w:highlight w:val="none"/>
        </w:rPr>
        <w:t>万元，项目运营时利润比较显著，环保设施的运行费用相对于本项目的利润而言比例较低，企业完全有经济能力承担。</w:t>
      </w:r>
    </w:p>
    <w:p>
      <w:pPr>
        <w:pStyle w:val="62"/>
        <w:ind w:firstLine="480"/>
        <w:rPr>
          <w:rFonts w:hAnsi="宋体"/>
          <w:highlight w:val="none"/>
        </w:rPr>
      </w:pPr>
      <w:r>
        <w:rPr>
          <w:rFonts w:hint="eastAsia" w:hAnsi="宋体"/>
          <w:highlight w:val="none"/>
        </w:rPr>
        <w:t>4、</w:t>
      </w:r>
      <w:r>
        <w:rPr>
          <w:rFonts w:hAnsi="宋体"/>
          <w:highlight w:val="none"/>
        </w:rPr>
        <w:t>本项目在严格落实环评提出的各项污染防治措施后，能够保证达标排放，不会恶化评价区环境质量。污染治理的经济投入，可产生很好的环境效益。</w:t>
      </w:r>
    </w:p>
    <w:p>
      <w:pPr>
        <w:pStyle w:val="62"/>
        <w:ind w:firstLine="480"/>
        <w:rPr>
          <w:rFonts w:hAnsi="宋体"/>
          <w:highlight w:val="none"/>
        </w:rPr>
      </w:pPr>
      <w:r>
        <w:rPr>
          <w:rFonts w:hAnsi="宋体"/>
          <w:highlight w:val="none"/>
        </w:rPr>
        <w:t>通过对本项目在经济效益、环境效益和社会效益三方面的分析，可以看出，本项目的建设能够达到三效益的和谐统一发展，符合经济与环境协调发展的可持续发展战略，项目是可行的。</w:t>
      </w:r>
    </w:p>
    <w:p>
      <w:pPr>
        <w:autoSpaceDE w:val="0"/>
        <w:autoSpaceDN w:val="0"/>
        <w:adjustRightInd w:val="0"/>
        <w:ind w:firstLine="480"/>
        <w:jc w:val="left"/>
        <w:rPr>
          <w:rFonts w:ascii="宋体" w:hAnsi="宋体"/>
          <w:highlight w:val="none"/>
        </w:rPr>
      </w:pPr>
    </w:p>
    <w:p>
      <w:pPr>
        <w:autoSpaceDE w:val="0"/>
        <w:autoSpaceDN w:val="0"/>
        <w:adjustRightInd w:val="0"/>
        <w:ind w:firstLine="460"/>
        <w:jc w:val="left"/>
        <w:rPr>
          <w:rFonts w:ascii="宋体" w:hAnsi="宋体"/>
          <w:kern w:val="0"/>
          <w:sz w:val="23"/>
          <w:szCs w:val="23"/>
          <w:highlight w:val="none"/>
        </w:rPr>
        <w:sectPr>
          <w:footerReference r:id="rId25" w:type="default"/>
          <w:pgSz w:w="11910" w:h="16840"/>
          <w:pgMar w:top="1588" w:right="1588" w:bottom="1474" w:left="1588" w:header="964" w:footer="850" w:gutter="0"/>
          <w:pgBorders>
            <w:top w:val="none" w:sz="0" w:space="0"/>
            <w:left w:val="none" w:sz="0" w:space="0"/>
            <w:bottom w:val="none" w:sz="0" w:space="0"/>
            <w:right w:val="none" w:sz="0" w:space="0"/>
          </w:pgBorders>
          <w:pgNumType w:start="1"/>
          <w:cols w:space="720" w:num="1"/>
          <w:docGrid w:linePitch="326" w:charSpace="0"/>
        </w:sectPr>
      </w:pPr>
    </w:p>
    <w:p>
      <w:pPr>
        <w:pStyle w:val="2"/>
        <w:ind w:firstLine="883"/>
        <w:rPr>
          <w:highlight w:val="none"/>
        </w:rPr>
      </w:pPr>
      <w:bookmarkStart w:id="358" w:name="_Toc4678518"/>
      <w:bookmarkStart w:id="359" w:name="_Toc70201047"/>
      <w:bookmarkStart w:id="360" w:name="_Toc4678529"/>
      <w:r>
        <w:rPr>
          <w:highlight w:val="none"/>
        </w:rPr>
        <w:t>第八章</w:t>
      </w:r>
      <w:r>
        <w:rPr>
          <w:rFonts w:hint="eastAsia"/>
          <w:highlight w:val="none"/>
        </w:rPr>
        <w:t xml:space="preserve">  </w:t>
      </w:r>
      <w:r>
        <w:rPr>
          <w:highlight w:val="none"/>
        </w:rPr>
        <w:t>环境管理与监测计划</w:t>
      </w:r>
      <w:bookmarkEnd w:id="358"/>
      <w:bookmarkEnd w:id="359"/>
    </w:p>
    <w:p>
      <w:pPr>
        <w:pStyle w:val="3"/>
        <w:ind w:firstLine="643"/>
        <w:rPr>
          <w:rFonts w:hAnsi="宋体"/>
          <w:highlight w:val="none"/>
        </w:rPr>
      </w:pPr>
      <w:bookmarkStart w:id="361" w:name="_Toc70201048"/>
      <w:bookmarkStart w:id="362" w:name="_Toc4678519"/>
      <w:r>
        <w:rPr>
          <w:rFonts w:hAnsi="宋体"/>
          <w:highlight w:val="none"/>
        </w:rPr>
        <w:t>8.1环境管理</w:t>
      </w:r>
      <w:bookmarkEnd w:id="361"/>
      <w:bookmarkEnd w:id="362"/>
    </w:p>
    <w:p>
      <w:pPr>
        <w:ind w:firstLine="480"/>
        <w:rPr>
          <w:rFonts w:ascii="宋体" w:hAnsi="宋体"/>
          <w:highlight w:val="none"/>
        </w:rPr>
      </w:pPr>
      <w:bookmarkStart w:id="363" w:name="_Toc4678520"/>
      <w:r>
        <w:rPr>
          <w:rFonts w:ascii="宋体" w:hAnsi="宋体"/>
          <w:highlight w:val="none"/>
        </w:rPr>
        <w:t>本次评价期间，通过现场调查、查阅资料、访问办公室人员山西省繁峙县垣利铁选厂环境管理体系已建立，配备了专职人员负责日常环境管理工作。</w:t>
      </w:r>
    </w:p>
    <w:bookmarkEnd w:id="363"/>
    <w:p>
      <w:pPr>
        <w:ind w:firstLine="480"/>
        <w:rPr>
          <w:rFonts w:ascii="宋体" w:hAnsi="宋体"/>
          <w:szCs w:val="20"/>
          <w:highlight w:val="none"/>
        </w:rPr>
      </w:pPr>
      <w:r>
        <w:rPr>
          <w:rFonts w:hint="eastAsia" w:ascii="宋体" w:hAnsi="宋体"/>
          <w:szCs w:val="20"/>
          <w:highlight w:val="none"/>
        </w:rPr>
        <w:t>1、</w:t>
      </w:r>
      <w:r>
        <w:rPr>
          <w:rFonts w:ascii="宋体" w:hAnsi="宋体"/>
          <w:szCs w:val="20"/>
          <w:highlight w:val="none"/>
        </w:rPr>
        <w:t>企业外部的环境管理体系</w:t>
      </w:r>
    </w:p>
    <w:p>
      <w:pPr>
        <w:ind w:firstLine="480"/>
        <w:rPr>
          <w:rFonts w:ascii="宋体" w:hAnsi="宋体"/>
          <w:szCs w:val="20"/>
          <w:highlight w:val="none"/>
        </w:rPr>
      </w:pPr>
      <w:r>
        <w:rPr>
          <w:rFonts w:ascii="宋体" w:hAnsi="宋体"/>
          <w:szCs w:val="20"/>
          <w:highlight w:val="none"/>
        </w:rPr>
        <w:t>以山西省、忻州市、繁峙县政府及上级主管部门有关要求为基本依据，日常运行要求严格按照忻州市生态环境局繁峙分局的要求进行，并接受省、市生态环境局的监督、检查、监测、达标验收与管理指标。</w:t>
      </w:r>
    </w:p>
    <w:p>
      <w:pPr>
        <w:ind w:firstLine="480"/>
        <w:rPr>
          <w:rFonts w:ascii="宋体" w:hAnsi="宋体"/>
          <w:szCs w:val="20"/>
          <w:highlight w:val="none"/>
        </w:rPr>
      </w:pPr>
      <w:r>
        <w:rPr>
          <w:rFonts w:hint="eastAsia" w:ascii="宋体" w:hAnsi="宋体"/>
          <w:szCs w:val="20"/>
          <w:highlight w:val="none"/>
        </w:rPr>
        <w:t>2、</w:t>
      </w:r>
      <w:r>
        <w:rPr>
          <w:rFonts w:ascii="宋体" w:hAnsi="宋体"/>
          <w:szCs w:val="20"/>
          <w:highlight w:val="none"/>
        </w:rPr>
        <w:t>企业内部的环境管理体系</w:t>
      </w:r>
    </w:p>
    <w:p>
      <w:pPr>
        <w:ind w:firstLine="480"/>
        <w:rPr>
          <w:rFonts w:ascii="宋体" w:hAnsi="宋体"/>
          <w:szCs w:val="20"/>
          <w:highlight w:val="none"/>
        </w:rPr>
      </w:pPr>
      <w:r>
        <w:rPr>
          <w:rFonts w:ascii="宋体" w:hAnsi="宋体"/>
          <w:szCs w:val="20"/>
          <w:highlight w:val="none"/>
        </w:rPr>
        <w:t>山西省繁峙县垣利铁选厂已设立了专门的环境管理机构，设有总负责人、环保负责人、部门负责人及基层部门。由厂长全面负责，环保负责人负责具体环保工作，部门制定环境监测方案并组织实施，基层部门保证环保设备正常、高效运行，进行设备日常维护。</w:t>
      </w:r>
    </w:p>
    <w:p>
      <w:pPr>
        <w:ind w:firstLine="480"/>
        <w:rPr>
          <w:rFonts w:ascii="宋体" w:hAnsi="宋体"/>
          <w:szCs w:val="20"/>
          <w:highlight w:val="none"/>
        </w:rPr>
      </w:pPr>
      <w:r>
        <w:rPr>
          <w:rFonts w:hint="eastAsia" w:ascii="宋体" w:hAnsi="宋体"/>
          <w:szCs w:val="20"/>
          <w:highlight w:val="none"/>
        </w:rPr>
        <w:t>3、</w:t>
      </w:r>
      <w:r>
        <w:rPr>
          <w:rFonts w:ascii="宋体" w:hAnsi="宋体"/>
          <w:szCs w:val="20"/>
          <w:highlight w:val="none"/>
        </w:rPr>
        <w:t>职责和任务</w:t>
      </w:r>
    </w:p>
    <w:p>
      <w:pPr>
        <w:ind w:firstLine="480"/>
        <w:rPr>
          <w:rFonts w:ascii="宋体" w:hAnsi="宋体"/>
          <w:szCs w:val="20"/>
          <w:highlight w:val="none"/>
        </w:rPr>
      </w:pPr>
      <w:r>
        <w:rPr>
          <w:rFonts w:ascii="宋体" w:hAnsi="宋体"/>
          <w:szCs w:val="20"/>
          <w:highlight w:val="none"/>
        </w:rPr>
        <w:t>A.总负责人</w:t>
      </w:r>
    </w:p>
    <w:p>
      <w:pPr>
        <w:ind w:firstLine="480"/>
        <w:rPr>
          <w:rFonts w:ascii="宋体" w:hAnsi="宋体"/>
          <w:szCs w:val="20"/>
          <w:highlight w:val="none"/>
        </w:rPr>
      </w:pPr>
      <w:r>
        <w:rPr>
          <w:rFonts w:ascii="宋体" w:hAnsi="宋体"/>
          <w:szCs w:val="20"/>
          <w:highlight w:val="none"/>
        </w:rPr>
        <w:t>总体负责企业的环境保护和安全管理工作，领导各级部门执行国家的环境保护政策；</w:t>
      </w:r>
    </w:p>
    <w:p>
      <w:pPr>
        <w:ind w:firstLine="480"/>
        <w:rPr>
          <w:rFonts w:ascii="宋体" w:hAnsi="宋体"/>
          <w:szCs w:val="20"/>
          <w:highlight w:val="none"/>
        </w:rPr>
      </w:pPr>
      <w:r>
        <w:rPr>
          <w:rFonts w:ascii="宋体" w:hAnsi="宋体"/>
          <w:szCs w:val="20"/>
          <w:highlight w:val="none"/>
        </w:rPr>
        <w:t>负责上报和批准企业环境保护相关的规章制度；</w:t>
      </w:r>
    </w:p>
    <w:p>
      <w:pPr>
        <w:ind w:firstLine="480"/>
        <w:rPr>
          <w:rFonts w:ascii="宋体" w:hAnsi="宋体"/>
          <w:szCs w:val="20"/>
          <w:highlight w:val="none"/>
        </w:rPr>
      </w:pPr>
      <w:r>
        <w:rPr>
          <w:rFonts w:ascii="宋体" w:hAnsi="宋体"/>
          <w:szCs w:val="20"/>
          <w:highlight w:val="none"/>
        </w:rPr>
        <w:t>从企业管理、人事、计划、生产等方面为环境保护工作提供支持；</w:t>
      </w:r>
    </w:p>
    <w:p>
      <w:pPr>
        <w:ind w:firstLine="480"/>
        <w:rPr>
          <w:rFonts w:ascii="宋体" w:hAnsi="宋体"/>
          <w:szCs w:val="20"/>
          <w:highlight w:val="none"/>
        </w:rPr>
      </w:pPr>
      <w:r>
        <w:rPr>
          <w:rFonts w:ascii="宋体" w:hAnsi="宋体"/>
          <w:szCs w:val="20"/>
          <w:highlight w:val="none"/>
        </w:rPr>
        <w:t>B.环保负责人</w:t>
      </w:r>
    </w:p>
    <w:p>
      <w:pPr>
        <w:ind w:firstLine="480"/>
        <w:rPr>
          <w:rFonts w:ascii="宋体" w:hAnsi="宋体"/>
          <w:szCs w:val="20"/>
          <w:highlight w:val="none"/>
        </w:rPr>
      </w:pPr>
      <w:r>
        <w:rPr>
          <w:rFonts w:ascii="宋体" w:hAnsi="宋体"/>
          <w:szCs w:val="20"/>
          <w:highlight w:val="none"/>
        </w:rPr>
        <w:t>领导和指挥制定各部门的环保方案，同时在环保行动的实施中担任协调、维持、评审和深化的工作；</w:t>
      </w:r>
    </w:p>
    <w:p>
      <w:pPr>
        <w:ind w:firstLine="480"/>
        <w:rPr>
          <w:rFonts w:ascii="宋体" w:hAnsi="宋体"/>
          <w:szCs w:val="20"/>
          <w:highlight w:val="none"/>
        </w:rPr>
      </w:pPr>
      <w:r>
        <w:rPr>
          <w:rFonts w:ascii="宋体" w:hAnsi="宋体"/>
          <w:szCs w:val="20"/>
          <w:highlight w:val="none"/>
        </w:rPr>
        <w:t>在企业内部推广和宣传环保方案，收集员工意见和合理化建议；</w:t>
      </w:r>
    </w:p>
    <w:p>
      <w:pPr>
        <w:ind w:firstLine="480"/>
        <w:rPr>
          <w:rFonts w:ascii="宋体" w:hAnsi="宋体"/>
          <w:szCs w:val="20"/>
          <w:highlight w:val="none"/>
        </w:rPr>
      </w:pPr>
      <w:r>
        <w:rPr>
          <w:rFonts w:ascii="宋体" w:hAnsi="宋体"/>
          <w:szCs w:val="20"/>
          <w:highlight w:val="none"/>
        </w:rPr>
        <w:t>监督环保方案的进度和实施情况；</w:t>
      </w:r>
    </w:p>
    <w:p>
      <w:pPr>
        <w:ind w:firstLine="480"/>
        <w:rPr>
          <w:rFonts w:ascii="宋体" w:hAnsi="宋体"/>
          <w:szCs w:val="20"/>
          <w:highlight w:val="none"/>
        </w:rPr>
      </w:pPr>
      <w:r>
        <w:rPr>
          <w:rFonts w:ascii="宋体" w:hAnsi="宋体"/>
          <w:szCs w:val="20"/>
          <w:highlight w:val="none"/>
        </w:rPr>
        <w:t>负责与地方环保部门保持联系，及时了解、传达有关环保信息。</w:t>
      </w:r>
    </w:p>
    <w:p>
      <w:pPr>
        <w:ind w:firstLine="480"/>
        <w:rPr>
          <w:rFonts w:ascii="宋体" w:hAnsi="宋体"/>
          <w:szCs w:val="20"/>
          <w:highlight w:val="none"/>
        </w:rPr>
      </w:pPr>
      <w:r>
        <w:rPr>
          <w:rFonts w:ascii="宋体" w:hAnsi="宋体"/>
          <w:szCs w:val="20"/>
          <w:highlight w:val="none"/>
        </w:rPr>
        <w:t>C.部门负责人</w:t>
      </w:r>
    </w:p>
    <w:p>
      <w:pPr>
        <w:ind w:firstLine="480"/>
        <w:rPr>
          <w:rFonts w:ascii="宋体" w:hAnsi="宋体"/>
          <w:szCs w:val="20"/>
          <w:highlight w:val="none"/>
        </w:rPr>
      </w:pPr>
      <w:r>
        <w:rPr>
          <w:rFonts w:ascii="宋体" w:hAnsi="宋体"/>
          <w:szCs w:val="20"/>
          <w:highlight w:val="none"/>
        </w:rPr>
        <w:t>全面贯彻落实环保政策，监督工程项目的各项环境保护工作；</w:t>
      </w:r>
    </w:p>
    <w:p>
      <w:pPr>
        <w:ind w:firstLine="480"/>
        <w:rPr>
          <w:rFonts w:ascii="宋体" w:hAnsi="宋体"/>
          <w:szCs w:val="20"/>
          <w:highlight w:val="none"/>
        </w:rPr>
      </w:pPr>
      <w:r>
        <w:rPr>
          <w:rFonts w:ascii="宋体" w:hAnsi="宋体"/>
          <w:szCs w:val="20"/>
          <w:highlight w:val="none"/>
        </w:rPr>
        <w:t>制定本企业环境保护的近、远期发展规划和年度工作计划，制定并检查各项环境保护管理制度及其执行情况；</w:t>
      </w:r>
    </w:p>
    <w:p>
      <w:pPr>
        <w:ind w:firstLine="480"/>
        <w:rPr>
          <w:rFonts w:ascii="宋体" w:hAnsi="宋体"/>
          <w:szCs w:val="20"/>
          <w:highlight w:val="none"/>
        </w:rPr>
      </w:pPr>
      <w:r>
        <w:rPr>
          <w:rFonts w:ascii="宋体" w:hAnsi="宋体"/>
          <w:szCs w:val="20"/>
          <w:highlight w:val="none"/>
        </w:rPr>
        <w:t>根据环保部门下达的环境保护目标、污染物总量控制指标以及公司内部的指标分配情况，制定本企业的环境保护目标和实施措施，并在年度中予以落实；</w:t>
      </w:r>
    </w:p>
    <w:p>
      <w:pPr>
        <w:ind w:firstLine="480"/>
        <w:rPr>
          <w:rFonts w:ascii="宋体" w:hAnsi="宋体"/>
          <w:szCs w:val="20"/>
          <w:highlight w:val="none"/>
        </w:rPr>
      </w:pPr>
      <w:r>
        <w:rPr>
          <w:rFonts w:ascii="宋体" w:hAnsi="宋体"/>
          <w:szCs w:val="20"/>
          <w:highlight w:val="none"/>
        </w:rPr>
        <w:t>负责建立企业内部环境保护责任制度和考核制度，协助企业完成围绕环境保护的各项考核指标；</w:t>
      </w:r>
    </w:p>
    <w:p>
      <w:pPr>
        <w:ind w:firstLine="480"/>
        <w:rPr>
          <w:rFonts w:ascii="宋体" w:hAnsi="宋体"/>
          <w:szCs w:val="20"/>
          <w:highlight w:val="none"/>
        </w:rPr>
      </w:pPr>
      <w:r>
        <w:rPr>
          <w:rFonts w:ascii="宋体" w:hAnsi="宋体"/>
          <w:szCs w:val="20"/>
          <w:highlight w:val="none"/>
        </w:rPr>
        <w:t>做好环保设施管理工作，建立环保设施档案，保证环保设施按照设计要求运行，定期检查、定期上报，杜绝擅自拆除和闲置不用的现象发生；</w:t>
      </w:r>
    </w:p>
    <w:p>
      <w:pPr>
        <w:ind w:firstLine="480"/>
        <w:rPr>
          <w:rFonts w:ascii="宋体" w:hAnsi="宋体"/>
          <w:szCs w:val="20"/>
          <w:highlight w:val="none"/>
        </w:rPr>
      </w:pPr>
      <w:r>
        <w:rPr>
          <w:rFonts w:ascii="宋体" w:hAnsi="宋体"/>
          <w:szCs w:val="20"/>
          <w:highlight w:val="none"/>
        </w:rPr>
        <w:t>制定环境监测方案并组织实施，编制监测数据报表，及时总结上报；</w:t>
      </w:r>
    </w:p>
    <w:p>
      <w:pPr>
        <w:ind w:firstLine="480"/>
        <w:rPr>
          <w:rFonts w:ascii="宋体" w:hAnsi="宋体"/>
          <w:szCs w:val="20"/>
          <w:highlight w:val="none"/>
        </w:rPr>
      </w:pPr>
      <w:r>
        <w:rPr>
          <w:rFonts w:ascii="宋体" w:hAnsi="宋体"/>
          <w:szCs w:val="20"/>
          <w:highlight w:val="none"/>
        </w:rPr>
        <w:t>负责与公司及地方各级环保部门的联系，按要求上报各项环保报表，并定时向上级主管部门汇报环保工作情况。</w:t>
      </w:r>
    </w:p>
    <w:p>
      <w:pPr>
        <w:ind w:firstLine="480"/>
        <w:rPr>
          <w:rFonts w:ascii="宋体" w:hAnsi="宋体"/>
          <w:szCs w:val="20"/>
          <w:highlight w:val="none"/>
        </w:rPr>
      </w:pPr>
      <w:r>
        <w:rPr>
          <w:rFonts w:ascii="宋体" w:hAnsi="宋体"/>
          <w:szCs w:val="20"/>
          <w:highlight w:val="none"/>
        </w:rPr>
        <w:t>D.基层部门</w:t>
      </w:r>
    </w:p>
    <w:p>
      <w:pPr>
        <w:ind w:firstLine="480"/>
        <w:rPr>
          <w:rFonts w:ascii="宋体" w:hAnsi="宋体"/>
          <w:szCs w:val="20"/>
          <w:highlight w:val="none"/>
        </w:rPr>
      </w:pPr>
      <w:r>
        <w:rPr>
          <w:rFonts w:ascii="宋体" w:hAnsi="宋体"/>
          <w:szCs w:val="20"/>
          <w:highlight w:val="none"/>
        </w:rPr>
        <w:t>严格按照设备操作规程进行，防止生产意外事故发生；</w:t>
      </w:r>
    </w:p>
    <w:p>
      <w:pPr>
        <w:ind w:firstLine="480"/>
        <w:rPr>
          <w:rFonts w:ascii="宋体" w:hAnsi="宋体"/>
          <w:szCs w:val="20"/>
          <w:highlight w:val="none"/>
        </w:rPr>
      </w:pPr>
      <w:r>
        <w:rPr>
          <w:rFonts w:ascii="宋体" w:hAnsi="宋体"/>
          <w:szCs w:val="20"/>
          <w:highlight w:val="none"/>
        </w:rPr>
        <w:t>保证环保设备正常、高效运行，按规定进行日常的维护；</w:t>
      </w:r>
    </w:p>
    <w:p>
      <w:pPr>
        <w:ind w:firstLine="480"/>
        <w:rPr>
          <w:rFonts w:ascii="宋体" w:hAnsi="宋体"/>
          <w:szCs w:val="20"/>
          <w:highlight w:val="none"/>
        </w:rPr>
      </w:pPr>
      <w:r>
        <w:rPr>
          <w:rFonts w:ascii="宋体" w:hAnsi="宋体"/>
          <w:szCs w:val="20"/>
          <w:highlight w:val="none"/>
        </w:rPr>
        <w:t>积极执行上级领导和环保管理部门提出的相关决定；</w:t>
      </w:r>
    </w:p>
    <w:p>
      <w:pPr>
        <w:ind w:firstLine="480"/>
        <w:rPr>
          <w:rFonts w:ascii="宋体" w:hAnsi="宋体"/>
          <w:szCs w:val="20"/>
          <w:highlight w:val="none"/>
        </w:rPr>
      </w:pPr>
      <w:r>
        <w:rPr>
          <w:rFonts w:ascii="宋体" w:hAnsi="宋体"/>
          <w:szCs w:val="20"/>
          <w:highlight w:val="none"/>
        </w:rPr>
        <w:t>鼓励提出新方法、新思路、新建议，提倡参与企业环境保护决策；</w:t>
      </w:r>
    </w:p>
    <w:p>
      <w:pPr>
        <w:ind w:firstLine="480"/>
        <w:rPr>
          <w:rFonts w:ascii="宋体" w:hAnsi="宋体"/>
          <w:szCs w:val="20"/>
          <w:highlight w:val="none"/>
        </w:rPr>
      </w:pPr>
      <w:r>
        <w:rPr>
          <w:rFonts w:ascii="宋体" w:hAnsi="宋体"/>
          <w:szCs w:val="20"/>
          <w:highlight w:val="none"/>
        </w:rPr>
        <w:t>特殊情况、特殊问题要及时汇报，并及时进行解决。</w:t>
      </w:r>
    </w:p>
    <w:p>
      <w:pPr>
        <w:pStyle w:val="3"/>
        <w:ind w:firstLine="643"/>
        <w:rPr>
          <w:rFonts w:hAnsi="宋体"/>
          <w:highlight w:val="none"/>
        </w:rPr>
      </w:pPr>
      <w:bookmarkStart w:id="364" w:name="_Toc1460951"/>
      <w:bookmarkStart w:id="365" w:name="_Toc70201049"/>
      <w:r>
        <w:rPr>
          <w:rFonts w:hAnsi="宋体"/>
          <w:highlight w:val="none"/>
        </w:rPr>
        <w:t>8.2环境管理计划</w:t>
      </w:r>
      <w:bookmarkEnd w:id="364"/>
      <w:bookmarkEnd w:id="365"/>
    </w:p>
    <w:p>
      <w:pPr>
        <w:ind w:firstLine="480"/>
        <w:rPr>
          <w:rFonts w:ascii="宋体" w:hAnsi="宋体"/>
          <w:highlight w:val="none"/>
        </w:rPr>
      </w:pPr>
      <w:r>
        <w:rPr>
          <w:rFonts w:ascii="宋体" w:hAnsi="宋体"/>
          <w:highlight w:val="none"/>
        </w:rPr>
        <w:t>制定环境监测方案并组织实施，编制监测数据报表，及时总结上报；</w:t>
      </w:r>
    </w:p>
    <w:p>
      <w:pPr>
        <w:ind w:firstLine="480"/>
        <w:rPr>
          <w:rFonts w:ascii="宋体" w:hAnsi="宋体"/>
          <w:highlight w:val="none"/>
        </w:rPr>
      </w:pPr>
      <w:r>
        <w:rPr>
          <w:rFonts w:ascii="宋体" w:hAnsi="宋体"/>
          <w:highlight w:val="none"/>
        </w:rPr>
        <w:t>负责与公司及地方各级环保部门的联系，按要求上报各项环保报表，并定时向上级主管部门汇报环保工作情况。</w:t>
      </w:r>
    </w:p>
    <w:p>
      <w:pPr>
        <w:ind w:firstLine="480"/>
        <w:rPr>
          <w:rFonts w:ascii="宋体" w:hAnsi="宋体"/>
          <w:highlight w:val="none"/>
        </w:rPr>
      </w:pPr>
      <w:r>
        <w:rPr>
          <w:rFonts w:ascii="宋体" w:hAnsi="宋体"/>
          <w:highlight w:val="none"/>
        </w:rPr>
        <w:t>本次工程建设与运行过程中环境管理的重点部位和内容有：</w:t>
      </w:r>
    </w:p>
    <w:p>
      <w:pPr>
        <w:ind w:firstLine="480"/>
        <w:rPr>
          <w:rFonts w:ascii="宋体" w:hAnsi="宋体"/>
          <w:highlight w:val="none"/>
        </w:rPr>
      </w:pPr>
      <w:r>
        <w:rPr>
          <w:rFonts w:hint="eastAsia" w:ascii="宋体" w:hAnsi="宋体"/>
          <w:highlight w:val="none"/>
        </w:rPr>
        <w:t>1、</w:t>
      </w:r>
      <w:r>
        <w:rPr>
          <w:rFonts w:ascii="宋体" w:hAnsi="宋体"/>
          <w:highlight w:val="none"/>
        </w:rPr>
        <w:t>建设过程相应的环境管理；</w:t>
      </w:r>
    </w:p>
    <w:p>
      <w:pPr>
        <w:ind w:firstLine="480"/>
        <w:rPr>
          <w:rFonts w:ascii="宋体" w:hAnsi="宋体"/>
          <w:highlight w:val="none"/>
        </w:rPr>
      </w:pPr>
      <w:r>
        <w:rPr>
          <w:rFonts w:hint="eastAsia" w:ascii="宋体" w:hAnsi="宋体" w:cs="宋体"/>
          <w:highlight w:val="none"/>
        </w:rPr>
        <w:t>①</w:t>
      </w:r>
      <w:r>
        <w:rPr>
          <w:rFonts w:ascii="宋体" w:hAnsi="宋体"/>
          <w:highlight w:val="none"/>
        </w:rPr>
        <w:t>建设施工过程的污染治理与施工管理；</w:t>
      </w:r>
    </w:p>
    <w:p>
      <w:pPr>
        <w:ind w:firstLine="480"/>
        <w:rPr>
          <w:rFonts w:ascii="宋体" w:hAnsi="宋体"/>
          <w:highlight w:val="none"/>
        </w:rPr>
      </w:pPr>
      <w:r>
        <w:rPr>
          <w:rFonts w:hint="eastAsia" w:ascii="宋体" w:hAnsi="宋体" w:cs="宋体"/>
          <w:highlight w:val="none"/>
        </w:rPr>
        <w:t>②</w:t>
      </w:r>
      <w:r>
        <w:rPr>
          <w:rFonts w:ascii="宋体" w:hAnsi="宋体"/>
          <w:highlight w:val="none"/>
        </w:rPr>
        <w:t>环境保护设施的建设。</w:t>
      </w:r>
    </w:p>
    <w:p>
      <w:pPr>
        <w:ind w:firstLine="480"/>
        <w:rPr>
          <w:rFonts w:ascii="宋体" w:hAnsi="宋体"/>
          <w:highlight w:val="none"/>
        </w:rPr>
      </w:pPr>
      <w:r>
        <w:rPr>
          <w:rFonts w:hint="eastAsia" w:ascii="宋体" w:hAnsi="宋体"/>
          <w:highlight w:val="none"/>
        </w:rPr>
        <w:t>2、</w:t>
      </w:r>
      <w:r>
        <w:rPr>
          <w:rFonts w:ascii="宋体" w:hAnsi="宋体"/>
          <w:highlight w:val="none"/>
        </w:rPr>
        <w:t>生产运行过程相应的环境管理，包括：</w:t>
      </w:r>
    </w:p>
    <w:p>
      <w:pPr>
        <w:ind w:firstLine="480"/>
        <w:rPr>
          <w:rFonts w:ascii="宋体" w:hAnsi="宋体"/>
          <w:highlight w:val="none"/>
        </w:rPr>
      </w:pPr>
      <w:r>
        <w:rPr>
          <w:rFonts w:hint="eastAsia" w:ascii="宋体" w:hAnsi="宋体" w:cs="宋体"/>
          <w:highlight w:val="none"/>
        </w:rPr>
        <w:t>①</w:t>
      </w:r>
      <w:r>
        <w:rPr>
          <w:rFonts w:ascii="宋体" w:hAnsi="宋体"/>
          <w:highlight w:val="none"/>
        </w:rPr>
        <w:t>大气、地表水、地下水的污染防治；</w:t>
      </w:r>
    </w:p>
    <w:p>
      <w:pPr>
        <w:ind w:firstLine="480"/>
        <w:rPr>
          <w:rFonts w:ascii="宋体" w:hAnsi="宋体"/>
          <w:highlight w:val="none"/>
        </w:rPr>
      </w:pPr>
      <w:r>
        <w:rPr>
          <w:rFonts w:hint="eastAsia" w:ascii="宋体" w:hAnsi="宋体" w:cs="宋体"/>
          <w:highlight w:val="none"/>
        </w:rPr>
        <w:t>②</w:t>
      </w:r>
      <w:r>
        <w:rPr>
          <w:rFonts w:ascii="宋体" w:hAnsi="宋体"/>
          <w:highlight w:val="none"/>
        </w:rPr>
        <w:t>大气治理装置日常管理与维护工作；</w:t>
      </w:r>
    </w:p>
    <w:p>
      <w:pPr>
        <w:ind w:firstLine="480"/>
        <w:rPr>
          <w:rFonts w:ascii="宋体" w:hAnsi="宋体"/>
          <w:highlight w:val="none"/>
        </w:rPr>
      </w:pPr>
      <w:r>
        <w:rPr>
          <w:rFonts w:hint="eastAsia" w:ascii="宋体" w:hAnsi="宋体" w:cs="宋体"/>
          <w:highlight w:val="none"/>
        </w:rPr>
        <w:t>③</w:t>
      </w:r>
      <w:r>
        <w:rPr>
          <w:rFonts w:ascii="宋体" w:hAnsi="宋体"/>
          <w:highlight w:val="none"/>
        </w:rPr>
        <w:t>各工段污染控制设施（水、声、渣）的管理与维护；</w:t>
      </w:r>
    </w:p>
    <w:p>
      <w:pPr>
        <w:ind w:firstLine="480"/>
        <w:rPr>
          <w:rFonts w:ascii="宋体" w:hAnsi="宋体"/>
          <w:highlight w:val="none"/>
        </w:rPr>
      </w:pPr>
      <w:r>
        <w:rPr>
          <w:rFonts w:hint="eastAsia" w:ascii="宋体" w:hAnsi="宋体" w:cs="宋体"/>
          <w:highlight w:val="none"/>
        </w:rPr>
        <w:t>④</w:t>
      </w:r>
      <w:r>
        <w:rPr>
          <w:rFonts w:ascii="宋体" w:hAnsi="宋体"/>
          <w:highlight w:val="none"/>
        </w:rPr>
        <w:t>厂址区内外绿化管理；</w:t>
      </w:r>
    </w:p>
    <w:p>
      <w:pPr>
        <w:ind w:firstLine="480"/>
        <w:rPr>
          <w:rFonts w:ascii="宋体" w:hAnsi="宋体"/>
          <w:highlight w:val="none"/>
        </w:rPr>
      </w:pPr>
      <w:r>
        <w:rPr>
          <w:rFonts w:hint="eastAsia" w:ascii="宋体" w:hAnsi="宋体" w:cs="宋体"/>
          <w:highlight w:val="none"/>
        </w:rPr>
        <w:t>⑤</w:t>
      </w:r>
      <w:r>
        <w:rPr>
          <w:rFonts w:ascii="宋体" w:hAnsi="宋体"/>
          <w:highlight w:val="none"/>
        </w:rPr>
        <w:t>运输道路和运输车辆的管理；</w:t>
      </w:r>
    </w:p>
    <w:p>
      <w:pPr>
        <w:ind w:firstLine="480"/>
        <w:rPr>
          <w:rFonts w:ascii="宋体" w:hAnsi="宋体"/>
          <w:highlight w:val="none"/>
        </w:rPr>
      </w:pPr>
      <w:r>
        <w:rPr>
          <w:rFonts w:hint="eastAsia" w:ascii="宋体" w:hAnsi="宋体" w:cs="宋体"/>
          <w:highlight w:val="none"/>
        </w:rPr>
        <w:t>⑥</w:t>
      </w:r>
      <w:r>
        <w:rPr>
          <w:rFonts w:ascii="宋体" w:hAnsi="宋体"/>
          <w:highlight w:val="none"/>
        </w:rPr>
        <w:t>尾矿库的管理；</w:t>
      </w:r>
    </w:p>
    <w:p>
      <w:pPr>
        <w:ind w:firstLine="480"/>
        <w:rPr>
          <w:rFonts w:ascii="宋体" w:hAnsi="宋体"/>
          <w:highlight w:val="none"/>
        </w:rPr>
      </w:pPr>
      <w:r>
        <w:rPr>
          <w:rFonts w:hint="eastAsia" w:ascii="宋体" w:hAnsi="宋体" w:cs="宋体"/>
          <w:highlight w:val="none"/>
        </w:rPr>
        <w:t>⑦</w:t>
      </w:r>
      <w:r>
        <w:rPr>
          <w:rFonts w:ascii="宋体" w:hAnsi="宋体"/>
          <w:highlight w:val="none"/>
        </w:rPr>
        <w:t>加强事故的预防和管理。</w:t>
      </w:r>
    </w:p>
    <w:p>
      <w:pPr>
        <w:pStyle w:val="65"/>
        <w:rPr>
          <w:rFonts w:hAnsi="宋体"/>
          <w:b/>
          <w:bCs/>
          <w:sz w:val="7"/>
          <w:szCs w:val="3"/>
          <w:highlight w:val="none"/>
        </w:rPr>
      </w:pPr>
      <w:r>
        <w:rPr>
          <w:rFonts w:hAnsi="宋体"/>
          <w:highlight w:val="none"/>
        </w:rPr>
        <w:t>表8.1-1</w:t>
      </w:r>
      <w:r>
        <w:rPr>
          <w:rFonts w:hint="eastAsia" w:hAnsi="宋体"/>
          <w:highlight w:val="none"/>
        </w:rPr>
        <w:t xml:space="preserve">  </w:t>
      </w:r>
      <w:r>
        <w:rPr>
          <w:rFonts w:hAnsi="宋体"/>
          <w:highlight w:val="none"/>
        </w:rPr>
        <w:t>各阶段环境管理工作的具体内容</w:t>
      </w:r>
    </w:p>
    <w:tbl>
      <w:tblPr>
        <w:tblStyle w:val="44"/>
        <w:tblW w:w="89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006"/>
        <w:gridCol w:w="794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Align w:val="center"/>
          </w:tcPr>
          <w:p>
            <w:pPr>
              <w:pStyle w:val="64"/>
              <w:rPr>
                <w:rFonts w:hAnsi="宋体"/>
                <w:highlight w:val="none"/>
              </w:rPr>
            </w:pPr>
            <w:r>
              <w:rPr>
                <w:rFonts w:hAnsi="宋体"/>
                <w:highlight w:val="none"/>
              </w:rPr>
              <w:t>阶段</w:t>
            </w:r>
          </w:p>
        </w:tc>
        <w:tc>
          <w:tcPr>
            <w:tcW w:w="7944" w:type="dxa"/>
            <w:vAlign w:val="center"/>
          </w:tcPr>
          <w:p>
            <w:pPr>
              <w:pStyle w:val="64"/>
              <w:rPr>
                <w:rFonts w:hAnsi="宋体"/>
                <w:highlight w:val="none"/>
              </w:rPr>
            </w:pPr>
            <w:r>
              <w:rPr>
                <w:rFonts w:hAnsi="宋体"/>
                <w:highlight w:val="none"/>
              </w:rPr>
              <w:t>环境管理工作计划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Merge w:val="restart"/>
            <w:vAlign w:val="center"/>
          </w:tcPr>
          <w:p>
            <w:pPr>
              <w:pStyle w:val="64"/>
              <w:rPr>
                <w:rFonts w:hAnsi="宋体"/>
                <w:highlight w:val="none"/>
              </w:rPr>
            </w:pPr>
            <w:r>
              <w:rPr>
                <w:rFonts w:hAnsi="宋体"/>
                <w:highlight w:val="none"/>
              </w:rPr>
              <w:t>企业环境管理总体要求</w:t>
            </w:r>
          </w:p>
        </w:tc>
        <w:tc>
          <w:tcPr>
            <w:tcW w:w="7944" w:type="dxa"/>
            <w:vAlign w:val="center"/>
          </w:tcPr>
          <w:p>
            <w:pPr>
              <w:pStyle w:val="64"/>
              <w:jc w:val="left"/>
              <w:rPr>
                <w:rFonts w:hAnsi="宋体"/>
                <w:highlight w:val="none"/>
              </w:rPr>
            </w:pPr>
            <w:r>
              <w:rPr>
                <w:rFonts w:hAnsi="宋体"/>
                <w:highlight w:val="none"/>
              </w:rPr>
              <w:t>根据国家建设项目环境保护管理规定，认真落实各项环保手续，完成各级主管部门对本企业提出的环境管理要求，对本企业内部各项管理计划的执行及完成情况进行监督、控制，确保环境管理工作真正发挥作用。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Merge w:val="continue"/>
            <w:vAlign w:val="center"/>
          </w:tcPr>
          <w:p>
            <w:pPr>
              <w:pStyle w:val="64"/>
              <w:rPr>
                <w:rFonts w:hAnsi="宋体"/>
                <w:highlight w:val="none"/>
              </w:rPr>
            </w:pPr>
          </w:p>
        </w:tc>
        <w:tc>
          <w:tcPr>
            <w:tcW w:w="7944" w:type="dxa"/>
            <w:vAlign w:val="center"/>
          </w:tcPr>
          <w:p>
            <w:pPr>
              <w:pStyle w:val="64"/>
              <w:jc w:val="left"/>
              <w:rPr>
                <w:rFonts w:hAnsi="宋体"/>
                <w:highlight w:val="none"/>
              </w:rPr>
            </w:pPr>
            <w:r>
              <w:rPr>
                <w:rFonts w:hAnsi="宋体"/>
                <w:highlight w:val="none"/>
              </w:rPr>
              <w:t>委托评价单位进行项目的环境影响评价工作。</w:t>
            </w:r>
          </w:p>
          <w:p>
            <w:pPr>
              <w:pStyle w:val="64"/>
              <w:jc w:val="left"/>
              <w:rPr>
                <w:rFonts w:hAnsi="宋体"/>
                <w:highlight w:val="none"/>
              </w:rPr>
            </w:pPr>
            <w:r>
              <w:rPr>
                <w:rFonts w:hint="eastAsia" w:hAnsi="宋体" w:cs="宋体"/>
                <w:highlight w:val="none"/>
              </w:rPr>
              <w:t>②</w:t>
            </w:r>
            <w:r>
              <w:rPr>
                <w:rFonts w:hAnsi="宋体"/>
                <w:highlight w:val="none"/>
              </w:rPr>
              <w:t>开工前，履行“三同时”手续。</w:t>
            </w:r>
          </w:p>
          <w:p>
            <w:pPr>
              <w:pStyle w:val="64"/>
              <w:jc w:val="left"/>
              <w:rPr>
                <w:rFonts w:hAnsi="宋体"/>
                <w:highlight w:val="none"/>
              </w:rPr>
            </w:pPr>
            <w:r>
              <w:rPr>
                <w:rFonts w:hint="eastAsia" w:hAnsi="宋体" w:cs="宋体"/>
                <w:highlight w:val="none"/>
              </w:rPr>
              <w:t>③</w:t>
            </w:r>
            <w:r>
              <w:rPr>
                <w:rFonts w:hAnsi="宋体"/>
                <w:highlight w:val="none"/>
              </w:rPr>
              <w:t>项目竣工后，申领排污许可证。</w:t>
            </w:r>
          </w:p>
          <w:p>
            <w:pPr>
              <w:pStyle w:val="64"/>
              <w:jc w:val="left"/>
              <w:rPr>
                <w:rFonts w:hAnsi="宋体"/>
                <w:highlight w:val="none"/>
              </w:rPr>
            </w:pPr>
            <w:r>
              <w:rPr>
                <w:rFonts w:hint="eastAsia" w:hAnsi="宋体" w:cs="宋体"/>
                <w:highlight w:val="none"/>
              </w:rPr>
              <w:t>④</w:t>
            </w:r>
            <w:r>
              <w:rPr>
                <w:rFonts w:hAnsi="宋体"/>
                <w:highlight w:val="none"/>
              </w:rPr>
              <w:t>环保设施投入调试运行后三个月内，进行环保设施竣工验收。</w:t>
            </w:r>
          </w:p>
          <w:p>
            <w:pPr>
              <w:pStyle w:val="64"/>
              <w:jc w:val="left"/>
              <w:rPr>
                <w:rFonts w:hAnsi="宋体"/>
                <w:highlight w:val="none"/>
              </w:rPr>
            </w:pPr>
            <w:r>
              <w:rPr>
                <w:rFonts w:hint="eastAsia" w:hAnsi="宋体" w:cs="宋体"/>
                <w:highlight w:val="none"/>
              </w:rPr>
              <w:t>⑤</w:t>
            </w:r>
            <w:r>
              <w:rPr>
                <w:rFonts w:hAnsi="宋体"/>
                <w:highlight w:val="none"/>
              </w:rPr>
              <w:t>生产中，定期请当地环保部门监督、检查，协助主管部门做好环境管理工作，对不达标装置及时整改。</w:t>
            </w:r>
          </w:p>
          <w:p>
            <w:pPr>
              <w:pStyle w:val="64"/>
              <w:jc w:val="left"/>
              <w:rPr>
                <w:rFonts w:hAnsi="宋体"/>
                <w:highlight w:val="none"/>
              </w:rPr>
            </w:pPr>
            <w:r>
              <w:rPr>
                <w:rFonts w:hint="eastAsia" w:hAnsi="宋体" w:cs="宋体"/>
                <w:highlight w:val="none"/>
              </w:rPr>
              <w:t>⑥</w:t>
            </w:r>
            <w:r>
              <w:rPr>
                <w:rFonts w:hAnsi="宋体"/>
                <w:highlight w:val="none"/>
              </w:rPr>
              <w:t>配合当地环境监测站搞好监测工作，及时缴纳环保税。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Align w:val="center"/>
          </w:tcPr>
          <w:p>
            <w:pPr>
              <w:pStyle w:val="64"/>
              <w:rPr>
                <w:rFonts w:hAnsi="宋体"/>
                <w:highlight w:val="none"/>
              </w:rPr>
            </w:pPr>
            <w:r>
              <w:rPr>
                <w:rFonts w:hAnsi="宋体"/>
                <w:highlight w:val="none"/>
              </w:rPr>
              <w:t>设计阶段</w:t>
            </w:r>
          </w:p>
        </w:tc>
        <w:tc>
          <w:tcPr>
            <w:tcW w:w="7944" w:type="dxa"/>
            <w:vAlign w:val="center"/>
          </w:tcPr>
          <w:p>
            <w:pPr>
              <w:pStyle w:val="64"/>
              <w:jc w:val="left"/>
              <w:rPr>
                <w:rFonts w:hAnsi="宋体"/>
                <w:highlight w:val="none"/>
              </w:rPr>
            </w:pPr>
            <w:r>
              <w:rPr>
                <w:rFonts w:hAnsi="宋体"/>
                <w:highlight w:val="none"/>
              </w:rPr>
              <w:t>对设计单位提出下述要求并监督其实施：</w:t>
            </w:r>
          </w:p>
          <w:p>
            <w:pPr>
              <w:pStyle w:val="64"/>
              <w:jc w:val="left"/>
              <w:rPr>
                <w:rFonts w:hAnsi="宋体"/>
                <w:highlight w:val="none"/>
              </w:rPr>
            </w:pPr>
            <w:r>
              <w:rPr>
                <w:rFonts w:hint="eastAsia" w:hAnsi="宋体" w:cs="宋体"/>
                <w:highlight w:val="none"/>
              </w:rPr>
              <w:t>①</w:t>
            </w:r>
            <w:r>
              <w:rPr>
                <w:rFonts w:hAnsi="宋体"/>
                <w:highlight w:val="none"/>
              </w:rPr>
              <w:t>本项目的总图布置，在满足主体工程需要的前提条件下，宜将污染较大的设施布置在远离非污染设施的地段，然后合理确定其余设施的相应位置，避免互相影响和污染。</w:t>
            </w:r>
          </w:p>
          <w:p>
            <w:pPr>
              <w:pStyle w:val="64"/>
              <w:jc w:val="left"/>
              <w:rPr>
                <w:rFonts w:hAnsi="宋体"/>
                <w:highlight w:val="none"/>
              </w:rPr>
            </w:pPr>
            <w:r>
              <w:rPr>
                <w:rFonts w:hint="eastAsia" w:hAnsi="宋体" w:cs="宋体"/>
                <w:highlight w:val="none"/>
              </w:rPr>
              <w:t>②</w:t>
            </w:r>
            <w:r>
              <w:rPr>
                <w:rFonts w:hAnsi="宋体"/>
                <w:highlight w:val="none"/>
              </w:rPr>
              <w:t>本项目的主要废气污染源宜布置在场地常年主导风向的下风向，并采取绿化隔声等防护措施。</w:t>
            </w:r>
          </w:p>
          <w:p>
            <w:pPr>
              <w:pStyle w:val="64"/>
              <w:jc w:val="left"/>
              <w:rPr>
                <w:rFonts w:hAnsi="宋体"/>
                <w:highlight w:val="none"/>
              </w:rPr>
            </w:pPr>
            <w:r>
              <w:rPr>
                <w:rFonts w:hint="eastAsia" w:hAnsi="宋体" w:cs="宋体"/>
                <w:highlight w:val="none"/>
              </w:rPr>
              <w:t>③</w:t>
            </w:r>
            <w:r>
              <w:rPr>
                <w:rFonts w:hAnsi="宋体"/>
                <w:highlight w:val="none"/>
              </w:rPr>
              <w:t>完善工艺方案。设计应尽量采用新技术工艺、新设备，采用节约资源、能源的生产工艺和设备，选用低噪声设备，使生产中污染物的产生减少到最低限度。</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Align w:val="center"/>
          </w:tcPr>
          <w:p>
            <w:pPr>
              <w:pStyle w:val="64"/>
              <w:rPr>
                <w:rFonts w:hAnsi="宋体"/>
                <w:highlight w:val="none"/>
              </w:rPr>
            </w:pPr>
            <w:r>
              <w:rPr>
                <w:rFonts w:hAnsi="宋体"/>
                <w:highlight w:val="none"/>
              </w:rPr>
              <w:t>施工阶段</w:t>
            </w:r>
          </w:p>
        </w:tc>
        <w:tc>
          <w:tcPr>
            <w:tcW w:w="7944" w:type="dxa"/>
            <w:vAlign w:val="center"/>
          </w:tcPr>
          <w:p>
            <w:pPr>
              <w:pStyle w:val="64"/>
              <w:jc w:val="left"/>
              <w:rPr>
                <w:rFonts w:hAnsi="宋体"/>
                <w:highlight w:val="none"/>
              </w:rPr>
            </w:pPr>
            <w:r>
              <w:rPr>
                <w:rFonts w:hint="eastAsia" w:hAnsi="宋体" w:cs="宋体"/>
                <w:highlight w:val="none"/>
              </w:rPr>
              <w:t>①</w:t>
            </w:r>
            <w:r>
              <w:rPr>
                <w:rFonts w:hAnsi="宋体"/>
                <w:highlight w:val="none"/>
              </w:rPr>
              <w:t>督促施工单位按审查批准的设计文件要求落实环保工程的施工计划与进度，保证工程质量，以确保建设项目的环保工程与主体工程同时投产或使用；</w:t>
            </w:r>
          </w:p>
          <w:p>
            <w:pPr>
              <w:pStyle w:val="64"/>
              <w:jc w:val="left"/>
              <w:rPr>
                <w:rFonts w:hAnsi="宋体"/>
                <w:highlight w:val="none"/>
              </w:rPr>
            </w:pPr>
            <w:r>
              <w:rPr>
                <w:rFonts w:hint="eastAsia" w:hAnsi="宋体" w:cs="宋体"/>
                <w:highlight w:val="none"/>
              </w:rPr>
              <w:t>②</w:t>
            </w:r>
            <w:r>
              <w:rPr>
                <w:rFonts w:hAnsi="宋体"/>
                <w:highlight w:val="none"/>
              </w:rPr>
              <w:t>与施工单位</w:t>
            </w:r>
            <w:r>
              <w:rPr>
                <w:rFonts w:hint="eastAsia" w:hAnsi="宋体"/>
                <w:highlight w:val="none"/>
              </w:rPr>
              <w:t>签订</w:t>
            </w:r>
            <w:r>
              <w:rPr>
                <w:rFonts w:hAnsi="宋体"/>
                <w:highlight w:val="none"/>
              </w:rPr>
              <w:t>有关环保合同。监督施工单位的施工活动是否按有关要求进行，防止其对环境造成污染和破坏；</w:t>
            </w:r>
          </w:p>
          <w:p>
            <w:pPr>
              <w:pStyle w:val="64"/>
              <w:jc w:val="left"/>
              <w:rPr>
                <w:rFonts w:hAnsi="宋体"/>
                <w:highlight w:val="none"/>
              </w:rPr>
            </w:pPr>
            <w:r>
              <w:rPr>
                <w:rFonts w:hint="eastAsia" w:hAnsi="宋体" w:cs="宋体"/>
                <w:spacing w:val="-4"/>
                <w:highlight w:val="none"/>
              </w:rPr>
              <w:t>③</w:t>
            </w:r>
            <w:r>
              <w:rPr>
                <w:rFonts w:hAnsi="宋体"/>
                <w:spacing w:val="-4"/>
                <w:highlight w:val="none"/>
              </w:rPr>
              <w:t>施工活动总平面布置要合理，严格按有关规定执行，不得干扰周围群众的正常生活；</w:t>
            </w:r>
          </w:p>
          <w:p>
            <w:pPr>
              <w:pStyle w:val="64"/>
              <w:jc w:val="left"/>
              <w:rPr>
                <w:rFonts w:hAnsi="宋体"/>
                <w:highlight w:val="none"/>
              </w:rPr>
            </w:pPr>
            <w:r>
              <w:rPr>
                <w:rFonts w:hint="eastAsia" w:hAnsi="宋体" w:cs="宋体"/>
                <w:highlight w:val="none"/>
              </w:rPr>
              <w:t>④</w:t>
            </w:r>
            <w:r>
              <w:rPr>
                <w:rFonts w:hAnsi="宋体"/>
                <w:highlight w:val="none"/>
              </w:rPr>
              <w:t>对施工造成的地表破坏、土地、植被损毁应在施工结束后及时恢复。</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Align w:val="center"/>
          </w:tcPr>
          <w:p>
            <w:pPr>
              <w:pStyle w:val="64"/>
              <w:rPr>
                <w:rFonts w:hAnsi="宋体"/>
                <w:highlight w:val="none"/>
              </w:rPr>
            </w:pPr>
            <w:r>
              <w:rPr>
                <w:rFonts w:hAnsi="宋体"/>
                <w:highlight w:val="none"/>
              </w:rPr>
              <w:t>竣工验收阶段</w:t>
            </w:r>
          </w:p>
        </w:tc>
        <w:tc>
          <w:tcPr>
            <w:tcW w:w="7944" w:type="dxa"/>
            <w:vAlign w:val="center"/>
          </w:tcPr>
          <w:p>
            <w:pPr>
              <w:pStyle w:val="64"/>
              <w:jc w:val="left"/>
              <w:rPr>
                <w:rFonts w:hAnsi="宋体"/>
                <w:highlight w:val="none"/>
              </w:rPr>
            </w:pPr>
            <w:r>
              <w:rPr>
                <w:rFonts w:hint="eastAsia" w:hAnsi="宋体" w:cs="宋体"/>
                <w:highlight w:val="none"/>
              </w:rPr>
              <w:t>①</w:t>
            </w:r>
            <w:r>
              <w:rPr>
                <w:rFonts w:hAnsi="宋体"/>
                <w:highlight w:val="none"/>
              </w:rPr>
              <w:t>检查施工项目是否按设计要求全部完工；</w:t>
            </w:r>
          </w:p>
          <w:p>
            <w:pPr>
              <w:pStyle w:val="64"/>
              <w:jc w:val="left"/>
              <w:rPr>
                <w:rFonts w:hAnsi="宋体"/>
                <w:highlight w:val="none"/>
              </w:rPr>
            </w:pPr>
            <w:r>
              <w:rPr>
                <w:rFonts w:hint="eastAsia" w:hAnsi="宋体" w:cs="宋体"/>
                <w:highlight w:val="none"/>
              </w:rPr>
              <w:t>②</w:t>
            </w:r>
            <w:r>
              <w:rPr>
                <w:rFonts w:hAnsi="宋体"/>
                <w:highlight w:val="none"/>
              </w:rPr>
              <w:t>向环保部门申领排污许可证；</w:t>
            </w:r>
          </w:p>
          <w:p>
            <w:pPr>
              <w:pStyle w:val="64"/>
              <w:jc w:val="left"/>
              <w:rPr>
                <w:rFonts w:hAnsi="宋体"/>
                <w:highlight w:val="none"/>
              </w:rPr>
            </w:pPr>
            <w:r>
              <w:rPr>
                <w:rFonts w:hint="eastAsia" w:hAnsi="宋体" w:cs="宋体"/>
                <w:highlight w:val="none"/>
              </w:rPr>
              <w:t>③</w:t>
            </w:r>
            <w:r>
              <w:rPr>
                <w:rFonts w:hAnsi="宋体"/>
                <w:highlight w:val="none"/>
              </w:rPr>
              <w:t>组织检查试车前的各项准备工作；</w:t>
            </w:r>
          </w:p>
          <w:p>
            <w:pPr>
              <w:pStyle w:val="64"/>
              <w:jc w:val="left"/>
              <w:rPr>
                <w:rFonts w:hAnsi="宋体"/>
                <w:highlight w:val="none"/>
              </w:rPr>
            </w:pPr>
            <w:r>
              <w:rPr>
                <w:rFonts w:hint="eastAsia" w:hAnsi="宋体" w:cs="宋体"/>
                <w:highlight w:val="none"/>
              </w:rPr>
              <w:t>④</w:t>
            </w:r>
            <w:r>
              <w:rPr>
                <w:rFonts w:hAnsi="宋体"/>
                <w:highlight w:val="none"/>
              </w:rPr>
              <w:t>检查操作技术文件和管理制度是否健全；</w:t>
            </w:r>
          </w:p>
          <w:p>
            <w:pPr>
              <w:pStyle w:val="64"/>
              <w:jc w:val="left"/>
              <w:rPr>
                <w:rFonts w:hAnsi="宋体"/>
                <w:highlight w:val="none"/>
              </w:rPr>
            </w:pPr>
            <w:r>
              <w:rPr>
                <w:rFonts w:hint="eastAsia" w:hAnsi="宋体" w:cs="宋体"/>
                <w:highlight w:val="none"/>
              </w:rPr>
              <w:t>⑤</w:t>
            </w:r>
            <w:r>
              <w:rPr>
                <w:rFonts w:hAnsi="宋体"/>
                <w:highlight w:val="none"/>
              </w:rPr>
              <w:t>整理技术文件资料档案；</w:t>
            </w:r>
          </w:p>
          <w:p>
            <w:pPr>
              <w:pStyle w:val="64"/>
              <w:jc w:val="left"/>
              <w:rPr>
                <w:rFonts w:hAnsi="宋体"/>
                <w:highlight w:val="none"/>
              </w:rPr>
            </w:pPr>
            <w:r>
              <w:rPr>
                <w:rFonts w:hint="eastAsia" w:hAnsi="宋体" w:cs="宋体"/>
                <w:highlight w:val="none"/>
              </w:rPr>
              <w:t>⑥</w:t>
            </w:r>
            <w:r>
              <w:rPr>
                <w:rFonts w:hAnsi="宋体"/>
                <w:highlight w:val="none"/>
              </w:rPr>
              <w:t>建立环保档案；</w:t>
            </w:r>
          </w:p>
          <w:p>
            <w:pPr>
              <w:pStyle w:val="64"/>
              <w:jc w:val="left"/>
              <w:rPr>
                <w:rFonts w:hAnsi="宋体"/>
                <w:highlight w:val="none"/>
              </w:rPr>
            </w:pPr>
            <w:r>
              <w:rPr>
                <w:rFonts w:hint="eastAsia" w:hAnsi="宋体" w:cs="宋体"/>
                <w:highlight w:val="none"/>
              </w:rPr>
              <w:t>⑦</w:t>
            </w:r>
            <w:r>
              <w:rPr>
                <w:rFonts w:hAnsi="宋体"/>
                <w:highlight w:val="none"/>
              </w:rPr>
              <w:t>检查污染治理效果和各污染源污染物排放情况；</w:t>
            </w:r>
          </w:p>
          <w:p>
            <w:pPr>
              <w:pStyle w:val="64"/>
              <w:jc w:val="left"/>
              <w:rPr>
                <w:rFonts w:hAnsi="宋体"/>
                <w:highlight w:val="none"/>
              </w:rPr>
            </w:pPr>
            <w:r>
              <w:rPr>
                <w:rFonts w:hint="eastAsia" w:hAnsi="宋体" w:cs="宋体"/>
                <w:highlight w:val="none"/>
              </w:rPr>
              <w:t>⑧</w:t>
            </w:r>
            <w:r>
              <w:rPr>
                <w:rFonts w:hAnsi="宋体"/>
                <w:highlight w:val="none"/>
              </w:rPr>
              <w:t>对检查出来的问题，要提出解决或补救措施，落实投资，确保完成期限；</w:t>
            </w:r>
          </w:p>
          <w:p>
            <w:pPr>
              <w:pStyle w:val="64"/>
              <w:jc w:val="left"/>
              <w:rPr>
                <w:rFonts w:hAnsi="宋体"/>
                <w:highlight w:val="none"/>
              </w:rPr>
            </w:pPr>
            <w:r>
              <w:rPr>
                <w:rFonts w:hint="eastAsia" w:hAnsi="宋体" w:cs="宋体"/>
                <w:highlight w:val="none"/>
              </w:rPr>
              <w:t>⑨</w:t>
            </w:r>
            <w:r>
              <w:rPr>
                <w:rFonts w:hAnsi="宋体"/>
                <w:highlight w:val="none"/>
              </w:rPr>
              <w:t>委托环境监测机构开展竣工验收监测，并提交《建设项目环境保护竣工验收监测报告》；</w:t>
            </w:r>
          </w:p>
          <w:p>
            <w:pPr>
              <w:pStyle w:val="64"/>
              <w:jc w:val="left"/>
              <w:rPr>
                <w:rFonts w:hAnsi="宋体"/>
                <w:highlight w:val="none"/>
              </w:rPr>
            </w:pPr>
            <w:r>
              <w:rPr>
                <w:rFonts w:hint="eastAsia" w:hAnsi="宋体" w:cs="宋体"/>
                <w:highlight w:val="none"/>
              </w:rPr>
              <w:t>⑩</w:t>
            </w:r>
            <w:r>
              <w:rPr>
                <w:rFonts w:hAnsi="宋体"/>
                <w:highlight w:val="none"/>
              </w:rPr>
              <w:t>建设单位开展验收调查，编制《建设项目环境保护竣工验收调查报告》并附《建设项目环境保护竣工验收监测报告》，向环保主管部门申请正式竣工验收。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6" w:type="dxa"/>
            <w:vAlign w:val="center"/>
          </w:tcPr>
          <w:p>
            <w:pPr>
              <w:pStyle w:val="64"/>
              <w:rPr>
                <w:rFonts w:hAnsi="宋体"/>
                <w:highlight w:val="none"/>
              </w:rPr>
            </w:pPr>
            <w:r>
              <w:rPr>
                <w:rFonts w:hAnsi="宋体"/>
                <w:highlight w:val="none"/>
              </w:rPr>
              <w:t>生产运行阶段</w:t>
            </w:r>
          </w:p>
        </w:tc>
        <w:tc>
          <w:tcPr>
            <w:tcW w:w="7944" w:type="dxa"/>
            <w:vAlign w:val="center"/>
          </w:tcPr>
          <w:p>
            <w:pPr>
              <w:pStyle w:val="64"/>
              <w:jc w:val="left"/>
              <w:rPr>
                <w:rFonts w:hAnsi="宋体"/>
                <w:highlight w:val="none"/>
              </w:rPr>
            </w:pPr>
            <w:r>
              <w:rPr>
                <w:rFonts w:hint="eastAsia" w:hAnsi="宋体" w:cs="宋体"/>
                <w:highlight w:val="none"/>
              </w:rPr>
              <w:t>①</w:t>
            </w:r>
            <w:r>
              <w:rPr>
                <w:rFonts w:hAnsi="宋体"/>
                <w:highlight w:val="none"/>
              </w:rPr>
              <w:t>把污染防治和环境管理纳入企业日常经营管理活动，从计划管理、生产管理、技术管理、设备管理到经济成本核算都要有控制污染的内容和指标，并且要落实到车间、班组和岗位；</w:t>
            </w:r>
          </w:p>
          <w:p>
            <w:pPr>
              <w:pStyle w:val="64"/>
              <w:jc w:val="left"/>
              <w:rPr>
                <w:rFonts w:hAnsi="宋体"/>
                <w:highlight w:val="none"/>
              </w:rPr>
            </w:pPr>
            <w:r>
              <w:rPr>
                <w:rFonts w:hint="eastAsia" w:hAnsi="宋体" w:cs="宋体"/>
                <w:highlight w:val="none"/>
              </w:rPr>
              <w:t>②</w:t>
            </w:r>
            <w:r>
              <w:rPr>
                <w:rFonts w:hAnsi="宋体"/>
                <w:highlight w:val="none"/>
              </w:rPr>
              <w:t>企业主要领导负责实行环保责任制，指标逐级分解，做到奖罚分明；</w:t>
            </w:r>
          </w:p>
          <w:p>
            <w:pPr>
              <w:pStyle w:val="64"/>
              <w:jc w:val="left"/>
              <w:rPr>
                <w:rFonts w:hAnsi="宋体"/>
                <w:highlight w:val="none"/>
              </w:rPr>
            </w:pPr>
            <w:r>
              <w:rPr>
                <w:rFonts w:hint="eastAsia" w:hAnsi="宋体" w:cs="宋体"/>
                <w:highlight w:val="none"/>
              </w:rPr>
              <w:t>③</w:t>
            </w:r>
            <w:r>
              <w:rPr>
                <w:rFonts w:hAnsi="宋体"/>
                <w:highlight w:val="none"/>
              </w:rPr>
              <w:t>建立健全企业的污染监测系统，为企业环境管理提供依据；</w:t>
            </w:r>
          </w:p>
          <w:p>
            <w:pPr>
              <w:pStyle w:val="64"/>
              <w:jc w:val="left"/>
              <w:rPr>
                <w:rFonts w:hAnsi="宋体"/>
                <w:highlight w:val="none"/>
              </w:rPr>
            </w:pPr>
            <w:r>
              <w:rPr>
                <w:rFonts w:hint="eastAsia" w:hAnsi="宋体" w:cs="宋体"/>
                <w:highlight w:val="none"/>
              </w:rPr>
              <w:t>④</w:t>
            </w:r>
            <w:r>
              <w:rPr>
                <w:rFonts w:hAnsi="宋体"/>
                <w:highlight w:val="none"/>
              </w:rPr>
              <w:t>建立环境保护信息反馈和群众监督制度，监察企业生产和管理活动违背环保法规和制度的行为</w:t>
            </w:r>
          </w:p>
          <w:p>
            <w:pPr>
              <w:pStyle w:val="64"/>
              <w:jc w:val="left"/>
              <w:rPr>
                <w:rFonts w:hAnsi="宋体"/>
                <w:highlight w:val="none"/>
              </w:rPr>
            </w:pPr>
            <w:r>
              <w:rPr>
                <w:rFonts w:hint="eastAsia" w:hAnsi="宋体" w:cs="宋体"/>
                <w:spacing w:val="-10"/>
                <w:highlight w:val="none"/>
              </w:rPr>
              <w:t>⑤</w:t>
            </w:r>
            <w:r>
              <w:rPr>
                <w:rFonts w:hAnsi="宋体"/>
                <w:spacing w:val="-10"/>
                <w:highlight w:val="none"/>
              </w:rPr>
              <w:t>建立健全各项环保设施的运行操作规则，并有效监督实施，严防跑、冒、滴、漏；</w:t>
            </w:r>
          </w:p>
          <w:p>
            <w:pPr>
              <w:pStyle w:val="64"/>
              <w:jc w:val="left"/>
              <w:rPr>
                <w:rFonts w:hAnsi="宋体"/>
                <w:highlight w:val="none"/>
              </w:rPr>
            </w:pPr>
            <w:r>
              <w:rPr>
                <w:rFonts w:hint="eastAsia" w:hAnsi="宋体" w:cs="宋体"/>
                <w:highlight w:val="none"/>
              </w:rPr>
              <w:t>⑥</w:t>
            </w:r>
            <w:r>
              <w:rPr>
                <w:rFonts w:hAnsi="宋体"/>
                <w:highlight w:val="none"/>
              </w:rPr>
              <w:t>定期向环保部门汇报情况，配合环保部门的监督、检查。</w:t>
            </w:r>
          </w:p>
        </w:tc>
      </w:tr>
    </w:tbl>
    <w:p>
      <w:pPr>
        <w:ind w:firstLine="480"/>
        <w:rPr>
          <w:rFonts w:ascii="宋体" w:hAnsi="宋体"/>
          <w:highlight w:val="none"/>
        </w:rPr>
      </w:pPr>
      <w:r>
        <w:rPr>
          <w:rFonts w:ascii="宋体" w:hAnsi="宋体"/>
          <w:highlight w:val="none"/>
        </w:rPr>
        <w:t>另外，还应规范排污口：在厂区“三废”及噪声排放点，设置明显标志，标志的设置应执行《环境保护图形标志排放口》（GB15562.1-1995）及《环境保护图形标志固体废物贮存（处置）场》（GB15562.2-1995）中有关规定。排放口图形标志见图</w:t>
      </w:r>
      <w:r>
        <w:rPr>
          <w:rFonts w:hint="eastAsia" w:ascii="宋体" w:hAnsi="宋体"/>
          <w:highlight w:val="none"/>
        </w:rPr>
        <w:t>8</w:t>
      </w:r>
      <w:r>
        <w:rPr>
          <w:rFonts w:ascii="宋体" w:hAnsi="宋体"/>
          <w:highlight w:val="none"/>
        </w:rPr>
        <w:t>.2-1。</w:t>
      </w:r>
    </w:p>
    <w:p>
      <w:pPr>
        <w:pStyle w:val="65"/>
        <w:rPr>
          <w:rFonts w:hAnsi="宋体"/>
          <w:highlight w:val="none"/>
        </w:rPr>
      </w:pPr>
      <w:r>
        <w:rPr>
          <w:rFonts w:hAnsi="宋体"/>
          <w:highlight w:val="none"/>
        </w:rPr>
        <w:t>图8.2-1</w:t>
      </w:r>
      <w:r>
        <w:rPr>
          <w:rFonts w:hint="eastAsia" w:hAnsi="宋体"/>
          <w:highlight w:val="none"/>
        </w:rPr>
        <w:t xml:space="preserve">  </w:t>
      </w:r>
      <w:r>
        <w:rPr>
          <w:rFonts w:hAnsi="宋体"/>
          <w:highlight w:val="none"/>
        </w:rPr>
        <w:t>“三废”及噪声排放点标志</w:t>
      </w:r>
    </w:p>
    <w:tbl>
      <w:tblPr>
        <w:tblStyle w:val="44"/>
        <w:tblpPr w:leftFromText="180" w:rightFromText="180" w:vertAnchor="text" w:horzAnchor="margin" w:tblpY="93"/>
        <w:tblW w:w="895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924"/>
        <w:gridCol w:w="1922"/>
        <w:gridCol w:w="2030"/>
        <w:gridCol w:w="18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7" w:type="dxa"/>
            <w:vAlign w:val="center"/>
          </w:tcPr>
          <w:p>
            <w:pPr>
              <w:pStyle w:val="64"/>
              <w:rPr>
                <w:rFonts w:hAnsi="宋体"/>
                <w:highlight w:val="none"/>
              </w:rPr>
            </w:pPr>
            <w:r>
              <w:rPr>
                <w:rFonts w:hAnsi="宋体"/>
                <w:highlight w:val="none"/>
              </w:rPr>
              <w:t>标志名称</w:t>
            </w:r>
          </w:p>
        </w:tc>
        <w:tc>
          <w:tcPr>
            <w:tcW w:w="1924" w:type="dxa"/>
            <w:vAlign w:val="center"/>
          </w:tcPr>
          <w:p>
            <w:pPr>
              <w:pStyle w:val="64"/>
              <w:rPr>
                <w:rFonts w:hAnsi="宋体"/>
                <w:highlight w:val="none"/>
              </w:rPr>
            </w:pPr>
            <w:r>
              <w:rPr>
                <w:rFonts w:hAnsi="宋体"/>
                <w:highlight w:val="none"/>
              </w:rPr>
              <w:t>污水排放口</w:t>
            </w:r>
          </w:p>
        </w:tc>
        <w:tc>
          <w:tcPr>
            <w:tcW w:w="1922" w:type="dxa"/>
            <w:vAlign w:val="center"/>
          </w:tcPr>
          <w:p>
            <w:pPr>
              <w:pStyle w:val="64"/>
              <w:rPr>
                <w:rFonts w:hAnsi="宋体"/>
                <w:highlight w:val="none"/>
              </w:rPr>
            </w:pPr>
            <w:r>
              <w:rPr>
                <w:rFonts w:hAnsi="宋体"/>
                <w:highlight w:val="none"/>
              </w:rPr>
              <w:t>废气排放口</w:t>
            </w:r>
          </w:p>
        </w:tc>
        <w:tc>
          <w:tcPr>
            <w:tcW w:w="2030" w:type="dxa"/>
            <w:vAlign w:val="center"/>
          </w:tcPr>
          <w:p>
            <w:pPr>
              <w:pStyle w:val="64"/>
              <w:rPr>
                <w:rFonts w:hAnsi="宋体"/>
                <w:highlight w:val="none"/>
              </w:rPr>
            </w:pPr>
            <w:r>
              <w:rPr>
                <w:rFonts w:hAnsi="宋体"/>
                <w:highlight w:val="none"/>
              </w:rPr>
              <w:t>噪声排放源</w:t>
            </w:r>
          </w:p>
        </w:tc>
        <w:tc>
          <w:tcPr>
            <w:tcW w:w="1897" w:type="dxa"/>
            <w:vAlign w:val="center"/>
          </w:tcPr>
          <w:p>
            <w:pPr>
              <w:pStyle w:val="64"/>
              <w:rPr>
                <w:rFonts w:hAnsi="宋体"/>
                <w:highlight w:val="none"/>
              </w:rPr>
            </w:pPr>
            <w:r>
              <w:rPr>
                <w:rFonts w:hAnsi="宋体"/>
                <w:highlight w:val="none"/>
              </w:rPr>
              <w:t>固体废物提示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7" w:type="dxa"/>
            <w:vAlign w:val="center"/>
          </w:tcPr>
          <w:p>
            <w:pPr>
              <w:pStyle w:val="64"/>
              <w:rPr>
                <w:rFonts w:hAnsi="宋体"/>
                <w:highlight w:val="none"/>
              </w:rPr>
            </w:pPr>
            <w:r>
              <w:rPr>
                <w:rFonts w:hAnsi="宋体"/>
                <w:highlight w:val="none"/>
              </w:rPr>
              <w:t>提示标志</w:t>
            </w:r>
          </w:p>
        </w:tc>
        <w:tc>
          <w:tcPr>
            <w:tcW w:w="1924" w:type="dxa"/>
            <w:vAlign w:val="center"/>
          </w:tcPr>
          <w:p>
            <w:pPr>
              <w:pStyle w:val="64"/>
              <w:spacing w:line="240" w:lineRule="auto"/>
              <w:rPr>
                <w:rFonts w:hAnsi="宋体"/>
                <w:highlight w:val="none"/>
              </w:rPr>
            </w:pPr>
            <w:r>
              <w:rPr>
                <w:rFonts w:hAnsi="宋体"/>
                <w:highlight w:val="none"/>
              </w:rPr>
              <w:drawing>
                <wp:inline distT="0" distB="0" distL="0" distR="0">
                  <wp:extent cx="949960" cy="9620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949960" cy="962025"/>
                          </a:xfrm>
                          <a:prstGeom prst="rect">
                            <a:avLst/>
                          </a:prstGeom>
                          <a:noFill/>
                          <a:ln>
                            <a:noFill/>
                          </a:ln>
                        </pic:spPr>
                      </pic:pic>
                    </a:graphicData>
                  </a:graphic>
                </wp:inline>
              </w:drawing>
            </w:r>
          </w:p>
        </w:tc>
        <w:tc>
          <w:tcPr>
            <w:tcW w:w="1922" w:type="dxa"/>
            <w:vAlign w:val="center"/>
          </w:tcPr>
          <w:p>
            <w:pPr>
              <w:pStyle w:val="64"/>
              <w:spacing w:line="240" w:lineRule="auto"/>
              <w:rPr>
                <w:rFonts w:hAnsi="宋体"/>
                <w:highlight w:val="none"/>
              </w:rPr>
            </w:pPr>
            <w:r>
              <w:rPr>
                <w:rFonts w:hAnsi="宋体"/>
                <w:highlight w:val="none"/>
              </w:rPr>
              <w:drawing>
                <wp:inline distT="0" distB="0" distL="0" distR="0">
                  <wp:extent cx="962025" cy="93789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962025" cy="937895"/>
                          </a:xfrm>
                          <a:prstGeom prst="rect">
                            <a:avLst/>
                          </a:prstGeom>
                          <a:noFill/>
                          <a:ln>
                            <a:noFill/>
                          </a:ln>
                        </pic:spPr>
                      </pic:pic>
                    </a:graphicData>
                  </a:graphic>
                </wp:inline>
              </w:drawing>
            </w:r>
          </w:p>
        </w:tc>
        <w:tc>
          <w:tcPr>
            <w:tcW w:w="2030" w:type="dxa"/>
            <w:vAlign w:val="center"/>
          </w:tcPr>
          <w:p>
            <w:pPr>
              <w:pStyle w:val="64"/>
              <w:spacing w:line="240" w:lineRule="auto"/>
              <w:rPr>
                <w:rFonts w:hAnsi="宋体"/>
                <w:highlight w:val="none"/>
              </w:rPr>
            </w:pPr>
            <w:r>
              <w:rPr>
                <w:rFonts w:hAnsi="宋体"/>
                <w:highlight w:val="none"/>
              </w:rPr>
              <w:drawing>
                <wp:inline distT="0" distB="0" distL="0" distR="0">
                  <wp:extent cx="949960" cy="93789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949960" cy="937895"/>
                          </a:xfrm>
                          <a:prstGeom prst="rect">
                            <a:avLst/>
                          </a:prstGeom>
                          <a:noFill/>
                          <a:ln>
                            <a:noFill/>
                          </a:ln>
                        </pic:spPr>
                      </pic:pic>
                    </a:graphicData>
                  </a:graphic>
                </wp:inline>
              </w:drawing>
            </w:r>
          </w:p>
        </w:tc>
        <w:tc>
          <w:tcPr>
            <w:tcW w:w="1897" w:type="dxa"/>
            <w:vAlign w:val="center"/>
          </w:tcPr>
          <w:p>
            <w:pPr>
              <w:pStyle w:val="64"/>
              <w:spacing w:line="240" w:lineRule="auto"/>
              <w:rPr>
                <w:rFonts w:hAnsi="宋体"/>
                <w:highlight w:val="none"/>
              </w:rPr>
            </w:pPr>
            <w:r>
              <w:rPr>
                <w:rFonts w:hAnsi="宋体"/>
                <w:highlight w:val="none"/>
              </w:rPr>
              <w:drawing>
                <wp:inline distT="0" distB="0" distL="0" distR="0">
                  <wp:extent cx="962025" cy="9378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962025" cy="93789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7" w:type="dxa"/>
            <w:vAlign w:val="center"/>
          </w:tcPr>
          <w:p>
            <w:pPr>
              <w:pStyle w:val="64"/>
              <w:rPr>
                <w:rFonts w:hAnsi="宋体"/>
                <w:highlight w:val="none"/>
              </w:rPr>
            </w:pPr>
            <w:r>
              <w:rPr>
                <w:rFonts w:hAnsi="宋体"/>
                <w:highlight w:val="none"/>
              </w:rPr>
              <w:t>国标代码</w:t>
            </w:r>
          </w:p>
        </w:tc>
        <w:tc>
          <w:tcPr>
            <w:tcW w:w="1924" w:type="dxa"/>
            <w:vAlign w:val="center"/>
          </w:tcPr>
          <w:p>
            <w:pPr>
              <w:pStyle w:val="64"/>
              <w:rPr>
                <w:rFonts w:hAnsi="宋体"/>
                <w:highlight w:val="none"/>
              </w:rPr>
            </w:pPr>
            <w:r>
              <w:rPr>
                <w:rFonts w:hAnsi="宋体"/>
                <w:highlight w:val="none"/>
              </w:rPr>
              <w:t>GB15562.1－1995</w:t>
            </w:r>
          </w:p>
        </w:tc>
        <w:tc>
          <w:tcPr>
            <w:tcW w:w="1922" w:type="dxa"/>
            <w:vAlign w:val="center"/>
          </w:tcPr>
          <w:p>
            <w:pPr>
              <w:pStyle w:val="64"/>
              <w:rPr>
                <w:rFonts w:hAnsi="宋体"/>
                <w:highlight w:val="none"/>
              </w:rPr>
            </w:pPr>
            <w:r>
              <w:rPr>
                <w:rFonts w:hAnsi="宋体"/>
                <w:highlight w:val="none"/>
              </w:rPr>
              <w:t>GB15562.1－1995</w:t>
            </w:r>
          </w:p>
        </w:tc>
        <w:tc>
          <w:tcPr>
            <w:tcW w:w="2030" w:type="dxa"/>
            <w:vAlign w:val="center"/>
          </w:tcPr>
          <w:p>
            <w:pPr>
              <w:pStyle w:val="64"/>
              <w:rPr>
                <w:rFonts w:hAnsi="宋体"/>
                <w:highlight w:val="none"/>
              </w:rPr>
            </w:pPr>
            <w:r>
              <w:rPr>
                <w:rFonts w:hAnsi="宋体"/>
                <w:highlight w:val="none"/>
              </w:rPr>
              <w:t>GB15562.1－1995</w:t>
            </w:r>
          </w:p>
        </w:tc>
        <w:tc>
          <w:tcPr>
            <w:tcW w:w="1897" w:type="dxa"/>
            <w:vAlign w:val="center"/>
          </w:tcPr>
          <w:p>
            <w:pPr>
              <w:pStyle w:val="64"/>
              <w:rPr>
                <w:rFonts w:hAnsi="宋体"/>
                <w:highlight w:val="none"/>
              </w:rPr>
            </w:pPr>
            <w:r>
              <w:rPr>
                <w:rFonts w:hAnsi="宋体"/>
                <w:highlight w:val="none"/>
              </w:rPr>
              <w:t>GB/15562.2-1995</w:t>
            </w:r>
          </w:p>
        </w:tc>
      </w:tr>
    </w:tbl>
    <w:p>
      <w:pPr>
        <w:pStyle w:val="3"/>
        <w:ind w:firstLine="643"/>
        <w:rPr>
          <w:rFonts w:hAnsi="宋体"/>
          <w:highlight w:val="none"/>
        </w:rPr>
      </w:pPr>
      <w:bookmarkStart w:id="366" w:name="_Toc70201050"/>
      <w:bookmarkStart w:id="367" w:name="_Toc1460952"/>
      <w:bookmarkStart w:id="368" w:name="_Toc448417744"/>
      <w:r>
        <w:rPr>
          <w:rFonts w:hAnsi="宋体"/>
          <w:highlight w:val="none"/>
        </w:rPr>
        <w:t>8.3环境监测计划</w:t>
      </w:r>
      <w:bookmarkEnd w:id="366"/>
      <w:bookmarkEnd w:id="367"/>
      <w:bookmarkEnd w:id="368"/>
    </w:p>
    <w:p>
      <w:pPr>
        <w:ind w:firstLine="480"/>
        <w:rPr>
          <w:rFonts w:ascii="宋体" w:hAnsi="宋体"/>
          <w:highlight w:val="none"/>
        </w:rPr>
      </w:pPr>
      <w:r>
        <w:rPr>
          <w:rFonts w:ascii="宋体" w:hAnsi="宋体"/>
          <w:highlight w:val="none"/>
        </w:rPr>
        <w:t>环境监测的目的是通过本厂污染源和周围环境的监测，为环境统计和环境定量评价提供科学依据，为加强管理、实施清洁生产提供可靠的技术依据，并据此制定防治对策和规划。</w:t>
      </w:r>
    </w:p>
    <w:p>
      <w:pPr>
        <w:ind w:firstLine="480"/>
        <w:rPr>
          <w:rFonts w:ascii="宋体" w:hAnsi="宋体"/>
          <w:highlight w:val="none"/>
        </w:rPr>
      </w:pPr>
      <w:r>
        <w:rPr>
          <w:rFonts w:ascii="宋体" w:hAnsi="宋体"/>
          <w:highlight w:val="none"/>
        </w:rPr>
        <w:t>环境监测是环境管理的基本手段和耳目，通过检测可以及时反映企业的环境信息、污染物产生的原因和排放情况、企业的环境质量状况，为企业提供准确的环境管理依据。因此，企业必须针对自身的情况制定合理的环境监测计划并付诸实施。</w:t>
      </w:r>
    </w:p>
    <w:p>
      <w:pPr>
        <w:pStyle w:val="4"/>
        <w:ind w:firstLine="562"/>
        <w:rPr>
          <w:rFonts w:hAnsi="宋体"/>
          <w:highlight w:val="none"/>
        </w:rPr>
      </w:pPr>
      <w:r>
        <w:rPr>
          <w:rFonts w:hAnsi="宋体"/>
          <w:highlight w:val="none"/>
        </w:rPr>
        <w:t>8.3.1监测机构</w:t>
      </w:r>
    </w:p>
    <w:p>
      <w:pPr>
        <w:ind w:firstLine="480"/>
        <w:rPr>
          <w:rFonts w:ascii="宋体" w:hAnsi="宋体"/>
          <w:highlight w:val="none"/>
        </w:rPr>
      </w:pPr>
      <w:r>
        <w:rPr>
          <w:rFonts w:ascii="宋体" w:hAnsi="宋体"/>
          <w:highlight w:val="none"/>
        </w:rPr>
        <w:t>委托有资质的监测机构对项目实施全过程可能产生的环境影响进行定期监测。</w:t>
      </w:r>
    </w:p>
    <w:p>
      <w:pPr>
        <w:pStyle w:val="4"/>
        <w:ind w:firstLine="562"/>
        <w:rPr>
          <w:rFonts w:hAnsi="宋体"/>
          <w:highlight w:val="none"/>
        </w:rPr>
      </w:pPr>
      <w:r>
        <w:rPr>
          <w:rFonts w:hAnsi="宋体"/>
          <w:highlight w:val="none"/>
        </w:rPr>
        <w:t>8.3.2监测计划</w:t>
      </w:r>
    </w:p>
    <w:p>
      <w:pPr>
        <w:ind w:firstLine="480"/>
        <w:rPr>
          <w:rFonts w:ascii="宋体" w:hAnsi="宋体"/>
          <w:highlight w:val="none"/>
        </w:rPr>
      </w:pPr>
      <w:r>
        <w:rPr>
          <w:rFonts w:ascii="宋体" w:hAnsi="宋体"/>
          <w:highlight w:val="none"/>
        </w:rPr>
        <w:t>结合工程与环境特点，确定项目施工期、运营期和闭矿的环境监测内容，各个指标的监测均按国家标准监测方法进行，具体见表8.3-1。</w:t>
      </w:r>
    </w:p>
    <w:p>
      <w:pPr>
        <w:pStyle w:val="65"/>
        <w:rPr>
          <w:rFonts w:hAnsi="宋体"/>
          <w:highlight w:val="none"/>
        </w:rPr>
      </w:pPr>
      <w:r>
        <w:rPr>
          <w:rFonts w:hAnsi="宋体"/>
          <w:highlight w:val="none"/>
        </w:rPr>
        <w:t>表8.3-1</w:t>
      </w:r>
      <w:r>
        <w:rPr>
          <w:rFonts w:hint="eastAsia" w:hAnsi="宋体"/>
          <w:highlight w:val="none"/>
        </w:rPr>
        <w:t xml:space="preserve">  </w:t>
      </w:r>
      <w:r>
        <w:rPr>
          <w:rFonts w:hAnsi="宋体"/>
          <w:highlight w:val="none"/>
        </w:rPr>
        <w:t>环境监测方案</w:t>
      </w:r>
    </w:p>
    <w:tbl>
      <w:tblPr>
        <w:tblStyle w:val="44"/>
        <w:tblW w:w="883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17"/>
        <w:gridCol w:w="3969"/>
        <w:gridCol w:w="2408"/>
        <w:gridCol w:w="164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pPr>
              <w:pStyle w:val="64"/>
              <w:rPr>
                <w:rFonts w:hAnsi="宋体"/>
                <w:highlight w:val="none"/>
              </w:rPr>
            </w:pPr>
            <w:r>
              <w:rPr>
                <w:rFonts w:hAnsi="宋体"/>
                <w:highlight w:val="none"/>
              </w:rPr>
              <w:t>类别</w:t>
            </w:r>
          </w:p>
        </w:tc>
        <w:tc>
          <w:tcPr>
            <w:tcW w:w="3969" w:type="dxa"/>
            <w:vAlign w:val="center"/>
          </w:tcPr>
          <w:p>
            <w:pPr>
              <w:pStyle w:val="64"/>
              <w:rPr>
                <w:rFonts w:hAnsi="宋体"/>
                <w:highlight w:val="none"/>
              </w:rPr>
            </w:pPr>
            <w:r>
              <w:rPr>
                <w:rFonts w:hAnsi="宋体"/>
                <w:highlight w:val="none"/>
              </w:rPr>
              <w:t>监测位置</w:t>
            </w:r>
          </w:p>
        </w:tc>
        <w:tc>
          <w:tcPr>
            <w:tcW w:w="2408" w:type="dxa"/>
            <w:vAlign w:val="center"/>
          </w:tcPr>
          <w:p>
            <w:pPr>
              <w:pStyle w:val="64"/>
              <w:rPr>
                <w:rFonts w:hAnsi="宋体"/>
                <w:highlight w:val="none"/>
              </w:rPr>
            </w:pPr>
            <w:r>
              <w:rPr>
                <w:rFonts w:hAnsi="宋体"/>
                <w:highlight w:val="none"/>
              </w:rPr>
              <w:t>监测频率</w:t>
            </w:r>
          </w:p>
        </w:tc>
        <w:tc>
          <w:tcPr>
            <w:tcW w:w="1640" w:type="dxa"/>
            <w:vAlign w:val="center"/>
          </w:tcPr>
          <w:p>
            <w:pPr>
              <w:pStyle w:val="64"/>
              <w:rPr>
                <w:rFonts w:hAnsi="宋体"/>
                <w:highlight w:val="none"/>
              </w:rPr>
            </w:pPr>
            <w:r>
              <w:rPr>
                <w:rFonts w:hAnsi="宋体"/>
                <w:highlight w:val="none"/>
              </w:rPr>
              <w:t>监测项目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817" w:type="dxa"/>
            <w:vMerge w:val="restart"/>
            <w:vAlign w:val="center"/>
          </w:tcPr>
          <w:p>
            <w:pPr>
              <w:pStyle w:val="64"/>
              <w:rPr>
                <w:rFonts w:hAnsi="宋体"/>
                <w:highlight w:val="none"/>
              </w:rPr>
            </w:pPr>
            <w:r>
              <w:rPr>
                <w:rFonts w:hAnsi="宋体"/>
                <w:highlight w:val="none"/>
              </w:rPr>
              <w:t>废气</w:t>
            </w:r>
          </w:p>
        </w:tc>
        <w:tc>
          <w:tcPr>
            <w:tcW w:w="3969" w:type="dxa"/>
            <w:vAlign w:val="center"/>
          </w:tcPr>
          <w:p>
            <w:pPr>
              <w:pStyle w:val="64"/>
              <w:rPr>
                <w:rFonts w:hAnsi="宋体"/>
                <w:highlight w:val="none"/>
              </w:rPr>
            </w:pPr>
            <w:r>
              <w:rPr>
                <w:rFonts w:hAnsi="宋体"/>
                <w:highlight w:val="none"/>
              </w:rPr>
              <w:t>破碎车间除尘器进、出口</w:t>
            </w:r>
          </w:p>
        </w:tc>
        <w:tc>
          <w:tcPr>
            <w:tcW w:w="2408" w:type="dxa"/>
            <w:vAlign w:val="center"/>
          </w:tcPr>
          <w:p>
            <w:pPr>
              <w:pStyle w:val="64"/>
              <w:rPr>
                <w:rFonts w:hAnsi="宋体"/>
                <w:highlight w:val="none"/>
              </w:rPr>
            </w:pPr>
            <w:r>
              <w:rPr>
                <w:rFonts w:hAnsi="宋体"/>
                <w:highlight w:val="none"/>
              </w:rPr>
              <w:t>1次/年</w:t>
            </w:r>
          </w:p>
        </w:tc>
        <w:tc>
          <w:tcPr>
            <w:tcW w:w="1640" w:type="dxa"/>
            <w:vAlign w:val="center"/>
          </w:tcPr>
          <w:p>
            <w:pPr>
              <w:pStyle w:val="64"/>
              <w:rPr>
                <w:rFonts w:hAnsi="宋体"/>
                <w:highlight w:val="none"/>
              </w:rPr>
            </w:pPr>
            <w:r>
              <w:rPr>
                <w:rFonts w:hAnsi="宋体"/>
                <w:highlight w:val="none"/>
              </w:rPr>
              <w:t>PM</w:t>
            </w:r>
            <w:r>
              <w:rPr>
                <w:rFonts w:hAnsi="宋体"/>
                <w:highlight w:val="none"/>
                <w:vertAlign w:val="subscript"/>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817" w:type="dxa"/>
            <w:vMerge w:val="continue"/>
            <w:vAlign w:val="center"/>
          </w:tcPr>
          <w:p>
            <w:pPr>
              <w:pStyle w:val="64"/>
              <w:rPr>
                <w:rFonts w:hAnsi="宋体"/>
                <w:highlight w:val="none"/>
              </w:rPr>
            </w:pPr>
          </w:p>
        </w:tc>
        <w:tc>
          <w:tcPr>
            <w:tcW w:w="3969" w:type="dxa"/>
            <w:vAlign w:val="center"/>
          </w:tcPr>
          <w:p>
            <w:pPr>
              <w:pStyle w:val="64"/>
              <w:rPr>
                <w:rFonts w:hAnsi="宋体"/>
                <w:highlight w:val="none"/>
              </w:rPr>
            </w:pPr>
            <w:r>
              <w:rPr>
                <w:rFonts w:hAnsi="宋体"/>
                <w:highlight w:val="none"/>
              </w:rPr>
              <w:t>厂界上风向布置1个监测点，下方向布置4个监测点</w:t>
            </w:r>
          </w:p>
        </w:tc>
        <w:tc>
          <w:tcPr>
            <w:tcW w:w="2408" w:type="dxa"/>
            <w:vAlign w:val="center"/>
          </w:tcPr>
          <w:p>
            <w:pPr>
              <w:pStyle w:val="64"/>
              <w:rPr>
                <w:rFonts w:hAnsi="宋体"/>
                <w:highlight w:val="none"/>
              </w:rPr>
            </w:pPr>
            <w:r>
              <w:rPr>
                <w:rFonts w:hAnsi="宋体"/>
                <w:highlight w:val="none"/>
              </w:rPr>
              <w:t>1次/年</w:t>
            </w:r>
          </w:p>
        </w:tc>
        <w:tc>
          <w:tcPr>
            <w:tcW w:w="1640" w:type="dxa"/>
            <w:vAlign w:val="center"/>
          </w:tcPr>
          <w:p>
            <w:pPr>
              <w:pStyle w:val="64"/>
              <w:rPr>
                <w:rFonts w:hAnsi="宋体"/>
                <w:highlight w:val="none"/>
              </w:rPr>
            </w:pPr>
            <w:r>
              <w:rPr>
                <w:rFonts w:hAnsi="宋体"/>
                <w:highlight w:val="none"/>
              </w:rPr>
              <w:t>TSP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pPr>
              <w:pStyle w:val="64"/>
              <w:rPr>
                <w:rFonts w:hAnsi="宋体"/>
                <w:highlight w:val="none"/>
              </w:rPr>
            </w:pPr>
            <w:r>
              <w:rPr>
                <w:rFonts w:hAnsi="宋体"/>
                <w:highlight w:val="none"/>
              </w:rPr>
              <w:t>噪声</w:t>
            </w:r>
          </w:p>
        </w:tc>
        <w:tc>
          <w:tcPr>
            <w:tcW w:w="3969" w:type="dxa"/>
            <w:vAlign w:val="center"/>
          </w:tcPr>
          <w:p>
            <w:pPr>
              <w:pStyle w:val="64"/>
              <w:rPr>
                <w:rFonts w:hAnsi="宋体"/>
                <w:highlight w:val="none"/>
              </w:rPr>
            </w:pPr>
            <w:r>
              <w:rPr>
                <w:rFonts w:hAnsi="宋体"/>
                <w:highlight w:val="none"/>
              </w:rPr>
              <w:t>四周厂界外1m</w:t>
            </w:r>
          </w:p>
        </w:tc>
        <w:tc>
          <w:tcPr>
            <w:tcW w:w="2408" w:type="dxa"/>
            <w:vAlign w:val="center"/>
          </w:tcPr>
          <w:p>
            <w:pPr>
              <w:pStyle w:val="64"/>
              <w:rPr>
                <w:rFonts w:hAnsi="宋体"/>
                <w:highlight w:val="none"/>
              </w:rPr>
            </w:pPr>
            <w:r>
              <w:rPr>
                <w:rFonts w:hAnsi="宋体"/>
                <w:highlight w:val="none"/>
              </w:rPr>
              <w:t>每季度监测1次，每次1天，每天昼夜各1次</w:t>
            </w:r>
          </w:p>
        </w:tc>
        <w:tc>
          <w:tcPr>
            <w:tcW w:w="1640" w:type="dxa"/>
            <w:vAlign w:val="center"/>
          </w:tcPr>
          <w:p>
            <w:pPr>
              <w:pStyle w:val="64"/>
              <w:rPr>
                <w:rFonts w:hAnsi="宋体"/>
                <w:highlight w:val="none"/>
              </w:rPr>
            </w:pPr>
            <w:r>
              <w:rPr>
                <w:rFonts w:hAnsi="宋体"/>
                <w:highlight w:val="none"/>
              </w:rPr>
              <w:t>Leq、L</w:t>
            </w:r>
            <w:r>
              <w:rPr>
                <w:rFonts w:hAnsi="宋体"/>
                <w:highlight w:val="none"/>
                <w:vertAlign w:val="subscript"/>
              </w:rPr>
              <w:t>10</w:t>
            </w:r>
            <w:r>
              <w:rPr>
                <w:rFonts w:hAnsi="宋体"/>
                <w:highlight w:val="none"/>
              </w:rPr>
              <w:t>、L</w:t>
            </w:r>
            <w:r>
              <w:rPr>
                <w:rFonts w:hAnsi="宋体"/>
                <w:highlight w:val="none"/>
                <w:vertAlign w:val="subscript"/>
              </w:rPr>
              <w:t>50</w:t>
            </w:r>
            <w:r>
              <w:rPr>
                <w:rFonts w:hAnsi="宋体"/>
                <w:highlight w:val="none"/>
              </w:rPr>
              <w:t>、L</w:t>
            </w:r>
            <w:r>
              <w:rPr>
                <w:rFonts w:hAnsi="宋体"/>
                <w:highlight w:val="none"/>
                <w:vertAlign w:val="subscript"/>
              </w:rPr>
              <w:t>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pStyle w:val="64"/>
              <w:rPr>
                <w:rFonts w:hAnsi="宋体"/>
                <w:highlight w:val="none"/>
              </w:rPr>
            </w:pPr>
            <w:r>
              <w:rPr>
                <w:rFonts w:hint="eastAsia" w:hAnsi="宋体"/>
                <w:highlight w:val="none"/>
              </w:rPr>
              <w:t>土壤</w:t>
            </w:r>
          </w:p>
        </w:tc>
        <w:tc>
          <w:tcPr>
            <w:tcW w:w="3969" w:type="dxa"/>
            <w:vAlign w:val="center"/>
          </w:tcPr>
          <w:p>
            <w:pPr>
              <w:pStyle w:val="64"/>
              <w:rPr>
                <w:rFonts w:hAnsi="宋体"/>
                <w:highlight w:val="none"/>
              </w:rPr>
            </w:pPr>
            <w:r>
              <w:rPr>
                <w:rFonts w:hint="eastAsia" w:hAnsi="宋体"/>
                <w:highlight w:val="none"/>
              </w:rPr>
              <w:t>尾矿库坝址下游北侧山谷</w:t>
            </w:r>
          </w:p>
        </w:tc>
        <w:tc>
          <w:tcPr>
            <w:tcW w:w="2408" w:type="dxa"/>
            <w:vAlign w:val="center"/>
          </w:tcPr>
          <w:p>
            <w:pPr>
              <w:pStyle w:val="64"/>
              <w:rPr>
                <w:rFonts w:hAnsi="宋体"/>
                <w:highlight w:val="none"/>
              </w:rPr>
            </w:pPr>
            <w:r>
              <w:rPr>
                <w:rFonts w:hint="eastAsia" w:hAnsi="宋体"/>
                <w:highlight w:val="none"/>
                <w:lang w:val="en-US" w:eastAsia="zh-CN"/>
              </w:rPr>
              <w:t>1</w:t>
            </w:r>
            <w:r>
              <w:rPr>
                <w:rFonts w:hAnsi="宋体"/>
                <w:highlight w:val="none"/>
              </w:rPr>
              <w:t>次/</w:t>
            </w:r>
            <w:r>
              <w:rPr>
                <w:rFonts w:hint="eastAsia" w:hAnsi="宋体"/>
                <w:highlight w:val="none"/>
                <w:lang w:val="en-US" w:eastAsia="zh-CN"/>
              </w:rPr>
              <w:t>5</w:t>
            </w:r>
            <w:r>
              <w:rPr>
                <w:rFonts w:hAnsi="宋体"/>
                <w:highlight w:val="none"/>
              </w:rPr>
              <w:t>年</w:t>
            </w:r>
          </w:p>
        </w:tc>
        <w:tc>
          <w:tcPr>
            <w:tcW w:w="1640" w:type="dxa"/>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64"/>
              <w:rPr>
                <w:rFonts w:hAnsi="宋体"/>
                <w:highlight w:val="none"/>
              </w:rPr>
            </w:pPr>
          </w:p>
        </w:tc>
        <w:tc>
          <w:tcPr>
            <w:tcW w:w="3969" w:type="dxa"/>
            <w:vAlign w:val="center"/>
          </w:tcPr>
          <w:p>
            <w:pPr>
              <w:pStyle w:val="64"/>
              <w:rPr>
                <w:rFonts w:hAnsi="宋体"/>
                <w:highlight w:val="none"/>
              </w:rPr>
            </w:pPr>
            <w:r>
              <w:rPr>
                <w:rFonts w:hint="eastAsia" w:hAnsi="宋体"/>
                <w:highlight w:val="none"/>
              </w:rPr>
              <w:t>危废暂存间</w:t>
            </w:r>
          </w:p>
        </w:tc>
        <w:tc>
          <w:tcPr>
            <w:tcW w:w="2408" w:type="dxa"/>
            <w:vAlign w:val="center"/>
          </w:tcPr>
          <w:p>
            <w:pPr>
              <w:pStyle w:val="64"/>
              <w:rPr>
                <w:rFonts w:hAnsi="宋体"/>
                <w:highlight w:val="none"/>
              </w:rPr>
            </w:pPr>
            <w:r>
              <w:rPr>
                <w:rFonts w:hint="eastAsia" w:hAnsi="宋体"/>
                <w:highlight w:val="none"/>
              </w:rPr>
              <w:t>必要时开展跟踪监测</w:t>
            </w:r>
          </w:p>
        </w:tc>
        <w:tc>
          <w:tcPr>
            <w:tcW w:w="1640" w:type="dxa"/>
            <w:vAlign w:val="center"/>
          </w:tcPr>
          <w:p>
            <w:pPr>
              <w:pStyle w:val="64"/>
              <w:rPr>
                <w:rFonts w:hAnsi="宋体"/>
                <w:highlight w:val="none"/>
              </w:rPr>
            </w:pPr>
            <w:r>
              <w:rPr>
                <w:rFonts w:hint="eastAsia" w:hAnsi="宋体"/>
                <w:highlight w:val="none"/>
              </w:rPr>
              <w:t>石油烃</w:t>
            </w:r>
          </w:p>
        </w:tc>
      </w:tr>
    </w:tbl>
    <w:p>
      <w:pPr>
        <w:pStyle w:val="4"/>
        <w:ind w:firstLine="562"/>
        <w:rPr>
          <w:rFonts w:hAnsi="宋体"/>
          <w:highlight w:val="none"/>
        </w:rPr>
      </w:pPr>
      <w:bookmarkStart w:id="369" w:name="_Toc4678525"/>
      <w:r>
        <w:rPr>
          <w:rFonts w:hAnsi="宋体"/>
          <w:highlight w:val="none"/>
        </w:rPr>
        <w:t>8.3.3环境监测的实施</w:t>
      </w:r>
      <w:bookmarkEnd w:id="369"/>
    </w:p>
    <w:p>
      <w:pPr>
        <w:ind w:firstLine="480"/>
        <w:rPr>
          <w:rFonts w:ascii="宋体" w:hAnsi="宋体"/>
          <w:highlight w:val="none"/>
        </w:rPr>
      </w:pPr>
      <w:r>
        <w:rPr>
          <w:rFonts w:ascii="宋体" w:hAnsi="宋体"/>
          <w:highlight w:val="none"/>
        </w:rPr>
        <w:t>本企业不自行设置环境监测机构，环境监测委托有资质的环境监测单位进行，地表移动变形观测由地质科负责。环保科负责对监测结果进行统计汇总，并按相关规定上报有关领导和上级主管部门，监测结果如有异常，应及时反馈生产管理部门，查找原因，及时解决。</w:t>
      </w:r>
    </w:p>
    <w:p>
      <w:pPr>
        <w:pStyle w:val="3"/>
        <w:ind w:firstLine="643"/>
        <w:rPr>
          <w:rFonts w:hAnsi="宋体"/>
          <w:highlight w:val="none"/>
        </w:rPr>
      </w:pPr>
      <w:bookmarkStart w:id="370" w:name="_Toc70201051"/>
      <w:bookmarkStart w:id="371" w:name="_Toc4678526"/>
      <w:r>
        <w:rPr>
          <w:rFonts w:hAnsi="宋体"/>
          <w:highlight w:val="none"/>
        </w:rPr>
        <w:t>8.4环境监理</w:t>
      </w:r>
      <w:bookmarkEnd w:id="370"/>
      <w:bookmarkEnd w:id="371"/>
    </w:p>
    <w:p>
      <w:pPr>
        <w:ind w:firstLine="480"/>
        <w:rPr>
          <w:rFonts w:ascii="宋体" w:hAnsi="宋体"/>
          <w:highlight w:val="none"/>
        </w:rPr>
      </w:pPr>
      <w:r>
        <w:rPr>
          <w:rFonts w:ascii="宋体" w:hAnsi="宋体"/>
          <w:highlight w:val="none"/>
        </w:rPr>
        <w:t>根据原环境保护部环发[2012]77号文《关于进一步加强环境影响评价管理防范环境风险的通知》、环发[2012]98号文《关于切实加强风险防范严格环境影响评价管理的通知》，原山西省环境保护厅晋环发[2007]306号文《关于在项目建设中推行环境工程监理工作的通知》、晋环发[2007]618号文《关于落实重点工业污染建设项目环境工程监理工作的通知》、晋环发[2010]160号文《关于进一步加强建设项目环境工程监理工作的通知》、晋环函[2011]302号文《关于开展环境监理工作的通知》的要求，本项目在施工阶段应开展工程环境监理工作，对环保设施的建设进行全程监督，保证环评规定的各项环保设施落实到位。</w:t>
      </w:r>
    </w:p>
    <w:p>
      <w:pPr>
        <w:pStyle w:val="3"/>
        <w:ind w:firstLine="643"/>
        <w:rPr>
          <w:rFonts w:hAnsi="宋体"/>
          <w:highlight w:val="none"/>
        </w:rPr>
      </w:pPr>
      <w:bookmarkStart w:id="372" w:name="_Toc70201052"/>
      <w:bookmarkStart w:id="373" w:name="_Toc4678528"/>
      <w:r>
        <w:rPr>
          <w:rFonts w:hAnsi="宋体"/>
          <w:highlight w:val="none"/>
        </w:rPr>
        <w:t>8.</w:t>
      </w:r>
      <w:r>
        <w:rPr>
          <w:rFonts w:hint="eastAsia" w:hAnsi="宋体"/>
          <w:highlight w:val="none"/>
        </w:rPr>
        <w:t>5</w:t>
      </w:r>
      <w:r>
        <w:rPr>
          <w:rFonts w:hAnsi="宋体"/>
          <w:highlight w:val="none"/>
        </w:rPr>
        <w:t>污染物排放清单</w:t>
      </w:r>
      <w:bookmarkEnd w:id="372"/>
      <w:bookmarkEnd w:id="373"/>
    </w:p>
    <w:p>
      <w:pPr>
        <w:ind w:firstLine="480"/>
        <w:rPr>
          <w:rFonts w:ascii="宋体" w:hAnsi="宋体"/>
          <w:highlight w:val="none"/>
        </w:rPr>
      </w:pPr>
      <w:r>
        <w:rPr>
          <w:rFonts w:ascii="宋体" w:hAnsi="宋体"/>
          <w:highlight w:val="none"/>
        </w:rPr>
        <w:t>本项目污染物排放清单见表8.</w:t>
      </w:r>
      <w:r>
        <w:rPr>
          <w:rFonts w:hint="eastAsia" w:ascii="宋体" w:hAnsi="宋体"/>
          <w:highlight w:val="none"/>
        </w:rPr>
        <w:t>5</w:t>
      </w:r>
      <w:r>
        <w:rPr>
          <w:rFonts w:ascii="宋体" w:hAnsi="宋体"/>
          <w:highlight w:val="none"/>
        </w:rPr>
        <w:t>-1。</w:t>
      </w:r>
    </w:p>
    <w:p>
      <w:pPr>
        <w:spacing w:line="520" w:lineRule="exact"/>
        <w:ind w:firstLine="480"/>
        <w:textAlignment w:val="bottom"/>
        <w:rPr>
          <w:rFonts w:ascii="宋体" w:hAnsi="宋体"/>
          <w:szCs w:val="20"/>
          <w:highlight w:val="none"/>
        </w:rPr>
        <w:sectPr>
          <w:footerReference r:id="rId26" w:type="default"/>
          <w:pgSz w:w="11910" w:h="16840"/>
          <w:pgMar w:top="1588" w:right="1588" w:bottom="1474" w:left="1588" w:header="964" w:footer="850" w:gutter="0"/>
          <w:pgBorders>
            <w:top w:val="none" w:sz="0" w:space="0"/>
            <w:left w:val="none" w:sz="0" w:space="0"/>
            <w:bottom w:val="none" w:sz="0" w:space="0"/>
            <w:right w:val="none" w:sz="0" w:space="0"/>
          </w:pgBorders>
          <w:pgNumType w:start="1"/>
          <w:cols w:space="720" w:num="1"/>
          <w:docGrid w:linePitch="326" w:charSpace="0"/>
        </w:sectPr>
      </w:pPr>
    </w:p>
    <w:p>
      <w:pPr>
        <w:pStyle w:val="65"/>
        <w:rPr>
          <w:rFonts w:hAnsi="宋体"/>
          <w:highlight w:val="none"/>
        </w:rPr>
      </w:pPr>
      <w:r>
        <w:rPr>
          <w:rFonts w:hAnsi="宋体"/>
          <w:highlight w:val="none"/>
        </w:rPr>
        <w:t>表8.</w:t>
      </w:r>
      <w:r>
        <w:rPr>
          <w:rFonts w:hint="eastAsia" w:hAnsi="宋体"/>
          <w:highlight w:val="none"/>
        </w:rPr>
        <w:t>5</w:t>
      </w:r>
      <w:r>
        <w:rPr>
          <w:rFonts w:hAnsi="宋体"/>
          <w:highlight w:val="none"/>
        </w:rPr>
        <w:t>-1</w:t>
      </w:r>
      <w:r>
        <w:rPr>
          <w:rFonts w:hint="eastAsia" w:hAnsi="宋体"/>
          <w:highlight w:val="none"/>
        </w:rPr>
        <w:t xml:space="preserve">  </w:t>
      </w:r>
      <w:r>
        <w:rPr>
          <w:rFonts w:hAnsi="宋体"/>
          <w:highlight w:val="none"/>
        </w:rPr>
        <w:t>污染物排放清单</w:t>
      </w:r>
    </w:p>
    <w:tbl>
      <w:tblPr>
        <w:tblStyle w:val="44"/>
        <w:tblW w:w="1388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26"/>
        <w:gridCol w:w="357"/>
        <w:gridCol w:w="353"/>
        <w:gridCol w:w="638"/>
        <w:gridCol w:w="1174"/>
        <w:gridCol w:w="19"/>
        <w:gridCol w:w="5696"/>
        <w:gridCol w:w="1111"/>
        <w:gridCol w:w="952"/>
        <w:gridCol w:w="983"/>
        <w:gridCol w:w="21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pStyle w:val="64"/>
              <w:rPr>
                <w:rFonts w:hAnsi="宋体"/>
                <w:highlight w:val="none"/>
              </w:rPr>
            </w:pPr>
            <w:r>
              <w:rPr>
                <w:rFonts w:hAnsi="宋体"/>
                <w:highlight w:val="none"/>
              </w:rPr>
              <w:t>废气</w:t>
            </w:r>
          </w:p>
        </w:tc>
        <w:tc>
          <w:tcPr>
            <w:tcW w:w="1348" w:type="dxa"/>
            <w:gridSpan w:val="3"/>
            <w:vAlign w:val="center"/>
          </w:tcPr>
          <w:p>
            <w:pPr>
              <w:pStyle w:val="64"/>
              <w:rPr>
                <w:rFonts w:hAnsi="宋体"/>
                <w:highlight w:val="none"/>
              </w:rPr>
            </w:pPr>
            <w:r>
              <w:rPr>
                <w:rFonts w:hAnsi="宋体"/>
                <w:highlight w:val="none"/>
              </w:rPr>
              <w:t>污染源</w:t>
            </w:r>
          </w:p>
        </w:tc>
        <w:tc>
          <w:tcPr>
            <w:tcW w:w="1174" w:type="dxa"/>
            <w:vAlign w:val="center"/>
          </w:tcPr>
          <w:p>
            <w:pPr>
              <w:pStyle w:val="64"/>
              <w:rPr>
                <w:rFonts w:hAnsi="宋体"/>
                <w:highlight w:val="none"/>
              </w:rPr>
            </w:pPr>
            <w:r>
              <w:rPr>
                <w:rFonts w:hAnsi="宋体"/>
                <w:highlight w:val="none"/>
              </w:rPr>
              <w:t>污染物</w:t>
            </w:r>
          </w:p>
        </w:tc>
        <w:tc>
          <w:tcPr>
            <w:tcW w:w="5715" w:type="dxa"/>
            <w:gridSpan w:val="2"/>
            <w:vAlign w:val="center"/>
          </w:tcPr>
          <w:p>
            <w:pPr>
              <w:pStyle w:val="64"/>
              <w:rPr>
                <w:rFonts w:hAnsi="宋体"/>
                <w:highlight w:val="none"/>
              </w:rPr>
            </w:pPr>
            <w:r>
              <w:rPr>
                <w:rFonts w:hAnsi="宋体"/>
                <w:highlight w:val="none"/>
              </w:rPr>
              <w:t>治理措施</w:t>
            </w:r>
          </w:p>
        </w:tc>
        <w:tc>
          <w:tcPr>
            <w:tcW w:w="1111" w:type="dxa"/>
            <w:shd w:val="clear" w:color="auto" w:fill="auto"/>
            <w:vAlign w:val="center"/>
          </w:tcPr>
          <w:p>
            <w:pPr>
              <w:pStyle w:val="64"/>
              <w:rPr>
                <w:rFonts w:hAnsi="宋体"/>
                <w:highlight w:val="none"/>
              </w:rPr>
            </w:pPr>
            <w:r>
              <w:rPr>
                <w:rFonts w:hAnsi="宋体"/>
                <w:highlight w:val="none"/>
              </w:rPr>
              <w:t>排放浓度（mg/m</w:t>
            </w:r>
            <w:r>
              <w:rPr>
                <w:rFonts w:hAnsi="宋体"/>
                <w:highlight w:val="none"/>
                <w:vertAlign w:val="superscript"/>
              </w:rPr>
              <w:t>3</w:t>
            </w:r>
            <w:r>
              <w:rPr>
                <w:rFonts w:hAnsi="宋体"/>
                <w:highlight w:val="none"/>
              </w:rPr>
              <w:t>）</w:t>
            </w:r>
          </w:p>
        </w:tc>
        <w:tc>
          <w:tcPr>
            <w:tcW w:w="952" w:type="dxa"/>
            <w:shd w:val="clear" w:color="auto" w:fill="auto"/>
            <w:vAlign w:val="center"/>
          </w:tcPr>
          <w:p>
            <w:pPr>
              <w:pStyle w:val="64"/>
              <w:rPr>
                <w:rFonts w:hAnsi="宋体"/>
                <w:highlight w:val="none"/>
              </w:rPr>
            </w:pPr>
            <w:r>
              <w:rPr>
                <w:rFonts w:hAnsi="宋体"/>
                <w:highlight w:val="none"/>
              </w:rPr>
              <w:t>排放量（t/a）</w:t>
            </w:r>
          </w:p>
        </w:tc>
        <w:tc>
          <w:tcPr>
            <w:tcW w:w="983" w:type="dxa"/>
            <w:vAlign w:val="center"/>
          </w:tcPr>
          <w:p>
            <w:pPr>
              <w:pStyle w:val="64"/>
              <w:rPr>
                <w:rFonts w:hAnsi="宋体"/>
                <w:highlight w:val="none"/>
              </w:rPr>
            </w:pPr>
            <w:r>
              <w:rPr>
                <w:rFonts w:hAnsi="宋体"/>
                <w:highlight w:val="none"/>
              </w:rPr>
              <w:t>排放口</w:t>
            </w:r>
          </w:p>
        </w:tc>
        <w:tc>
          <w:tcPr>
            <w:tcW w:w="2171" w:type="dxa"/>
            <w:shd w:val="clear" w:color="auto" w:fill="auto"/>
            <w:vAlign w:val="center"/>
          </w:tcPr>
          <w:p>
            <w:pPr>
              <w:pStyle w:val="64"/>
              <w:rPr>
                <w:rFonts w:hAnsi="宋体"/>
                <w:highlight w:val="none"/>
              </w:rPr>
            </w:pPr>
            <w:r>
              <w:rPr>
                <w:rFonts w:hAnsi="宋体"/>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spacing w:val="-1"/>
                <w:highlight w:val="none"/>
              </w:rPr>
              <w:t>原</w:t>
            </w:r>
            <w:r>
              <w:rPr>
                <w:rFonts w:hint="eastAsia" w:hAnsi="宋体"/>
                <w:highlight w:val="none"/>
              </w:rPr>
              <w:t>料</w:t>
            </w:r>
            <w:r>
              <w:rPr>
                <w:rFonts w:hAnsi="宋体"/>
                <w:highlight w:val="none"/>
              </w:rPr>
              <w:t>库</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原</w:t>
            </w:r>
            <w:r>
              <w:rPr>
                <w:rFonts w:hAnsi="宋体"/>
                <w:spacing w:val="2"/>
                <w:highlight w:val="none"/>
              </w:rPr>
              <w:t>料</w:t>
            </w:r>
            <w:r>
              <w:rPr>
                <w:rFonts w:hAnsi="宋体"/>
                <w:highlight w:val="none"/>
              </w:rPr>
              <w:t>库，配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c>
          <w:tcPr>
            <w:tcW w:w="1111" w:type="dxa"/>
            <w:shd w:val="clear" w:color="auto" w:fill="auto"/>
            <w:vAlign w:val="center"/>
          </w:tcPr>
          <w:p>
            <w:pPr>
              <w:pStyle w:val="64"/>
              <w:rPr>
                <w:rFonts w:hAnsi="宋体"/>
                <w:highlight w:val="none"/>
              </w:rPr>
            </w:pPr>
            <w:r>
              <w:rPr>
                <w:rFonts w:hAnsi="宋体"/>
                <w:highlight w:val="none"/>
              </w:rPr>
              <w:t>--</w:t>
            </w:r>
          </w:p>
        </w:tc>
        <w:tc>
          <w:tcPr>
            <w:tcW w:w="952" w:type="dxa"/>
            <w:shd w:val="clear" w:color="auto" w:fill="auto"/>
            <w:vAlign w:val="center"/>
          </w:tcPr>
          <w:p>
            <w:pPr>
              <w:pStyle w:val="64"/>
              <w:rPr>
                <w:rFonts w:hAnsi="宋体"/>
                <w:highlight w:val="none"/>
              </w:rPr>
            </w:pPr>
            <w:r>
              <w:rPr>
                <w:rFonts w:hint="eastAsia" w:hAnsi="宋体"/>
                <w:spacing w:val="1"/>
                <w:highlight w:val="none"/>
              </w:rPr>
              <w:t>0.693</w:t>
            </w:r>
          </w:p>
        </w:tc>
        <w:tc>
          <w:tcPr>
            <w:tcW w:w="983" w:type="dxa"/>
            <w:vAlign w:val="center"/>
          </w:tcPr>
          <w:p>
            <w:pPr>
              <w:pStyle w:val="64"/>
              <w:rPr>
                <w:rFonts w:hAnsi="宋体"/>
                <w:bCs/>
                <w:highlight w:val="none"/>
              </w:rPr>
            </w:pPr>
            <w:r>
              <w:rPr>
                <w:rFonts w:hAnsi="宋体"/>
                <w:bCs/>
                <w:highlight w:val="none"/>
              </w:rPr>
              <w:t>--</w:t>
            </w:r>
          </w:p>
        </w:tc>
        <w:tc>
          <w:tcPr>
            <w:tcW w:w="2171" w:type="dxa"/>
            <w:vMerge w:val="restart"/>
            <w:shd w:val="clear" w:color="auto" w:fill="auto"/>
            <w:vAlign w:val="center"/>
          </w:tcPr>
          <w:p>
            <w:pPr>
              <w:pStyle w:val="64"/>
              <w:rPr>
                <w:rFonts w:hAnsi="宋体"/>
                <w:highlight w:val="none"/>
              </w:rPr>
            </w:pPr>
            <w:r>
              <w:rPr>
                <w:rFonts w:hAnsi="宋体"/>
                <w:highlight w:val="none"/>
              </w:rPr>
              <w:t>执行《铁矿采选工业污染物排放标准》（GB28661-2012）表6中的特别排放限值要求。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int="eastAsia" w:hAnsi="宋体"/>
                <w:spacing w:val="2"/>
                <w:highlight w:val="none"/>
              </w:rPr>
              <w:t>成品</w:t>
            </w:r>
            <w:r>
              <w:rPr>
                <w:rFonts w:hAnsi="宋体"/>
                <w:highlight w:val="none"/>
              </w:rPr>
              <w:t>库</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成品库</w:t>
            </w:r>
          </w:p>
        </w:tc>
        <w:tc>
          <w:tcPr>
            <w:tcW w:w="1111" w:type="dxa"/>
            <w:shd w:val="clear" w:color="auto" w:fill="auto"/>
            <w:vAlign w:val="center"/>
          </w:tcPr>
          <w:p>
            <w:pPr>
              <w:pStyle w:val="64"/>
              <w:rPr>
                <w:rFonts w:hAnsi="宋体"/>
                <w:highlight w:val="none"/>
              </w:rPr>
            </w:pPr>
            <w:r>
              <w:rPr>
                <w:rFonts w:hAnsi="宋体"/>
                <w:highlight w:val="none"/>
              </w:rPr>
              <w:t>--</w:t>
            </w:r>
          </w:p>
        </w:tc>
        <w:tc>
          <w:tcPr>
            <w:tcW w:w="952" w:type="dxa"/>
            <w:shd w:val="clear" w:color="auto" w:fill="auto"/>
            <w:vAlign w:val="center"/>
          </w:tcPr>
          <w:p>
            <w:pPr>
              <w:pStyle w:val="64"/>
              <w:rPr>
                <w:rFonts w:hAnsi="宋体"/>
                <w:highlight w:val="none"/>
              </w:rPr>
            </w:pPr>
            <w:r>
              <w:rPr>
                <w:rFonts w:hAnsi="宋体"/>
                <w:spacing w:val="1"/>
                <w:highlight w:val="none"/>
              </w:rPr>
              <w:t>0.0</w:t>
            </w:r>
            <w:r>
              <w:rPr>
                <w:rFonts w:hint="eastAsia" w:hAnsi="宋体"/>
                <w:spacing w:val="-2"/>
                <w:highlight w:val="none"/>
              </w:rPr>
              <w:t>29</w:t>
            </w:r>
          </w:p>
        </w:tc>
        <w:tc>
          <w:tcPr>
            <w:tcW w:w="983" w:type="dxa"/>
            <w:vAlign w:val="center"/>
          </w:tcPr>
          <w:p>
            <w:pPr>
              <w:pStyle w:val="64"/>
              <w:rPr>
                <w:rFonts w:hAnsi="宋体"/>
                <w:bCs/>
                <w:highlight w:val="none"/>
              </w:rPr>
            </w:pPr>
            <w:r>
              <w:rPr>
                <w:rFonts w:hAnsi="宋体"/>
                <w:bCs/>
                <w:highlight w:val="none"/>
              </w:rPr>
              <w:t>--</w:t>
            </w:r>
          </w:p>
        </w:tc>
        <w:tc>
          <w:tcPr>
            <w:tcW w:w="2171" w:type="dxa"/>
            <w:vMerge w:val="continue"/>
            <w:shd w:val="clear" w:color="auto" w:fill="auto"/>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int="eastAsia" w:hAnsi="宋体"/>
                <w:spacing w:val="2"/>
                <w:highlight w:val="none"/>
              </w:rPr>
              <w:t>废石</w:t>
            </w:r>
            <w:r>
              <w:rPr>
                <w:rFonts w:hAnsi="宋体"/>
                <w:highlight w:val="none"/>
              </w:rPr>
              <w:t>库</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废石</w:t>
            </w:r>
            <w:r>
              <w:rPr>
                <w:rFonts w:hint="eastAsia" w:hAnsi="宋体"/>
                <w:highlight w:val="none"/>
              </w:rPr>
              <w:t>库</w:t>
            </w:r>
            <w:r>
              <w:rPr>
                <w:rFonts w:hAnsi="宋体"/>
                <w:highlight w:val="none"/>
              </w:rPr>
              <w:t>，配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c>
          <w:tcPr>
            <w:tcW w:w="1111" w:type="dxa"/>
            <w:shd w:val="clear" w:color="auto" w:fill="auto"/>
            <w:vAlign w:val="center"/>
          </w:tcPr>
          <w:p>
            <w:pPr>
              <w:pStyle w:val="64"/>
              <w:rPr>
                <w:rFonts w:hAnsi="宋体"/>
                <w:highlight w:val="none"/>
              </w:rPr>
            </w:pPr>
            <w:r>
              <w:rPr>
                <w:rFonts w:hAnsi="宋体"/>
                <w:highlight w:val="none"/>
              </w:rPr>
              <w:t>--</w:t>
            </w:r>
          </w:p>
        </w:tc>
        <w:tc>
          <w:tcPr>
            <w:tcW w:w="952" w:type="dxa"/>
            <w:shd w:val="clear" w:color="auto" w:fill="auto"/>
            <w:vAlign w:val="center"/>
          </w:tcPr>
          <w:p>
            <w:pPr>
              <w:pStyle w:val="64"/>
              <w:rPr>
                <w:rFonts w:hAnsi="宋体"/>
                <w:highlight w:val="none"/>
              </w:rPr>
            </w:pPr>
            <w:r>
              <w:rPr>
                <w:rFonts w:hAnsi="宋体"/>
                <w:spacing w:val="1"/>
                <w:highlight w:val="none"/>
              </w:rPr>
              <w:t>0.</w:t>
            </w:r>
            <w:r>
              <w:rPr>
                <w:rFonts w:hint="eastAsia" w:hAnsi="宋体"/>
                <w:spacing w:val="1"/>
                <w:highlight w:val="none"/>
              </w:rPr>
              <w:t>492</w:t>
            </w:r>
          </w:p>
        </w:tc>
        <w:tc>
          <w:tcPr>
            <w:tcW w:w="983" w:type="dxa"/>
            <w:vAlign w:val="center"/>
          </w:tcPr>
          <w:p>
            <w:pPr>
              <w:pStyle w:val="64"/>
              <w:rPr>
                <w:rFonts w:hAnsi="宋体"/>
                <w:bCs/>
                <w:highlight w:val="none"/>
              </w:rPr>
            </w:pPr>
            <w:r>
              <w:rPr>
                <w:rFonts w:hAnsi="宋体"/>
                <w:highlight w:val="none"/>
              </w:rPr>
              <w:t>--</w:t>
            </w:r>
          </w:p>
        </w:tc>
        <w:tc>
          <w:tcPr>
            <w:tcW w:w="2171" w:type="dxa"/>
            <w:vMerge w:val="continue"/>
            <w:shd w:val="clear" w:color="auto" w:fill="auto"/>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bCs/>
                <w:highlight w:val="none"/>
              </w:rPr>
            </w:pPr>
            <w:r>
              <w:rPr>
                <w:rFonts w:hAnsi="宋体"/>
                <w:spacing w:val="-1"/>
                <w:highlight w:val="none"/>
              </w:rPr>
              <w:t>破</w:t>
            </w:r>
            <w:r>
              <w:rPr>
                <w:rFonts w:hAnsi="宋体"/>
                <w:highlight w:val="none"/>
              </w:rPr>
              <w:t>碎</w:t>
            </w:r>
            <w:r>
              <w:rPr>
                <w:rFonts w:hAnsi="宋体"/>
                <w:spacing w:val="2"/>
                <w:highlight w:val="none"/>
              </w:rPr>
              <w:t>机</w:t>
            </w:r>
            <w:r>
              <w:rPr>
                <w:rFonts w:hAnsi="宋体"/>
                <w:spacing w:val="-74"/>
                <w:highlight w:val="none"/>
              </w:rPr>
              <w:t>、</w:t>
            </w:r>
            <w:r>
              <w:rPr>
                <w:rFonts w:hAnsi="宋体"/>
                <w:spacing w:val="-1"/>
                <w:highlight w:val="none"/>
              </w:rPr>
              <w:t>干</w:t>
            </w:r>
            <w:r>
              <w:rPr>
                <w:rFonts w:hAnsi="宋体"/>
                <w:highlight w:val="none"/>
              </w:rPr>
              <w:t>选机</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spacing w:val="-1"/>
                <w:highlight w:val="none"/>
              </w:rPr>
              <w:t>产</w:t>
            </w:r>
            <w:r>
              <w:rPr>
                <w:rFonts w:hAnsi="宋体"/>
                <w:spacing w:val="2"/>
                <w:highlight w:val="none"/>
              </w:rPr>
              <w:t>尘点</w:t>
            </w:r>
            <w:r>
              <w:rPr>
                <w:rFonts w:hAnsi="宋体"/>
                <w:highlight w:val="none"/>
              </w:rPr>
              <w:t>、</w:t>
            </w:r>
            <w:r>
              <w:rPr>
                <w:rFonts w:hAnsi="宋体"/>
                <w:spacing w:val="-1"/>
                <w:w w:val="95"/>
                <w:highlight w:val="none"/>
              </w:rPr>
              <w:t>皮</w:t>
            </w:r>
            <w:r>
              <w:rPr>
                <w:rFonts w:hAnsi="宋体"/>
                <w:spacing w:val="1"/>
                <w:w w:val="95"/>
                <w:highlight w:val="none"/>
              </w:rPr>
              <w:t>带</w:t>
            </w:r>
            <w:r>
              <w:rPr>
                <w:rFonts w:hAnsi="宋体"/>
                <w:w w:val="95"/>
                <w:highlight w:val="none"/>
              </w:rPr>
              <w:t>机</w:t>
            </w:r>
            <w:r>
              <w:rPr>
                <w:rFonts w:hAnsi="宋体"/>
                <w:spacing w:val="-1"/>
                <w:w w:val="95"/>
                <w:highlight w:val="none"/>
              </w:rPr>
              <w:t>落</w:t>
            </w:r>
            <w:r>
              <w:rPr>
                <w:rFonts w:hAnsi="宋体"/>
                <w:spacing w:val="1"/>
                <w:w w:val="95"/>
                <w:highlight w:val="none"/>
              </w:rPr>
              <w:t>料</w:t>
            </w:r>
            <w:r>
              <w:rPr>
                <w:rFonts w:hAnsi="宋体"/>
                <w:w w:val="95"/>
                <w:highlight w:val="none"/>
              </w:rPr>
              <w:t>处</w:t>
            </w:r>
            <w:r>
              <w:rPr>
                <w:rFonts w:hAnsi="宋体"/>
                <w:spacing w:val="-1"/>
                <w:highlight w:val="none"/>
              </w:rPr>
              <w:t>分</w:t>
            </w:r>
            <w:r>
              <w:rPr>
                <w:rFonts w:hAnsi="宋体"/>
                <w:spacing w:val="2"/>
                <w:highlight w:val="none"/>
              </w:rPr>
              <w:t>别</w:t>
            </w:r>
            <w:r>
              <w:rPr>
                <w:rFonts w:hint="eastAsia" w:hAnsi="宋体"/>
                <w:spacing w:val="2"/>
                <w:highlight w:val="none"/>
              </w:rPr>
              <w:t>安装</w:t>
            </w:r>
            <w:r>
              <w:rPr>
                <w:rFonts w:hAnsi="宋体"/>
                <w:highlight w:val="none"/>
              </w:rPr>
              <w:t>集</w:t>
            </w:r>
            <w:r>
              <w:rPr>
                <w:rFonts w:hAnsi="宋体"/>
                <w:spacing w:val="-1"/>
                <w:w w:val="95"/>
                <w:highlight w:val="none"/>
              </w:rPr>
              <w:t>气</w:t>
            </w:r>
            <w:r>
              <w:rPr>
                <w:rFonts w:hint="eastAsia" w:hAnsi="宋体"/>
                <w:spacing w:val="-1"/>
                <w:w w:val="95"/>
                <w:highlight w:val="none"/>
              </w:rPr>
              <w:t>罩，通过管道将上述废气引入同一台</w:t>
            </w:r>
            <w:r>
              <w:rPr>
                <w:rFonts w:hAnsi="宋体"/>
                <w:spacing w:val="-1"/>
                <w:w w:val="95"/>
                <w:highlight w:val="none"/>
              </w:rPr>
              <w:t>布</w:t>
            </w:r>
            <w:r>
              <w:rPr>
                <w:rFonts w:hAnsi="宋体"/>
                <w:w w:val="95"/>
                <w:highlight w:val="none"/>
              </w:rPr>
              <w:t>袋</w:t>
            </w:r>
            <w:r>
              <w:rPr>
                <w:rFonts w:hAnsi="宋体"/>
                <w:spacing w:val="-1"/>
                <w:highlight w:val="none"/>
              </w:rPr>
              <w:t>除</w:t>
            </w:r>
            <w:r>
              <w:rPr>
                <w:rFonts w:hAnsi="宋体"/>
                <w:spacing w:val="2"/>
                <w:highlight w:val="none"/>
              </w:rPr>
              <w:t>尘</w:t>
            </w:r>
            <w:r>
              <w:rPr>
                <w:rFonts w:hAnsi="宋体"/>
                <w:highlight w:val="none"/>
              </w:rPr>
              <w:t>器</w:t>
            </w:r>
          </w:p>
        </w:tc>
        <w:tc>
          <w:tcPr>
            <w:tcW w:w="1111" w:type="dxa"/>
            <w:shd w:val="clear" w:color="auto" w:fill="auto"/>
            <w:vAlign w:val="center"/>
          </w:tcPr>
          <w:p>
            <w:pPr>
              <w:pStyle w:val="64"/>
              <w:rPr>
                <w:rFonts w:hAnsi="宋体"/>
                <w:highlight w:val="none"/>
              </w:rPr>
            </w:pPr>
            <w:r>
              <w:rPr>
                <w:rFonts w:hint="eastAsia" w:hAnsi="宋体"/>
                <w:highlight w:val="none"/>
              </w:rPr>
              <w:t>10.0</w:t>
            </w:r>
          </w:p>
        </w:tc>
        <w:tc>
          <w:tcPr>
            <w:tcW w:w="952" w:type="dxa"/>
            <w:shd w:val="clear" w:color="auto" w:fill="auto"/>
            <w:vAlign w:val="center"/>
          </w:tcPr>
          <w:p>
            <w:pPr>
              <w:pStyle w:val="64"/>
              <w:rPr>
                <w:rFonts w:hAnsi="宋体"/>
                <w:highlight w:val="none"/>
              </w:rPr>
            </w:pPr>
            <w:r>
              <w:rPr>
                <w:rFonts w:hAnsi="宋体"/>
                <w:spacing w:val="1"/>
                <w:highlight w:val="none"/>
              </w:rPr>
              <w:t>2.808</w:t>
            </w:r>
          </w:p>
        </w:tc>
        <w:tc>
          <w:tcPr>
            <w:tcW w:w="983" w:type="dxa"/>
            <w:vAlign w:val="center"/>
          </w:tcPr>
          <w:p>
            <w:pPr>
              <w:pStyle w:val="64"/>
              <w:rPr>
                <w:rFonts w:hAnsi="宋体"/>
                <w:bCs/>
                <w:highlight w:val="none"/>
              </w:rPr>
            </w:pPr>
            <w:r>
              <w:rPr>
                <w:rFonts w:hint="eastAsia" w:hAnsi="宋体"/>
                <w:bCs/>
                <w:highlight w:val="none"/>
              </w:rPr>
              <w:t>DA001</w:t>
            </w:r>
          </w:p>
        </w:tc>
        <w:tc>
          <w:tcPr>
            <w:tcW w:w="2171" w:type="dxa"/>
            <w:vMerge w:val="continue"/>
            <w:shd w:val="clear" w:color="auto" w:fill="auto"/>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spacing w:val="-1"/>
                <w:highlight w:val="none"/>
              </w:rPr>
              <w:t>输</w:t>
            </w:r>
            <w:r>
              <w:rPr>
                <w:rFonts w:hAnsi="宋体"/>
                <w:highlight w:val="none"/>
              </w:rPr>
              <w:t>送</w:t>
            </w:r>
            <w:r>
              <w:rPr>
                <w:rFonts w:hAnsi="宋体"/>
                <w:spacing w:val="-1"/>
                <w:highlight w:val="none"/>
              </w:rPr>
              <w:t>皮</w:t>
            </w:r>
            <w:r>
              <w:rPr>
                <w:rFonts w:hAnsi="宋体"/>
                <w:highlight w:val="none"/>
              </w:rPr>
              <w:t>带</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spacing w:val="-1"/>
                <w:highlight w:val="none"/>
              </w:rPr>
              <w:t>全</w:t>
            </w:r>
            <w:r>
              <w:rPr>
                <w:rFonts w:hAnsi="宋体"/>
                <w:spacing w:val="2"/>
                <w:highlight w:val="none"/>
              </w:rPr>
              <w:t>封</w:t>
            </w:r>
            <w:r>
              <w:rPr>
                <w:rFonts w:hAnsi="宋体"/>
                <w:highlight w:val="none"/>
              </w:rPr>
              <w:t>闭</w:t>
            </w:r>
            <w:r>
              <w:rPr>
                <w:rFonts w:hAnsi="宋体"/>
                <w:spacing w:val="-1"/>
                <w:highlight w:val="none"/>
              </w:rPr>
              <w:t>皮</w:t>
            </w:r>
            <w:r>
              <w:rPr>
                <w:rFonts w:hAnsi="宋体"/>
                <w:spacing w:val="2"/>
                <w:highlight w:val="none"/>
              </w:rPr>
              <w:t>带</w:t>
            </w:r>
            <w:r>
              <w:rPr>
                <w:rFonts w:hAnsi="宋体"/>
                <w:highlight w:val="none"/>
              </w:rPr>
              <w:t>通</w:t>
            </w:r>
            <w:r>
              <w:rPr>
                <w:rFonts w:hAnsi="宋体"/>
                <w:spacing w:val="1"/>
                <w:w w:val="95"/>
                <w:highlight w:val="none"/>
              </w:rPr>
              <w:t>廊</w:t>
            </w:r>
          </w:p>
        </w:tc>
        <w:tc>
          <w:tcPr>
            <w:tcW w:w="1111" w:type="dxa"/>
            <w:shd w:val="clear" w:color="auto" w:fill="auto"/>
            <w:vAlign w:val="center"/>
          </w:tcPr>
          <w:p>
            <w:pPr>
              <w:pStyle w:val="64"/>
              <w:rPr>
                <w:rFonts w:hAnsi="宋体"/>
                <w:highlight w:val="none"/>
              </w:rPr>
            </w:pPr>
            <w:r>
              <w:rPr>
                <w:rFonts w:hAnsi="宋体"/>
                <w:highlight w:val="none"/>
              </w:rPr>
              <w:t>--</w:t>
            </w:r>
          </w:p>
        </w:tc>
        <w:tc>
          <w:tcPr>
            <w:tcW w:w="952" w:type="dxa"/>
            <w:shd w:val="clear" w:color="auto" w:fill="auto"/>
            <w:vAlign w:val="center"/>
          </w:tcPr>
          <w:p>
            <w:pPr>
              <w:pStyle w:val="64"/>
              <w:rPr>
                <w:rFonts w:hAnsi="宋体"/>
                <w:highlight w:val="none"/>
              </w:rPr>
            </w:pPr>
            <w:r>
              <w:rPr>
                <w:rFonts w:hAnsi="宋体"/>
                <w:highlight w:val="none"/>
              </w:rPr>
              <w:t>/</w:t>
            </w:r>
          </w:p>
        </w:tc>
        <w:tc>
          <w:tcPr>
            <w:tcW w:w="983" w:type="dxa"/>
            <w:vAlign w:val="center"/>
          </w:tcPr>
          <w:p>
            <w:pPr>
              <w:pStyle w:val="64"/>
              <w:rPr>
                <w:rFonts w:hAnsi="宋体"/>
                <w:bCs/>
                <w:highlight w:val="none"/>
              </w:rPr>
            </w:pPr>
            <w:r>
              <w:rPr>
                <w:rFonts w:hAnsi="宋体"/>
                <w:highlight w:val="none"/>
              </w:rPr>
              <w:t>--</w:t>
            </w:r>
          </w:p>
        </w:tc>
        <w:tc>
          <w:tcPr>
            <w:tcW w:w="2171" w:type="dxa"/>
            <w:vMerge w:val="continue"/>
            <w:shd w:val="clear" w:color="auto" w:fill="auto"/>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spacing w:val="-1"/>
                <w:highlight w:val="none"/>
              </w:rPr>
              <w:t>道</w:t>
            </w:r>
            <w:r>
              <w:rPr>
                <w:rFonts w:hAnsi="宋体"/>
                <w:highlight w:val="none"/>
              </w:rPr>
              <w:t>路</w:t>
            </w:r>
            <w:r>
              <w:rPr>
                <w:rFonts w:hAnsi="宋体"/>
                <w:spacing w:val="-1"/>
                <w:highlight w:val="none"/>
              </w:rPr>
              <w:t>扬</w:t>
            </w:r>
            <w:r>
              <w:rPr>
                <w:rFonts w:hAnsi="宋体"/>
                <w:highlight w:val="none"/>
              </w:rPr>
              <w:t>尘</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spacing w:val="-1"/>
                <w:highlight w:val="none"/>
              </w:rPr>
              <w:t>道路硬化、洒水抑尘</w:t>
            </w:r>
          </w:p>
        </w:tc>
        <w:tc>
          <w:tcPr>
            <w:tcW w:w="1111" w:type="dxa"/>
            <w:shd w:val="clear" w:color="auto" w:fill="auto"/>
            <w:vAlign w:val="center"/>
          </w:tcPr>
          <w:p>
            <w:pPr>
              <w:pStyle w:val="64"/>
              <w:rPr>
                <w:rFonts w:hAnsi="宋体"/>
                <w:highlight w:val="none"/>
              </w:rPr>
            </w:pPr>
            <w:r>
              <w:rPr>
                <w:rFonts w:hAnsi="宋体"/>
                <w:highlight w:val="none"/>
              </w:rPr>
              <w:t>--</w:t>
            </w:r>
          </w:p>
        </w:tc>
        <w:tc>
          <w:tcPr>
            <w:tcW w:w="952" w:type="dxa"/>
            <w:shd w:val="clear" w:color="auto" w:fill="auto"/>
            <w:vAlign w:val="center"/>
          </w:tcPr>
          <w:p>
            <w:pPr>
              <w:pStyle w:val="64"/>
              <w:rPr>
                <w:rFonts w:hAnsi="宋体"/>
                <w:highlight w:val="none"/>
              </w:rPr>
            </w:pPr>
            <w:r>
              <w:rPr>
                <w:rFonts w:hint="eastAsia" w:hAnsi="宋体"/>
                <w:spacing w:val="1"/>
                <w:highlight w:val="none"/>
              </w:rPr>
              <w:t>0.762</w:t>
            </w:r>
          </w:p>
        </w:tc>
        <w:tc>
          <w:tcPr>
            <w:tcW w:w="983" w:type="dxa"/>
            <w:vAlign w:val="center"/>
          </w:tcPr>
          <w:p>
            <w:pPr>
              <w:pStyle w:val="64"/>
              <w:rPr>
                <w:rFonts w:hAnsi="宋体"/>
                <w:highlight w:val="none"/>
              </w:rPr>
            </w:pPr>
            <w:r>
              <w:rPr>
                <w:rFonts w:hAnsi="宋体"/>
                <w:bCs/>
                <w:highlight w:val="none"/>
              </w:rPr>
              <w:t>--</w:t>
            </w:r>
          </w:p>
        </w:tc>
        <w:tc>
          <w:tcPr>
            <w:tcW w:w="2171" w:type="dxa"/>
            <w:vMerge w:val="continue"/>
            <w:shd w:val="clear" w:color="auto" w:fill="auto"/>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spacing w:val="-1"/>
                <w:highlight w:val="none"/>
              </w:rPr>
              <w:t>尾矿库</w:t>
            </w:r>
          </w:p>
        </w:tc>
        <w:tc>
          <w:tcPr>
            <w:tcW w:w="1174" w:type="dxa"/>
            <w:vAlign w:val="center"/>
          </w:tcPr>
          <w:p>
            <w:pPr>
              <w:pStyle w:val="64"/>
              <w:rPr>
                <w:rFonts w:hAnsi="宋体"/>
                <w:highlight w:val="none"/>
              </w:rPr>
            </w:pPr>
            <w:r>
              <w:rPr>
                <w:rFonts w:hAnsi="宋体"/>
                <w:highlight w:val="none"/>
              </w:rPr>
              <w:t>颗粒物</w:t>
            </w:r>
          </w:p>
        </w:tc>
        <w:tc>
          <w:tcPr>
            <w:tcW w:w="5715" w:type="dxa"/>
            <w:gridSpan w:val="2"/>
            <w:vAlign w:val="center"/>
          </w:tcPr>
          <w:p>
            <w:pPr>
              <w:pStyle w:val="64"/>
              <w:rPr>
                <w:rFonts w:hAnsi="宋体"/>
                <w:highlight w:val="none"/>
              </w:rPr>
            </w:pPr>
            <w:r>
              <w:rPr>
                <w:rFonts w:hAnsi="宋体"/>
                <w:spacing w:val="-1"/>
                <w:highlight w:val="none"/>
              </w:rPr>
              <w:t>洒</w:t>
            </w:r>
            <w:r>
              <w:rPr>
                <w:rFonts w:hAnsi="宋体"/>
                <w:spacing w:val="2"/>
                <w:highlight w:val="none"/>
              </w:rPr>
              <w:t>水</w:t>
            </w:r>
            <w:r>
              <w:rPr>
                <w:rFonts w:hAnsi="宋体"/>
                <w:highlight w:val="none"/>
              </w:rPr>
              <w:t>抑</w:t>
            </w:r>
            <w:r>
              <w:rPr>
                <w:rFonts w:hAnsi="宋体"/>
                <w:spacing w:val="1"/>
                <w:w w:val="95"/>
                <w:highlight w:val="none"/>
              </w:rPr>
              <w:t>尘</w:t>
            </w:r>
            <w:r>
              <w:rPr>
                <w:rFonts w:hAnsi="宋体"/>
                <w:spacing w:val="-1"/>
                <w:w w:val="95"/>
                <w:highlight w:val="none"/>
              </w:rPr>
              <w:t>及</w:t>
            </w:r>
            <w:r>
              <w:rPr>
                <w:rFonts w:hAnsi="宋体"/>
                <w:w w:val="95"/>
                <w:highlight w:val="none"/>
              </w:rPr>
              <w:t>时</w:t>
            </w:r>
            <w:r>
              <w:rPr>
                <w:rFonts w:hAnsi="宋体"/>
                <w:spacing w:val="-1"/>
                <w:highlight w:val="none"/>
              </w:rPr>
              <w:t>覆</w:t>
            </w:r>
            <w:r>
              <w:rPr>
                <w:rFonts w:hAnsi="宋体"/>
                <w:spacing w:val="2"/>
                <w:highlight w:val="none"/>
              </w:rPr>
              <w:t>土</w:t>
            </w:r>
            <w:r>
              <w:rPr>
                <w:rFonts w:hAnsi="宋体"/>
                <w:highlight w:val="none"/>
              </w:rPr>
              <w:t>压实</w:t>
            </w:r>
          </w:p>
        </w:tc>
        <w:tc>
          <w:tcPr>
            <w:tcW w:w="1111" w:type="dxa"/>
            <w:shd w:val="clear" w:color="auto" w:fill="auto"/>
            <w:vAlign w:val="center"/>
          </w:tcPr>
          <w:p>
            <w:pPr>
              <w:pStyle w:val="64"/>
              <w:rPr>
                <w:rFonts w:hAnsi="宋体"/>
                <w:highlight w:val="none"/>
              </w:rPr>
            </w:pPr>
            <w:r>
              <w:rPr>
                <w:rFonts w:hAnsi="宋体"/>
                <w:highlight w:val="none"/>
              </w:rPr>
              <w:t>--</w:t>
            </w:r>
          </w:p>
        </w:tc>
        <w:tc>
          <w:tcPr>
            <w:tcW w:w="952" w:type="dxa"/>
            <w:shd w:val="clear" w:color="auto" w:fill="auto"/>
            <w:vAlign w:val="center"/>
          </w:tcPr>
          <w:p>
            <w:pPr>
              <w:pStyle w:val="64"/>
              <w:rPr>
                <w:rFonts w:hAnsi="宋体"/>
                <w:highlight w:val="none"/>
              </w:rPr>
            </w:pPr>
            <w:r>
              <w:rPr>
                <w:rFonts w:hAnsi="宋体"/>
                <w:spacing w:val="1"/>
                <w:highlight w:val="none"/>
              </w:rPr>
              <w:t>0.</w:t>
            </w:r>
            <w:r>
              <w:rPr>
                <w:rFonts w:hint="eastAsia" w:hAnsi="宋体"/>
                <w:spacing w:val="1"/>
                <w:highlight w:val="none"/>
              </w:rPr>
              <w:t>078</w:t>
            </w:r>
          </w:p>
        </w:tc>
        <w:tc>
          <w:tcPr>
            <w:tcW w:w="983" w:type="dxa"/>
            <w:vAlign w:val="center"/>
          </w:tcPr>
          <w:p>
            <w:pPr>
              <w:pStyle w:val="64"/>
              <w:rPr>
                <w:rFonts w:hAnsi="宋体"/>
                <w:highlight w:val="none"/>
              </w:rPr>
            </w:pPr>
            <w:r>
              <w:rPr>
                <w:rFonts w:hAnsi="宋体"/>
                <w:bCs/>
                <w:highlight w:val="none"/>
              </w:rPr>
              <w:t>--</w:t>
            </w:r>
          </w:p>
        </w:tc>
        <w:tc>
          <w:tcPr>
            <w:tcW w:w="2171" w:type="dxa"/>
            <w:vMerge w:val="continue"/>
            <w:shd w:val="clear" w:color="auto" w:fill="auto"/>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pStyle w:val="64"/>
              <w:rPr>
                <w:rFonts w:hAnsi="宋体"/>
                <w:highlight w:val="none"/>
              </w:rPr>
            </w:pPr>
            <w:r>
              <w:rPr>
                <w:rFonts w:hAnsi="宋体"/>
                <w:highlight w:val="none"/>
              </w:rPr>
              <w:t>废水</w:t>
            </w:r>
          </w:p>
        </w:tc>
        <w:tc>
          <w:tcPr>
            <w:tcW w:w="1348" w:type="dxa"/>
            <w:gridSpan w:val="3"/>
            <w:vAlign w:val="center"/>
          </w:tcPr>
          <w:p>
            <w:pPr>
              <w:pStyle w:val="64"/>
              <w:rPr>
                <w:rFonts w:hAnsi="宋体"/>
                <w:highlight w:val="none"/>
              </w:rPr>
            </w:pPr>
            <w:r>
              <w:rPr>
                <w:rFonts w:hAnsi="宋体"/>
                <w:highlight w:val="none"/>
              </w:rPr>
              <w:t>污染源</w:t>
            </w:r>
          </w:p>
        </w:tc>
        <w:tc>
          <w:tcPr>
            <w:tcW w:w="1174" w:type="dxa"/>
            <w:vAlign w:val="center"/>
          </w:tcPr>
          <w:p>
            <w:pPr>
              <w:pStyle w:val="64"/>
              <w:rPr>
                <w:rFonts w:hAnsi="宋体"/>
                <w:highlight w:val="none"/>
              </w:rPr>
            </w:pPr>
            <w:r>
              <w:rPr>
                <w:rFonts w:hAnsi="宋体"/>
                <w:highlight w:val="none"/>
              </w:rPr>
              <w:t>污染物</w:t>
            </w:r>
          </w:p>
        </w:tc>
        <w:tc>
          <w:tcPr>
            <w:tcW w:w="5715" w:type="dxa"/>
            <w:gridSpan w:val="2"/>
            <w:vAlign w:val="center"/>
          </w:tcPr>
          <w:p>
            <w:pPr>
              <w:pStyle w:val="64"/>
              <w:rPr>
                <w:rFonts w:hAnsi="宋体"/>
                <w:highlight w:val="none"/>
              </w:rPr>
            </w:pPr>
            <w:r>
              <w:rPr>
                <w:rFonts w:hAnsi="宋体"/>
                <w:highlight w:val="none"/>
              </w:rPr>
              <w:t>治理措施</w:t>
            </w:r>
          </w:p>
        </w:tc>
        <w:tc>
          <w:tcPr>
            <w:tcW w:w="2063" w:type="dxa"/>
            <w:gridSpan w:val="2"/>
            <w:shd w:val="clear" w:color="auto" w:fill="auto"/>
            <w:vAlign w:val="center"/>
          </w:tcPr>
          <w:p>
            <w:pPr>
              <w:pStyle w:val="64"/>
              <w:rPr>
                <w:rFonts w:hAnsi="宋体"/>
                <w:highlight w:val="none"/>
              </w:rPr>
            </w:pPr>
            <w:r>
              <w:rPr>
                <w:rFonts w:hAnsi="宋体"/>
                <w:highlight w:val="none"/>
              </w:rPr>
              <w:t>产生量（t/a）</w:t>
            </w:r>
          </w:p>
        </w:tc>
        <w:tc>
          <w:tcPr>
            <w:tcW w:w="983" w:type="dxa"/>
            <w:vAlign w:val="center"/>
          </w:tcPr>
          <w:p>
            <w:pPr>
              <w:pStyle w:val="64"/>
              <w:rPr>
                <w:rFonts w:hAnsi="宋体"/>
                <w:highlight w:val="none"/>
              </w:rPr>
            </w:pPr>
            <w:r>
              <w:rPr>
                <w:rFonts w:hAnsi="宋体"/>
                <w:highlight w:val="none"/>
              </w:rPr>
              <w:t>排放口</w:t>
            </w:r>
          </w:p>
        </w:tc>
        <w:tc>
          <w:tcPr>
            <w:tcW w:w="2171" w:type="dxa"/>
            <w:shd w:val="clear" w:color="auto" w:fill="auto"/>
            <w:vAlign w:val="center"/>
          </w:tcPr>
          <w:p>
            <w:pPr>
              <w:pStyle w:val="64"/>
              <w:rPr>
                <w:rFonts w:hAnsi="宋体"/>
                <w:highlight w:val="none"/>
              </w:rPr>
            </w:pPr>
            <w:r>
              <w:rPr>
                <w:rFonts w:hAnsi="宋体"/>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生活污水</w:t>
            </w:r>
          </w:p>
        </w:tc>
        <w:tc>
          <w:tcPr>
            <w:tcW w:w="1174" w:type="dxa"/>
            <w:vAlign w:val="center"/>
          </w:tcPr>
          <w:p>
            <w:pPr>
              <w:pStyle w:val="64"/>
              <w:rPr>
                <w:rFonts w:hAnsi="宋体"/>
                <w:highlight w:val="none"/>
              </w:rPr>
            </w:pPr>
            <w:r>
              <w:rPr>
                <w:rFonts w:hAnsi="宋体"/>
                <w:highlight w:val="none"/>
              </w:rPr>
              <w:t>COD、BOD</w:t>
            </w:r>
            <w:r>
              <w:rPr>
                <w:rFonts w:hAnsi="宋体"/>
                <w:highlight w:val="none"/>
                <w:vertAlign w:val="subscript"/>
              </w:rPr>
              <w:t>5</w:t>
            </w:r>
            <w:r>
              <w:rPr>
                <w:rFonts w:hAnsi="宋体"/>
                <w:highlight w:val="none"/>
              </w:rPr>
              <w:t>、SS</w:t>
            </w:r>
          </w:p>
        </w:tc>
        <w:tc>
          <w:tcPr>
            <w:tcW w:w="5715" w:type="dxa"/>
            <w:gridSpan w:val="2"/>
            <w:vAlign w:val="center"/>
          </w:tcPr>
          <w:p>
            <w:pPr>
              <w:pStyle w:val="64"/>
              <w:rPr>
                <w:rFonts w:hAnsi="宋体" w:cs="宋体"/>
                <w:szCs w:val="21"/>
                <w:highlight w:val="none"/>
              </w:rPr>
            </w:pPr>
            <w:r>
              <w:rPr>
                <w:rFonts w:hint="eastAsia" w:hAnsi="宋体"/>
                <w:szCs w:val="20"/>
                <w:highlight w:val="none"/>
              </w:rPr>
              <w:t>本项目生活污水、食堂废水经隔油池后排入1座2m</w:t>
            </w:r>
            <w:r>
              <w:rPr>
                <w:rFonts w:hint="eastAsia" w:hAnsi="宋体"/>
                <w:szCs w:val="20"/>
                <w:highlight w:val="none"/>
                <w:vertAlign w:val="superscript"/>
              </w:rPr>
              <w:t>3</w:t>
            </w:r>
            <w:r>
              <w:rPr>
                <w:rFonts w:hint="eastAsia" w:hAnsi="宋体"/>
                <w:szCs w:val="20"/>
                <w:highlight w:val="none"/>
              </w:rPr>
              <w:t>的沉淀池，用于场地洒水或绿化。本项目使用旱厕，定期由附近农户清掏用作农肥。</w:t>
            </w:r>
          </w:p>
        </w:tc>
        <w:tc>
          <w:tcPr>
            <w:tcW w:w="2063" w:type="dxa"/>
            <w:gridSpan w:val="2"/>
            <w:shd w:val="clear" w:color="auto" w:fill="auto"/>
            <w:vAlign w:val="center"/>
          </w:tcPr>
          <w:p>
            <w:pPr>
              <w:pStyle w:val="64"/>
              <w:rPr>
                <w:rFonts w:hAnsi="宋体"/>
                <w:highlight w:val="none"/>
              </w:rPr>
            </w:pPr>
            <w:r>
              <w:rPr>
                <w:rFonts w:hint="eastAsia" w:hAnsi="宋体"/>
                <w:highlight w:val="none"/>
              </w:rPr>
              <w:t>216</w:t>
            </w:r>
          </w:p>
        </w:tc>
        <w:tc>
          <w:tcPr>
            <w:tcW w:w="983" w:type="dxa"/>
            <w:vAlign w:val="center"/>
          </w:tcPr>
          <w:p>
            <w:pPr>
              <w:pStyle w:val="64"/>
              <w:rPr>
                <w:rFonts w:hAnsi="宋体"/>
                <w:highlight w:val="none"/>
              </w:rPr>
            </w:pPr>
            <w:r>
              <w:rPr>
                <w:rFonts w:hAnsi="宋体"/>
                <w:highlight w:val="none"/>
              </w:rPr>
              <w:t>--</w:t>
            </w:r>
          </w:p>
        </w:tc>
        <w:tc>
          <w:tcPr>
            <w:tcW w:w="2171" w:type="dxa"/>
            <w:shd w:val="clear" w:color="auto" w:fill="auto"/>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cs="宋体"/>
                <w:spacing w:val="-1"/>
                <w:szCs w:val="21"/>
                <w:highlight w:val="none"/>
              </w:rPr>
              <w:t>初</w:t>
            </w:r>
            <w:r>
              <w:rPr>
                <w:rFonts w:hAnsi="宋体" w:cs="宋体"/>
                <w:spacing w:val="2"/>
                <w:szCs w:val="21"/>
                <w:highlight w:val="none"/>
              </w:rPr>
              <w:t>期</w:t>
            </w:r>
            <w:r>
              <w:rPr>
                <w:rFonts w:hAnsi="宋体" w:cs="宋体"/>
                <w:spacing w:val="-1"/>
                <w:szCs w:val="21"/>
                <w:highlight w:val="none"/>
              </w:rPr>
              <w:t>雨</w:t>
            </w:r>
            <w:r>
              <w:rPr>
                <w:rFonts w:hAnsi="宋体" w:cs="宋体"/>
                <w:szCs w:val="21"/>
                <w:highlight w:val="none"/>
              </w:rPr>
              <w:t>水</w:t>
            </w:r>
          </w:p>
        </w:tc>
        <w:tc>
          <w:tcPr>
            <w:tcW w:w="1174" w:type="dxa"/>
            <w:vAlign w:val="center"/>
          </w:tcPr>
          <w:p>
            <w:pPr>
              <w:pStyle w:val="64"/>
              <w:rPr>
                <w:rFonts w:hAnsi="宋体"/>
                <w:highlight w:val="none"/>
              </w:rPr>
            </w:pPr>
            <w:r>
              <w:rPr>
                <w:rFonts w:hAnsi="宋体"/>
                <w:highlight w:val="none"/>
              </w:rPr>
              <w:t>SS</w:t>
            </w:r>
          </w:p>
        </w:tc>
        <w:tc>
          <w:tcPr>
            <w:tcW w:w="5715" w:type="dxa"/>
            <w:gridSpan w:val="2"/>
            <w:vAlign w:val="center"/>
          </w:tcPr>
          <w:p>
            <w:pPr>
              <w:pStyle w:val="64"/>
              <w:rPr>
                <w:rFonts w:hAnsi="宋体" w:cs="宋体"/>
                <w:szCs w:val="21"/>
                <w:highlight w:val="none"/>
              </w:rPr>
            </w:pPr>
            <w:r>
              <w:rPr>
                <w:rFonts w:hAnsi="宋体"/>
                <w:highlight w:val="none"/>
              </w:rPr>
              <w:t>厂区东北部较低处设</w:t>
            </w:r>
            <w:r>
              <w:rPr>
                <w:rFonts w:hAnsi="宋体" w:cs="hakuyoxingshu7000"/>
                <w:highlight w:val="none"/>
              </w:rPr>
              <w:t>1</w:t>
            </w:r>
            <w:r>
              <w:rPr>
                <w:rFonts w:hAnsi="宋体"/>
                <w:highlight w:val="none"/>
              </w:rPr>
              <w:t>座</w:t>
            </w:r>
            <w:r>
              <w:rPr>
                <w:rFonts w:hint="eastAsia" w:hAnsi="宋体" w:cs="hakuyoxingshu7000"/>
                <w:highlight w:val="none"/>
              </w:rPr>
              <w:t>160</w:t>
            </w:r>
            <w:r>
              <w:rPr>
                <w:rFonts w:hAnsi="宋体" w:cs="hakuyoxingshu7000"/>
                <w:highlight w:val="none"/>
              </w:rPr>
              <w:t>m</w:t>
            </w:r>
            <w:r>
              <w:rPr>
                <w:rFonts w:hAnsi="宋体" w:cs="hakuyoxingshu7000"/>
                <w:position w:val="8"/>
                <w:sz w:val="15"/>
                <w:szCs w:val="15"/>
                <w:highlight w:val="none"/>
              </w:rPr>
              <w:t>3</w:t>
            </w:r>
            <w:r>
              <w:rPr>
                <w:rFonts w:hAnsi="宋体"/>
                <w:highlight w:val="none"/>
              </w:rPr>
              <w:t>初期雨水收集</w:t>
            </w:r>
            <w:r>
              <w:rPr>
                <w:rFonts w:hAnsi="宋体"/>
                <w:spacing w:val="2"/>
                <w:highlight w:val="none"/>
              </w:rPr>
              <w:t>池</w:t>
            </w:r>
            <w:r>
              <w:rPr>
                <w:rFonts w:hAnsi="宋体"/>
                <w:spacing w:val="-51"/>
                <w:highlight w:val="none"/>
              </w:rPr>
              <w:t>，</w:t>
            </w:r>
            <w:r>
              <w:rPr>
                <w:rFonts w:hAnsi="宋体"/>
                <w:highlight w:val="none"/>
              </w:rPr>
              <w:t>收集后的雨水经沉淀</w:t>
            </w:r>
            <w:r>
              <w:rPr>
                <w:rFonts w:hAnsi="宋体"/>
                <w:spacing w:val="2"/>
                <w:highlight w:val="none"/>
              </w:rPr>
              <w:t>后</w:t>
            </w:r>
            <w:r>
              <w:rPr>
                <w:rFonts w:hAnsi="宋体"/>
                <w:spacing w:val="-51"/>
                <w:highlight w:val="none"/>
              </w:rPr>
              <w:t>，</w:t>
            </w:r>
            <w:r>
              <w:rPr>
                <w:rFonts w:hAnsi="宋体"/>
                <w:highlight w:val="none"/>
              </w:rPr>
              <w:t>可以用于</w:t>
            </w:r>
            <w:r>
              <w:rPr>
                <w:rFonts w:hint="eastAsia" w:hAnsi="宋体"/>
                <w:highlight w:val="none"/>
              </w:rPr>
              <w:t>原料库洒水抑尘</w:t>
            </w:r>
            <w:r>
              <w:rPr>
                <w:rFonts w:hAnsi="宋体"/>
                <w:highlight w:val="none"/>
              </w:rPr>
              <w:t>及道路降尘洒水。</w:t>
            </w:r>
          </w:p>
        </w:tc>
        <w:tc>
          <w:tcPr>
            <w:tcW w:w="2063" w:type="dxa"/>
            <w:gridSpan w:val="2"/>
            <w:shd w:val="clear" w:color="auto" w:fill="auto"/>
            <w:vAlign w:val="center"/>
          </w:tcPr>
          <w:p>
            <w:pPr>
              <w:pStyle w:val="64"/>
              <w:rPr>
                <w:rFonts w:hAnsi="宋体"/>
                <w:highlight w:val="none"/>
              </w:rPr>
            </w:pPr>
            <w:r>
              <w:rPr>
                <w:rFonts w:hAnsi="宋体" w:cs="宋体"/>
                <w:spacing w:val="1"/>
                <w:szCs w:val="21"/>
                <w:highlight w:val="none"/>
              </w:rPr>
              <w:t>129.84</w:t>
            </w:r>
          </w:p>
        </w:tc>
        <w:tc>
          <w:tcPr>
            <w:tcW w:w="983" w:type="dxa"/>
            <w:vAlign w:val="center"/>
          </w:tcPr>
          <w:p>
            <w:pPr>
              <w:pStyle w:val="64"/>
              <w:rPr>
                <w:rFonts w:hAnsi="宋体"/>
                <w:highlight w:val="none"/>
              </w:rPr>
            </w:pPr>
            <w:r>
              <w:rPr>
                <w:rFonts w:hAnsi="宋体"/>
                <w:highlight w:val="none"/>
              </w:rPr>
              <w:t>--</w:t>
            </w:r>
          </w:p>
        </w:tc>
        <w:tc>
          <w:tcPr>
            <w:tcW w:w="2171" w:type="dxa"/>
            <w:shd w:val="clear" w:color="auto" w:fill="auto"/>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生产废水</w:t>
            </w:r>
          </w:p>
        </w:tc>
        <w:tc>
          <w:tcPr>
            <w:tcW w:w="1174" w:type="dxa"/>
            <w:vAlign w:val="center"/>
          </w:tcPr>
          <w:p>
            <w:pPr>
              <w:pStyle w:val="64"/>
              <w:rPr>
                <w:rFonts w:hAnsi="宋体"/>
                <w:highlight w:val="none"/>
              </w:rPr>
            </w:pPr>
            <w:r>
              <w:rPr>
                <w:rFonts w:hAnsi="宋体"/>
                <w:highlight w:val="none"/>
              </w:rPr>
              <w:t>SS</w:t>
            </w:r>
          </w:p>
        </w:tc>
        <w:tc>
          <w:tcPr>
            <w:tcW w:w="5715" w:type="dxa"/>
            <w:gridSpan w:val="2"/>
            <w:vAlign w:val="center"/>
          </w:tcPr>
          <w:p>
            <w:pPr>
              <w:pStyle w:val="64"/>
              <w:rPr>
                <w:rFonts w:hAnsi="宋体" w:cs="宋体"/>
                <w:szCs w:val="21"/>
                <w:highlight w:val="none"/>
              </w:rPr>
            </w:pPr>
            <w:r>
              <w:rPr>
                <w:rFonts w:hint="eastAsia" w:hAnsi="宋体" w:cs="宋体"/>
                <w:spacing w:val="-1"/>
                <w:szCs w:val="21"/>
                <w:highlight w:val="none"/>
              </w:rPr>
              <w:t>尾矿浆经浓缩压滤后，泵入循环水池回用于生产。</w:t>
            </w:r>
          </w:p>
        </w:tc>
        <w:tc>
          <w:tcPr>
            <w:tcW w:w="2063" w:type="dxa"/>
            <w:gridSpan w:val="2"/>
            <w:shd w:val="clear" w:color="auto" w:fill="auto"/>
            <w:vAlign w:val="center"/>
          </w:tcPr>
          <w:p>
            <w:pPr>
              <w:pStyle w:val="64"/>
              <w:rPr>
                <w:rFonts w:hAnsi="宋体"/>
                <w:highlight w:val="none"/>
              </w:rPr>
            </w:pPr>
            <w:r>
              <w:rPr>
                <w:rFonts w:hint="eastAsia" w:hAnsi="宋体"/>
                <w:highlight w:val="none"/>
              </w:rPr>
              <w:t>26.7</w:t>
            </w:r>
            <w:r>
              <w:rPr>
                <w:rFonts w:hAnsi="宋体"/>
                <w:highlight w:val="none"/>
              </w:rPr>
              <w:t>万</w:t>
            </w:r>
          </w:p>
        </w:tc>
        <w:tc>
          <w:tcPr>
            <w:tcW w:w="983" w:type="dxa"/>
            <w:vAlign w:val="center"/>
          </w:tcPr>
          <w:p>
            <w:pPr>
              <w:pStyle w:val="64"/>
              <w:rPr>
                <w:rFonts w:hAnsi="宋体"/>
                <w:highlight w:val="none"/>
              </w:rPr>
            </w:pPr>
            <w:r>
              <w:rPr>
                <w:rFonts w:hAnsi="宋体"/>
                <w:highlight w:val="none"/>
              </w:rPr>
              <w:t>--</w:t>
            </w:r>
          </w:p>
        </w:tc>
        <w:tc>
          <w:tcPr>
            <w:tcW w:w="2171" w:type="dxa"/>
            <w:shd w:val="clear" w:color="auto" w:fill="auto"/>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洗车废水</w:t>
            </w:r>
          </w:p>
        </w:tc>
        <w:tc>
          <w:tcPr>
            <w:tcW w:w="1174" w:type="dxa"/>
            <w:vAlign w:val="center"/>
          </w:tcPr>
          <w:p>
            <w:pPr>
              <w:pStyle w:val="64"/>
              <w:rPr>
                <w:rFonts w:hAnsi="宋体"/>
                <w:highlight w:val="none"/>
              </w:rPr>
            </w:pPr>
            <w:r>
              <w:rPr>
                <w:rFonts w:hAnsi="宋体"/>
                <w:highlight w:val="none"/>
              </w:rPr>
              <w:t>SS</w:t>
            </w:r>
          </w:p>
        </w:tc>
        <w:tc>
          <w:tcPr>
            <w:tcW w:w="5715" w:type="dxa"/>
            <w:gridSpan w:val="2"/>
            <w:vAlign w:val="center"/>
          </w:tcPr>
          <w:p>
            <w:pPr>
              <w:pStyle w:val="64"/>
              <w:rPr>
                <w:rFonts w:hAnsi="宋体" w:cs="宋体"/>
                <w:szCs w:val="21"/>
                <w:highlight w:val="none"/>
              </w:rPr>
            </w:pPr>
            <w:r>
              <w:rPr>
                <w:rFonts w:hint="eastAsia" w:hAnsi="宋体" w:cs="宋体"/>
                <w:spacing w:val="-1"/>
                <w:szCs w:val="21"/>
                <w:highlight w:val="none"/>
              </w:rPr>
              <w:t>洗车废水经沉淀池沉淀后循环使用，不外排。</w:t>
            </w:r>
          </w:p>
        </w:tc>
        <w:tc>
          <w:tcPr>
            <w:tcW w:w="2063" w:type="dxa"/>
            <w:gridSpan w:val="2"/>
            <w:shd w:val="clear" w:color="auto" w:fill="auto"/>
            <w:vAlign w:val="center"/>
          </w:tcPr>
          <w:p>
            <w:pPr>
              <w:pStyle w:val="64"/>
              <w:rPr>
                <w:rFonts w:hAnsi="宋体"/>
                <w:highlight w:val="none"/>
              </w:rPr>
            </w:pPr>
            <w:r>
              <w:rPr>
                <w:rFonts w:hint="eastAsia" w:hAnsi="宋体"/>
                <w:highlight w:val="none"/>
              </w:rPr>
              <w:t>6000</w:t>
            </w:r>
          </w:p>
        </w:tc>
        <w:tc>
          <w:tcPr>
            <w:tcW w:w="983" w:type="dxa"/>
            <w:vAlign w:val="center"/>
          </w:tcPr>
          <w:p>
            <w:pPr>
              <w:pStyle w:val="64"/>
              <w:rPr>
                <w:rFonts w:hAnsi="宋体"/>
                <w:highlight w:val="none"/>
              </w:rPr>
            </w:pPr>
            <w:r>
              <w:rPr>
                <w:rFonts w:hAnsi="宋体"/>
                <w:highlight w:val="none"/>
              </w:rPr>
              <w:t>--</w:t>
            </w:r>
          </w:p>
        </w:tc>
        <w:tc>
          <w:tcPr>
            <w:tcW w:w="2171" w:type="dxa"/>
            <w:shd w:val="clear" w:color="auto" w:fill="auto"/>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cs="宋体"/>
                <w:spacing w:val="-1"/>
                <w:szCs w:val="21"/>
                <w:highlight w:val="none"/>
              </w:rPr>
              <w:t>跑</w:t>
            </w:r>
            <w:r>
              <w:rPr>
                <w:rFonts w:hAnsi="宋体" w:cs="宋体"/>
                <w:spacing w:val="2"/>
                <w:szCs w:val="21"/>
                <w:highlight w:val="none"/>
              </w:rPr>
              <w:t>冒</w:t>
            </w:r>
            <w:r>
              <w:rPr>
                <w:rFonts w:hAnsi="宋体" w:cs="宋体"/>
                <w:szCs w:val="21"/>
                <w:highlight w:val="none"/>
              </w:rPr>
              <w:t>滴</w:t>
            </w:r>
            <w:r>
              <w:rPr>
                <w:rFonts w:hAnsi="宋体" w:cs="宋体"/>
                <w:spacing w:val="-1"/>
                <w:szCs w:val="21"/>
                <w:highlight w:val="none"/>
              </w:rPr>
              <w:t>漏</w:t>
            </w:r>
            <w:r>
              <w:rPr>
                <w:rFonts w:hint="eastAsia" w:hAnsi="宋体" w:cs="宋体"/>
                <w:szCs w:val="21"/>
                <w:highlight w:val="none"/>
              </w:rPr>
              <w:t>水</w:t>
            </w:r>
          </w:p>
        </w:tc>
        <w:tc>
          <w:tcPr>
            <w:tcW w:w="1174" w:type="dxa"/>
            <w:vAlign w:val="center"/>
          </w:tcPr>
          <w:p>
            <w:pPr>
              <w:pStyle w:val="64"/>
              <w:rPr>
                <w:rFonts w:hAnsi="宋体"/>
                <w:highlight w:val="none"/>
              </w:rPr>
            </w:pPr>
            <w:r>
              <w:rPr>
                <w:rFonts w:hAnsi="宋体"/>
                <w:highlight w:val="none"/>
              </w:rPr>
              <w:t>SS</w:t>
            </w:r>
          </w:p>
        </w:tc>
        <w:tc>
          <w:tcPr>
            <w:tcW w:w="5715" w:type="dxa"/>
            <w:gridSpan w:val="2"/>
            <w:vAlign w:val="center"/>
          </w:tcPr>
          <w:p>
            <w:pPr>
              <w:pStyle w:val="64"/>
              <w:rPr>
                <w:rFonts w:hAnsi="宋体"/>
                <w:highlight w:val="none"/>
              </w:rPr>
            </w:pPr>
            <w:r>
              <w:rPr>
                <w:rFonts w:hint="eastAsia" w:hAnsi="宋体" w:cs="宋体"/>
                <w:spacing w:val="-1"/>
                <w:szCs w:val="21"/>
                <w:highlight w:val="none"/>
              </w:rPr>
              <w:t>将跑、冒、滴、漏、地板冲洗水等经收集后，进入生产系统，作为选矿补充水。</w:t>
            </w:r>
          </w:p>
        </w:tc>
        <w:tc>
          <w:tcPr>
            <w:tcW w:w="2063" w:type="dxa"/>
            <w:gridSpan w:val="2"/>
            <w:shd w:val="clear" w:color="auto" w:fill="auto"/>
            <w:vAlign w:val="center"/>
          </w:tcPr>
          <w:p>
            <w:pPr>
              <w:pStyle w:val="64"/>
              <w:rPr>
                <w:rFonts w:hAnsi="宋体"/>
                <w:highlight w:val="none"/>
              </w:rPr>
            </w:pPr>
            <w:r>
              <w:rPr>
                <w:rFonts w:hint="eastAsia" w:hAnsi="宋体"/>
                <w:highlight w:val="none"/>
              </w:rPr>
              <w:t>/</w:t>
            </w:r>
          </w:p>
        </w:tc>
        <w:tc>
          <w:tcPr>
            <w:tcW w:w="983" w:type="dxa"/>
            <w:vAlign w:val="center"/>
          </w:tcPr>
          <w:p>
            <w:pPr>
              <w:pStyle w:val="64"/>
              <w:rPr>
                <w:rFonts w:hAnsi="宋体"/>
                <w:highlight w:val="none"/>
              </w:rPr>
            </w:pPr>
            <w:r>
              <w:rPr>
                <w:rFonts w:hAnsi="宋体"/>
                <w:highlight w:val="none"/>
              </w:rPr>
              <w:t>--</w:t>
            </w:r>
          </w:p>
        </w:tc>
        <w:tc>
          <w:tcPr>
            <w:tcW w:w="2171" w:type="dxa"/>
            <w:shd w:val="clear" w:color="auto" w:fill="auto"/>
            <w:vAlign w:val="center"/>
          </w:tcPr>
          <w:p>
            <w:pPr>
              <w:pStyle w:val="64"/>
              <w:rPr>
                <w:rFonts w:hAnsi="宋体"/>
                <w:highlight w:val="none"/>
              </w:rPr>
            </w:pP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pStyle w:val="64"/>
              <w:rPr>
                <w:rFonts w:hAnsi="宋体"/>
                <w:highlight w:val="none"/>
              </w:rPr>
            </w:pPr>
            <w:r>
              <w:rPr>
                <w:rFonts w:hAnsi="宋体"/>
                <w:highlight w:val="none"/>
              </w:rPr>
              <w:t>固废</w:t>
            </w:r>
          </w:p>
        </w:tc>
        <w:tc>
          <w:tcPr>
            <w:tcW w:w="1348" w:type="dxa"/>
            <w:gridSpan w:val="3"/>
            <w:vAlign w:val="center"/>
          </w:tcPr>
          <w:p>
            <w:pPr>
              <w:pStyle w:val="64"/>
              <w:rPr>
                <w:rFonts w:hAnsi="宋体"/>
                <w:highlight w:val="none"/>
              </w:rPr>
            </w:pPr>
            <w:r>
              <w:rPr>
                <w:rFonts w:hAnsi="宋体"/>
                <w:highlight w:val="none"/>
              </w:rPr>
              <w:t>类型</w:t>
            </w:r>
          </w:p>
        </w:tc>
        <w:tc>
          <w:tcPr>
            <w:tcW w:w="6889" w:type="dxa"/>
            <w:gridSpan w:val="3"/>
            <w:vAlign w:val="center"/>
          </w:tcPr>
          <w:p>
            <w:pPr>
              <w:pStyle w:val="64"/>
              <w:rPr>
                <w:rFonts w:hAnsi="宋体"/>
                <w:bCs/>
                <w:highlight w:val="none"/>
              </w:rPr>
            </w:pPr>
            <w:r>
              <w:rPr>
                <w:rFonts w:hAnsi="宋体"/>
                <w:bCs/>
                <w:highlight w:val="none"/>
              </w:rPr>
              <w:t>治理措施</w:t>
            </w:r>
          </w:p>
        </w:tc>
        <w:tc>
          <w:tcPr>
            <w:tcW w:w="2063" w:type="dxa"/>
            <w:gridSpan w:val="2"/>
            <w:vAlign w:val="center"/>
          </w:tcPr>
          <w:p>
            <w:pPr>
              <w:pStyle w:val="64"/>
              <w:rPr>
                <w:rFonts w:hAnsi="宋体"/>
                <w:bCs/>
                <w:highlight w:val="none"/>
              </w:rPr>
            </w:pPr>
            <w:r>
              <w:rPr>
                <w:rFonts w:hAnsi="宋体"/>
                <w:bCs/>
                <w:highlight w:val="none"/>
              </w:rPr>
              <w:t>排放量（t/a）</w:t>
            </w:r>
          </w:p>
        </w:tc>
        <w:tc>
          <w:tcPr>
            <w:tcW w:w="983" w:type="dxa"/>
            <w:vAlign w:val="center"/>
          </w:tcPr>
          <w:p>
            <w:pPr>
              <w:pStyle w:val="64"/>
              <w:rPr>
                <w:rFonts w:hAnsi="宋体"/>
                <w:bCs/>
                <w:highlight w:val="none"/>
              </w:rPr>
            </w:pPr>
            <w:r>
              <w:rPr>
                <w:rFonts w:hAnsi="宋体"/>
                <w:highlight w:val="none"/>
              </w:rPr>
              <w:t>排放口</w:t>
            </w:r>
          </w:p>
        </w:tc>
        <w:tc>
          <w:tcPr>
            <w:tcW w:w="2171" w:type="dxa"/>
            <w:vAlign w:val="center"/>
          </w:tcPr>
          <w:p>
            <w:pPr>
              <w:pStyle w:val="64"/>
              <w:rPr>
                <w:rFonts w:hAnsi="宋体"/>
                <w:highlight w:val="none"/>
              </w:rPr>
            </w:pPr>
            <w:r>
              <w:rPr>
                <w:rFonts w:hAnsi="宋体"/>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生活垃圾</w:t>
            </w:r>
          </w:p>
        </w:tc>
        <w:tc>
          <w:tcPr>
            <w:tcW w:w="6889" w:type="dxa"/>
            <w:gridSpan w:val="3"/>
            <w:vAlign w:val="center"/>
          </w:tcPr>
          <w:p>
            <w:pPr>
              <w:pStyle w:val="64"/>
              <w:rPr>
                <w:rFonts w:hAnsi="宋体"/>
                <w:highlight w:val="none"/>
              </w:rPr>
            </w:pPr>
            <w:r>
              <w:rPr>
                <w:rFonts w:hAnsi="宋体"/>
                <w:highlight w:val="none"/>
              </w:rPr>
              <w:t>厂内收集后，交当地环卫部门定期清运</w:t>
            </w:r>
          </w:p>
        </w:tc>
        <w:tc>
          <w:tcPr>
            <w:tcW w:w="2063" w:type="dxa"/>
            <w:gridSpan w:val="2"/>
            <w:vAlign w:val="center"/>
          </w:tcPr>
          <w:p>
            <w:pPr>
              <w:pStyle w:val="64"/>
              <w:rPr>
                <w:rFonts w:hAnsi="宋体"/>
                <w:highlight w:val="none"/>
              </w:rPr>
            </w:pPr>
            <w:r>
              <w:rPr>
                <w:rFonts w:hAnsi="宋体"/>
                <w:highlight w:val="none"/>
              </w:rPr>
              <w:t>2.25</w:t>
            </w:r>
          </w:p>
        </w:tc>
        <w:tc>
          <w:tcPr>
            <w:tcW w:w="983" w:type="dxa"/>
            <w:vAlign w:val="center"/>
          </w:tcPr>
          <w:p>
            <w:pPr>
              <w:pStyle w:val="64"/>
              <w:rPr>
                <w:rFonts w:hAnsi="宋体"/>
                <w:highlight w:val="none"/>
              </w:rPr>
            </w:pPr>
            <w:r>
              <w:rPr>
                <w:rFonts w:hAnsi="宋体"/>
                <w:highlight w:val="none"/>
              </w:rPr>
              <w:t>--</w:t>
            </w:r>
          </w:p>
        </w:tc>
        <w:tc>
          <w:tcPr>
            <w:tcW w:w="2171" w:type="dxa"/>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710" w:type="dxa"/>
            <w:gridSpan w:val="2"/>
            <w:vMerge w:val="restart"/>
            <w:vAlign w:val="center"/>
          </w:tcPr>
          <w:p>
            <w:pPr>
              <w:pStyle w:val="64"/>
              <w:rPr>
                <w:rFonts w:hAnsi="宋体"/>
                <w:highlight w:val="none"/>
              </w:rPr>
            </w:pPr>
            <w:r>
              <w:rPr>
                <w:rFonts w:hAnsi="宋体"/>
                <w:highlight w:val="none"/>
              </w:rPr>
              <w:t>尾矿</w:t>
            </w:r>
          </w:p>
        </w:tc>
        <w:tc>
          <w:tcPr>
            <w:tcW w:w="638" w:type="dxa"/>
            <w:vAlign w:val="center"/>
          </w:tcPr>
          <w:p>
            <w:pPr>
              <w:pStyle w:val="64"/>
              <w:rPr>
                <w:rFonts w:hAnsi="宋体"/>
                <w:highlight w:val="none"/>
              </w:rPr>
            </w:pPr>
            <w:r>
              <w:rPr>
                <w:rFonts w:hint="eastAsia" w:hAnsi="宋体"/>
                <w:highlight w:val="none"/>
              </w:rPr>
              <w:t>废石</w:t>
            </w:r>
          </w:p>
        </w:tc>
        <w:tc>
          <w:tcPr>
            <w:tcW w:w="6889" w:type="dxa"/>
            <w:gridSpan w:val="3"/>
            <w:vMerge w:val="restart"/>
            <w:vAlign w:val="center"/>
          </w:tcPr>
          <w:p>
            <w:pPr>
              <w:pStyle w:val="64"/>
              <w:rPr>
                <w:rFonts w:hAnsi="宋体"/>
                <w:highlight w:val="none"/>
              </w:rPr>
            </w:pPr>
            <w:r>
              <w:rPr>
                <w:rFonts w:hint="eastAsia" w:hAnsi="宋体"/>
                <w:highlight w:val="none"/>
              </w:rPr>
              <w:t>在废石库内暂存后，</w:t>
            </w:r>
            <w:r>
              <w:rPr>
                <w:rFonts w:hAnsi="宋体"/>
                <w:highlight w:val="none"/>
              </w:rPr>
              <w:t>外售综合利用，销路不畅时送选厂</w:t>
            </w:r>
            <w:r>
              <w:rPr>
                <w:rFonts w:hint="eastAsia" w:hAnsi="宋体"/>
                <w:highlight w:val="none"/>
              </w:rPr>
              <w:t>东</w:t>
            </w:r>
            <w:r>
              <w:rPr>
                <w:rFonts w:hAnsi="宋体"/>
                <w:highlight w:val="none"/>
              </w:rPr>
              <w:t>侧尾矿库堆存</w:t>
            </w:r>
          </w:p>
        </w:tc>
        <w:tc>
          <w:tcPr>
            <w:tcW w:w="2063" w:type="dxa"/>
            <w:gridSpan w:val="2"/>
            <w:vAlign w:val="center"/>
          </w:tcPr>
          <w:p>
            <w:pPr>
              <w:pStyle w:val="64"/>
              <w:rPr>
                <w:rFonts w:hAnsi="宋体"/>
                <w:highlight w:val="none"/>
              </w:rPr>
            </w:pPr>
            <w:r>
              <w:rPr>
                <w:rFonts w:hint="eastAsia" w:hAnsi="宋体"/>
                <w:highlight w:val="none"/>
              </w:rPr>
              <w:t>0</w:t>
            </w:r>
          </w:p>
        </w:tc>
        <w:tc>
          <w:tcPr>
            <w:tcW w:w="983" w:type="dxa"/>
            <w:vAlign w:val="center"/>
          </w:tcPr>
          <w:p>
            <w:pPr>
              <w:pStyle w:val="64"/>
              <w:rPr>
                <w:rFonts w:hAnsi="宋体"/>
                <w:highlight w:val="none"/>
              </w:rPr>
            </w:pPr>
          </w:p>
        </w:tc>
        <w:tc>
          <w:tcPr>
            <w:tcW w:w="2171" w:type="dxa"/>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710" w:type="dxa"/>
            <w:gridSpan w:val="2"/>
            <w:vMerge w:val="continue"/>
            <w:vAlign w:val="center"/>
          </w:tcPr>
          <w:p>
            <w:pPr>
              <w:pStyle w:val="64"/>
              <w:rPr>
                <w:rFonts w:hAnsi="宋体"/>
                <w:highlight w:val="none"/>
              </w:rPr>
            </w:pPr>
          </w:p>
        </w:tc>
        <w:tc>
          <w:tcPr>
            <w:tcW w:w="638" w:type="dxa"/>
            <w:vAlign w:val="center"/>
          </w:tcPr>
          <w:p>
            <w:pPr>
              <w:pStyle w:val="64"/>
              <w:rPr>
                <w:rFonts w:hAnsi="宋体"/>
                <w:highlight w:val="none"/>
              </w:rPr>
            </w:pPr>
            <w:r>
              <w:rPr>
                <w:rFonts w:hAnsi="宋体"/>
                <w:highlight w:val="none"/>
              </w:rPr>
              <w:t>粗砂</w:t>
            </w:r>
          </w:p>
        </w:tc>
        <w:tc>
          <w:tcPr>
            <w:tcW w:w="6889" w:type="dxa"/>
            <w:gridSpan w:val="3"/>
            <w:vMerge w:val="continue"/>
            <w:vAlign w:val="center"/>
          </w:tcPr>
          <w:p>
            <w:pPr>
              <w:pStyle w:val="64"/>
              <w:rPr>
                <w:rFonts w:hAnsi="宋体"/>
                <w:highlight w:val="none"/>
              </w:rPr>
            </w:pPr>
          </w:p>
        </w:tc>
        <w:tc>
          <w:tcPr>
            <w:tcW w:w="2063" w:type="dxa"/>
            <w:gridSpan w:val="2"/>
            <w:vAlign w:val="center"/>
          </w:tcPr>
          <w:p>
            <w:pPr>
              <w:pStyle w:val="64"/>
              <w:rPr>
                <w:rFonts w:hAnsi="宋体"/>
                <w:highlight w:val="none"/>
              </w:rPr>
            </w:pPr>
            <w:r>
              <w:rPr>
                <w:rFonts w:hint="eastAsia" w:hAnsi="宋体"/>
                <w:highlight w:val="none"/>
              </w:rPr>
              <w:t>0</w:t>
            </w:r>
          </w:p>
        </w:tc>
        <w:tc>
          <w:tcPr>
            <w:tcW w:w="983" w:type="dxa"/>
            <w:vAlign w:val="center"/>
          </w:tcPr>
          <w:p>
            <w:pPr>
              <w:pStyle w:val="64"/>
              <w:rPr>
                <w:rFonts w:hAnsi="宋体"/>
                <w:highlight w:val="none"/>
              </w:rPr>
            </w:pPr>
          </w:p>
        </w:tc>
        <w:tc>
          <w:tcPr>
            <w:tcW w:w="2171" w:type="dxa"/>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710" w:type="dxa"/>
            <w:gridSpan w:val="2"/>
            <w:vMerge w:val="continue"/>
            <w:vAlign w:val="center"/>
          </w:tcPr>
          <w:p>
            <w:pPr>
              <w:pStyle w:val="64"/>
              <w:rPr>
                <w:rFonts w:hAnsi="宋体"/>
                <w:highlight w:val="none"/>
              </w:rPr>
            </w:pPr>
          </w:p>
        </w:tc>
        <w:tc>
          <w:tcPr>
            <w:tcW w:w="638" w:type="dxa"/>
            <w:vAlign w:val="center"/>
          </w:tcPr>
          <w:p>
            <w:pPr>
              <w:pStyle w:val="64"/>
              <w:rPr>
                <w:rFonts w:hAnsi="宋体"/>
                <w:highlight w:val="none"/>
              </w:rPr>
            </w:pPr>
            <w:r>
              <w:rPr>
                <w:rFonts w:hAnsi="宋体"/>
                <w:highlight w:val="none"/>
              </w:rPr>
              <w:t>尾砂</w:t>
            </w:r>
          </w:p>
        </w:tc>
        <w:tc>
          <w:tcPr>
            <w:tcW w:w="6889" w:type="dxa"/>
            <w:gridSpan w:val="3"/>
            <w:vAlign w:val="center"/>
          </w:tcPr>
          <w:p>
            <w:pPr>
              <w:pStyle w:val="64"/>
              <w:rPr>
                <w:rFonts w:hAnsi="宋体"/>
                <w:highlight w:val="none"/>
              </w:rPr>
            </w:pPr>
            <w:r>
              <w:rPr>
                <w:rFonts w:hAnsi="宋体"/>
                <w:highlight w:val="none"/>
              </w:rPr>
              <w:t>于</w:t>
            </w:r>
            <w:r>
              <w:rPr>
                <w:rFonts w:hint="eastAsia" w:hAnsi="宋体"/>
                <w:highlight w:val="none"/>
              </w:rPr>
              <w:t>东</w:t>
            </w:r>
            <w:r>
              <w:rPr>
                <w:rFonts w:hAnsi="宋体"/>
                <w:highlight w:val="none"/>
              </w:rPr>
              <w:t>侧尾矿库合理堆存</w:t>
            </w:r>
          </w:p>
        </w:tc>
        <w:tc>
          <w:tcPr>
            <w:tcW w:w="2063" w:type="dxa"/>
            <w:gridSpan w:val="2"/>
            <w:vAlign w:val="center"/>
          </w:tcPr>
          <w:p>
            <w:pPr>
              <w:pStyle w:val="64"/>
              <w:rPr>
                <w:rFonts w:hAnsi="宋体"/>
                <w:highlight w:val="none"/>
              </w:rPr>
            </w:pPr>
            <w:r>
              <w:rPr>
                <w:rFonts w:hint="eastAsia" w:hAnsi="宋体"/>
                <w:highlight w:val="none"/>
              </w:rPr>
              <w:t>0.3</w:t>
            </w:r>
            <w:r>
              <w:rPr>
                <w:rFonts w:hAnsi="宋体"/>
                <w:highlight w:val="none"/>
              </w:rPr>
              <w:t>万</w:t>
            </w:r>
          </w:p>
        </w:tc>
        <w:tc>
          <w:tcPr>
            <w:tcW w:w="983" w:type="dxa"/>
            <w:vAlign w:val="center"/>
          </w:tcPr>
          <w:p>
            <w:pPr>
              <w:pStyle w:val="64"/>
              <w:rPr>
                <w:rFonts w:hAnsi="宋体"/>
                <w:highlight w:val="none"/>
              </w:rPr>
            </w:pPr>
          </w:p>
        </w:tc>
        <w:tc>
          <w:tcPr>
            <w:tcW w:w="2171" w:type="dxa"/>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除尘灰</w:t>
            </w:r>
          </w:p>
        </w:tc>
        <w:tc>
          <w:tcPr>
            <w:tcW w:w="6889" w:type="dxa"/>
            <w:gridSpan w:val="3"/>
            <w:shd w:val="clear" w:color="auto" w:fill="auto"/>
            <w:vAlign w:val="center"/>
          </w:tcPr>
          <w:p>
            <w:pPr>
              <w:pStyle w:val="64"/>
              <w:rPr>
                <w:rFonts w:hAnsi="宋体"/>
                <w:bCs/>
                <w:highlight w:val="none"/>
              </w:rPr>
            </w:pPr>
            <w:r>
              <w:rPr>
                <w:rFonts w:hAnsi="宋体"/>
                <w:highlight w:val="none"/>
              </w:rPr>
              <w:t>作为原料回用于生产</w:t>
            </w:r>
          </w:p>
        </w:tc>
        <w:tc>
          <w:tcPr>
            <w:tcW w:w="2063" w:type="dxa"/>
            <w:gridSpan w:val="2"/>
            <w:vAlign w:val="center"/>
          </w:tcPr>
          <w:p>
            <w:pPr>
              <w:pStyle w:val="64"/>
              <w:rPr>
                <w:rFonts w:hAnsi="宋体"/>
                <w:highlight w:val="none"/>
              </w:rPr>
            </w:pPr>
            <w:r>
              <w:rPr>
                <w:rFonts w:hint="eastAsia" w:hAnsi="宋体"/>
                <w:highlight w:val="none"/>
              </w:rPr>
              <w:t>0</w:t>
            </w:r>
          </w:p>
        </w:tc>
        <w:tc>
          <w:tcPr>
            <w:tcW w:w="983" w:type="dxa"/>
            <w:vAlign w:val="center"/>
          </w:tcPr>
          <w:p>
            <w:pPr>
              <w:pStyle w:val="64"/>
              <w:rPr>
                <w:rFonts w:hAnsi="宋体"/>
                <w:highlight w:val="none"/>
              </w:rPr>
            </w:pPr>
          </w:p>
        </w:tc>
        <w:tc>
          <w:tcPr>
            <w:tcW w:w="2171" w:type="dxa"/>
            <w:vAlign w:val="center"/>
          </w:tcPr>
          <w:p>
            <w:pPr>
              <w:pStyle w:val="64"/>
              <w:rPr>
                <w:rFonts w:hAnsi="宋体"/>
                <w:highlight w:val="none"/>
              </w:rPr>
            </w:pPr>
            <w:r>
              <w:rPr>
                <w:rFonts w:hint="eastAsia" w:hAnsi="宋体"/>
                <w:highlight w:val="none"/>
              </w:rPr>
              <w:t>-</w:t>
            </w:r>
            <w:r>
              <w:rPr>
                <w:rFonts w:hAnsi="宋体"/>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废机油</w:t>
            </w:r>
          </w:p>
        </w:tc>
        <w:tc>
          <w:tcPr>
            <w:tcW w:w="6889" w:type="dxa"/>
            <w:gridSpan w:val="3"/>
            <w:vMerge w:val="restart"/>
            <w:shd w:val="clear" w:color="auto" w:fill="auto"/>
            <w:vAlign w:val="center"/>
          </w:tcPr>
          <w:p>
            <w:pPr>
              <w:pStyle w:val="64"/>
              <w:rPr>
                <w:rFonts w:hAnsi="宋体"/>
                <w:bCs/>
                <w:highlight w:val="none"/>
              </w:rPr>
            </w:pPr>
            <w:r>
              <w:rPr>
                <w:rFonts w:hAnsi="宋体"/>
                <w:bCs/>
                <w:highlight w:val="none"/>
              </w:rPr>
              <w:t>新建1座</w:t>
            </w:r>
            <w:r>
              <w:rPr>
                <w:rFonts w:hint="eastAsia" w:hAnsi="宋体"/>
                <w:bCs/>
                <w:highlight w:val="none"/>
              </w:rPr>
              <w:t>10</w:t>
            </w:r>
            <w:r>
              <w:rPr>
                <w:rFonts w:hAnsi="宋体"/>
                <w:bCs/>
                <w:highlight w:val="none"/>
              </w:rPr>
              <w:t>m</w:t>
            </w:r>
            <w:r>
              <w:rPr>
                <w:rFonts w:hAnsi="宋体"/>
                <w:bCs/>
                <w:highlight w:val="none"/>
                <w:vertAlign w:val="superscript"/>
              </w:rPr>
              <w:t>2</w:t>
            </w:r>
            <w:r>
              <w:rPr>
                <w:rFonts w:hAnsi="宋体"/>
                <w:bCs/>
                <w:highlight w:val="none"/>
              </w:rPr>
              <w:t>的危废暂存间，分别收集后于危废暂存间暂存，定期委托有资质单位处理</w:t>
            </w:r>
          </w:p>
        </w:tc>
        <w:tc>
          <w:tcPr>
            <w:tcW w:w="2063" w:type="dxa"/>
            <w:gridSpan w:val="2"/>
            <w:vAlign w:val="center"/>
          </w:tcPr>
          <w:p>
            <w:pPr>
              <w:pStyle w:val="64"/>
              <w:rPr>
                <w:rFonts w:hAnsi="宋体"/>
                <w:highlight w:val="none"/>
              </w:rPr>
            </w:pPr>
            <w:r>
              <w:rPr>
                <w:rFonts w:hAnsi="宋体"/>
                <w:highlight w:val="none"/>
              </w:rPr>
              <w:t>0.</w:t>
            </w:r>
            <w:r>
              <w:rPr>
                <w:rFonts w:hint="eastAsia" w:hAnsi="宋体"/>
                <w:highlight w:val="none"/>
              </w:rPr>
              <w:t>5</w:t>
            </w:r>
          </w:p>
        </w:tc>
        <w:tc>
          <w:tcPr>
            <w:tcW w:w="983" w:type="dxa"/>
            <w:vMerge w:val="restart"/>
            <w:vAlign w:val="center"/>
          </w:tcPr>
          <w:p>
            <w:pPr>
              <w:pStyle w:val="64"/>
              <w:rPr>
                <w:rFonts w:hAnsi="宋体"/>
                <w:highlight w:val="none"/>
              </w:rPr>
            </w:pPr>
            <w:r>
              <w:rPr>
                <w:rFonts w:hAnsi="宋体"/>
                <w:highlight w:val="none"/>
              </w:rPr>
              <w:t>--</w:t>
            </w:r>
          </w:p>
        </w:tc>
        <w:tc>
          <w:tcPr>
            <w:tcW w:w="2171" w:type="dxa"/>
            <w:vMerge w:val="restart"/>
            <w:vAlign w:val="center"/>
          </w:tcPr>
          <w:p>
            <w:pPr>
              <w:pStyle w:val="64"/>
              <w:rPr>
                <w:rFonts w:hAnsi="宋体"/>
                <w:highlight w:val="none"/>
              </w:rPr>
            </w:pPr>
            <w:r>
              <w:rPr>
                <w:rFonts w:hAnsi="宋体"/>
                <w:highlight w:val="none"/>
              </w:rPr>
              <w:t>《危险废物贮存污染控制标准》（GB18597-2001）及2013年修改单有关规定。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int="eastAsia" w:hAnsi="宋体"/>
                <w:highlight w:val="none"/>
              </w:rPr>
              <w:t>废棉纱、手套</w:t>
            </w:r>
          </w:p>
        </w:tc>
        <w:tc>
          <w:tcPr>
            <w:tcW w:w="6889" w:type="dxa"/>
            <w:gridSpan w:val="3"/>
            <w:vMerge w:val="continue"/>
            <w:shd w:val="clear" w:color="auto" w:fill="auto"/>
            <w:vAlign w:val="center"/>
          </w:tcPr>
          <w:p>
            <w:pPr>
              <w:pStyle w:val="64"/>
              <w:rPr>
                <w:rFonts w:hAnsi="宋体"/>
                <w:bCs/>
                <w:highlight w:val="none"/>
              </w:rPr>
            </w:pPr>
          </w:p>
        </w:tc>
        <w:tc>
          <w:tcPr>
            <w:tcW w:w="2063" w:type="dxa"/>
            <w:gridSpan w:val="2"/>
            <w:vAlign w:val="center"/>
          </w:tcPr>
          <w:p>
            <w:pPr>
              <w:pStyle w:val="64"/>
              <w:rPr>
                <w:rFonts w:hAnsi="宋体"/>
                <w:highlight w:val="none"/>
              </w:rPr>
            </w:pPr>
            <w:r>
              <w:rPr>
                <w:rFonts w:hint="eastAsia" w:hAnsi="宋体"/>
                <w:highlight w:val="none"/>
              </w:rPr>
              <w:t>0.1</w:t>
            </w:r>
          </w:p>
        </w:tc>
        <w:tc>
          <w:tcPr>
            <w:tcW w:w="983" w:type="dxa"/>
            <w:vMerge w:val="continue"/>
            <w:vAlign w:val="center"/>
          </w:tcPr>
          <w:p>
            <w:pPr>
              <w:pStyle w:val="64"/>
              <w:rPr>
                <w:rFonts w:hAnsi="宋体"/>
                <w:highlight w:val="none"/>
              </w:rPr>
            </w:pPr>
          </w:p>
        </w:tc>
        <w:tc>
          <w:tcPr>
            <w:tcW w:w="2171" w:type="dxa"/>
            <w:vMerge w:val="continue"/>
            <w:vAlign w:val="center"/>
          </w:tcPr>
          <w:p>
            <w:pPr>
              <w:pStyle w:val="64"/>
              <w:rPr>
                <w:rFonts w:hAnsi="宋体"/>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pStyle w:val="64"/>
              <w:rPr>
                <w:rFonts w:hAnsi="宋体"/>
                <w:highlight w:val="none"/>
              </w:rPr>
            </w:pPr>
            <w:r>
              <w:rPr>
                <w:rFonts w:hAnsi="宋体"/>
                <w:highlight w:val="none"/>
              </w:rPr>
              <w:t>噪声</w:t>
            </w:r>
          </w:p>
        </w:tc>
        <w:tc>
          <w:tcPr>
            <w:tcW w:w="1348" w:type="dxa"/>
            <w:gridSpan w:val="3"/>
            <w:vAlign w:val="center"/>
          </w:tcPr>
          <w:p>
            <w:pPr>
              <w:pStyle w:val="64"/>
              <w:rPr>
                <w:rFonts w:hAnsi="宋体"/>
                <w:highlight w:val="none"/>
              </w:rPr>
            </w:pPr>
            <w:r>
              <w:rPr>
                <w:rFonts w:hAnsi="宋体"/>
                <w:highlight w:val="none"/>
              </w:rPr>
              <w:t>污染源</w:t>
            </w:r>
          </w:p>
        </w:tc>
        <w:tc>
          <w:tcPr>
            <w:tcW w:w="6889" w:type="dxa"/>
            <w:gridSpan w:val="3"/>
            <w:shd w:val="clear" w:color="auto" w:fill="auto"/>
            <w:vAlign w:val="center"/>
          </w:tcPr>
          <w:p>
            <w:pPr>
              <w:pStyle w:val="64"/>
              <w:rPr>
                <w:rFonts w:hAnsi="宋体"/>
                <w:bCs/>
                <w:highlight w:val="none"/>
              </w:rPr>
            </w:pPr>
            <w:r>
              <w:rPr>
                <w:rFonts w:hAnsi="宋体"/>
                <w:bCs/>
                <w:highlight w:val="none"/>
              </w:rPr>
              <w:t>处理措施</w:t>
            </w:r>
          </w:p>
        </w:tc>
        <w:tc>
          <w:tcPr>
            <w:tcW w:w="2063" w:type="dxa"/>
            <w:gridSpan w:val="2"/>
            <w:vAlign w:val="center"/>
          </w:tcPr>
          <w:p>
            <w:pPr>
              <w:pStyle w:val="64"/>
              <w:rPr>
                <w:rFonts w:hAnsi="宋体"/>
                <w:highlight w:val="none"/>
              </w:rPr>
            </w:pPr>
            <w:r>
              <w:rPr>
                <w:rFonts w:hAnsi="宋体"/>
                <w:highlight w:val="none"/>
              </w:rPr>
              <w:t>排放量</w:t>
            </w:r>
          </w:p>
        </w:tc>
        <w:tc>
          <w:tcPr>
            <w:tcW w:w="983" w:type="dxa"/>
            <w:vAlign w:val="center"/>
          </w:tcPr>
          <w:p>
            <w:pPr>
              <w:pStyle w:val="64"/>
              <w:rPr>
                <w:rFonts w:hAnsi="宋体"/>
                <w:highlight w:val="none"/>
              </w:rPr>
            </w:pPr>
            <w:r>
              <w:rPr>
                <w:rFonts w:hAnsi="宋体"/>
                <w:highlight w:val="none"/>
              </w:rPr>
              <w:t>排放口</w:t>
            </w:r>
          </w:p>
        </w:tc>
        <w:tc>
          <w:tcPr>
            <w:tcW w:w="2171" w:type="dxa"/>
            <w:vAlign w:val="center"/>
          </w:tcPr>
          <w:p>
            <w:pPr>
              <w:pStyle w:val="64"/>
              <w:rPr>
                <w:rFonts w:hAnsi="宋体"/>
                <w:highlight w:val="none"/>
              </w:rPr>
            </w:pPr>
            <w:r>
              <w:rPr>
                <w:rFonts w:hAnsi="宋体"/>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设备噪声</w:t>
            </w:r>
          </w:p>
        </w:tc>
        <w:tc>
          <w:tcPr>
            <w:tcW w:w="6889" w:type="dxa"/>
            <w:gridSpan w:val="3"/>
            <w:shd w:val="clear" w:color="auto" w:fill="auto"/>
            <w:vAlign w:val="center"/>
          </w:tcPr>
          <w:p>
            <w:pPr>
              <w:pStyle w:val="64"/>
              <w:rPr>
                <w:rFonts w:hAnsi="宋体"/>
                <w:bCs/>
                <w:highlight w:val="none"/>
              </w:rPr>
            </w:pPr>
            <w:r>
              <w:rPr>
                <w:rFonts w:hAnsi="宋体"/>
                <w:bCs/>
                <w:highlight w:val="none"/>
              </w:rPr>
              <w:t>安装在室内、基础减震并安装消声器</w:t>
            </w:r>
          </w:p>
        </w:tc>
        <w:tc>
          <w:tcPr>
            <w:tcW w:w="2063" w:type="dxa"/>
            <w:gridSpan w:val="2"/>
            <w:vMerge w:val="restart"/>
            <w:vAlign w:val="center"/>
          </w:tcPr>
          <w:p>
            <w:pPr>
              <w:pStyle w:val="64"/>
              <w:rPr>
                <w:rFonts w:hAnsi="宋体"/>
                <w:highlight w:val="none"/>
              </w:rPr>
            </w:pPr>
            <w:r>
              <w:rPr>
                <w:rFonts w:hAnsi="宋体"/>
                <w:highlight w:val="none"/>
              </w:rPr>
              <w:t>昼间≤60dB（A）</w:t>
            </w:r>
          </w:p>
          <w:p>
            <w:pPr>
              <w:pStyle w:val="64"/>
              <w:rPr>
                <w:rFonts w:hAnsi="宋体"/>
                <w:highlight w:val="none"/>
              </w:rPr>
            </w:pPr>
            <w:r>
              <w:rPr>
                <w:rFonts w:hAnsi="宋体"/>
                <w:highlight w:val="none"/>
              </w:rPr>
              <w:t>夜间≤50dB（A）</w:t>
            </w:r>
          </w:p>
        </w:tc>
        <w:tc>
          <w:tcPr>
            <w:tcW w:w="983" w:type="dxa"/>
            <w:vMerge w:val="restart"/>
            <w:vAlign w:val="center"/>
          </w:tcPr>
          <w:p>
            <w:pPr>
              <w:pStyle w:val="64"/>
              <w:rPr>
                <w:rFonts w:hAnsi="宋体"/>
                <w:highlight w:val="none"/>
              </w:rPr>
            </w:pPr>
            <w:r>
              <w:rPr>
                <w:rFonts w:hAnsi="宋体"/>
                <w:highlight w:val="none"/>
              </w:rPr>
              <w:t>厂界</w:t>
            </w:r>
          </w:p>
        </w:tc>
        <w:tc>
          <w:tcPr>
            <w:tcW w:w="2171" w:type="dxa"/>
            <w:vMerge w:val="restart"/>
            <w:vAlign w:val="center"/>
          </w:tcPr>
          <w:p>
            <w:pPr>
              <w:pStyle w:val="64"/>
              <w:rPr>
                <w:rFonts w:hAnsi="宋体"/>
                <w:highlight w:val="none"/>
              </w:rPr>
            </w:pPr>
            <w:r>
              <w:rPr>
                <w:rFonts w:hAnsi="宋体"/>
                <w:highlight w:val="none"/>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pStyle w:val="64"/>
              <w:rPr>
                <w:rFonts w:hAnsi="宋体"/>
                <w:highlight w:val="none"/>
              </w:rPr>
            </w:pPr>
          </w:p>
        </w:tc>
        <w:tc>
          <w:tcPr>
            <w:tcW w:w="1348" w:type="dxa"/>
            <w:gridSpan w:val="3"/>
            <w:vAlign w:val="center"/>
          </w:tcPr>
          <w:p>
            <w:pPr>
              <w:pStyle w:val="64"/>
              <w:rPr>
                <w:rFonts w:hAnsi="宋体"/>
                <w:highlight w:val="none"/>
              </w:rPr>
            </w:pPr>
            <w:r>
              <w:rPr>
                <w:rFonts w:hAnsi="宋体"/>
                <w:highlight w:val="none"/>
              </w:rPr>
              <w:t>运输车辆</w:t>
            </w:r>
          </w:p>
        </w:tc>
        <w:tc>
          <w:tcPr>
            <w:tcW w:w="6889" w:type="dxa"/>
            <w:gridSpan w:val="3"/>
            <w:shd w:val="clear" w:color="auto" w:fill="auto"/>
            <w:vAlign w:val="center"/>
          </w:tcPr>
          <w:p>
            <w:pPr>
              <w:pStyle w:val="64"/>
              <w:rPr>
                <w:rFonts w:hAnsi="宋体"/>
                <w:bCs/>
                <w:highlight w:val="none"/>
              </w:rPr>
            </w:pPr>
            <w:r>
              <w:rPr>
                <w:rFonts w:hint="eastAsia" w:hAnsi="宋体"/>
                <w:bCs/>
                <w:highlight w:val="none"/>
              </w:rPr>
              <w:t>减速慢行</w:t>
            </w:r>
            <w:r>
              <w:rPr>
                <w:rFonts w:hAnsi="宋体"/>
                <w:bCs/>
                <w:highlight w:val="none"/>
              </w:rPr>
              <w:t>，禁止鸣笛</w:t>
            </w:r>
          </w:p>
        </w:tc>
        <w:tc>
          <w:tcPr>
            <w:tcW w:w="2063" w:type="dxa"/>
            <w:gridSpan w:val="2"/>
            <w:vMerge w:val="continue"/>
            <w:vAlign w:val="center"/>
          </w:tcPr>
          <w:p>
            <w:pPr>
              <w:pStyle w:val="64"/>
              <w:rPr>
                <w:rFonts w:hAnsi="宋体"/>
                <w:highlight w:val="none"/>
              </w:rPr>
            </w:pPr>
          </w:p>
        </w:tc>
        <w:tc>
          <w:tcPr>
            <w:tcW w:w="983" w:type="dxa"/>
            <w:vMerge w:val="continue"/>
            <w:vAlign w:val="center"/>
          </w:tcPr>
          <w:p>
            <w:pPr>
              <w:pStyle w:val="64"/>
              <w:rPr>
                <w:rFonts w:hAnsi="宋体"/>
                <w:highlight w:val="none"/>
              </w:rPr>
            </w:pPr>
          </w:p>
        </w:tc>
        <w:tc>
          <w:tcPr>
            <w:tcW w:w="2171" w:type="dxa"/>
            <w:vMerge w:val="continue"/>
            <w:vAlign w:val="center"/>
          </w:tcPr>
          <w:p>
            <w:pPr>
              <w:pStyle w:val="64"/>
              <w:rPr>
                <w:rFonts w:hAnsi="宋体"/>
                <w:bCs/>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83" w:type="dxa"/>
            <w:gridSpan w:val="2"/>
            <w:vMerge w:val="restart"/>
            <w:vAlign w:val="center"/>
          </w:tcPr>
          <w:p>
            <w:pPr>
              <w:pStyle w:val="64"/>
              <w:rPr>
                <w:rFonts w:hAnsi="宋体"/>
                <w:highlight w:val="none"/>
              </w:rPr>
            </w:pPr>
            <w:r>
              <w:rPr>
                <w:rFonts w:hint="eastAsia" w:hAnsi="宋体"/>
                <w:highlight w:val="none"/>
              </w:rPr>
              <w:t>公开信息</w:t>
            </w:r>
          </w:p>
        </w:tc>
        <w:tc>
          <w:tcPr>
            <w:tcW w:w="2184" w:type="dxa"/>
            <w:gridSpan w:val="4"/>
            <w:vAlign w:val="center"/>
          </w:tcPr>
          <w:p>
            <w:pPr>
              <w:pStyle w:val="64"/>
              <w:rPr>
                <w:rFonts w:hAnsi="宋体"/>
                <w:highlight w:val="none"/>
              </w:rPr>
            </w:pPr>
            <w:r>
              <w:rPr>
                <w:rFonts w:hAnsi="宋体"/>
                <w:highlight w:val="none"/>
              </w:rPr>
              <w:t>公开环境影响报告表全本</w:t>
            </w:r>
          </w:p>
        </w:tc>
        <w:tc>
          <w:tcPr>
            <w:tcW w:w="10913" w:type="dxa"/>
            <w:gridSpan w:val="5"/>
            <w:vAlign w:val="center"/>
          </w:tcPr>
          <w:p>
            <w:pPr>
              <w:pStyle w:val="64"/>
              <w:rPr>
                <w:rFonts w:hAnsi="宋体"/>
                <w:highlight w:val="none"/>
              </w:rPr>
            </w:pPr>
            <w:r>
              <w:rPr>
                <w:rFonts w:hAnsi="宋体"/>
                <w:highlight w:val="none"/>
              </w:rPr>
              <w:t>建设单位在建设项目环境影响报告表编制完成后，向环境保护主管部门报批前，应当向社会公开环境影响报告表全本。报批过程中，如对环境影响报告表进一步修改，应及时公开最后版本。</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83" w:type="dxa"/>
            <w:gridSpan w:val="2"/>
            <w:vMerge w:val="continue"/>
            <w:vAlign w:val="center"/>
          </w:tcPr>
          <w:p>
            <w:pPr>
              <w:pStyle w:val="64"/>
              <w:rPr>
                <w:rFonts w:hAnsi="宋体"/>
                <w:highlight w:val="none"/>
              </w:rPr>
            </w:pPr>
          </w:p>
        </w:tc>
        <w:tc>
          <w:tcPr>
            <w:tcW w:w="2184" w:type="dxa"/>
            <w:gridSpan w:val="4"/>
            <w:vAlign w:val="center"/>
          </w:tcPr>
          <w:p>
            <w:pPr>
              <w:pStyle w:val="64"/>
              <w:rPr>
                <w:rFonts w:hAnsi="宋体"/>
                <w:highlight w:val="none"/>
              </w:rPr>
            </w:pPr>
            <w:r>
              <w:rPr>
                <w:rFonts w:hAnsi="宋体"/>
                <w:highlight w:val="none"/>
              </w:rPr>
              <w:t>公开建设项目开工前的信息</w:t>
            </w:r>
          </w:p>
        </w:tc>
        <w:tc>
          <w:tcPr>
            <w:tcW w:w="10913" w:type="dxa"/>
            <w:gridSpan w:val="5"/>
            <w:vAlign w:val="center"/>
          </w:tcPr>
          <w:p>
            <w:pPr>
              <w:pStyle w:val="64"/>
              <w:rPr>
                <w:rFonts w:hAnsi="宋体"/>
                <w:highlight w:val="none"/>
              </w:rPr>
            </w:pPr>
            <w:r>
              <w:rPr>
                <w:rFonts w:hAnsi="宋体"/>
                <w:highlight w:val="none"/>
              </w:rPr>
              <w:t>建设项目开工建设前，建设单位应当向社会公开建设项目开工日期、设计单位、施工单位和施工监理单位、工程基本情况、实际选址选线、拟采取的环境保护措施清单和实施计划、由地方政府或相关部门负责配套的环境保护措施清单和实施计划等，并确保上述信息在整个施工期内均处于公开状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83" w:type="dxa"/>
            <w:gridSpan w:val="2"/>
            <w:vMerge w:val="continue"/>
            <w:vAlign w:val="center"/>
          </w:tcPr>
          <w:p>
            <w:pPr>
              <w:pStyle w:val="64"/>
              <w:rPr>
                <w:rFonts w:hAnsi="宋体"/>
                <w:highlight w:val="none"/>
              </w:rPr>
            </w:pPr>
          </w:p>
        </w:tc>
        <w:tc>
          <w:tcPr>
            <w:tcW w:w="2184" w:type="dxa"/>
            <w:gridSpan w:val="4"/>
            <w:vAlign w:val="center"/>
          </w:tcPr>
          <w:p>
            <w:pPr>
              <w:pStyle w:val="64"/>
              <w:rPr>
                <w:rFonts w:hAnsi="宋体"/>
                <w:highlight w:val="none"/>
              </w:rPr>
            </w:pPr>
            <w:r>
              <w:rPr>
                <w:rFonts w:hAnsi="宋体"/>
                <w:highlight w:val="none"/>
              </w:rPr>
              <w:t>公开建设项目施工过程中的信息</w:t>
            </w:r>
          </w:p>
        </w:tc>
        <w:tc>
          <w:tcPr>
            <w:tcW w:w="10913" w:type="dxa"/>
            <w:gridSpan w:val="5"/>
            <w:vAlign w:val="center"/>
          </w:tcPr>
          <w:p>
            <w:pPr>
              <w:pStyle w:val="64"/>
              <w:rPr>
                <w:rFonts w:hAnsi="宋体"/>
                <w:highlight w:val="none"/>
              </w:rPr>
            </w:pPr>
            <w:r>
              <w:rPr>
                <w:rFonts w:hAnsi="宋体"/>
                <w:highlight w:val="none"/>
              </w:rPr>
              <w:t>项目建设过程中，建设单位应当在施工中期向社会公开建设项目环境保护措施进展情况、施工期的环境保护措施落实情况、施工期环境监测结果等。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83" w:type="dxa"/>
            <w:gridSpan w:val="2"/>
            <w:vMerge w:val="continue"/>
            <w:vAlign w:val="center"/>
          </w:tcPr>
          <w:p>
            <w:pPr>
              <w:pStyle w:val="64"/>
              <w:rPr>
                <w:rFonts w:hAnsi="宋体"/>
                <w:highlight w:val="none"/>
              </w:rPr>
            </w:pPr>
          </w:p>
        </w:tc>
        <w:tc>
          <w:tcPr>
            <w:tcW w:w="2184" w:type="dxa"/>
            <w:gridSpan w:val="4"/>
            <w:vAlign w:val="center"/>
          </w:tcPr>
          <w:p>
            <w:pPr>
              <w:pStyle w:val="64"/>
              <w:rPr>
                <w:rFonts w:hAnsi="宋体"/>
                <w:highlight w:val="none"/>
              </w:rPr>
            </w:pPr>
            <w:r>
              <w:rPr>
                <w:rFonts w:hAnsi="宋体"/>
                <w:highlight w:val="none"/>
              </w:rPr>
              <w:t>公开建设项目建成后的信息</w:t>
            </w:r>
          </w:p>
        </w:tc>
        <w:tc>
          <w:tcPr>
            <w:tcW w:w="10913" w:type="dxa"/>
            <w:gridSpan w:val="5"/>
            <w:vAlign w:val="center"/>
          </w:tcPr>
          <w:p>
            <w:pPr>
              <w:pStyle w:val="64"/>
              <w:rPr>
                <w:rFonts w:hAnsi="宋体"/>
                <w:highlight w:val="none"/>
              </w:rPr>
            </w:pPr>
            <w:r>
              <w:rPr>
                <w:rFonts w:hAnsi="宋体"/>
                <w:highlight w:val="none"/>
              </w:rPr>
              <w:t>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tc>
      </w:tr>
    </w:tbl>
    <w:p>
      <w:pPr>
        <w:spacing w:line="520" w:lineRule="exact"/>
        <w:ind w:firstLine="480"/>
        <w:textAlignment w:val="bottom"/>
        <w:rPr>
          <w:rFonts w:ascii="宋体" w:hAnsi="宋体"/>
          <w:szCs w:val="20"/>
          <w:highlight w:val="none"/>
        </w:rPr>
        <w:sectPr>
          <w:pgSz w:w="16840" w:h="11910" w:orient="landscape"/>
          <w:pgMar w:top="1588" w:right="1588" w:bottom="1474" w:left="1588" w:header="964" w:footer="850" w:gutter="0"/>
          <w:pgBorders>
            <w:top w:val="none" w:sz="0" w:space="0"/>
            <w:left w:val="none" w:sz="0" w:space="0"/>
            <w:bottom w:val="none" w:sz="0" w:space="0"/>
            <w:right w:val="none" w:sz="0" w:space="0"/>
          </w:pgBorders>
          <w:cols w:space="720" w:num="1"/>
          <w:docGrid w:linePitch="326" w:charSpace="0"/>
        </w:sectPr>
      </w:pPr>
    </w:p>
    <w:p>
      <w:pPr>
        <w:pStyle w:val="2"/>
        <w:ind w:firstLine="883"/>
        <w:rPr>
          <w:highlight w:val="none"/>
        </w:rPr>
      </w:pPr>
      <w:bookmarkStart w:id="374" w:name="_Toc70201053"/>
      <w:r>
        <w:rPr>
          <w:highlight w:val="none"/>
        </w:rPr>
        <w:t>第九章</w:t>
      </w:r>
      <w:r>
        <w:rPr>
          <w:rFonts w:hint="eastAsia"/>
          <w:highlight w:val="none"/>
        </w:rPr>
        <w:t xml:space="preserve">  </w:t>
      </w:r>
      <w:r>
        <w:rPr>
          <w:highlight w:val="none"/>
        </w:rPr>
        <w:t>环境影响评价结论</w:t>
      </w:r>
      <w:bookmarkEnd w:id="360"/>
      <w:bookmarkEnd w:id="374"/>
    </w:p>
    <w:p>
      <w:pPr>
        <w:pStyle w:val="3"/>
        <w:ind w:firstLine="643"/>
        <w:rPr>
          <w:rFonts w:hAnsi="宋体"/>
          <w:highlight w:val="none"/>
        </w:rPr>
      </w:pPr>
      <w:bookmarkStart w:id="375" w:name="_Toc4678530"/>
      <w:bookmarkStart w:id="376" w:name="_Toc70201054"/>
      <w:r>
        <w:rPr>
          <w:rFonts w:hAnsi="宋体"/>
          <w:highlight w:val="none"/>
        </w:rPr>
        <w:t>9.1项目建设概况</w:t>
      </w:r>
      <w:bookmarkEnd w:id="375"/>
      <w:bookmarkEnd w:id="376"/>
    </w:p>
    <w:p>
      <w:pPr>
        <w:ind w:firstLine="480"/>
        <w:rPr>
          <w:rFonts w:ascii="宋体" w:hAnsi="宋体"/>
          <w:highlight w:val="none"/>
        </w:rPr>
      </w:pPr>
      <w:bookmarkStart w:id="377" w:name="_Toc4678531"/>
      <w:r>
        <w:rPr>
          <w:rFonts w:ascii="宋体" w:hAnsi="宋体"/>
          <w:highlight w:val="none"/>
        </w:rPr>
        <w:t>山西省繁峙县垣利铁选厂30万吨/年低品位铁矿石综合利用项目基本情况见表9.1-1。</w:t>
      </w:r>
    </w:p>
    <w:p>
      <w:pPr>
        <w:pStyle w:val="65"/>
        <w:rPr>
          <w:rFonts w:hAnsi="宋体"/>
          <w:highlight w:val="none"/>
        </w:rPr>
      </w:pPr>
      <w:r>
        <w:rPr>
          <w:rFonts w:hAnsi="宋体"/>
          <w:highlight w:val="none"/>
        </w:rPr>
        <w:t>表9.1-1</w:t>
      </w:r>
      <w:r>
        <w:rPr>
          <w:rFonts w:hint="eastAsia" w:hAnsi="宋体"/>
          <w:highlight w:val="none"/>
        </w:rPr>
        <w:t xml:space="preserve">  </w:t>
      </w:r>
      <w:r>
        <w:rPr>
          <w:rFonts w:hAnsi="宋体"/>
          <w:highlight w:val="none"/>
        </w:rPr>
        <w:t>项目基本情况一览表</w:t>
      </w:r>
    </w:p>
    <w:tbl>
      <w:tblPr>
        <w:tblStyle w:val="44"/>
        <w:tblW w:w="904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2"/>
        <w:gridCol w:w="1454"/>
        <w:gridCol w:w="664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序号</w:t>
            </w:r>
          </w:p>
        </w:tc>
        <w:tc>
          <w:tcPr>
            <w:tcW w:w="1454" w:type="dxa"/>
            <w:vAlign w:val="center"/>
          </w:tcPr>
          <w:p>
            <w:pPr>
              <w:pStyle w:val="64"/>
              <w:rPr>
                <w:rFonts w:hAnsi="宋体"/>
                <w:highlight w:val="none"/>
              </w:rPr>
            </w:pPr>
            <w:r>
              <w:rPr>
                <w:rFonts w:hAnsi="宋体"/>
                <w:highlight w:val="none"/>
              </w:rPr>
              <w:t>名称</w:t>
            </w:r>
          </w:p>
        </w:tc>
        <w:tc>
          <w:tcPr>
            <w:tcW w:w="6644" w:type="dxa"/>
            <w:vAlign w:val="center"/>
          </w:tcPr>
          <w:p>
            <w:pPr>
              <w:pStyle w:val="64"/>
              <w:rPr>
                <w:rFonts w:hAnsi="宋体"/>
                <w:highlight w:val="none"/>
              </w:rPr>
            </w:pPr>
            <w:r>
              <w:rPr>
                <w:rFonts w:hAnsi="宋体"/>
                <w:highlight w:val="none"/>
              </w:rPr>
              <w:t>主要内容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1</w:t>
            </w:r>
          </w:p>
        </w:tc>
        <w:tc>
          <w:tcPr>
            <w:tcW w:w="1454" w:type="dxa"/>
            <w:vAlign w:val="center"/>
          </w:tcPr>
          <w:p>
            <w:pPr>
              <w:pStyle w:val="64"/>
              <w:rPr>
                <w:rFonts w:hAnsi="宋体"/>
                <w:highlight w:val="none"/>
              </w:rPr>
            </w:pPr>
            <w:r>
              <w:rPr>
                <w:rFonts w:hAnsi="宋体"/>
                <w:highlight w:val="none"/>
              </w:rPr>
              <w:t>项目名称</w:t>
            </w:r>
          </w:p>
        </w:tc>
        <w:tc>
          <w:tcPr>
            <w:tcW w:w="6644" w:type="dxa"/>
            <w:vAlign w:val="center"/>
          </w:tcPr>
          <w:p>
            <w:pPr>
              <w:pStyle w:val="64"/>
              <w:rPr>
                <w:rFonts w:hAnsi="宋体"/>
                <w:highlight w:val="none"/>
              </w:rPr>
            </w:pPr>
            <w:r>
              <w:rPr>
                <w:rFonts w:hAnsi="宋体"/>
                <w:highlight w:val="none"/>
              </w:rPr>
              <w:t>山西省繁峙县垣利铁选厂30万吨/年低品位铁矿石综合利用项目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2</w:t>
            </w:r>
          </w:p>
        </w:tc>
        <w:tc>
          <w:tcPr>
            <w:tcW w:w="1454" w:type="dxa"/>
            <w:vAlign w:val="center"/>
          </w:tcPr>
          <w:p>
            <w:pPr>
              <w:pStyle w:val="64"/>
              <w:rPr>
                <w:rFonts w:hAnsi="宋体"/>
                <w:highlight w:val="none"/>
              </w:rPr>
            </w:pPr>
            <w:r>
              <w:rPr>
                <w:rFonts w:hAnsi="宋体"/>
                <w:highlight w:val="none"/>
              </w:rPr>
              <w:t>建设地点</w:t>
            </w:r>
          </w:p>
        </w:tc>
        <w:tc>
          <w:tcPr>
            <w:tcW w:w="6644" w:type="dxa"/>
            <w:vAlign w:val="center"/>
          </w:tcPr>
          <w:p>
            <w:pPr>
              <w:pStyle w:val="64"/>
              <w:rPr>
                <w:rFonts w:hAnsi="宋体"/>
                <w:highlight w:val="none"/>
              </w:rPr>
            </w:pPr>
            <w:r>
              <w:rPr>
                <w:rFonts w:hAnsi="宋体"/>
                <w:highlight w:val="none"/>
              </w:rPr>
              <w:t>繁峙县光裕堡乡富家庄村东南1.52km处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942" w:type="dxa"/>
            <w:vAlign w:val="center"/>
          </w:tcPr>
          <w:p>
            <w:pPr>
              <w:pStyle w:val="64"/>
              <w:rPr>
                <w:rFonts w:hAnsi="宋体"/>
                <w:highlight w:val="none"/>
              </w:rPr>
            </w:pPr>
            <w:r>
              <w:rPr>
                <w:rFonts w:hAnsi="宋体"/>
                <w:highlight w:val="none"/>
              </w:rPr>
              <w:t>3</w:t>
            </w:r>
          </w:p>
        </w:tc>
        <w:tc>
          <w:tcPr>
            <w:tcW w:w="1454" w:type="dxa"/>
            <w:vAlign w:val="center"/>
          </w:tcPr>
          <w:p>
            <w:pPr>
              <w:pStyle w:val="64"/>
              <w:rPr>
                <w:rFonts w:hAnsi="宋体"/>
                <w:highlight w:val="none"/>
              </w:rPr>
            </w:pPr>
            <w:r>
              <w:rPr>
                <w:rFonts w:hAnsi="宋体"/>
                <w:highlight w:val="none"/>
              </w:rPr>
              <w:t>建设单位</w:t>
            </w:r>
          </w:p>
        </w:tc>
        <w:tc>
          <w:tcPr>
            <w:tcW w:w="6644" w:type="dxa"/>
            <w:vAlign w:val="center"/>
          </w:tcPr>
          <w:p>
            <w:pPr>
              <w:pStyle w:val="64"/>
              <w:rPr>
                <w:rFonts w:hAnsi="宋体"/>
                <w:highlight w:val="none"/>
              </w:rPr>
            </w:pPr>
            <w:r>
              <w:rPr>
                <w:rFonts w:hAnsi="宋体"/>
                <w:highlight w:val="none"/>
              </w:rPr>
              <w:t>山西省繁峙县垣利铁选厂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4</w:t>
            </w:r>
          </w:p>
        </w:tc>
        <w:tc>
          <w:tcPr>
            <w:tcW w:w="1454" w:type="dxa"/>
            <w:vAlign w:val="center"/>
          </w:tcPr>
          <w:p>
            <w:pPr>
              <w:pStyle w:val="64"/>
              <w:rPr>
                <w:rFonts w:hAnsi="宋体"/>
                <w:highlight w:val="none"/>
              </w:rPr>
            </w:pPr>
            <w:r>
              <w:rPr>
                <w:rFonts w:hAnsi="宋体"/>
                <w:highlight w:val="none"/>
              </w:rPr>
              <w:t>建设性质</w:t>
            </w:r>
          </w:p>
        </w:tc>
        <w:tc>
          <w:tcPr>
            <w:tcW w:w="6644" w:type="dxa"/>
            <w:vAlign w:val="center"/>
          </w:tcPr>
          <w:p>
            <w:pPr>
              <w:pStyle w:val="64"/>
              <w:rPr>
                <w:rFonts w:hAnsi="宋体"/>
                <w:highlight w:val="none"/>
              </w:rPr>
            </w:pPr>
            <w:r>
              <w:rPr>
                <w:rFonts w:hint="eastAsia" w:hAnsi="宋体"/>
                <w:highlight w:val="none"/>
              </w:rPr>
              <w:t>新</w:t>
            </w:r>
            <w:r>
              <w:rPr>
                <w:rFonts w:hAnsi="宋体"/>
                <w:highlight w:val="none"/>
              </w:rPr>
              <w:t>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5</w:t>
            </w:r>
          </w:p>
        </w:tc>
        <w:tc>
          <w:tcPr>
            <w:tcW w:w="1454" w:type="dxa"/>
            <w:vAlign w:val="center"/>
          </w:tcPr>
          <w:p>
            <w:pPr>
              <w:pStyle w:val="64"/>
              <w:rPr>
                <w:rFonts w:hAnsi="宋体"/>
                <w:highlight w:val="none"/>
              </w:rPr>
            </w:pPr>
            <w:r>
              <w:rPr>
                <w:rFonts w:hAnsi="宋体"/>
                <w:highlight w:val="none"/>
              </w:rPr>
              <w:t>建设规模</w:t>
            </w:r>
          </w:p>
        </w:tc>
        <w:tc>
          <w:tcPr>
            <w:tcW w:w="6644" w:type="dxa"/>
            <w:vAlign w:val="center"/>
          </w:tcPr>
          <w:p>
            <w:pPr>
              <w:pStyle w:val="64"/>
              <w:rPr>
                <w:rFonts w:hAnsi="宋体"/>
                <w:highlight w:val="none"/>
              </w:rPr>
            </w:pPr>
            <w:r>
              <w:rPr>
                <w:rFonts w:hAnsi="宋体"/>
                <w:highlight w:val="none"/>
              </w:rPr>
              <w:t>年处理</w:t>
            </w:r>
            <w:r>
              <w:rPr>
                <w:rFonts w:hint="eastAsia" w:hAnsi="宋体"/>
                <w:highlight w:val="none"/>
              </w:rPr>
              <w:t>3</w:t>
            </w:r>
            <w:r>
              <w:rPr>
                <w:rFonts w:hAnsi="宋体"/>
                <w:highlight w:val="none"/>
              </w:rPr>
              <w:t>0万吨铁矿石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6</w:t>
            </w:r>
          </w:p>
        </w:tc>
        <w:tc>
          <w:tcPr>
            <w:tcW w:w="1454" w:type="dxa"/>
            <w:vAlign w:val="center"/>
          </w:tcPr>
          <w:p>
            <w:pPr>
              <w:pStyle w:val="64"/>
              <w:rPr>
                <w:rFonts w:hAnsi="宋体"/>
                <w:highlight w:val="none"/>
              </w:rPr>
            </w:pPr>
            <w:r>
              <w:rPr>
                <w:rFonts w:hAnsi="宋体"/>
                <w:highlight w:val="none"/>
              </w:rPr>
              <w:t>工程投资</w:t>
            </w:r>
          </w:p>
        </w:tc>
        <w:tc>
          <w:tcPr>
            <w:tcW w:w="6644" w:type="dxa"/>
            <w:vAlign w:val="center"/>
          </w:tcPr>
          <w:p>
            <w:pPr>
              <w:pStyle w:val="64"/>
              <w:rPr>
                <w:rFonts w:hAnsi="宋体"/>
                <w:highlight w:val="none"/>
              </w:rPr>
            </w:pPr>
            <w:r>
              <w:rPr>
                <w:rFonts w:hAnsi="宋体"/>
                <w:highlight w:val="none"/>
              </w:rPr>
              <w:t>700万元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42" w:type="dxa"/>
            <w:vAlign w:val="center"/>
          </w:tcPr>
          <w:p>
            <w:pPr>
              <w:pStyle w:val="64"/>
              <w:rPr>
                <w:rFonts w:hAnsi="宋体"/>
                <w:highlight w:val="none"/>
              </w:rPr>
            </w:pPr>
            <w:r>
              <w:rPr>
                <w:rFonts w:hAnsi="宋体"/>
                <w:highlight w:val="none"/>
              </w:rPr>
              <w:t>7</w:t>
            </w:r>
          </w:p>
        </w:tc>
        <w:tc>
          <w:tcPr>
            <w:tcW w:w="1454" w:type="dxa"/>
            <w:vAlign w:val="center"/>
          </w:tcPr>
          <w:p>
            <w:pPr>
              <w:pStyle w:val="64"/>
              <w:rPr>
                <w:rFonts w:hAnsi="宋体"/>
                <w:highlight w:val="none"/>
              </w:rPr>
            </w:pPr>
            <w:r>
              <w:rPr>
                <w:rFonts w:hAnsi="宋体"/>
                <w:highlight w:val="none"/>
              </w:rPr>
              <w:t>占地面积</w:t>
            </w:r>
          </w:p>
        </w:tc>
        <w:tc>
          <w:tcPr>
            <w:tcW w:w="6644" w:type="dxa"/>
            <w:vAlign w:val="center"/>
          </w:tcPr>
          <w:p>
            <w:pPr>
              <w:pStyle w:val="64"/>
              <w:rPr>
                <w:rFonts w:hAnsi="宋体"/>
                <w:highlight w:val="none"/>
              </w:rPr>
            </w:pPr>
            <w:r>
              <w:rPr>
                <w:rFonts w:hint="eastAsia" w:hAnsi="宋体"/>
                <w:highlight w:val="none"/>
              </w:rPr>
              <w:t>32800</w:t>
            </w:r>
            <w:r>
              <w:rPr>
                <w:rFonts w:hAnsi="宋体"/>
                <w:highlight w:val="none"/>
              </w:rPr>
              <w:t>m</w:t>
            </w:r>
            <w:r>
              <w:rPr>
                <w:rFonts w:hAnsi="宋体"/>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942" w:type="dxa"/>
            <w:vAlign w:val="center"/>
          </w:tcPr>
          <w:p>
            <w:pPr>
              <w:pStyle w:val="64"/>
              <w:rPr>
                <w:rFonts w:hAnsi="宋体"/>
                <w:highlight w:val="none"/>
              </w:rPr>
            </w:pPr>
            <w:r>
              <w:rPr>
                <w:rFonts w:hAnsi="宋体"/>
                <w:highlight w:val="none"/>
              </w:rPr>
              <w:t>8</w:t>
            </w:r>
          </w:p>
        </w:tc>
        <w:tc>
          <w:tcPr>
            <w:tcW w:w="1454" w:type="dxa"/>
            <w:vAlign w:val="center"/>
          </w:tcPr>
          <w:p>
            <w:pPr>
              <w:pStyle w:val="64"/>
              <w:rPr>
                <w:rFonts w:hAnsi="宋体"/>
                <w:highlight w:val="none"/>
              </w:rPr>
            </w:pPr>
            <w:r>
              <w:rPr>
                <w:rFonts w:hAnsi="宋体"/>
                <w:highlight w:val="none"/>
              </w:rPr>
              <w:t>工作制度</w:t>
            </w:r>
          </w:p>
        </w:tc>
        <w:tc>
          <w:tcPr>
            <w:tcW w:w="6644" w:type="dxa"/>
            <w:vAlign w:val="center"/>
          </w:tcPr>
          <w:p>
            <w:pPr>
              <w:pStyle w:val="64"/>
              <w:rPr>
                <w:rFonts w:hAnsi="宋体"/>
                <w:highlight w:val="none"/>
              </w:rPr>
            </w:pPr>
            <w:r>
              <w:rPr>
                <w:rFonts w:hAnsi="宋体"/>
                <w:highlight w:val="none"/>
              </w:rPr>
              <w:t>3</w:t>
            </w:r>
            <w:r>
              <w:rPr>
                <w:rFonts w:hint="eastAsia" w:hAnsi="宋体"/>
                <w:highlight w:val="none"/>
              </w:rPr>
              <w:t>0</w:t>
            </w:r>
            <w:r>
              <w:rPr>
                <w:rFonts w:hAnsi="宋体"/>
                <w:highlight w:val="none"/>
              </w:rPr>
              <w:t>0d/a，</w:t>
            </w:r>
            <w:r>
              <w:rPr>
                <w:rFonts w:hint="eastAsia" w:hAnsi="宋体"/>
                <w:highlight w:val="none"/>
              </w:rPr>
              <w:t>24</w:t>
            </w:r>
            <w:r>
              <w:rPr>
                <w:rFonts w:hAnsi="宋体"/>
                <w:highlight w:val="none"/>
              </w:rPr>
              <w:t>h/d，两班制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942" w:type="dxa"/>
            <w:vAlign w:val="center"/>
          </w:tcPr>
          <w:p>
            <w:pPr>
              <w:pStyle w:val="64"/>
              <w:rPr>
                <w:rFonts w:hAnsi="宋体"/>
                <w:highlight w:val="none"/>
              </w:rPr>
            </w:pPr>
            <w:r>
              <w:rPr>
                <w:rFonts w:hAnsi="宋体"/>
                <w:highlight w:val="none"/>
              </w:rPr>
              <w:t>9</w:t>
            </w:r>
          </w:p>
        </w:tc>
        <w:tc>
          <w:tcPr>
            <w:tcW w:w="1454" w:type="dxa"/>
            <w:vAlign w:val="center"/>
          </w:tcPr>
          <w:p>
            <w:pPr>
              <w:pStyle w:val="64"/>
              <w:rPr>
                <w:rFonts w:hAnsi="宋体"/>
                <w:highlight w:val="none"/>
              </w:rPr>
            </w:pPr>
            <w:r>
              <w:rPr>
                <w:rFonts w:hAnsi="宋体"/>
                <w:highlight w:val="none"/>
              </w:rPr>
              <w:t>劳动定员</w:t>
            </w:r>
          </w:p>
        </w:tc>
        <w:tc>
          <w:tcPr>
            <w:tcW w:w="6644" w:type="dxa"/>
            <w:vAlign w:val="center"/>
          </w:tcPr>
          <w:p>
            <w:pPr>
              <w:pStyle w:val="64"/>
              <w:rPr>
                <w:rFonts w:hAnsi="宋体"/>
                <w:highlight w:val="none"/>
              </w:rPr>
            </w:pPr>
            <w:r>
              <w:rPr>
                <w:rFonts w:hAnsi="宋体"/>
                <w:highlight w:val="none"/>
              </w:rPr>
              <w:t>15人</w:t>
            </w:r>
          </w:p>
        </w:tc>
      </w:tr>
    </w:tbl>
    <w:p>
      <w:pPr>
        <w:pStyle w:val="3"/>
        <w:ind w:firstLine="643"/>
        <w:rPr>
          <w:rFonts w:hAnsi="宋体"/>
          <w:highlight w:val="none"/>
        </w:rPr>
      </w:pPr>
      <w:bookmarkStart w:id="378" w:name="_Toc70201055"/>
      <w:r>
        <w:rPr>
          <w:rFonts w:hAnsi="宋体"/>
          <w:highlight w:val="none"/>
        </w:rPr>
        <w:t>9.2环境质量现状评价</w:t>
      </w:r>
      <w:bookmarkEnd w:id="377"/>
      <w:bookmarkEnd w:id="378"/>
    </w:p>
    <w:p>
      <w:pPr>
        <w:pStyle w:val="4"/>
        <w:ind w:firstLine="562"/>
        <w:rPr>
          <w:rFonts w:hAnsi="宋体"/>
          <w:highlight w:val="none"/>
        </w:rPr>
      </w:pPr>
      <w:bookmarkStart w:id="379" w:name="_Toc4678532"/>
      <w:r>
        <w:rPr>
          <w:rFonts w:hAnsi="宋体"/>
          <w:highlight w:val="none"/>
        </w:rPr>
        <w:t>9.2.1环境空气质量现状评价</w:t>
      </w:r>
      <w:bookmarkEnd w:id="379"/>
    </w:p>
    <w:p>
      <w:pPr>
        <w:pStyle w:val="62"/>
        <w:ind w:firstLine="480"/>
        <w:rPr>
          <w:rFonts w:hAnsi="宋体" w:cstheme="minorBidi"/>
          <w:bCs/>
          <w:highlight w:val="none"/>
        </w:rPr>
      </w:pPr>
      <w:bookmarkStart w:id="380" w:name="_Toc4678533"/>
      <w:r>
        <w:rPr>
          <w:rFonts w:hint="eastAsia"/>
          <w:highlight w:val="none"/>
        </w:rPr>
        <w:t>本项目环境空气质量例行监测资料引用忻州市</w:t>
      </w:r>
      <w:r>
        <w:rPr>
          <w:highlight w:val="none"/>
        </w:rPr>
        <w:t>2021年1月1日-2021年12月31日环境空气质量主要污染物浓度分析表</w:t>
      </w:r>
      <w:r>
        <w:rPr>
          <w:rFonts w:hint="eastAsia" w:hAnsi="宋体"/>
          <w:highlight w:val="none"/>
        </w:rPr>
        <w:t>。</w:t>
      </w:r>
      <w:r>
        <w:rPr>
          <w:rFonts w:hAnsi="宋体"/>
          <w:snapToGrid w:val="0"/>
          <w:kern w:val="0"/>
          <w:highlight w:val="none"/>
        </w:rPr>
        <w:t>由监测数据可以看出，繁峙县20</w:t>
      </w:r>
      <w:r>
        <w:rPr>
          <w:rFonts w:hint="eastAsia" w:hAnsi="宋体"/>
          <w:snapToGrid w:val="0"/>
          <w:kern w:val="0"/>
          <w:highlight w:val="none"/>
        </w:rPr>
        <w:t>2</w:t>
      </w:r>
      <w:r>
        <w:rPr>
          <w:rFonts w:hint="eastAsia" w:hAnsi="宋体"/>
          <w:snapToGrid w:val="0"/>
          <w:kern w:val="0"/>
          <w:highlight w:val="none"/>
          <w:lang w:val="en-US" w:eastAsia="zh-CN"/>
        </w:rPr>
        <w:t>1</w:t>
      </w:r>
      <w:r>
        <w:rPr>
          <w:rFonts w:hAnsi="宋体"/>
          <w:snapToGrid w:val="0"/>
          <w:kern w:val="0"/>
          <w:highlight w:val="none"/>
        </w:rPr>
        <w:t>年全年环境空气</w:t>
      </w:r>
      <w:r>
        <w:rPr>
          <w:rFonts w:hAnsi="宋体" w:cstheme="minorBidi"/>
          <w:bCs/>
          <w:highlight w:val="none"/>
        </w:rPr>
        <w:t>例行监测因子NO</w:t>
      </w:r>
      <w:r>
        <w:rPr>
          <w:rFonts w:hAnsi="宋体" w:cstheme="minorBidi"/>
          <w:bCs/>
          <w:highlight w:val="none"/>
          <w:vertAlign w:val="subscript"/>
        </w:rPr>
        <w:t>2</w:t>
      </w:r>
      <w:r>
        <w:rPr>
          <w:rFonts w:hAnsi="宋体" w:cstheme="minorBidi"/>
          <w:bCs/>
          <w:highlight w:val="none"/>
        </w:rPr>
        <w:t>、CO、PM</w:t>
      </w:r>
      <w:r>
        <w:rPr>
          <w:rFonts w:hAnsi="宋体" w:cstheme="minorBidi"/>
          <w:bCs/>
          <w:highlight w:val="none"/>
          <w:vertAlign w:val="subscript"/>
        </w:rPr>
        <w:t>2.5</w:t>
      </w:r>
      <w:r>
        <w:rPr>
          <w:rFonts w:hAnsi="宋体" w:cstheme="minorBidi"/>
          <w:bCs/>
          <w:highlight w:val="none"/>
        </w:rPr>
        <w:t>、SO</w:t>
      </w:r>
      <w:r>
        <w:rPr>
          <w:rFonts w:hAnsi="宋体" w:cstheme="minorBidi"/>
          <w:bCs/>
          <w:highlight w:val="none"/>
          <w:vertAlign w:val="subscript"/>
        </w:rPr>
        <w:t>2</w:t>
      </w:r>
      <w:r>
        <w:rPr>
          <w:rFonts w:hAnsi="宋体" w:cstheme="minorBidi"/>
          <w:bCs/>
          <w:highlight w:val="none"/>
        </w:rPr>
        <w:t>、O</w:t>
      </w:r>
      <w:r>
        <w:rPr>
          <w:rFonts w:hAnsi="宋体" w:cstheme="minorBidi"/>
          <w:bCs/>
          <w:highlight w:val="none"/>
          <w:vertAlign w:val="subscript"/>
        </w:rPr>
        <w:t>3</w:t>
      </w:r>
      <w:r>
        <w:rPr>
          <w:rFonts w:hAnsi="宋体" w:cstheme="minorBidi"/>
          <w:bCs/>
          <w:highlight w:val="none"/>
        </w:rPr>
        <w:t>年均值</w:t>
      </w:r>
      <w:r>
        <w:rPr>
          <w:rFonts w:hint="eastAsia" w:hAnsi="宋体" w:cstheme="minorBidi"/>
          <w:bCs/>
          <w:highlight w:val="none"/>
          <w:lang w:val="en-US" w:eastAsia="zh-CN"/>
        </w:rPr>
        <w:t>未</w:t>
      </w:r>
      <w:r>
        <w:rPr>
          <w:rFonts w:hAnsi="宋体" w:cstheme="minorBidi"/>
          <w:bCs/>
          <w:highlight w:val="none"/>
        </w:rPr>
        <w:t>超过《环境空气质量标准》中的二级标准，PM</w:t>
      </w:r>
      <w:r>
        <w:rPr>
          <w:rFonts w:hAnsi="宋体" w:cstheme="minorBidi"/>
          <w:bCs/>
          <w:highlight w:val="none"/>
          <w:vertAlign w:val="subscript"/>
        </w:rPr>
        <w:t>10</w:t>
      </w:r>
      <w:r>
        <w:rPr>
          <w:rFonts w:hAnsi="宋体" w:cstheme="minorBidi"/>
          <w:bCs/>
          <w:highlight w:val="none"/>
        </w:rPr>
        <w:t>年均值超过《环境空气质量标准》中的二级标准，监测结果表明，项目所在地为不达标区。</w:t>
      </w:r>
    </w:p>
    <w:p>
      <w:pPr>
        <w:ind w:firstLine="480"/>
        <w:rPr>
          <w:rFonts w:ascii="宋体" w:hAnsi="宋体"/>
          <w:bCs/>
          <w:highlight w:val="none"/>
        </w:rPr>
      </w:pPr>
      <w:r>
        <w:rPr>
          <w:rFonts w:ascii="宋体" w:hAnsi="宋体"/>
          <w:bCs/>
          <w:highlight w:val="none"/>
        </w:rPr>
        <w:t>为了了解环境现状，建设单位委托北京京畿分析测试中心有限公司对项目的特征污染物TSP进行了现状监测，监测结果表明，项目厂址和光裕堡村两个监测点位处TSP的24h平均浓度值均达到《环境空气质量标准》（GB3095-2012）中二级标准限值。</w:t>
      </w:r>
    </w:p>
    <w:p>
      <w:pPr>
        <w:pStyle w:val="4"/>
        <w:ind w:firstLine="562"/>
        <w:rPr>
          <w:rFonts w:hAnsi="宋体"/>
          <w:highlight w:val="none"/>
        </w:rPr>
      </w:pPr>
      <w:r>
        <w:rPr>
          <w:rFonts w:hAnsi="宋体"/>
          <w:highlight w:val="none"/>
        </w:rPr>
        <w:t>9.2.2地表水环境质量现状评价</w:t>
      </w:r>
      <w:bookmarkEnd w:id="380"/>
    </w:p>
    <w:p>
      <w:pPr>
        <w:ind w:firstLine="480"/>
        <w:rPr>
          <w:rFonts w:ascii="宋体" w:hAnsi="宋体"/>
          <w:bCs/>
          <w:highlight w:val="none"/>
        </w:rPr>
      </w:pPr>
      <w:r>
        <w:rPr>
          <w:rFonts w:hint="eastAsia" w:ascii="宋体" w:hAnsi="宋体"/>
          <w:bCs/>
          <w:highlight w:val="none"/>
        </w:rPr>
        <w:t>本次评价收集到忻州市水防办2021年3月10日发布的《2021年1月忻州市地表水监测断面水质情况月报》。从监测可以看出，滹沱河2021年1月水质不能满足III类水质要求。</w:t>
      </w:r>
    </w:p>
    <w:p>
      <w:pPr>
        <w:pStyle w:val="4"/>
        <w:ind w:firstLine="562"/>
        <w:rPr>
          <w:rFonts w:hAnsi="宋体"/>
          <w:highlight w:val="none"/>
        </w:rPr>
      </w:pPr>
      <w:r>
        <w:rPr>
          <w:rFonts w:hAnsi="宋体"/>
          <w:highlight w:val="none"/>
        </w:rPr>
        <w:t>9.2.3地下水环境质量现状</w:t>
      </w:r>
    </w:p>
    <w:p>
      <w:pPr>
        <w:ind w:firstLine="480"/>
        <w:rPr>
          <w:rFonts w:ascii="宋体" w:hAnsi="宋体"/>
          <w:highlight w:val="none"/>
        </w:rPr>
      </w:pPr>
      <w:bookmarkStart w:id="381" w:name="_Toc4678534"/>
      <w:r>
        <w:rPr>
          <w:rFonts w:ascii="宋体" w:hAnsi="宋体"/>
          <w:highlight w:val="none"/>
        </w:rPr>
        <w:t>根据当地居民饮用水实际状况，地下水环境质量现状监测布设7个水质监测点、14个水位监测点，从监测结果可以看出各监测点各监测指标监测结果均满足《地下水质量标准》（GB/T14848-2017）中Ⅲ类标准限值，且部分监测项目均低于检出限。</w:t>
      </w:r>
    </w:p>
    <w:p>
      <w:pPr>
        <w:pStyle w:val="4"/>
        <w:ind w:firstLine="562"/>
        <w:rPr>
          <w:rFonts w:hAnsi="宋体"/>
          <w:highlight w:val="none"/>
        </w:rPr>
      </w:pPr>
      <w:r>
        <w:rPr>
          <w:rFonts w:hAnsi="宋体"/>
          <w:highlight w:val="none"/>
        </w:rPr>
        <w:t>9.2.4声环境质量现状评价</w:t>
      </w:r>
      <w:bookmarkEnd w:id="381"/>
    </w:p>
    <w:p>
      <w:pPr>
        <w:ind w:firstLine="480"/>
        <w:rPr>
          <w:rFonts w:ascii="宋体" w:hAnsi="宋体"/>
          <w:bCs/>
          <w:highlight w:val="none"/>
        </w:rPr>
      </w:pPr>
      <w:bookmarkStart w:id="382" w:name="_Toc4678535"/>
      <w:r>
        <w:rPr>
          <w:rFonts w:ascii="宋体" w:hAnsi="宋体"/>
          <w:bCs/>
          <w:highlight w:val="none"/>
        </w:rPr>
        <w:t>噪声监测结果表明：</w:t>
      </w:r>
      <w:r>
        <w:rPr>
          <w:rFonts w:hint="eastAsia" w:ascii="宋体" w:hAnsi="宋体"/>
          <w:bCs/>
          <w:highlight w:val="none"/>
        </w:rPr>
        <w:t>厂界各测点昼间等效声级值范围在48.3~51.6dB（A）之间，夜间等效声级值范围在42.7~44.1（A）之间，均符合《声环境质量标准》（GB3096-2008）2类标准限值要求。尾矿库各测点昼间等效声级值范围在49.8~52.3dB（A）之间，夜间等效声级值范围在41.6~43.2（A）之间，均符合《声环境质量标准》（GB3096-2008）2类标准限值要求。</w:t>
      </w:r>
    </w:p>
    <w:p>
      <w:pPr>
        <w:pStyle w:val="4"/>
        <w:ind w:firstLine="562"/>
        <w:rPr>
          <w:rFonts w:hAnsi="宋体"/>
          <w:highlight w:val="none"/>
        </w:rPr>
      </w:pPr>
      <w:r>
        <w:rPr>
          <w:rFonts w:hAnsi="宋体"/>
          <w:highlight w:val="none"/>
        </w:rPr>
        <w:t>9.2.5土壤环境现状评价</w:t>
      </w:r>
    </w:p>
    <w:bookmarkEnd w:id="382"/>
    <w:p>
      <w:pPr>
        <w:ind w:firstLine="480"/>
        <w:rPr>
          <w:rFonts w:ascii="宋体" w:hAnsi="宋体"/>
          <w:bCs/>
          <w:highlight w:val="none"/>
        </w:rPr>
      </w:pPr>
      <w:bookmarkStart w:id="383" w:name="_Toc4678536"/>
      <w:r>
        <w:rPr>
          <w:rFonts w:ascii="宋体" w:hAnsi="宋体"/>
          <w:bCs/>
          <w:highlight w:val="none"/>
        </w:rPr>
        <w:t>土壤监测结果表明：</w:t>
      </w:r>
      <w:r>
        <w:rPr>
          <w:rFonts w:hint="eastAsia" w:ascii="宋体" w:hAnsi="宋体"/>
          <w:bCs/>
          <w:highlight w:val="none"/>
        </w:rPr>
        <w:t>厂址土壤各监测点位检出物质中的镉、汞、六介铬、砷、铜、铅和镍均低于《土壤环境质量建设用地土壤污染风险管控标准（试行）》（GB36600-2018）表1建设用地土壤污染风险中第二类用地筛选值；尾矿库各监测点位检出物质中的镉、汞、砷、铜、铬、铅、镍和锌均低于《土壤环境质量农用地土壤污染风险管控标准》（GB15618-2018）（试行）中表1农用地土壤污染风险筛选值。总体来讲，项目所在场地土壤环境质量良好。</w:t>
      </w:r>
    </w:p>
    <w:p>
      <w:pPr>
        <w:pStyle w:val="3"/>
        <w:ind w:firstLine="643"/>
        <w:rPr>
          <w:rFonts w:hAnsi="宋体"/>
          <w:highlight w:val="none"/>
        </w:rPr>
      </w:pPr>
      <w:bookmarkStart w:id="384" w:name="_Toc70201056"/>
      <w:r>
        <w:rPr>
          <w:rFonts w:hAnsi="宋体"/>
          <w:highlight w:val="none"/>
        </w:rPr>
        <w:t>9.3主要环境影响</w:t>
      </w:r>
      <w:bookmarkEnd w:id="383"/>
      <w:bookmarkEnd w:id="384"/>
    </w:p>
    <w:p>
      <w:pPr>
        <w:ind w:firstLine="480"/>
        <w:rPr>
          <w:rFonts w:ascii="宋体" w:hAnsi="宋体"/>
          <w:bCs/>
          <w:highlight w:val="none"/>
        </w:rPr>
      </w:pPr>
      <w:bookmarkStart w:id="385" w:name="_Toc4678541"/>
      <w:r>
        <w:rPr>
          <w:rFonts w:ascii="宋体" w:hAnsi="宋体"/>
          <w:bCs/>
          <w:highlight w:val="none"/>
        </w:rPr>
        <w:t>1</w:t>
      </w:r>
      <w:r>
        <w:rPr>
          <w:rFonts w:hint="eastAsia" w:ascii="宋体" w:hAnsi="宋体"/>
          <w:bCs/>
          <w:highlight w:val="none"/>
        </w:rPr>
        <w:t>、</w:t>
      </w:r>
      <w:r>
        <w:rPr>
          <w:rFonts w:ascii="宋体" w:hAnsi="宋体"/>
          <w:bCs/>
          <w:highlight w:val="none"/>
        </w:rPr>
        <w:t>大气环境</w:t>
      </w:r>
    </w:p>
    <w:p>
      <w:pPr>
        <w:ind w:firstLine="480"/>
        <w:rPr>
          <w:rFonts w:ascii="宋体" w:hAnsi="宋体"/>
          <w:bCs/>
          <w:highlight w:val="none"/>
        </w:rPr>
      </w:pPr>
      <w:r>
        <w:rPr>
          <w:rFonts w:ascii="宋体" w:hAnsi="宋体"/>
          <w:bCs/>
          <w:highlight w:val="none"/>
        </w:rPr>
        <w:t>本项目运营期产生的大气污染源主要为石料破碎、</w:t>
      </w:r>
      <w:r>
        <w:rPr>
          <w:rFonts w:hint="eastAsia" w:ascii="宋体" w:hAnsi="宋体"/>
          <w:bCs/>
          <w:highlight w:val="none"/>
        </w:rPr>
        <w:t>干选</w:t>
      </w:r>
      <w:r>
        <w:rPr>
          <w:rFonts w:ascii="宋体" w:hAnsi="宋体"/>
          <w:bCs/>
          <w:highlight w:val="none"/>
        </w:rPr>
        <w:t>过程产生</w:t>
      </w:r>
      <w:r>
        <w:rPr>
          <w:rFonts w:hint="eastAsia" w:ascii="宋体" w:hAnsi="宋体"/>
          <w:bCs/>
          <w:highlight w:val="none"/>
        </w:rPr>
        <w:t>的</w:t>
      </w:r>
      <w:r>
        <w:rPr>
          <w:rFonts w:ascii="宋体" w:hAnsi="宋体"/>
          <w:bCs/>
          <w:highlight w:val="none"/>
        </w:rPr>
        <w:t>粉尘；原料、废石、成品库房产生的粉尘；尾矿库产生的粉尘。</w:t>
      </w:r>
    </w:p>
    <w:p>
      <w:pPr>
        <w:ind w:firstLine="480"/>
        <w:rPr>
          <w:rFonts w:ascii="宋体" w:hAnsi="宋体"/>
          <w:bCs/>
          <w:highlight w:val="none"/>
        </w:rPr>
      </w:pPr>
      <w:r>
        <w:rPr>
          <w:rFonts w:ascii="宋体" w:hAnsi="宋体"/>
          <w:bCs/>
          <w:highlight w:val="none"/>
        </w:rPr>
        <w:t>2</w:t>
      </w:r>
      <w:r>
        <w:rPr>
          <w:rFonts w:hint="eastAsia" w:ascii="宋体" w:hAnsi="宋体"/>
          <w:bCs/>
          <w:highlight w:val="none"/>
        </w:rPr>
        <w:t>、</w:t>
      </w:r>
      <w:r>
        <w:rPr>
          <w:rFonts w:ascii="宋体" w:hAnsi="宋体"/>
          <w:bCs/>
          <w:highlight w:val="none"/>
        </w:rPr>
        <w:t>水环境</w:t>
      </w:r>
    </w:p>
    <w:p>
      <w:pPr>
        <w:ind w:firstLine="480"/>
        <w:rPr>
          <w:rFonts w:ascii="宋体" w:hAnsi="宋体"/>
          <w:bCs/>
          <w:highlight w:val="none"/>
        </w:rPr>
      </w:pPr>
      <w:r>
        <w:rPr>
          <w:rFonts w:ascii="宋体" w:hAnsi="宋体"/>
          <w:bCs/>
          <w:highlight w:val="none"/>
        </w:rPr>
        <w:t>本项目生产运营过程中产生的废水主要为生活污水和生产废水。</w:t>
      </w:r>
    </w:p>
    <w:p>
      <w:pPr>
        <w:ind w:firstLine="480"/>
        <w:rPr>
          <w:rFonts w:ascii="宋体" w:hAnsi="宋体"/>
          <w:bCs/>
          <w:highlight w:val="none"/>
        </w:rPr>
      </w:pPr>
      <w:r>
        <w:rPr>
          <w:rFonts w:ascii="宋体" w:hAnsi="宋体"/>
          <w:bCs/>
          <w:highlight w:val="none"/>
        </w:rPr>
        <w:t>3</w:t>
      </w:r>
      <w:r>
        <w:rPr>
          <w:rFonts w:hint="eastAsia" w:ascii="宋体" w:hAnsi="宋体"/>
          <w:bCs/>
          <w:highlight w:val="none"/>
        </w:rPr>
        <w:t>、</w:t>
      </w:r>
      <w:r>
        <w:rPr>
          <w:rFonts w:ascii="宋体" w:hAnsi="宋体"/>
          <w:bCs/>
          <w:highlight w:val="none"/>
        </w:rPr>
        <w:t>固体废物</w:t>
      </w:r>
    </w:p>
    <w:p>
      <w:pPr>
        <w:ind w:firstLine="480"/>
        <w:rPr>
          <w:rFonts w:ascii="宋体" w:hAnsi="宋体"/>
          <w:bCs/>
          <w:highlight w:val="none"/>
        </w:rPr>
      </w:pPr>
      <w:r>
        <w:rPr>
          <w:rFonts w:ascii="宋体" w:hAnsi="宋体"/>
          <w:bCs/>
          <w:highlight w:val="none"/>
        </w:rPr>
        <w:t>本项目产生的固体废物主要有生活垃圾、除尘灰、废石和废机油。</w:t>
      </w:r>
    </w:p>
    <w:p>
      <w:pPr>
        <w:ind w:firstLine="480"/>
        <w:rPr>
          <w:rFonts w:ascii="宋体" w:hAnsi="宋体"/>
          <w:bCs/>
          <w:highlight w:val="none"/>
        </w:rPr>
      </w:pPr>
      <w:r>
        <w:rPr>
          <w:rFonts w:ascii="宋体" w:hAnsi="宋体"/>
          <w:bCs/>
          <w:highlight w:val="none"/>
        </w:rPr>
        <w:t>4</w:t>
      </w:r>
      <w:r>
        <w:rPr>
          <w:rFonts w:hint="eastAsia" w:ascii="宋体" w:hAnsi="宋体"/>
          <w:bCs/>
          <w:highlight w:val="none"/>
        </w:rPr>
        <w:t>、</w:t>
      </w:r>
      <w:r>
        <w:rPr>
          <w:rFonts w:ascii="宋体" w:hAnsi="宋体"/>
          <w:bCs/>
          <w:highlight w:val="none"/>
        </w:rPr>
        <w:t>声环境</w:t>
      </w:r>
    </w:p>
    <w:p>
      <w:pPr>
        <w:ind w:firstLine="480"/>
        <w:rPr>
          <w:rFonts w:ascii="宋体" w:hAnsi="宋体"/>
          <w:bCs/>
          <w:highlight w:val="none"/>
        </w:rPr>
      </w:pPr>
      <w:r>
        <w:rPr>
          <w:rFonts w:ascii="宋体" w:hAnsi="宋体"/>
          <w:bCs/>
          <w:highlight w:val="none"/>
        </w:rPr>
        <w:t>本项目噪声源主要为颚式破碎机、锥形破碎机、干选机、</w:t>
      </w:r>
      <w:r>
        <w:rPr>
          <w:rFonts w:hint="eastAsia" w:ascii="宋体" w:hAnsi="宋体"/>
          <w:bCs/>
          <w:highlight w:val="none"/>
        </w:rPr>
        <w:t>球磨机、</w:t>
      </w:r>
      <w:r>
        <w:rPr>
          <w:rFonts w:ascii="宋体" w:hAnsi="宋体"/>
          <w:bCs/>
          <w:highlight w:val="none"/>
        </w:rPr>
        <w:t>强磁辊、风机和运输车辆等噪声，设备噪声水平在70~1</w:t>
      </w:r>
      <w:r>
        <w:rPr>
          <w:rFonts w:hint="eastAsia" w:ascii="宋体" w:hAnsi="宋体"/>
          <w:bCs/>
          <w:highlight w:val="none"/>
        </w:rPr>
        <w:t>1</w:t>
      </w:r>
      <w:r>
        <w:rPr>
          <w:rFonts w:ascii="宋体" w:hAnsi="宋体"/>
          <w:bCs/>
          <w:highlight w:val="none"/>
        </w:rPr>
        <w:t>0dB(A)之间。</w:t>
      </w:r>
    </w:p>
    <w:bookmarkEnd w:id="385"/>
    <w:p>
      <w:pPr>
        <w:pStyle w:val="3"/>
        <w:ind w:firstLine="643"/>
        <w:rPr>
          <w:rFonts w:hAnsi="宋体"/>
          <w:highlight w:val="none"/>
        </w:rPr>
      </w:pPr>
      <w:bookmarkStart w:id="386" w:name="_Toc4678548"/>
      <w:bookmarkStart w:id="387" w:name="_Toc70201057"/>
      <w:r>
        <w:rPr>
          <w:rFonts w:hAnsi="宋体"/>
          <w:highlight w:val="none"/>
        </w:rPr>
        <w:t>9.4环境保护措施</w:t>
      </w:r>
      <w:bookmarkEnd w:id="386"/>
      <w:bookmarkEnd w:id="387"/>
    </w:p>
    <w:p>
      <w:pPr>
        <w:pStyle w:val="4"/>
        <w:ind w:firstLine="562"/>
        <w:rPr>
          <w:rFonts w:hAnsi="宋体"/>
          <w:highlight w:val="none"/>
        </w:rPr>
      </w:pPr>
      <w:bookmarkStart w:id="388" w:name="_Toc4678549"/>
      <w:r>
        <w:rPr>
          <w:rFonts w:hAnsi="宋体"/>
          <w:highlight w:val="none"/>
        </w:rPr>
        <w:t>9.4.1大气污染防治措施</w:t>
      </w:r>
      <w:bookmarkEnd w:id="388"/>
    </w:p>
    <w:p>
      <w:pPr>
        <w:ind w:firstLine="480"/>
        <w:rPr>
          <w:rFonts w:ascii="宋体" w:hAnsi="宋体"/>
          <w:bCs/>
          <w:highlight w:val="none"/>
        </w:rPr>
      </w:pPr>
      <w:bookmarkStart w:id="389" w:name="_Toc4678550"/>
      <w:r>
        <w:rPr>
          <w:rFonts w:ascii="宋体" w:hAnsi="宋体"/>
          <w:bCs/>
          <w:highlight w:val="none"/>
        </w:rPr>
        <w:t>大气污染物治理措施见表9.4-</w:t>
      </w:r>
      <w:r>
        <w:rPr>
          <w:rFonts w:hint="eastAsia" w:ascii="宋体" w:hAnsi="宋体"/>
          <w:bCs/>
          <w:highlight w:val="none"/>
        </w:rPr>
        <w:t>1。</w:t>
      </w:r>
    </w:p>
    <w:p>
      <w:pPr>
        <w:ind w:firstLine="480"/>
        <w:jc w:val="center"/>
        <w:rPr>
          <w:rFonts w:ascii="宋体" w:hAnsi="宋体"/>
          <w:bCs/>
          <w:highlight w:val="none"/>
        </w:rPr>
      </w:pPr>
      <w:r>
        <w:rPr>
          <w:rFonts w:ascii="宋体" w:hAnsi="宋体"/>
          <w:bCs/>
          <w:highlight w:val="none"/>
        </w:rPr>
        <w:t>表9.4-1</w:t>
      </w:r>
      <w:r>
        <w:rPr>
          <w:rFonts w:hint="eastAsia" w:ascii="宋体" w:hAnsi="宋体"/>
          <w:bCs/>
          <w:highlight w:val="none"/>
        </w:rPr>
        <w:t xml:space="preserve">  </w:t>
      </w:r>
      <w:r>
        <w:rPr>
          <w:rFonts w:ascii="宋体" w:hAnsi="宋体"/>
          <w:bCs/>
          <w:highlight w:val="none"/>
        </w:rPr>
        <w:t>大气污染物治理措施</w:t>
      </w:r>
    </w:p>
    <w:tbl>
      <w:tblPr>
        <w:tblStyle w:val="44"/>
        <w:tblW w:w="89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1134"/>
        <w:gridCol w:w="1134"/>
        <w:gridCol w:w="543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42" w:type="dxa"/>
            <w:vAlign w:val="center"/>
          </w:tcPr>
          <w:p>
            <w:pPr>
              <w:pStyle w:val="64"/>
              <w:rPr>
                <w:rFonts w:hAnsi="宋体"/>
                <w:highlight w:val="none"/>
              </w:rPr>
            </w:pPr>
            <w:r>
              <w:rPr>
                <w:rFonts w:hAnsi="宋体"/>
                <w:spacing w:val="2"/>
                <w:highlight w:val="none"/>
              </w:rPr>
              <w:t>装</w:t>
            </w:r>
            <w:r>
              <w:rPr>
                <w:rFonts w:hAnsi="宋体"/>
                <w:highlight w:val="none"/>
              </w:rPr>
              <w:t>置</w:t>
            </w:r>
          </w:p>
        </w:tc>
        <w:tc>
          <w:tcPr>
            <w:tcW w:w="1134" w:type="dxa"/>
            <w:vAlign w:val="center"/>
          </w:tcPr>
          <w:p>
            <w:pPr>
              <w:pStyle w:val="64"/>
              <w:rPr>
                <w:rFonts w:hAnsi="宋体"/>
                <w:highlight w:val="none"/>
              </w:rPr>
            </w:pPr>
            <w:r>
              <w:rPr>
                <w:rFonts w:hAnsi="宋体"/>
                <w:spacing w:val="1"/>
                <w:w w:val="95"/>
                <w:highlight w:val="none"/>
              </w:rPr>
              <w:t>污</w:t>
            </w:r>
            <w:r>
              <w:rPr>
                <w:rFonts w:hAnsi="宋体"/>
                <w:w w:val="95"/>
                <w:highlight w:val="none"/>
              </w:rPr>
              <w:t>染</w:t>
            </w:r>
            <w:r>
              <w:rPr>
                <w:rFonts w:hAnsi="宋体"/>
                <w:highlight w:val="none"/>
              </w:rPr>
              <w:t>源</w:t>
            </w:r>
          </w:p>
        </w:tc>
        <w:tc>
          <w:tcPr>
            <w:tcW w:w="1134" w:type="dxa"/>
            <w:vAlign w:val="center"/>
          </w:tcPr>
          <w:p>
            <w:pPr>
              <w:pStyle w:val="64"/>
              <w:rPr>
                <w:rFonts w:hAnsi="宋体"/>
                <w:highlight w:val="none"/>
              </w:rPr>
            </w:pPr>
            <w:r>
              <w:rPr>
                <w:rFonts w:hAnsi="宋体"/>
                <w:spacing w:val="1"/>
                <w:w w:val="95"/>
                <w:highlight w:val="none"/>
              </w:rPr>
              <w:t>污</w:t>
            </w:r>
            <w:r>
              <w:rPr>
                <w:rFonts w:hAnsi="宋体"/>
                <w:w w:val="95"/>
                <w:highlight w:val="none"/>
              </w:rPr>
              <w:t>染</w:t>
            </w:r>
            <w:r>
              <w:rPr>
                <w:rFonts w:hAnsi="宋体"/>
                <w:highlight w:val="none"/>
              </w:rPr>
              <w:t>物</w:t>
            </w:r>
          </w:p>
        </w:tc>
        <w:tc>
          <w:tcPr>
            <w:tcW w:w="5436" w:type="dxa"/>
            <w:vAlign w:val="center"/>
          </w:tcPr>
          <w:p>
            <w:pPr>
              <w:pStyle w:val="64"/>
              <w:rPr>
                <w:rFonts w:hAnsi="宋体"/>
                <w:highlight w:val="none"/>
              </w:rPr>
            </w:pPr>
            <w:r>
              <w:rPr>
                <w:rFonts w:hAnsi="宋体"/>
                <w:spacing w:val="2"/>
                <w:highlight w:val="none"/>
              </w:rPr>
              <w:t>治理措</w:t>
            </w:r>
            <w:r>
              <w:rPr>
                <w:rFonts w:hAnsi="宋体"/>
                <w:highlight w:val="none"/>
              </w:rPr>
              <w:t>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42" w:type="dxa"/>
            <w:vAlign w:val="center"/>
          </w:tcPr>
          <w:p>
            <w:pPr>
              <w:pStyle w:val="64"/>
              <w:rPr>
                <w:rFonts w:hAnsi="宋体"/>
                <w:highlight w:val="none"/>
              </w:rPr>
            </w:pPr>
            <w:r>
              <w:rPr>
                <w:rFonts w:hAnsi="宋体"/>
                <w:spacing w:val="-1"/>
                <w:highlight w:val="none"/>
              </w:rPr>
              <w:t>原</w:t>
            </w:r>
            <w:r>
              <w:rPr>
                <w:rFonts w:hint="eastAsia" w:hAnsi="宋体"/>
                <w:highlight w:val="none"/>
              </w:rPr>
              <w:t>料</w:t>
            </w:r>
            <w:r>
              <w:rPr>
                <w:rFonts w:hAnsi="宋体"/>
                <w:highlight w:val="none"/>
              </w:rPr>
              <w:t>库</w:t>
            </w:r>
          </w:p>
        </w:tc>
        <w:tc>
          <w:tcPr>
            <w:tcW w:w="1134"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1134" w:type="dxa"/>
            <w:vAlign w:val="center"/>
          </w:tcPr>
          <w:p>
            <w:pPr>
              <w:pStyle w:val="64"/>
              <w:rPr>
                <w:rFonts w:hAnsi="宋体"/>
                <w:highlight w:val="none"/>
              </w:rPr>
            </w:pPr>
            <w:r>
              <w:rPr>
                <w:rFonts w:hAnsi="宋体"/>
                <w:spacing w:val="-1"/>
                <w:highlight w:val="none"/>
              </w:rPr>
              <w:t>颗</w:t>
            </w:r>
            <w:r>
              <w:rPr>
                <w:rFonts w:hAnsi="宋体"/>
                <w:highlight w:val="none"/>
              </w:rPr>
              <w:t>粒物</w:t>
            </w:r>
          </w:p>
        </w:tc>
        <w:tc>
          <w:tcPr>
            <w:tcW w:w="5436"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原</w:t>
            </w:r>
            <w:r>
              <w:rPr>
                <w:rFonts w:hAnsi="宋体"/>
                <w:spacing w:val="2"/>
                <w:highlight w:val="none"/>
              </w:rPr>
              <w:t>料</w:t>
            </w:r>
            <w:r>
              <w:rPr>
                <w:rFonts w:hAnsi="宋体"/>
                <w:highlight w:val="none"/>
              </w:rPr>
              <w:t>库，配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42" w:type="dxa"/>
            <w:vAlign w:val="center"/>
          </w:tcPr>
          <w:p>
            <w:pPr>
              <w:pStyle w:val="64"/>
              <w:rPr>
                <w:rFonts w:hAnsi="宋体"/>
                <w:highlight w:val="none"/>
              </w:rPr>
            </w:pPr>
            <w:r>
              <w:rPr>
                <w:rFonts w:hint="eastAsia" w:hAnsi="宋体"/>
                <w:spacing w:val="2"/>
                <w:highlight w:val="none"/>
              </w:rPr>
              <w:t>成品</w:t>
            </w:r>
            <w:r>
              <w:rPr>
                <w:rFonts w:hAnsi="宋体"/>
                <w:highlight w:val="none"/>
              </w:rPr>
              <w:t>库</w:t>
            </w:r>
          </w:p>
        </w:tc>
        <w:tc>
          <w:tcPr>
            <w:tcW w:w="1134"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1134" w:type="dxa"/>
            <w:vAlign w:val="center"/>
          </w:tcPr>
          <w:p>
            <w:pPr>
              <w:pStyle w:val="64"/>
              <w:rPr>
                <w:rFonts w:hAnsi="宋体"/>
                <w:highlight w:val="none"/>
              </w:rPr>
            </w:pPr>
            <w:r>
              <w:rPr>
                <w:rFonts w:hAnsi="宋体"/>
                <w:spacing w:val="-1"/>
                <w:highlight w:val="none"/>
              </w:rPr>
              <w:t>颗</w:t>
            </w:r>
            <w:r>
              <w:rPr>
                <w:rFonts w:hAnsi="宋体"/>
                <w:highlight w:val="none"/>
              </w:rPr>
              <w:t>粒物</w:t>
            </w:r>
          </w:p>
        </w:tc>
        <w:tc>
          <w:tcPr>
            <w:tcW w:w="5436"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废石</w:t>
            </w:r>
            <w:r>
              <w:rPr>
                <w:rFonts w:hint="eastAsia" w:hAnsi="宋体"/>
                <w:highlight w:val="none"/>
              </w:rPr>
              <w:t>库</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242" w:type="dxa"/>
            <w:vAlign w:val="center"/>
          </w:tcPr>
          <w:p>
            <w:pPr>
              <w:pStyle w:val="64"/>
              <w:rPr>
                <w:rFonts w:hAnsi="宋体"/>
                <w:highlight w:val="none"/>
              </w:rPr>
            </w:pPr>
            <w:r>
              <w:rPr>
                <w:rFonts w:hint="eastAsia" w:hAnsi="宋体"/>
                <w:spacing w:val="2"/>
                <w:highlight w:val="none"/>
              </w:rPr>
              <w:t>废石</w:t>
            </w:r>
            <w:r>
              <w:rPr>
                <w:rFonts w:hAnsi="宋体"/>
                <w:highlight w:val="none"/>
              </w:rPr>
              <w:t>库</w:t>
            </w:r>
          </w:p>
        </w:tc>
        <w:tc>
          <w:tcPr>
            <w:tcW w:w="1134"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1134" w:type="dxa"/>
            <w:vAlign w:val="center"/>
          </w:tcPr>
          <w:p>
            <w:pPr>
              <w:pStyle w:val="64"/>
              <w:rPr>
                <w:rFonts w:hAnsi="宋体"/>
                <w:highlight w:val="none"/>
              </w:rPr>
            </w:pPr>
            <w:r>
              <w:rPr>
                <w:rFonts w:hAnsi="宋体"/>
                <w:spacing w:val="-1"/>
                <w:highlight w:val="none"/>
              </w:rPr>
              <w:t>颗</w:t>
            </w:r>
            <w:r>
              <w:rPr>
                <w:rFonts w:hAnsi="宋体"/>
                <w:highlight w:val="none"/>
              </w:rPr>
              <w:t>粒物</w:t>
            </w:r>
          </w:p>
        </w:tc>
        <w:tc>
          <w:tcPr>
            <w:tcW w:w="5436" w:type="dxa"/>
            <w:vAlign w:val="center"/>
          </w:tcPr>
          <w:p>
            <w:pPr>
              <w:pStyle w:val="64"/>
              <w:rPr>
                <w:rFonts w:hAnsi="宋体"/>
                <w:highlight w:val="none"/>
              </w:rPr>
            </w:pPr>
            <w:r>
              <w:rPr>
                <w:rFonts w:hAnsi="宋体"/>
                <w:highlight w:val="none"/>
              </w:rPr>
              <w:t>地</w:t>
            </w:r>
            <w:r>
              <w:rPr>
                <w:rFonts w:hAnsi="宋体"/>
                <w:spacing w:val="2"/>
                <w:highlight w:val="none"/>
              </w:rPr>
              <w:t>面</w:t>
            </w:r>
            <w:r>
              <w:rPr>
                <w:rFonts w:hAnsi="宋体"/>
                <w:highlight w:val="none"/>
              </w:rPr>
              <w:t>硬</w:t>
            </w:r>
            <w:r>
              <w:rPr>
                <w:rFonts w:hAnsi="宋体"/>
                <w:spacing w:val="2"/>
                <w:highlight w:val="none"/>
              </w:rPr>
              <w:t>化</w:t>
            </w:r>
            <w:r>
              <w:rPr>
                <w:rFonts w:hAnsi="宋体"/>
                <w:highlight w:val="none"/>
              </w:rPr>
              <w:t>，建</w:t>
            </w:r>
            <w:r>
              <w:rPr>
                <w:rFonts w:hAnsi="宋体"/>
                <w:spacing w:val="2"/>
                <w:highlight w:val="none"/>
              </w:rPr>
              <w:t>设</w:t>
            </w:r>
            <w:r>
              <w:rPr>
                <w:rFonts w:hAnsi="宋体"/>
                <w:highlight w:val="none"/>
              </w:rPr>
              <w:t>全</w:t>
            </w:r>
            <w:r>
              <w:rPr>
                <w:rFonts w:hAnsi="宋体"/>
                <w:spacing w:val="2"/>
                <w:highlight w:val="none"/>
              </w:rPr>
              <w:t>封</w:t>
            </w:r>
            <w:r>
              <w:rPr>
                <w:rFonts w:hAnsi="宋体"/>
                <w:highlight w:val="none"/>
              </w:rPr>
              <w:t>闭</w:t>
            </w:r>
            <w:r>
              <w:rPr>
                <w:rFonts w:hAnsi="宋体"/>
                <w:spacing w:val="2"/>
                <w:highlight w:val="none"/>
              </w:rPr>
              <w:t>钢</w:t>
            </w:r>
            <w:r>
              <w:rPr>
                <w:rFonts w:hAnsi="宋体"/>
                <w:highlight w:val="none"/>
              </w:rPr>
              <w:t>结</w:t>
            </w:r>
            <w:r>
              <w:rPr>
                <w:rFonts w:hAnsi="宋体"/>
                <w:spacing w:val="2"/>
                <w:highlight w:val="none"/>
              </w:rPr>
              <w:t>构</w:t>
            </w:r>
            <w:r>
              <w:rPr>
                <w:rFonts w:hAnsi="宋体"/>
                <w:highlight w:val="none"/>
              </w:rPr>
              <w:t>成品库，配</w:t>
            </w:r>
            <w:r>
              <w:rPr>
                <w:rFonts w:hAnsi="宋体"/>
                <w:spacing w:val="2"/>
                <w:highlight w:val="none"/>
              </w:rPr>
              <w:t>套喷雾</w:t>
            </w:r>
            <w:r>
              <w:rPr>
                <w:rFonts w:hint="eastAsia" w:hAnsi="宋体"/>
                <w:spacing w:val="2"/>
                <w:highlight w:val="none"/>
              </w:rPr>
              <w:t>抑尘</w:t>
            </w:r>
            <w:r>
              <w:rPr>
                <w:rFonts w:hAnsi="宋体"/>
                <w:highlight w:val="none"/>
              </w:rPr>
              <w:t>设</w:t>
            </w:r>
            <w:r>
              <w:rPr>
                <w:rFonts w:hAnsi="宋体"/>
                <w:spacing w:val="2"/>
                <w:highlight w:val="none"/>
              </w:rPr>
              <w:t>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42" w:type="dxa"/>
            <w:vAlign w:val="center"/>
          </w:tcPr>
          <w:p>
            <w:pPr>
              <w:pStyle w:val="64"/>
              <w:rPr>
                <w:rFonts w:hAnsi="宋体"/>
                <w:highlight w:val="none"/>
              </w:rPr>
            </w:pPr>
            <w:r>
              <w:rPr>
                <w:rFonts w:hAnsi="宋体"/>
                <w:spacing w:val="-1"/>
                <w:highlight w:val="none"/>
              </w:rPr>
              <w:t>破</w:t>
            </w:r>
            <w:r>
              <w:rPr>
                <w:rFonts w:hAnsi="宋体"/>
                <w:highlight w:val="none"/>
              </w:rPr>
              <w:t>碎</w:t>
            </w:r>
            <w:r>
              <w:rPr>
                <w:rFonts w:hAnsi="宋体"/>
                <w:spacing w:val="2"/>
                <w:highlight w:val="none"/>
              </w:rPr>
              <w:t>机</w:t>
            </w:r>
            <w:r>
              <w:rPr>
                <w:rFonts w:hAnsi="宋体"/>
                <w:spacing w:val="-74"/>
                <w:highlight w:val="none"/>
              </w:rPr>
              <w:t>、</w:t>
            </w:r>
            <w:r>
              <w:rPr>
                <w:rFonts w:hAnsi="宋体"/>
                <w:spacing w:val="-1"/>
                <w:highlight w:val="none"/>
              </w:rPr>
              <w:t>干</w:t>
            </w:r>
            <w:r>
              <w:rPr>
                <w:rFonts w:hAnsi="宋体"/>
                <w:highlight w:val="none"/>
              </w:rPr>
              <w:t>选机</w:t>
            </w:r>
          </w:p>
        </w:tc>
        <w:tc>
          <w:tcPr>
            <w:tcW w:w="1134" w:type="dxa"/>
            <w:vAlign w:val="center"/>
          </w:tcPr>
          <w:p>
            <w:pPr>
              <w:pStyle w:val="64"/>
              <w:rPr>
                <w:rFonts w:hAnsi="宋体"/>
                <w:highlight w:val="none"/>
              </w:rPr>
            </w:pPr>
            <w:r>
              <w:rPr>
                <w:rFonts w:hint="eastAsia" w:hAnsi="宋体"/>
                <w:spacing w:val="-1"/>
                <w:highlight w:val="none"/>
              </w:rPr>
              <w:t>有组织</w:t>
            </w:r>
          </w:p>
        </w:tc>
        <w:tc>
          <w:tcPr>
            <w:tcW w:w="1134"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5436" w:type="dxa"/>
            <w:vAlign w:val="center"/>
          </w:tcPr>
          <w:p>
            <w:pPr>
              <w:pStyle w:val="64"/>
              <w:rPr>
                <w:rFonts w:hAnsi="宋体"/>
                <w:highlight w:val="none"/>
              </w:rPr>
            </w:pPr>
            <w:r>
              <w:rPr>
                <w:rFonts w:hAnsi="宋体"/>
                <w:spacing w:val="-1"/>
                <w:highlight w:val="none"/>
              </w:rPr>
              <w:t>产</w:t>
            </w:r>
            <w:r>
              <w:rPr>
                <w:rFonts w:hAnsi="宋体"/>
                <w:spacing w:val="2"/>
                <w:highlight w:val="none"/>
              </w:rPr>
              <w:t>尘点</w:t>
            </w:r>
            <w:r>
              <w:rPr>
                <w:rFonts w:hAnsi="宋体"/>
                <w:highlight w:val="none"/>
              </w:rPr>
              <w:t>、</w:t>
            </w:r>
            <w:r>
              <w:rPr>
                <w:rFonts w:hAnsi="宋体"/>
                <w:spacing w:val="-1"/>
                <w:w w:val="95"/>
                <w:highlight w:val="none"/>
              </w:rPr>
              <w:t>皮</w:t>
            </w:r>
            <w:r>
              <w:rPr>
                <w:rFonts w:hAnsi="宋体"/>
                <w:spacing w:val="1"/>
                <w:w w:val="95"/>
                <w:highlight w:val="none"/>
              </w:rPr>
              <w:t>带</w:t>
            </w:r>
            <w:r>
              <w:rPr>
                <w:rFonts w:hAnsi="宋体"/>
                <w:w w:val="95"/>
                <w:highlight w:val="none"/>
              </w:rPr>
              <w:t>机</w:t>
            </w:r>
            <w:r>
              <w:rPr>
                <w:rFonts w:hAnsi="宋体"/>
                <w:spacing w:val="-1"/>
                <w:w w:val="95"/>
                <w:highlight w:val="none"/>
              </w:rPr>
              <w:t>落</w:t>
            </w:r>
            <w:r>
              <w:rPr>
                <w:rFonts w:hAnsi="宋体"/>
                <w:spacing w:val="1"/>
                <w:w w:val="95"/>
                <w:highlight w:val="none"/>
              </w:rPr>
              <w:t>料</w:t>
            </w:r>
            <w:r>
              <w:rPr>
                <w:rFonts w:hAnsi="宋体"/>
                <w:w w:val="95"/>
                <w:highlight w:val="none"/>
              </w:rPr>
              <w:t>处</w:t>
            </w:r>
            <w:r>
              <w:rPr>
                <w:rFonts w:hAnsi="宋体"/>
                <w:spacing w:val="-1"/>
                <w:highlight w:val="none"/>
              </w:rPr>
              <w:t>分</w:t>
            </w:r>
            <w:r>
              <w:rPr>
                <w:rFonts w:hAnsi="宋体"/>
                <w:spacing w:val="2"/>
                <w:highlight w:val="none"/>
              </w:rPr>
              <w:t>别</w:t>
            </w:r>
            <w:r>
              <w:rPr>
                <w:rFonts w:hint="eastAsia" w:hAnsi="宋体"/>
                <w:spacing w:val="2"/>
                <w:highlight w:val="none"/>
              </w:rPr>
              <w:t>安装</w:t>
            </w:r>
            <w:r>
              <w:rPr>
                <w:rFonts w:hAnsi="宋体"/>
                <w:highlight w:val="none"/>
              </w:rPr>
              <w:t>集</w:t>
            </w:r>
            <w:r>
              <w:rPr>
                <w:rFonts w:hAnsi="宋体"/>
                <w:spacing w:val="-1"/>
                <w:w w:val="95"/>
                <w:highlight w:val="none"/>
              </w:rPr>
              <w:t>气</w:t>
            </w:r>
            <w:r>
              <w:rPr>
                <w:rFonts w:hint="eastAsia" w:hAnsi="宋体"/>
                <w:spacing w:val="-1"/>
                <w:w w:val="95"/>
                <w:highlight w:val="none"/>
              </w:rPr>
              <w:t>罩，通过管道将上述废气引入同一台</w:t>
            </w:r>
            <w:r>
              <w:rPr>
                <w:rFonts w:hAnsi="宋体"/>
                <w:spacing w:val="-1"/>
                <w:w w:val="95"/>
                <w:highlight w:val="none"/>
              </w:rPr>
              <w:t>布</w:t>
            </w:r>
            <w:r>
              <w:rPr>
                <w:rFonts w:hAnsi="宋体"/>
                <w:w w:val="95"/>
                <w:highlight w:val="none"/>
              </w:rPr>
              <w:t>袋</w:t>
            </w:r>
            <w:r>
              <w:rPr>
                <w:rFonts w:hAnsi="宋体"/>
                <w:spacing w:val="-1"/>
                <w:highlight w:val="none"/>
              </w:rPr>
              <w:t>除</w:t>
            </w:r>
            <w:r>
              <w:rPr>
                <w:rFonts w:hAnsi="宋体"/>
                <w:spacing w:val="2"/>
                <w:highlight w:val="none"/>
              </w:rPr>
              <w:t>尘</w:t>
            </w:r>
            <w:r>
              <w:rPr>
                <w:rFonts w:hAnsi="宋体"/>
                <w:highlight w:val="none"/>
              </w:rPr>
              <w:t>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42" w:type="dxa"/>
            <w:vAlign w:val="center"/>
          </w:tcPr>
          <w:p>
            <w:pPr>
              <w:pStyle w:val="64"/>
              <w:rPr>
                <w:rFonts w:hAnsi="宋体"/>
                <w:highlight w:val="none"/>
              </w:rPr>
            </w:pPr>
            <w:r>
              <w:rPr>
                <w:rFonts w:hAnsi="宋体"/>
                <w:spacing w:val="-1"/>
                <w:highlight w:val="none"/>
              </w:rPr>
              <w:t>输</w:t>
            </w:r>
            <w:r>
              <w:rPr>
                <w:rFonts w:hAnsi="宋体"/>
                <w:highlight w:val="none"/>
              </w:rPr>
              <w:t>送</w:t>
            </w:r>
            <w:r>
              <w:rPr>
                <w:rFonts w:hAnsi="宋体"/>
                <w:spacing w:val="-1"/>
                <w:highlight w:val="none"/>
              </w:rPr>
              <w:t>皮</w:t>
            </w:r>
            <w:r>
              <w:rPr>
                <w:rFonts w:hAnsi="宋体"/>
                <w:highlight w:val="none"/>
              </w:rPr>
              <w:t>带</w:t>
            </w:r>
          </w:p>
        </w:tc>
        <w:tc>
          <w:tcPr>
            <w:tcW w:w="1134" w:type="dxa"/>
            <w:vAlign w:val="center"/>
          </w:tcPr>
          <w:p>
            <w:pPr>
              <w:pStyle w:val="64"/>
              <w:rPr>
                <w:rFonts w:hAnsi="宋体"/>
                <w:highlight w:val="none"/>
              </w:rPr>
            </w:pPr>
            <w:r>
              <w:rPr>
                <w:rFonts w:hAnsi="宋体"/>
                <w:spacing w:val="-1"/>
                <w:highlight w:val="none"/>
              </w:rPr>
              <w:t>输</w:t>
            </w:r>
            <w:r>
              <w:rPr>
                <w:rFonts w:hAnsi="宋体"/>
                <w:highlight w:val="none"/>
              </w:rPr>
              <w:t>送</w:t>
            </w:r>
            <w:r>
              <w:rPr>
                <w:rFonts w:hAnsi="宋体"/>
                <w:spacing w:val="-1"/>
                <w:highlight w:val="none"/>
              </w:rPr>
              <w:t>皮</w:t>
            </w:r>
            <w:r>
              <w:rPr>
                <w:rFonts w:hAnsi="宋体"/>
                <w:highlight w:val="none"/>
              </w:rPr>
              <w:t>带</w:t>
            </w:r>
          </w:p>
        </w:tc>
        <w:tc>
          <w:tcPr>
            <w:tcW w:w="1134"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5436" w:type="dxa"/>
            <w:vAlign w:val="center"/>
          </w:tcPr>
          <w:p>
            <w:pPr>
              <w:pStyle w:val="64"/>
              <w:rPr>
                <w:rFonts w:hAnsi="宋体"/>
                <w:highlight w:val="none"/>
              </w:rPr>
            </w:pPr>
            <w:r>
              <w:rPr>
                <w:rFonts w:hAnsi="宋体"/>
                <w:spacing w:val="-1"/>
                <w:highlight w:val="none"/>
              </w:rPr>
              <w:t>全</w:t>
            </w:r>
            <w:r>
              <w:rPr>
                <w:rFonts w:hAnsi="宋体"/>
                <w:spacing w:val="2"/>
                <w:highlight w:val="none"/>
              </w:rPr>
              <w:t>封</w:t>
            </w:r>
            <w:r>
              <w:rPr>
                <w:rFonts w:hAnsi="宋体"/>
                <w:highlight w:val="none"/>
              </w:rPr>
              <w:t>闭</w:t>
            </w:r>
            <w:r>
              <w:rPr>
                <w:rFonts w:hAnsi="宋体"/>
                <w:spacing w:val="-1"/>
                <w:highlight w:val="none"/>
              </w:rPr>
              <w:t>皮</w:t>
            </w:r>
            <w:r>
              <w:rPr>
                <w:rFonts w:hAnsi="宋体"/>
                <w:spacing w:val="2"/>
                <w:highlight w:val="none"/>
              </w:rPr>
              <w:t>带</w:t>
            </w:r>
            <w:r>
              <w:rPr>
                <w:rFonts w:hAnsi="宋体"/>
                <w:highlight w:val="none"/>
              </w:rPr>
              <w:t>通</w:t>
            </w:r>
            <w:r>
              <w:rPr>
                <w:rFonts w:hAnsi="宋体"/>
                <w:spacing w:val="1"/>
                <w:w w:val="95"/>
                <w:highlight w:val="none"/>
              </w:rPr>
              <w:t>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242" w:type="dxa"/>
            <w:vAlign w:val="center"/>
          </w:tcPr>
          <w:p>
            <w:pPr>
              <w:pStyle w:val="64"/>
              <w:rPr>
                <w:rFonts w:hAnsi="宋体"/>
                <w:highlight w:val="none"/>
              </w:rPr>
            </w:pPr>
            <w:r>
              <w:rPr>
                <w:rFonts w:hAnsi="宋体"/>
                <w:spacing w:val="-1"/>
                <w:highlight w:val="none"/>
              </w:rPr>
              <w:t>道</w:t>
            </w:r>
            <w:r>
              <w:rPr>
                <w:rFonts w:hAnsi="宋体"/>
                <w:highlight w:val="none"/>
              </w:rPr>
              <w:t>路</w:t>
            </w:r>
            <w:r>
              <w:rPr>
                <w:rFonts w:hAnsi="宋体"/>
                <w:spacing w:val="-1"/>
                <w:highlight w:val="none"/>
              </w:rPr>
              <w:t>扬</w:t>
            </w:r>
            <w:r>
              <w:rPr>
                <w:rFonts w:hAnsi="宋体"/>
                <w:highlight w:val="none"/>
              </w:rPr>
              <w:t>尘</w:t>
            </w:r>
          </w:p>
        </w:tc>
        <w:tc>
          <w:tcPr>
            <w:tcW w:w="1134" w:type="dxa"/>
            <w:vAlign w:val="center"/>
          </w:tcPr>
          <w:p>
            <w:pPr>
              <w:pStyle w:val="64"/>
              <w:rPr>
                <w:rFonts w:hAnsi="宋体"/>
                <w:highlight w:val="none"/>
              </w:rPr>
            </w:pPr>
            <w:r>
              <w:rPr>
                <w:rFonts w:hAnsi="宋体"/>
                <w:spacing w:val="-1"/>
                <w:highlight w:val="none"/>
              </w:rPr>
              <w:t>运</w:t>
            </w:r>
            <w:r>
              <w:rPr>
                <w:rFonts w:hAnsi="宋体"/>
                <w:highlight w:val="none"/>
              </w:rPr>
              <w:t>输</w:t>
            </w:r>
            <w:r>
              <w:rPr>
                <w:rFonts w:hAnsi="宋体"/>
                <w:spacing w:val="-1"/>
                <w:highlight w:val="none"/>
              </w:rPr>
              <w:t>过</w:t>
            </w:r>
            <w:r>
              <w:rPr>
                <w:rFonts w:hAnsi="宋体"/>
                <w:highlight w:val="none"/>
              </w:rPr>
              <w:t>程</w:t>
            </w:r>
          </w:p>
        </w:tc>
        <w:tc>
          <w:tcPr>
            <w:tcW w:w="1134"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5436" w:type="dxa"/>
            <w:vAlign w:val="center"/>
          </w:tcPr>
          <w:p>
            <w:pPr>
              <w:pStyle w:val="64"/>
              <w:rPr>
                <w:rFonts w:hAnsi="宋体"/>
                <w:highlight w:val="none"/>
              </w:rPr>
            </w:pPr>
            <w:r>
              <w:rPr>
                <w:rFonts w:hAnsi="宋体"/>
                <w:spacing w:val="-1"/>
                <w:highlight w:val="none"/>
              </w:rPr>
              <w:t>道路硬化、洒水抑尘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242" w:type="dxa"/>
            <w:vAlign w:val="center"/>
          </w:tcPr>
          <w:p>
            <w:pPr>
              <w:pStyle w:val="64"/>
              <w:rPr>
                <w:rFonts w:hAnsi="宋体"/>
                <w:highlight w:val="none"/>
              </w:rPr>
            </w:pPr>
            <w:r>
              <w:rPr>
                <w:rFonts w:hAnsi="宋体"/>
                <w:spacing w:val="-1"/>
                <w:highlight w:val="none"/>
              </w:rPr>
              <w:t>尾矿库</w:t>
            </w:r>
          </w:p>
        </w:tc>
        <w:tc>
          <w:tcPr>
            <w:tcW w:w="1134" w:type="dxa"/>
            <w:vAlign w:val="center"/>
          </w:tcPr>
          <w:p>
            <w:pPr>
              <w:pStyle w:val="64"/>
              <w:rPr>
                <w:rFonts w:hAnsi="宋体"/>
                <w:highlight w:val="none"/>
              </w:rPr>
            </w:pPr>
            <w:r>
              <w:rPr>
                <w:rFonts w:hAnsi="宋体"/>
                <w:spacing w:val="-1"/>
                <w:highlight w:val="none"/>
              </w:rPr>
              <w:t>无</w:t>
            </w:r>
            <w:r>
              <w:rPr>
                <w:rFonts w:hAnsi="宋体"/>
                <w:highlight w:val="none"/>
              </w:rPr>
              <w:t>组织</w:t>
            </w:r>
          </w:p>
        </w:tc>
        <w:tc>
          <w:tcPr>
            <w:tcW w:w="1134" w:type="dxa"/>
            <w:vAlign w:val="center"/>
          </w:tcPr>
          <w:p>
            <w:pPr>
              <w:pStyle w:val="64"/>
              <w:rPr>
                <w:rFonts w:hAnsi="宋体"/>
                <w:highlight w:val="none"/>
              </w:rPr>
            </w:pPr>
            <w:r>
              <w:rPr>
                <w:rFonts w:hAnsi="宋体"/>
                <w:spacing w:val="-1"/>
                <w:w w:val="95"/>
                <w:highlight w:val="none"/>
              </w:rPr>
              <w:t>颗</w:t>
            </w:r>
            <w:r>
              <w:rPr>
                <w:rFonts w:hAnsi="宋体"/>
                <w:w w:val="95"/>
                <w:highlight w:val="none"/>
              </w:rPr>
              <w:t>粒</w:t>
            </w:r>
            <w:r>
              <w:rPr>
                <w:rFonts w:hAnsi="宋体"/>
                <w:highlight w:val="none"/>
              </w:rPr>
              <w:t>物</w:t>
            </w:r>
          </w:p>
        </w:tc>
        <w:tc>
          <w:tcPr>
            <w:tcW w:w="5436" w:type="dxa"/>
            <w:vAlign w:val="center"/>
          </w:tcPr>
          <w:p>
            <w:pPr>
              <w:pStyle w:val="64"/>
              <w:rPr>
                <w:rFonts w:hAnsi="宋体"/>
                <w:highlight w:val="none"/>
              </w:rPr>
            </w:pPr>
            <w:r>
              <w:rPr>
                <w:rFonts w:hAnsi="宋体"/>
                <w:spacing w:val="-1"/>
                <w:highlight w:val="none"/>
              </w:rPr>
              <w:t>洒</w:t>
            </w:r>
            <w:r>
              <w:rPr>
                <w:rFonts w:hAnsi="宋体"/>
                <w:spacing w:val="2"/>
                <w:highlight w:val="none"/>
              </w:rPr>
              <w:t>水</w:t>
            </w:r>
            <w:r>
              <w:rPr>
                <w:rFonts w:hAnsi="宋体"/>
                <w:highlight w:val="none"/>
              </w:rPr>
              <w:t>抑</w:t>
            </w:r>
            <w:r>
              <w:rPr>
                <w:rFonts w:hAnsi="宋体"/>
                <w:spacing w:val="1"/>
                <w:w w:val="95"/>
                <w:highlight w:val="none"/>
              </w:rPr>
              <w:t>尘</w:t>
            </w:r>
            <w:r>
              <w:rPr>
                <w:rFonts w:hAnsi="宋体"/>
                <w:spacing w:val="-1"/>
                <w:w w:val="95"/>
                <w:highlight w:val="none"/>
              </w:rPr>
              <w:t>及</w:t>
            </w:r>
            <w:r>
              <w:rPr>
                <w:rFonts w:hAnsi="宋体"/>
                <w:w w:val="95"/>
                <w:highlight w:val="none"/>
              </w:rPr>
              <w:t>时</w:t>
            </w:r>
            <w:r>
              <w:rPr>
                <w:rFonts w:hAnsi="宋体"/>
                <w:spacing w:val="-1"/>
                <w:highlight w:val="none"/>
              </w:rPr>
              <w:t>覆</w:t>
            </w:r>
            <w:r>
              <w:rPr>
                <w:rFonts w:hAnsi="宋体"/>
                <w:spacing w:val="2"/>
                <w:highlight w:val="none"/>
              </w:rPr>
              <w:t>土</w:t>
            </w:r>
            <w:r>
              <w:rPr>
                <w:rFonts w:hAnsi="宋体"/>
                <w:highlight w:val="none"/>
              </w:rPr>
              <w:t>压实</w:t>
            </w:r>
          </w:p>
        </w:tc>
      </w:tr>
    </w:tbl>
    <w:p>
      <w:pPr>
        <w:pStyle w:val="4"/>
        <w:ind w:firstLine="562"/>
        <w:rPr>
          <w:rFonts w:hAnsi="宋体"/>
          <w:highlight w:val="none"/>
        </w:rPr>
      </w:pPr>
      <w:r>
        <w:rPr>
          <w:rFonts w:hAnsi="宋体"/>
          <w:highlight w:val="none"/>
        </w:rPr>
        <w:t>9.4.3水污染防治措施</w:t>
      </w:r>
      <w:bookmarkEnd w:id="389"/>
    </w:p>
    <w:p>
      <w:pPr>
        <w:ind w:firstLine="480"/>
        <w:rPr>
          <w:rFonts w:ascii="宋体" w:hAnsi="宋体"/>
          <w:highlight w:val="none"/>
        </w:rPr>
      </w:pPr>
      <w:r>
        <w:rPr>
          <w:rFonts w:hint="eastAsia" w:ascii="宋体" w:hAnsi="宋体"/>
          <w:bCs/>
          <w:highlight w:val="none"/>
        </w:rPr>
        <w:t>水</w:t>
      </w:r>
      <w:r>
        <w:rPr>
          <w:rFonts w:ascii="宋体" w:hAnsi="宋体"/>
          <w:bCs/>
          <w:highlight w:val="none"/>
        </w:rPr>
        <w:t>污染物治理措施见表9.4-</w:t>
      </w:r>
      <w:r>
        <w:rPr>
          <w:rFonts w:hint="eastAsia" w:ascii="宋体" w:hAnsi="宋体"/>
          <w:bCs/>
          <w:highlight w:val="none"/>
        </w:rPr>
        <w:t>2。</w:t>
      </w:r>
    </w:p>
    <w:p>
      <w:pPr>
        <w:ind w:firstLine="480"/>
        <w:jc w:val="center"/>
        <w:rPr>
          <w:rFonts w:ascii="宋体" w:hAnsi="宋体"/>
          <w:bCs/>
          <w:highlight w:val="none"/>
        </w:rPr>
      </w:pPr>
      <w:r>
        <w:rPr>
          <w:rFonts w:ascii="宋体" w:hAnsi="宋体"/>
          <w:bCs/>
          <w:highlight w:val="none"/>
        </w:rPr>
        <w:t>表9.4-</w:t>
      </w:r>
      <w:r>
        <w:rPr>
          <w:rFonts w:hint="eastAsia" w:ascii="宋体" w:hAnsi="宋体"/>
          <w:bCs/>
          <w:highlight w:val="none"/>
        </w:rPr>
        <w:t>2  水</w:t>
      </w:r>
      <w:r>
        <w:rPr>
          <w:rFonts w:ascii="宋体" w:hAnsi="宋体"/>
          <w:bCs/>
          <w:highlight w:val="none"/>
        </w:rPr>
        <w:t>污染物治理措施</w:t>
      </w:r>
    </w:p>
    <w:tbl>
      <w:tblPr>
        <w:tblStyle w:val="68"/>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428"/>
        <w:gridCol w:w="732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428" w:type="dxa"/>
            <w:vAlign w:val="center"/>
          </w:tcPr>
          <w:p>
            <w:pPr>
              <w:pStyle w:val="64"/>
              <w:widowControl w:val="0"/>
              <w:rPr>
                <w:rFonts w:hAnsi="宋体" w:cs="宋体"/>
                <w:szCs w:val="21"/>
                <w:highlight w:val="none"/>
                <w:lang w:eastAsia="en-US"/>
              </w:rPr>
            </w:pPr>
            <w:r>
              <w:rPr>
                <w:rFonts w:hAnsi="宋体" w:cs="宋体"/>
                <w:spacing w:val="-1"/>
                <w:w w:val="95"/>
                <w:szCs w:val="21"/>
                <w:highlight w:val="none"/>
                <w:lang w:eastAsia="en-US"/>
              </w:rPr>
              <w:t>污</w:t>
            </w:r>
            <w:r>
              <w:rPr>
                <w:rFonts w:hAnsi="宋体" w:cs="宋体"/>
                <w:spacing w:val="1"/>
                <w:w w:val="95"/>
                <w:szCs w:val="21"/>
                <w:highlight w:val="none"/>
                <w:lang w:eastAsia="en-US"/>
              </w:rPr>
              <w:t>染</w:t>
            </w:r>
            <w:r>
              <w:rPr>
                <w:rFonts w:hAnsi="宋体" w:cs="宋体"/>
                <w:spacing w:val="-1"/>
                <w:w w:val="95"/>
                <w:szCs w:val="21"/>
                <w:highlight w:val="none"/>
                <w:lang w:eastAsia="en-US"/>
              </w:rPr>
              <w:t>源</w:t>
            </w:r>
          </w:p>
        </w:tc>
        <w:tc>
          <w:tcPr>
            <w:tcW w:w="7322"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治</w:t>
            </w:r>
            <w:r>
              <w:rPr>
                <w:rFonts w:hAnsi="宋体" w:cs="宋体"/>
                <w:spacing w:val="2"/>
                <w:szCs w:val="21"/>
                <w:highlight w:val="none"/>
                <w:lang w:eastAsia="en-US"/>
              </w:rPr>
              <w:t>理</w:t>
            </w:r>
            <w:r>
              <w:rPr>
                <w:rFonts w:hAnsi="宋体" w:cs="宋体"/>
                <w:spacing w:val="-1"/>
                <w:szCs w:val="21"/>
                <w:highlight w:val="none"/>
                <w:lang w:eastAsia="en-US"/>
              </w:rPr>
              <w:t>方</w:t>
            </w:r>
            <w:r>
              <w:rPr>
                <w:rFonts w:hAnsi="宋体" w:cs="宋体"/>
                <w:szCs w:val="21"/>
                <w:highlight w:val="none"/>
                <w:lang w:eastAsia="en-US"/>
              </w:rPr>
              <w:t>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42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生</w:t>
            </w:r>
            <w:r>
              <w:rPr>
                <w:rFonts w:hAnsi="宋体" w:cs="宋体"/>
                <w:spacing w:val="2"/>
                <w:szCs w:val="21"/>
                <w:highlight w:val="none"/>
                <w:lang w:eastAsia="en-US"/>
              </w:rPr>
              <w:t>活</w:t>
            </w:r>
            <w:r>
              <w:rPr>
                <w:rFonts w:hAnsi="宋体" w:cs="宋体"/>
                <w:spacing w:val="-1"/>
                <w:szCs w:val="21"/>
                <w:highlight w:val="none"/>
                <w:lang w:eastAsia="en-US"/>
              </w:rPr>
              <w:t>污</w:t>
            </w:r>
            <w:r>
              <w:rPr>
                <w:rFonts w:hAnsi="宋体" w:cs="宋体"/>
                <w:szCs w:val="21"/>
                <w:highlight w:val="none"/>
                <w:lang w:eastAsia="en-US"/>
              </w:rPr>
              <w:t>水</w:t>
            </w:r>
          </w:p>
        </w:tc>
        <w:tc>
          <w:tcPr>
            <w:tcW w:w="7322" w:type="dxa"/>
            <w:vAlign w:val="center"/>
          </w:tcPr>
          <w:p>
            <w:pPr>
              <w:pStyle w:val="64"/>
              <w:widowControl w:val="0"/>
              <w:rPr>
                <w:rFonts w:hAnsi="宋体" w:cs="宋体"/>
                <w:szCs w:val="21"/>
                <w:highlight w:val="none"/>
                <w:lang w:eastAsia="zh-CN"/>
              </w:rPr>
            </w:pPr>
            <w:r>
              <w:rPr>
                <w:rFonts w:hint="eastAsia" w:hAnsi="宋体"/>
                <w:szCs w:val="20"/>
                <w:highlight w:val="none"/>
                <w:lang w:eastAsia="zh-CN"/>
              </w:rPr>
              <w:t>本项目生活污水、食堂废水经隔油池后排入1座2m</w:t>
            </w:r>
            <w:r>
              <w:rPr>
                <w:rFonts w:hint="eastAsia" w:hAnsi="宋体"/>
                <w:szCs w:val="20"/>
                <w:highlight w:val="none"/>
                <w:vertAlign w:val="superscript"/>
                <w:lang w:eastAsia="zh-CN"/>
              </w:rPr>
              <w:t>3</w:t>
            </w:r>
            <w:r>
              <w:rPr>
                <w:rFonts w:hint="eastAsia" w:hAnsi="宋体"/>
                <w:szCs w:val="20"/>
                <w:highlight w:val="none"/>
                <w:lang w:eastAsia="zh-CN"/>
              </w:rPr>
              <w:t>的沉淀池，用于场地洒水或绿化。本项目使用旱厕，定期由附近农户清掏用作农肥。</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42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初</w:t>
            </w:r>
            <w:r>
              <w:rPr>
                <w:rFonts w:hAnsi="宋体" w:cs="宋体"/>
                <w:spacing w:val="2"/>
                <w:szCs w:val="21"/>
                <w:highlight w:val="none"/>
                <w:lang w:eastAsia="en-US"/>
              </w:rPr>
              <w:t>期</w:t>
            </w:r>
            <w:r>
              <w:rPr>
                <w:rFonts w:hAnsi="宋体" w:cs="宋体"/>
                <w:spacing w:val="-1"/>
                <w:szCs w:val="21"/>
                <w:highlight w:val="none"/>
                <w:lang w:eastAsia="en-US"/>
              </w:rPr>
              <w:t>雨</w:t>
            </w:r>
            <w:r>
              <w:rPr>
                <w:rFonts w:hAnsi="宋体" w:cs="宋体"/>
                <w:szCs w:val="21"/>
                <w:highlight w:val="none"/>
                <w:lang w:eastAsia="en-US"/>
              </w:rPr>
              <w:t>水</w:t>
            </w:r>
          </w:p>
        </w:tc>
        <w:tc>
          <w:tcPr>
            <w:tcW w:w="7322" w:type="dxa"/>
            <w:vAlign w:val="center"/>
          </w:tcPr>
          <w:p>
            <w:pPr>
              <w:pStyle w:val="64"/>
              <w:widowControl w:val="0"/>
              <w:rPr>
                <w:rFonts w:hAnsi="宋体" w:cs="宋体"/>
                <w:szCs w:val="21"/>
                <w:highlight w:val="none"/>
                <w:lang w:eastAsia="zh-CN"/>
              </w:rPr>
            </w:pPr>
            <w:r>
              <w:rPr>
                <w:rFonts w:hAnsi="宋体"/>
                <w:highlight w:val="none"/>
                <w:lang w:eastAsia="zh-CN"/>
              </w:rPr>
              <w:t>厂区东北部较低处设</w:t>
            </w:r>
            <w:r>
              <w:rPr>
                <w:rFonts w:hAnsi="宋体" w:cs="hakuyoxingshu7000"/>
                <w:highlight w:val="none"/>
                <w:lang w:eastAsia="zh-CN"/>
              </w:rPr>
              <w:t>1</w:t>
            </w:r>
            <w:r>
              <w:rPr>
                <w:rFonts w:hAnsi="宋体"/>
                <w:highlight w:val="none"/>
                <w:lang w:eastAsia="zh-CN"/>
              </w:rPr>
              <w:t>座</w:t>
            </w:r>
            <w:r>
              <w:rPr>
                <w:rFonts w:hint="eastAsia" w:hAnsi="宋体" w:cs="hakuyoxingshu7000"/>
                <w:highlight w:val="none"/>
                <w:lang w:eastAsia="zh-CN"/>
              </w:rPr>
              <w:t>160</w:t>
            </w:r>
            <w:r>
              <w:rPr>
                <w:rFonts w:hAnsi="宋体" w:cs="hakuyoxingshu7000"/>
                <w:highlight w:val="none"/>
                <w:lang w:eastAsia="zh-CN"/>
              </w:rPr>
              <w:t>m</w:t>
            </w:r>
            <w:r>
              <w:rPr>
                <w:rFonts w:hAnsi="宋体" w:cs="hakuyoxingshu7000"/>
                <w:position w:val="8"/>
                <w:sz w:val="15"/>
                <w:szCs w:val="15"/>
                <w:highlight w:val="none"/>
                <w:lang w:eastAsia="zh-CN"/>
              </w:rPr>
              <w:t>3</w:t>
            </w:r>
            <w:r>
              <w:rPr>
                <w:rFonts w:hAnsi="宋体"/>
                <w:highlight w:val="none"/>
                <w:lang w:eastAsia="zh-CN"/>
              </w:rPr>
              <w:t>初期雨水收集</w:t>
            </w:r>
            <w:r>
              <w:rPr>
                <w:rFonts w:hAnsi="宋体"/>
                <w:spacing w:val="2"/>
                <w:highlight w:val="none"/>
                <w:lang w:eastAsia="zh-CN"/>
              </w:rPr>
              <w:t>池</w:t>
            </w:r>
            <w:r>
              <w:rPr>
                <w:rFonts w:hAnsi="宋体"/>
                <w:spacing w:val="-51"/>
                <w:highlight w:val="none"/>
                <w:lang w:eastAsia="zh-CN"/>
              </w:rPr>
              <w:t>，</w:t>
            </w:r>
            <w:r>
              <w:rPr>
                <w:rFonts w:hAnsi="宋体"/>
                <w:highlight w:val="none"/>
                <w:lang w:eastAsia="zh-CN"/>
              </w:rPr>
              <w:t>收集后的雨水经沉淀</w:t>
            </w:r>
            <w:r>
              <w:rPr>
                <w:rFonts w:hAnsi="宋体"/>
                <w:spacing w:val="2"/>
                <w:highlight w:val="none"/>
                <w:lang w:eastAsia="zh-CN"/>
              </w:rPr>
              <w:t>后</w:t>
            </w:r>
            <w:r>
              <w:rPr>
                <w:rFonts w:hAnsi="宋体"/>
                <w:spacing w:val="-51"/>
                <w:highlight w:val="none"/>
                <w:lang w:eastAsia="zh-CN"/>
              </w:rPr>
              <w:t>，</w:t>
            </w:r>
            <w:r>
              <w:rPr>
                <w:rFonts w:hAnsi="宋体"/>
                <w:highlight w:val="none"/>
                <w:lang w:eastAsia="zh-CN"/>
              </w:rPr>
              <w:t>可以用于</w:t>
            </w:r>
            <w:r>
              <w:rPr>
                <w:rFonts w:hint="eastAsia" w:hAnsi="宋体"/>
                <w:highlight w:val="none"/>
                <w:lang w:eastAsia="zh-CN"/>
              </w:rPr>
              <w:t>原料库洒水抑尘</w:t>
            </w:r>
            <w:r>
              <w:rPr>
                <w:rFonts w:hAnsi="宋体"/>
                <w:highlight w:val="none"/>
                <w:lang w:eastAsia="zh-CN"/>
              </w:rPr>
              <w:t>及道路降尘洒水。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42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生</w:t>
            </w:r>
            <w:r>
              <w:rPr>
                <w:rFonts w:hAnsi="宋体" w:cs="宋体"/>
                <w:spacing w:val="2"/>
                <w:szCs w:val="21"/>
                <w:highlight w:val="none"/>
                <w:lang w:eastAsia="en-US"/>
              </w:rPr>
              <w:t>产</w:t>
            </w:r>
            <w:r>
              <w:rPr>
                <w:rFonts w:hAnsi="宋体" w:cs="宋体"/>
                <w:spacing w:val="-1"/>
                <w:szCs w:val="21"/>
                <w:highlight w:val="none"/>
                <w:lang w:eastAsia="en-US"/>
              </w:rPr>
              <w:t>废</w:t>
            </w:r>
            <w:r>
              <w:rPr>
                <w:rFonts w:hAnsi="宋体" w:cs="宋体"/>
                <w:szCs w:val="21"/>
                <w:highlight w:val="none"/>
                <w:lang w:eastAsia="en-US"/>
              </w:rPr>
              <w:t>水</w:t>
            </w:r>
          </w:p>
        </w:tc>
        <w:tc>
          <w:tcPr>
            <w:tcW w:w="7322" w:type="dxa"/>
            <w:vAlign w:val="center"/>
          </w:tcPr>
          <w:p>
            <w:pPr>
              <w:pStyle w:val="64"/>
              <w:widowControl w:val="0"/>
              <w:rPr>
                <w:rFonts w:hAnsi="宋体" w:cs="宋体"/>
                <w:szCs w:val="21"/>
                <w:highlight w:val="none"/>
                <w:lang w:eastAsia="zh-CN"/>
              </w:rPr>
            </w:pPr>
            <w:r>
              <w:rPr>
                <w:rFonts w:hint="eastAsia" w:hAnsi="宋体" w:cs="宋体"/>
                <w:spacing w:val="-1"/>
                <w:szCs w:val="21"/>
                <w:highlight w:val="none"/>
                <w:lang w:eastAsia="zh-CN"/>
              </w:rPr>
              <w:t>尾矿浆经浓缩压滤后，泵入循环水池回用于生产。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42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洗</w:t>
            </w:r>
            <w:r>
              <w:rPr>
                <w:rFonts w:hAnsi="宋体" w:cs="宋体"/>
                <w:spacing w:val="2"/>
                <w:szCs w:val="21"/>
                <w:highlight w:val="none"/>
                <w:lang w:eastAsia="en-US"/>
              </w:rPr>
              <w:t>车</w:t>
            </w:r>
            <w:r>
              <w:rPr>
                <w:rFonts w:hAnsi="宋体" w:cs="宋体"/>
                <w:spacing w:val="-1"/>
                <w:szCs w:val="21"/>
                <w:highlight w:val="none"/>
                <w:lang w:eastAsia="en-US"/>
              </w:rPr>
              <w:t>废</w:t>
            </w:r>
            <w:r>
              <w:rPr>
                <w:rFonts w:hAnsi="宋体" w:cs="宋体"/>
                <w:szCs w:val="21"/>
                <w:highlight w:val="none"/>
                <w:lang w:eastAsia="en-US"/>
              </w:rPr>
              <w:t>水</w:t>
            </w:r>
          </w:p>
        </w:tc>
        <w:tc>
          <w:tcPr>
            <w:tcW w:w="7322" w:type="dxa"/>
            <w:vAlign w:val="center"/>
          </w:tcPr>
          <w:p>
            <w:pPr>
              <w:pStyle w:val="64"/>
              <w:widowControl w:val="0"/>
              <w:rPr>
                <w:rFonts w:hAnsi="宋体" w:cs="宋体"/>
                <w:szCs w:val="21"/>
                <w:highlight w:val="none"/>
                <w:lang w:eastAsia="zh-CN"/>
              </w:rPr>
            </w:pPr>
            <w:r>
              <w:rPr>
                <w:rFonts w:hint="eastAsia" w:hAnsi="宋体" w:cs="宋体"/>
                <w:spacing w:val="-1"/>
                <w:szCs w:val="21"/>
                <w:highlight w:val="none"/>
                <w:lang w:eastAsia="zh-CN"/>
              </w:rPr>
              <w:t>洗车废水经沉淀池沉淀后循环使用，不外排。</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428" w:type="dxa"/>
            <w:vAlign w:val="center"/>
          </w:tcPr>
          <w:p>
            <w:pPr>
              <w:pStyle w:val="64"/>
              <w:widowControl w:val="0"/>
              <w:rPr>
                <w:rFonts w:hAnsi="宋体" w:cs="宋体"/>
                <w:szCs w:val="21"/>
                <w:highlight w:val="none"/>
                <w:lang w:eastAsia="en-US"/>
              </w:rPr>
            </w:pPr>
            <w:r>
              <w:rPr>
                <w:rFonts w:hAnsi="宋体" w:cs="宋体"/>
                <w:spacing w:val="-1"/>
                <w:szCs w:val="21"/>
                <w:highlight w:val="none"/>
                <w:lang w:eastAsia="en-US"/>
              </w:rPr>
              <w:t>跑</w:t>
            </w:r>
            <w:r>
              <w:rPr>
                <w:rFonts w:hAnsi="宋体" w:cs="宋体"/>
                <w:spacing w:val="2"/>
                <w:szCs w:val="21"/>
                <w:highlight w:val="none"/>
                <w:lang w:eastAsia="en-US"/>
              </w:rPr>
              <w:t>冒</w:t>
            </w:r>
            <w:r>
              <w:rPr>
                <w:rFonts w:hAnsi="宋体" w:cs="宋体"/>
                <w:szCs w:val="21"/>
                <w:highlight w:val="none"/>
                <w:lang w:eastAsia="en-US"/>
              </w:rPr>
              <w:t>滴</w:t>
            </w:r>
            <w:r>
              <w:rPr>
                <w:rFonts w:hAnsi="宋体" w:cs="宋体"/>
                <w:spacing w:val="-1"/>
                <w:szCs w:val="21"/>
                <w:highlight w:val="none"/>
                <w:lang w:eastAsia="en-US"/>
              </w:rPr>
              <w:t>漏</w:t>
            </w:r>
            <w:r>
              <w:rPr>
                <w:rFonts w:hint="eastAsia" w:hAnsi="宋体" w:cs="宋体"/>
                <w:szCs w:val="21"/>
                <w:highlight w:val="none"/>
                <w:lang w:eastAsia="en-US"/>
              </w:rPr>
              <w:t>水</w:t>
            </w:r>
          </w:p>
        </w:tc>
        <w:tc>
          <w:tcPr>
            <w:tcW w:w="7322" w:type="dxa"/>
            <w:vAlign w:val="center"/>
          </w:tcPr>
          <w:p>
            <w:pPr>
              <w:pStyle w:val="64"/>
              <w:widowControl w:val="0"/>
              <w:rPr>
                <w:rFonts w:hAnsi="宋体" w:cs="宋体"/>
                <w:szCs w:val="21"/>
                <w:highlight w:val="none"/>
                <w:lang w:eastAsia="zh-CN"/>
              </w:rPr>
            </w:pPr>
            <w:r>
              <w:rPr>
                <w:rFonts w:hint="eastAsia" w:hAnsi="宋体" w:cs="宋体"/>
                <w:spacing w:val="-1"/>
                <w:szCs w:val="21"/>
                <w:highlight w:val="none"/>
                <w:lang w:eastAsia="zh-CN"/>
              </w:rPr>
              <w:t>将跑、冒、滴、漏、地板冲洗水等经收集后，进入生产系统，作为选矿补充水。</w:t>
            </w:r>
          </w:p>
        </w:tc>
      </w:tr>
    </w:tbl>
    <w:p>
      <w:pPr>
        <w:pStyle w:val="4"/>
        <w:ind w:firstLine="562"/>
        <w:rPr>
          <w:rFonts w:hAnsi="宋体"/>
          <w:highlight w:val="none"/>
        </w:rPr>
      </w:pPr>
      <w:bookmarkStart w:id="390" w:name="_Toc4678551"/>
      <w:r>
        <w:rPr>
          <w:rFonts w:hAnsi="宋体"/>
          <w:highlight w:val="none"/>
        </w:rPr>
        <w:t>9.4.4固体废物处置措施</w:t>
      </w:r>
      <w:bookmarkEnd w:id="390"/>
    </w:p>
    <w:p>
      <w:pPr>
        <w:pStyle w:val="62"/>
        <w:ind w:firstLine="480"/>
        <w:rPr>
          <w:rFonts w:hAnsi="宋体"/>
          <w:highlight w:val="none"/>
        </w:rPr>
      </w:pPr>
      <w:r>
        <w:rPr>
          <w:rFonts w:hAnsi="宋体"/>
          <w:highlight w:val="none"/>
        </w:rPr>
        <w:t>固体废物产生及排放情况见表</w:t>
      </w:r>
      <w:r>
        <w:rPr>
          <w:rFonts w:hAnsi="宋体"/>
          <w:bCs/>
          <w:highlight w:val="none"/>
        </w:rPr>
        <w:t>9.4-</w:t>
      </w:r>
      <w:r>
        <w:rPr>
          <w:rFonts w:hint="eastAsia" w:hAnsi="宋体"/>
          <w:highlight w:val="none"/>
        </w:rPr>
        <w:t>3</w:t>
      </w:r>
      <w:r>
        <w:rPr>
          <w:rFonts w:hAnsi="宋体"/>
          <w:highlight w:val="none"/>
        </w:rPr>
        <w:t>。</w:t>
      </w:r>
    </w:p>
    <w:p>
      <w:pPr>
        <w:pStyle w:val="65"/>
        <w:rPr>
          <w:rFonts w:hAnsi="宋体"/>
          <w:highlight w:val="none"/>
        </w:rPr>
      </w:pPr>
      <w:r>
        <w:rPr>
          <w:rFonts w:hAnsi="宋体"/>
          <w:highlight w:val="none"/>
        </w:rPr>
        <w:t>表</w:t>
      </w:r>
      <w:r>
        <w:rPr>
          <w:rFonts w:hAnsi="宋体"/>
          <w:bCs/>
          <w:highlight w:val="none"/>
        </w:rPr>
        <w:t>9.4-</w:t>
      </w:r>
      <w:r>
        <w:rPr>
          <w:rFonts w:hint="eastAsia" w:hAnsi="宋体"/>
          <w:highlight w:val="none"/>
        </w:rPr>
        <w:t xml:space="preserve">3  </w:t>
      </w:r>
      <w:r>
        <w:rPr>
          <w:rFonts w:hAnsi="宋体"/>
          <w:highlight w:val="none"/>
        </w:rPr>
        <w:t>固体废物产生及处置情况表</w:t>
      </w:r>
    </w:p>
    <w:p>
      <w:pPr>
        <w:spacing w:before="1" w:line="50" w:lineRule="exact"/>
        <w:ind w:firstLine="0" w:firstLineChars="0"/>
        <w:jc w:val="left"/>
        <w:rPr>
          <w:rFonts w:ascii="宋体" w:hAnsi="宋体"/>
          <w:kern w:val="0"/>
          <w:sz w:val="5"/>
          <w:szCs w:val="5"/>
          <w:highlight w:val="none"/>
        </w:rPr>
      </w:pPr>
    </w:p>
    <w:tbl>
      <w:tblPr>
        <w:tblStyle w:val="72"/>
        <w:tblW w:w="875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158"/>
        <w:gridCol w:w="1120"/>
        <w:gridCol w:w="647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278" w:type="dxa"/>
            <w:gridSpan w:val="2"/>
            <w:vAlign w:val="center"/>
          </w:tcPr>
          <w:p>
            <w:pPr>
              <w:pStyle w:val="64"/>
              <w:widowControl w:val="0"/>
              <w:rPr>
                <w:rFonts w:hAnsi="宋体"/>
                <w:highlight w:val="none"/>
                <w:lang w:eastAsia="en-US"/>
              </w:rPr>
            </w:pPr>
            <w:r>
              <w:rPr>
                <w:rFonts w:hAnsi="宋体"/>
                <w:highlight w:val="none"/>
                <w:lang w:eastAsia="en-US"/>
              </w:rPr>
              <w:t>固废名称</w:t>
            </w:r>
          </w:p>
        </w:tc>
        <w:tc>
          <w:tcPr>
            <w:tcW w:w="6472" w:type="dxa"/>
            <w:vAlign w:val="center"/>
          </w:tcPr>
          <w:p>
            <w:pPr>
              <w:pStyle w:val="64"/>
              <w:widowControl w:val="0"/>
              <w:rPr>
                <w:rFonts w:hAnsi="宋体"/>
                <w:highlight w:val="none"/>
                <w:lang w:eastAsia="en-US"/>
              </w:rPr>
            </w:pPr>
            <w:r>
              <w:rPr>
                <w:rFonts w:hAnsi="宋体"/>
                <w:highlight w:val="none"/>
                <w:lang w:eastAsia="en-US"/>
              </w:rPr>
              <w:t>治理措施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58" w:type="dxa"/>
            <w:vMerge w:val="restart"/>
            <w:vAlign w:val="center"/>
          </w:tcPr>
          <w:p>
            <w:pPr>
              <w:pStyle w:val="64"/>
              <w:widowControl w:val="0"/>
              <w:rPr>
                <w:rFonts w:hAnsi="宋体"/>
                <w:highlight w:val="none"/>
                <w:lang w:eastAsia="en-US"/>
              </w:rPr>
            </w:pPr>
            <w:r>
              <w:rPr>
                <w:rFonts w:hAnsi="宋体"/>
                <w:highlight w:val="none"/>
                <w:lang w:eastAsia="en-US"/>
              </w:rPr>
              <w:t>尾矿</w:t>
            </w:r>
          </w:p>
        </w:tc>
        <w:tc>
          <w:tcPr>
            <w:tcW w:w="1120" w:type="dxa"/>
            <w:vAlign w:val="center"/>
          </w:tcPr>
          <w:p>
            <w:pPr>
              <w:pStyle w:val="64"/>
              <w:widowControl w:val="0"/>
              <w:rPr>
                <w:rFonts w:hAnsi="宋体"/>
                <w:highlight w:val="none"/>
                <w:lang w:eastAsia="en-US"/>
              </w:rPr>
            </w:pPr>
            <w:r>
              <w:rPr>
                <w:rFonts w:hint="eastAsia" w:hAnsi="宋体"/>
                <w:highlight w:val="none"/>
                <w:lang w:eastAsia="en-US"/>
              </w:rPr>
              <w:t>废石</w:t>
            </w:r>
          </w:p>
        </w:tc>
        <w:tc>
          <w:tcPr>
            <w:tcW w:w="6472" w:type="dxa"/>
            <w:vMerge w:val="restart"/>
            <w:vAlign w:val="center"/>
          </w:tcPr>
          <w:p>
            <w:pPr>
              <w:pStyle w:val="64"/>
              <w:widowControl w:val="0"/>
              <w:rPr>
                <w:rFonts w:hAnsi="宋体"/>
                <w:highlight w:val="none"/>
                <w:lang w:eastAsia="zh-CN"/>
              </w:rPr>
            </w:pPr>
            <w:r>
              <w:rPr>
                <w:rFonts w:hint="eastAsia" w:hAnsi="宋体"/>
                <w:highlight w:val="none"/>
                <w:lang w:eastAsia="zh-CN"/>
              </w:rPr>
              <w:t>在废石库暂存后，</w:t>
            </w:r>
            <w:r>
              <w:rPr>
                <w:rFonts w:hAnsi="宋体"/>
                <w:highlight w:val="none"/>
                <w:lang w:eastAsia="zh-CN"/>
              </w:rPr>
              <w:t>外售综合利用，销路不畅时送选厂</w:t>
            </w:r>
            <w:r>
              <w:rPr>
                <w:rFonts w:hint="eastAsia" w:hAnsi="宋体"/>
                <w:highlight w:val="none"/>
                <w:lang w:eastAsia="zh-CN"/>
              </w:rPr>
              <w:t>东</w:t>
            </w:r>
            <w:r>
              <w:rPr>
                <w:rFonts w:hAnsi="宋体"/>
                <w:highlight w:val="none"/>
                <w:lang w:eastAsia="zh-CN"/>
              </w:rPr>
              <w:t>侧尾矿库堆存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1158" w:type="dxa"/>
            <w:vMerge w:val="continue"/>
            <w:vAlign w:val="center"/>
          </w:tcPr>
          <w:p>
            <w:pPr>
              <w:pStyle w:val="64"/>
              <w:widowControl w:val="0"/>
              <w:rPr>
                <w:rFonts w:hAnsi="宋体"/>
                <w:highlight w:val="none"/>
                <w:lang w:eastAsia="zh-CN"/>
              </w:rPr>
            </w:pPr>
          </w:p>
        </w:tc>
        <w:tc>
          <w:tcPr>
            <w:tcW w:w="1120" w:type="dxa"/>
            <w:vAlign w:val="center"/>
          </w:tcPr>
          <w:p>
            <w:pPr>
              <w:pStyle w:val="64"/>
              <w:widowControl w:val="0"/>
              <w:rPr>
                <w:rFonts w:hAnsi="宋体"/>
                <w:highlight w:val="none"/>
                <w:lang w:eastAsia="en-US"/>
              </w:rPr>
            </w:pPr>
            <w:r>
              <w:rPr>
                <w:rFonts w:hAnsi="宋体"/>
                <w:highlight w:val="none"/>
                <w:lang w:eastAsia="en-US"/>
              </w:rPr>
              <w:t>粗砂</w:t>
            </w:r>
          </w:p>
        </w:tc>
        <w:tc>
          <w:tcPr>
            <w:tcW w:w="6472" w:type="dxa"/>
            <w:vMerge w:val="continue"/>
            <w:vAlign w:val="center"/>
          </w:tcPr>
          <w:p>
            <w:pPr>
              <w:pStyle w:val="64"/>
              <w:widowControl w:val="0"/>
              <w:rPr>
                <w:rFonts w:hAnsi="宋体"/>
                <w:highlight w:val="none"/>
                <w:lang w:eastAsia="en-US"/>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1158" w:type="dxa"/>
            <w:vMerge w:val="continue"/>
            <w:vAlign w:val="center"/>
          </w:tcPr>
          <w:p>
            <w:pPr>
              <w:pStyle w:val="64"/>
              <w:widowControl w:val="0"/>
              <w:rPr>
                <w:rFonts w:hAnsi="宋体"/>
                <w:highlight w:val="none"/>
                <w:lang w:eastAsia="en-US"/>
              </w:rPr>
            </w:pPr>
          </w:p>
        </w:tc>
        <w:tc>
          <w:tcPr>
            <w:tcW w:w="1120" w:type="dxa"/>
            <w:vAlign w:val="center"/>
          </w:tcPr>
          <w:p>
            <w:pPr>
              <w:pStyle w:val="64"/>
              <w:widowControl w:val="0"/>
              <w:rPr>
                <w:rFonts w:hAnsi="宋体"/>
                <w:highlight w:val="none"/>
                <w:lang w:eastAsia="en-US"/>
              </w:rPr>
            </w:pPr>
            <w:r>
              <w:rPr>
                <w:rFonts w:hAnsi="宋体"/>
                <w:highlight w:val="none"/>
                <w:lang w:eastAsia="en-US"/>
              </w:rPr>
              <w:t>尾砂</w:t>
            </w:r>
          </w:p>
        </w:tc>
        <w:tc>
          <w:tcPr>
            <w:tcW w:w="6472" w:type="dxa"/>
            <w:vAlign w:val="center"/>
          </w:tcPr>
          <w:p>
            <w:pPr>
              <w:pStyle w:val="64"/>
              <w:widowControl w:val="0"/>
              <w:rPr>
                <w:rFonts w:hAnsi="宋体"/>
                <w:highlight w:val="none"/>
                <w:lang w:eastAsia="zh-CN"/>
              </w:rPr>
            </w:pPr>
            <w:r>
              <w:rPr>
                <w:rFonts w:hAnsi="宋体"/>
                <w:highlight w:val="none"/>
                <w:lang w:eastAsia="zh-CN"/>
              </w:rPr>
              <w:t>于</w:t>
            </w:r>
            <w:r>
              <w:rPr>
                <w:rFonts w:hint="eastAsia" w:hAnsi="宋体"/>
                <w:highlight w:val="none"/>
                <w:lang w:eastAsia="zh-CN"/>
              </w:rPr>
              <w:t>东</w:t>
            </w:r>
            <w:r>
              <w:rPr>
                <w:rFonts w:hAnsi="宋体"/>
                <w:highlight w:val="none"/>
                <w:lang w:eastAsia="zh-CN"/>
              </w:rPr>
              <w:t>侧</w:t>
            </w:r>
            <w:r>
              <w:rPr>
                <w:rFonts w:hint="eastAsia" w:hAnsi="宋体"/>
                <w:highlight w:val="none"/>
                <w:lang w:eastAsia="zh-CN"/>
              </w:rPr>
              <w:t>尾矿库</w:t>
            </w:r>
            <w:r>
              <w:rPr>
                <w:rFonts w:hAnsi="宋体"/>
                <w:highlight w:val="none"/>
                <w:lang w:eastAsia="zh-CN"/>
              </w:rPr>
              <w:t>合理堆存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278" w:type="dxa"/>
            <w:gridSpan w:val="2"/>
            <w:vAlign w:val="center"/>
          </w:tcPr>
          <w:p>
            <w:pPr>
              <w:pStyle w:val="64"/>
              <w:widowControl w:val="0"/>
              <w:rPr>
                <w:rFonts w:hAnsi="宋体"/>
                <w:highlight w:val="none"/>
                <w:lang w:eastAsia="en-US"/>
              </w:rPr>
            </w:pPr>
            <w:r>
              <w:rPr>
                <w:rFonts w:hAnsi="宋体"/>
                <w:highlight w:val="none"/>
                <w:lang w:eastAsia="en-US"/>
              </w:rPr>
              <w:t>除尘系统收集粉尘</w:t>
            </w:r>
          </w:p>
        </w:tc>
        <w:tc>
          <w:tcPr>
            <w:tcW w:w="6472" w:type="dxa"/>
            <w:vAlign w:val="center"/>
          </w:tcPr>
          <w:p>
            <w:pPr>
              <w:pStyle w:val="64"/>
              <w:widowControl w:val="0"/>
              <w:rPr>
                <w:rFonts w:hAnsi="宋体"/>
                <w:highlight w:val="none"/>
                <w:lang w:eastAsia="en-US"/>
              </w:rPr>
            </w:pPr>
            <w:r>
              <w:rPr>
                <w:rFonts w:hAnsi="宋体"/>
                <w:highlight w:val="none"/>
                <w:lang w:eastAsia="en-US"/>
              </w:rPr>
              <w:t>作为原料回用于生产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278" w:type="dxa"/>
            <w:gridSpan w:val="2"/>
            <w:vAlign w:val="center"/>
          </w:tcPr>
          <w:p>
            <w:pPr>
              <w:pStyle w:val="64"/>
              <w:widowControl w:val="0"/>
              <w:rPr>
                <w:rFonts w:hAnsi="宋体"/>
                <w:highlight w:val="none"/>
                <w:lang w:eastAsia="en-US"/>
              </w:rPr>
            </w:pPr>
            <w:r>
              <w:rPr>
                <w:rFonts w:hAnsi="宋体"/>
                <w:highlight w:val="none"/>
                <w:lang w:eastAsia="en-US"/>
              </w:rPr>
              <w:t>生活垃圾</w:t>
            </w:r>
          </w:p>
        </w:tc>
        <w:tc>
          <w:tcPr>
            <w:tcW w:w="6472" w:type="dxa"/>
            <w:vAlign w:val="center"/>
          </w:tcPr>
          <w:p>
            <w:pPr>
              <w:pStyle w:val="64"/>
              <w:widowControl w:val="0"/>
              <w:rPr>
                <w:rFonts w:hAnsi="宋体"/>
                <w:highlight w:val="none"/>
                <w:lang w:eastAsia="zh-CN"/>
              </w:rPr>
            </w:pPr>
            <w:r>
              <w:rPr>
                <w:rFonts w:hAnsi="宋体"/>
                <w:highlight w:val="none"/>
                <w:lang w:eastAsia="zh-CN"/>
              </w:rPr>
              <w:t>厂内收集后，由当地环卫部门定期清运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c>
          <w:tcPr>
            <w:tcW w:w="2278" w:type="dxa"/>
            <w:gridSpan w:val="2"/>
            <w:vAlign w:val="center"/>
          </w:tcPr>
          <w:p>
            <w:pPr>
              <w:pStyle w:val="64"/>
              <w:widowControl w:val="0"/>
              <w:rPr>
                <w:rFonts w:hAnsi="宋体"/>
                <w:highlight w:val="none"/>
                <w:lang w:eastAsia="en-US"/>
              </w:rPr>
            </w:pPr>
            <w:r>
              <w:rPr>
                <w:rFonts w:hAnsi="宋体"/>
                <w:highlight w:val="none"/>
                <w:lang w:eastAsia="en-US"/>
              </w:rPr>
              <w:t>废机油</w:t>
            </w:r>
          </w:p>
        </w:tc>
        <w:tc>
          <w:tcPr>
            <w:tcW w:w="6472" w:type="dxa"/>
            <w:vAlign w:val="center"/>
          </w:tcPr>
          <w:p>
            <w:pPr>
              <w:pStyle w:val="64"/>
              <w:widowControl w:val="0"/>
              <w:rPr>
                <w:rFonts w:hAnsi="宋体"/>
                <w:highlight w:val="none"/>
                <w:lang w:eastAsia="zh-CN"/>
              </w:rPr>
            </w:pPr>
            <w:r>
              <w:rPr>
                <w:rFonts w:hAnsi="宋体"/>
                <w:highlight w:val="none"/>
                <w:lang w:eastAsia="zh-CN"/>
              </w:rPr>
              <w:t>危废暂存间暂存，委托有危险废物处理资质的单位处置。</w:t>
            </w:r>
          </w:p>
        </w:tc>
      </w:tr>
    </w:tbl>
    <w:p>
      <w:pPr>
        <w:pStyle w:val="4"/>
        <w:ind w:firstLine="562"/>
        <w:rPr>
          <w:rFonts w:hAnsi="宋体"/>
          <w:highlight w:val="none"/>
        </w:rPr>
      </w:pPr>
      <w:bookmarkStart w:id="391" w:name="_Toc4678552"/>
      <w:r>
        <w:rPr>
          <w:rFonts w:hAnsi="宋体"/>
          <w:highlight w:val="none"/>
        </w:rPr>
        <w:t>9.4.5噪声治理措施</w:t>
      </w:r>
      <w:bookmarkEnd w:id="391"/>
    </w:p>
    <w:p>
      <w:pPr>
        <w:ind w:firstLine="480"/>
        <w:rPr>
          <w:rFonts w:ascii="宋体" w:hAnsi="宋体"/>
          <w:bCs/>
          <w:highlight w:val="none"/>
        </w:rPr>
      </w:pPr>
      <w:r>
        <w:rPr>
          <w:rFonts w:ascii="宋体" w:hAnsi="宋体"/>
          <w:bCs/>
          <w:highlight w:val="none"/>
        </w:rPr>
        <w:t>本项目运营期设备噪声和运输噪声在采取本报告提出的基础减震等防治措施后，噪声排放可达到《工业企业厂界环境噪声排放标准》（GB12348-2008）中2类标准的要求。</w:t>
      </w:r>
    </w:p>
    <w:p>
      <w:pPr>
        <w:pStyle w:val="4"/>
        <w:ind w:firstLine="562"/>
        <w:rPr>
          <w:rFonts w:hAnsi="宋体"/>
          <w:highlight w:val="none"/>
        </w:rPr>
      </w:pPr>
      <w:r>
        <w:rPr>
          <w:rFonts w:hAnsi="宋体"/>
          <w:highlight w:val="none"/>
        </w:rPr>
        <w:t>9.4.6生态恢复措施</w:t>
      </w:r>
    </w:p>
    <w:p>
      <w:pPr>
        <w:ind w:firstLine="496"/>
        <w:rPr>
          <w:rFonts w:ascii="宋体" w:hAnsi="宋体"/>
          <w:spacing w:val="4"/>
          <w:highlight w:val="none"/>
        </w:rPr>
      </w:pPr>
      <w:r>
        <w:rPr>
          <w:rFonts w:hint="eastAsia" w:ascii="宋体" w:hAnsi="宋体"/>
          <w:spacing w:val="4"/>
          <w:highlight w:val="none"/>
        </w:rPr>
        <w:t>1、</w:t>
      </w:r>
      <w:r>
        <w:rPr>
          <w:rFonts w:ascii="宋体" w:hAnsi="宋体"/>
          <w:spacing w:val="4"/>
          <w:highlight w:val="none"/>
        </w:rPr>
        <w:t>禁止向自然保护区排放废水、废弃土石及生活垃圾；</w:t>
      </w:r>
    </w:p>
    <w:p>
      <w:pPr>
        <w:ind w:firstLine="496"/>
        <w:rPr>
          <w:rFonts w:ascii="宋体" w:hAnsi="宋体"/>
          <w:spacing w:val="4"/>
          <w:highlight w:val="none"/>
        </w:rPr>
      </w:pPr>
      <w:r>
        <w:rPr>
          <w:rFonts w:hint="eastAsia" w:ascii="宋体" w:hAnsi="宋体"/>
          <w:spacing w:val="4"/>
          <w:highlight w:val="none"/>
        </w:rPr>
        <w:t>2、</w:t>
      </w:r>
      <w:r>
        <w:rPr>
          <w:rFonts w:ascii="宋体" w:hAnsi="宋体"/>
          <w:spacing w:val="4"/>
          <w:highlight w:val="none"/>
        </w:rPr>
        <w:t>严格执行环评报告提出的抑尘措施，并定期维护，保障达标排放；</w:t>
      </w:r>
    </w:p>
    <w:p>
      <w:pPr>
        <w:ind w:firstLine="496"/>
        <w:rPr>
          <w:rFonts w:ascii="宋体" w:hAnsi="宋体"/>
          <w:spacing w:val="4"/>
          <w:highlight w:val="none"/>
        </w:rPr>
      </w:pPr>
      <w:r>
        <w:rPr>
          <w:rFonts w:hint="eastAsia" w:ascii="宋体" w:hAnsi="宋体"/>
          <w:spacing w:val="4"/>
          <w:highlight w:val="none"/>
        </w:rPr>
        <w:t>3、</w:t>
      </w:r>
      <w:r>
        <w:rPr>
          <w:rFonts w:ascii="宋体" w:hAnsi="宋体"/>
          <w:spacing w:val="4"/>
          <w:highlight w:val="none"/>
        </w:rPr>
        <w:t>严格执行环评报告提成的降噪措施，并定期维护设备；</w:t>
      </w:r>
    </w:p>
    <w:p>
      <w:pPr>
        <w:ind w:firstLine="496"/>
        <w:rPr>
          <w:rFonts w:ascii="宋体" w:hAnsi="宋体"/>
          <w:spacing w:val="4"/>
          <w:highlight w:val="none"/>
        </w:rPr>
      </w:pPr>
      <w:r>
        <w:rPr>
          <w:rFonts w:hint="eastAsia" w:ascii="宋体" w:hAnsi="宋体"/>
          <w:spacing w:val="4"/>
          <w:highlight w:val="none"/>
        </w:rPr>
        <w:t>4、</w:t>
      </w:r>
      <w:r>
        <w:rPr>
          <w:rFonts w:ascii="宋体" w:hAnsi="宋体"/>
          <w:spacing w:val="4"/>
          <w:highlight w:val="none"/>
        </w:rPr>
        <w:t>禁止破坏自然保护区的植被，占用自然保护区的土地；</w:t>
      </w:r>
    </w:p>
    <w:p>
      <w:pPr>
        <w:ind w:firstLine="496"/>
        <w:rPr>
          <w:rFonts w:ascii="宋体" w:hAnsi="宋体"/>
          <w:spacing w:val="4"/>
          <w:highlight w:val="none"/>
        </w:rPr>
      </w:pPr>
      <w:r>
        <w:rPr>
          <w:rFonts w:hint="eastAsia" w:ascii="宋体" w:hAnsi="宋体"/>
          <w:spacing w:val="4"/>
          <w:highlight w:val="none"/>
        </w:rPr>
        <w:t>5、</w:t>
      </w:r>
      <w:r>
        <w:rPr>
          <w:rFonts w:ascii="宋体" w:hAnsi="宋体"/>
          <w:spacing w:val="4"/>
          <w:highlight w:val="none"/>
        </w:rPr>
        <w:t>加强环境管理和宣传教育，严禁职工进入保护区内；</w:t>
      </w:r>
    </w:p>
    <w:p>
      <w:pPr>
        <w:ind w:firstLine="496"/>
        <w:rPr>
          <w:rFonts w:ascii="宋体" w:hAnsi="宋体"/>
          <w:spacing w:val="4"/>
          <w:highlight w:val="none"/>
        </w:rPr>
      </w:pPr>
      <w:r>
        <w:rPr>
          <w:rFonts w:hint="eastAsia" w:ascii="宋体" w:hAnsi="宋体"/>
          <w:spacing w:val="4"/>
          <w:highlight w:val="none"/>
        </w:rPr>
        <w:t>6、</w:t>
      </w:r>
      <w:r>
        <w:rPr>
          <w:rFonts w:ascii="宋体" w:hAnsi="宋体"/>
          <w:spacing w:val="4"/>
          <w:highlight w:val="none"/>
        </w:rPr>
        <w:t>加强职工野生动物保护教育，提职工的高野生动物保护意识，严禁捕杀野生动物，随意破坏植被。</w:t>
      </w:r>
    </w:p>
    <w:p>
      <w:pPr>
        <w:pStyle w:val="3"/>
        <w:ind w:firstLine="643"/>
        <w:rPr>
          <w:rFonts w:hAnsi="宋体"/>
          <w:highlight w:val="none"/>
        </w:rPr>
      </w:pPr>
      <w:bookmarkStart w:id="392" w:name="_Toc70201058"/>
      <w:bookmarkStart w:id="393" w:name="_Toc4678553"/>
      <w:r>
        <w:rPr>
          <w:rFonts w:hint="eastAsia" w:hAnsi="宋体"/>
          <w:highlight w:val="none"/>
        </w:rPr>
        <w:t>9.5总量控制</w:t>
      </w:r>
      <w:bookmarkEnd w:id="392"/>
    </w:p>
    <w:p>
      <w:pPr>
        <w:ind w:firstLine="480"/>
        <w:rPr>
          <w:rFonts w:ascii="宋体" w:hAnsi="宋体" w:cs="宋体"/>
          <w:szCs w:val="20"/>
          <w:highlight w:val="none"/>
        </w:rPr>
      </w:pPr>
      <w:r>
        <w:rPr>
          <w:rFonts w:ascii="宋体" w:hAnsi="宋体" w:cs="宋体"/>
          <w:szCs w:val="20"/>
          <w:highlight w:val="none"/>
        </w:rPr>
        <w:t>根据山西省环境保护厅“关于印发《山西省环境保护厅建设项目主要污染物排放总量核定办法》的通知”（晋环发[2015]25号）文，属于环境统计工业源调查行业范围内（《国民经济行业分类》（GB/T4754-2011）中采矿业、制造业、电力、燃气及水的生产和供应业，3个门类39个行业的企业）新增主要污染物排放总量的建设项目，在环境影响评价文件审批前，建设单位需按本办法规定取得主要污染物排放总量指标。本项目属</w:t>
      </w:r>
      <w:r>
        <w:rPr>
          <w:rFonts w:hint="eastAsia" w:ascii="宋体" w:hAnsi="宋体" w:cs="宋体"/>
          <w:szCs w:val="20"/>
          <w:highlight w:val="none"/>
        </w:rPr>
        <w:t>铁矿采选</w:t>
      </w:r>
      <w:r>
        <w:rPr>
          <w:rFonts w:ascii="宋体" w:hAnsi="宋体" w:cs="宋体"/>
          <w:szCs w:val="20"/>
          <w:highlight w:val="none"/>
        </w:rPr>
        <w:t>业，需申请核定主要污染物排放总量指标。</w:t>
      </w:r>
    </w:p>
    <w:p>
      <w:pPr>
        <w:ind w:firstLine="480"/>
        <w:rPr>
          <w:rFonts w:ascii="宋体" w:hAnsi="宋体" w:cs="宋体"/>
          <w:szCs w:val="20"/>
          <w:highlight w:val="none"/>
        </w:rPr>
      </w:pPr>
      <w:r>
        <w:rPr>
          <w:rFonts w:hint="eastAsia" w:ascii="宋体" w:hAnsi="宋体" w:cs="宋体"/>
          <w:szCs w:val="20"/>
          <w:highlight w:val="none"/>
        </w:rPr>
        <w:t>本项目有组织排放计算量</w:t>
      </w:r>
      <w:r>
        <w:rPr>
          <w:rFonts w:ascii="宋体" w:hAnsi="宋体" w:cs="宋体"/>
          <w:szCs w:val="20"/>
          <w:highlight w:val="none"/>
        </w:rPr>
        <w:t>为：粉尘：</w:t>
      </w:r>
      <w:r>
        <w:rPr>
          <w:rFonts w:hint="eastAsia" w:ascii="宋体" w:hAnsi="宋体" w:cs="宋体"/>
          <w:szCs w:val="20"/>
          <w:highlight w:val="none"/>
        </w:rPr>
        <w:t>2.808</w:t>
      </w:r>
      <w:r>
        <w:rPr>
          <w:rFonts w:ascii="宋体" w:hAnsi="宋体" w:cs="宋体"/>
          <w:szCs w:val="20"/>
          <w:highlight w:val="none"/>
        </w:rPr>
        <w:t>t/a。</w:t>
      </w:r>
    </w:p>
    <w:p>
      <w:pPr>
        <w:ind w:firstLine="480"/>
        <w:rPr>
          <w:rFonts w:hint="eastAsia" w:ascii="宋体" w:hAnsi="宋体" w:cs="宋体"/>
          <w:szCs w:val="20"/>
          <w:highlight w:val="none"/>
          <w:lang w:val="en-US" w:eastAsia="zh-CN"/>
        </w:rPr>
      </w:pPr>
      <w:r>
        <w:rPr>
          <w:rFonts w:hint="eastAsia" w:ascii="宋体" w:hAnsi="宋体" w:cs="宋体"/>
          <w:szCs w:val="20"/>
          <w:highlight w:val="none"/>
          <w:lang w:val="en-US" w:eastAsia="zh-CN"/>
        </w:rPr>
        <w:t>2022年7月6日，忻州市生态环境局繁峙分局出具了《繁峙县建设项目主要污染物总量核定表》编号2022-008。</w:t>
      </w:r>
    </w:p>
    <w:p>
      <w:pPr>
        <w:ind w:firstLine="480"/>
        <w:rPr>
          <w:rFonts w:hint="default" w:ascii="宋体" w:hAnsi="宋体" w:cs="宋体"/>
          <w:szCs w:val="20"/>
          <w:highlight w:val="none"/>
          <w:lang w:val="en-US" w:eastAsia="zh-CN"/>
        </w:rPr>
      </w:pPr>
      <w:r>
        <w:rPr>
          <w:rFonts w:hint="eastAsia" w:ascii="宋体" w:hAnsi="宋体" w:cs="宋体"/>
          <w:szCs w:val="20"/>
          <w:highlight w:val="none"/>
        </w:rPr>
        <w:t>本项目有组织</w:t>
      </w:r>
      <w:r>
        <w:rPr>
          <w:rFonts w:hint="eastAsia" w:ascii="宋体" w:hAnsi="宋体" w:cs="宋体"/>
          <w:szCs w:val="20"/>
          <w:highlight w:val="none"/>
          <w:lang w:eastAsia="zh-CN"/>
        </w:rPr>
        <w:t>核定</w:t>
      </w:r>
      <w:r>
        <w:rPr>
          <w:rFonts w:hint="eastAsia" w:ascii="宋体" w:hAnsi="宋体" w:cs="宋体"/>
          <w:szCs w:val="20"/>
          <w:highlight w:val="none"/>
        </w:rPr>
        <w:t>排放量</w:t>
      </w:r>
      <w:r>
        <w:rPr>
          <w:rFonts w:ascii="宋体" w:hAnsi="宋体" w:cs="宋体"/>
          <w:szCs w:val="20"/>
          <w:highlight w:val="none"/>
        </w:rPr>
        <w:t>为：粉尘：</w:t>
      </w:r>
      <w:r>
        <w:rPr>
          <w:rFonts w:hint="eastAsia" w:ascii="宋体" w:hAnsi="宋体" w:cs="宋体"/>
          <w:szCs w:val="20"/>
          <w:highlight w:val="none"/>
        </w:rPr>
        <w:t>2.808</w:t>
      </w:r>
      <w:r>
        <w:rPr>
          <w:rFonts w:ascii="宋体" w:hAnsi="宋体" w:cs="宋体"/>
          <w:szCs w:val="20"/>
          <w:highlight w:val="none"/>
        </w:rPr>
        <w:t>t/a。</w:t>
      </w:r>
    </w:p>
    <w:p>
      <w:pPr>
        <w:pStyle w:val="3"/>
        <w:ind w:firstLine="643"/>
        <w:rPr>
          <w:rFonts w:hAnsi="宋体"/>
          <w:highlight w:val="none"/>
        </w:rPr>
      </w:pPr>
      <w:bookmarkStart w:id="394" w:name="_Toc70201059"/>
      <w:r>
        <w:rPr>
          <w:rFonts w:hAnsi="宋体"/>
          <w:highlight w:val="none"/>
        </w:rPr>
        <w:t>9.6环境损益分析</w:t>
      </w:r>
      <w:bookmarkEnd w:id="393"/>
      <w:bookmarkEnd w:id="394"/>
    </w:p>
    <w:p>
      <w:pPr>
        <w:ind w:firstLine="480"/>
        <w:rPr>
          <w:rFonts w:ascii="宋体" w:hAnsi="宋体"/>
          <w:highlight w:val="none"/>
        </w:rPr>
      </w:pPr>
      <w:r>
        <w:rPr>
          <w:rFonts w:ascii="宋体" w:hAnsi="宋体"/>
          <w:highlight w:val="none"/>
        </w:rPr>
        <w:t>本项目总投资700万元，环保投资为</w:t>
      </w:r>
      <w:r>
        <w:rPr>
          <w:rFonts w:hint="eastAsia" w:ascii="宋体" w:hAnsi="宋体"/>
          <w:highlight w:val="none"/>
        </w:rPr>
        <w:t>54.1</w:t>
      </w:r>
      <w:r>
        <w:rPr>
          <w:rFonts w:ascii="宋体" w:hAnsi="宋体"/>
          <w:highlight w:val="none"/>
        </w:rPr>
        <w:t>万元，占总投资的</w:t>
      </w:r>
      <w:r>
        <w:rPr>
          <w:rFonts w:hint="eastAsia" w:ascii="宋体" w:hAnsi="宋体"/>
          <w:highlight w:val="none"/>
        </w:rPr>
        <w:t>7.73</w:t>
      </w:r>
      <w:r>
        <w:rPr>
          <w:rFonts w:ascii="宋体" w:hAnsi="宋体"/>
          <w:highlight w:val="none"/>
        </w:rPr>
        <w:t>%。社会和环境效益角度分析是合理可行的。</w:t>
      </w:r>
    </w:p>
    <w:p>
      <w:pPr>
        <w:pStyle w:val="3"/>
        <w:ind w:firstLine="643"/>
        <w:rPr>
          <w:rFonts w:hAnsi="宋体"/>
          <w:highlight w:val="none"/>
        </w:rPr>
      </w:pPr>
      <w:bookmarkStart w:id="395" w:name="_Toc4678554"/>
      <w:bookmarkStart w:id="396" w:name="_Toc70201060"/>
      <w:r>
        <w:rPr>
          <w:rFonts w:hAnsi="宋体"/>
          <w:highlight w:val="none"/>
        </w:rPr>
        <w:t>9.7环境管理与监测计划</w:t>
      </w:r>
      <w:bookmarkEnd w:id="395"/>
      <w:bookmarkEnd w:id="396"/>
    </w:p>
    <w:p>
      <w:pPr>
        <w:ind w:firstLine="480"/>
        <w:rPr>
          <w:rFonts w:ascii="宋体" w:hAnsi="宋体"/>
          <w:highlight w:val="none"/>
        </w:rPr>
      </w:pPr>
      <w:r>
        <w:rPr>
          <w:rFonts w:ascii="宋体" w:hAnsi="宋体"/>
          <w:highlight w:val="none"/>
        </w:rPr>
        <w:t>山西省繁峙县垣利铁选厂已经设置环境管理部门及管理制度，按照环评报告提出的环境监测计划，委托有资质单位进行监测。</w:t>
      </w:r>
    </w:p>
    <w:p>
      <w:pPr>
        <w:pStyle w:val="3"/>
        <w:ind w:firstLine="643"/>
        <w:rPr>
          <w:rFonts w:hAnsi="宋体"/>
          <w:highlight w:val="none"/>
        </w:rPr>
      </w:pPr>
      <w:bookmarkStart w:id="397" w:name="_Toc70201061"/>
      <w:bookmarkStart w:id="398" w:name="_Toc1460961"/>
      <w:r>
        <w:rPr>
          <w:rFonts w:hAnsi="宋体"/>
          <w:highlight w:val="none"/>
        </w:rPr>
        <w:t>9.8公众调查结论</w:t>
      </w:r>
      <w:bookmarkEnd w:id="397"/>
      <w:bookmarkEnd w:id="398"/>
    </w:p>
    <w:p>
      <w:pPr>
        <w:snapToGrid w:val="0"/>
        <w:ind w:firstLine="480"/>
        <w:rPr>
          <w:rFonts w:ascii="宋体" w:hAnsi="宋体" w:cstheme="minorBidi"/>
          <w:highlight w:val="none"/>
        </w:rPr>
      </w:pPr>
      <w:bookmarkStart w:id="399" w:name="_Toc32414"/>
      <w:bookmarkStart w:id="400" w:name="_Toc486430045"/>
      <w:r>
        <w:rPr>
          <w:rFonts w:hint="eastAsia" w:ascii="宋体" w:hAnsi="宋体" w:cstheme="minorBidi"/>
          <w:highlight w:val="none"/>
        </w:rPr>
        <w:t>2020年12月18日，山西省繁峙县垣利铁选厂委托环评单位承担《山西省繁峙县垣利铁选厂30万吨/年低品位铁矿石综合利用项目》的环境影响评价工作，在确定环境影响报告书编制单位后7个工作日内，建设单位于2020年12月20日在生态环境公示网网站向公众进行了项目第一次公告。2021年9月5日-18日，建设单位通过网络平台、当地报纸，建设项目附近张贴公告三种方式同步公示了项目征求意见稿，征求与该建设项目环境影响有关的意见。</w:t>
      </w:r>
    </w:p>
    <w:p>
      <w:pPr>
        <w:snapToGrid w:val="0"/>
        <w:ind w:firstLine="480"/>
        <w:rPr>
          <w:rFonts w:ascii="宋体" w:hAnsi="宋体" w:cstheme="minorBidi"/>
          <w:bCs/>
          <w:highlight w:val="none"/>
        </w:rPr>
      </w:pPr>
      <w:r>
        <w:rPr>
          <w:rFonts w:hint="eastAsia" w:ascii="宋体" w:hAnsi="宋体" w:cstheme="minorBidi"/>
          <w:highlight w:val="none"/>
        </w:rPr>
        <w:t>本项目在公示期间未收到公众反对意见，无质疑性意见，因此，未进行深度公众参与。</w:t>
      </w:r>
    </w:p>
    <w:bookmarkEnd w:id="399"/>
    <w:bookmarkEnd w:id="400"/>
    <w:p>
      <w:pPr>
        <w:pStyle w:val="3"/>
        <w:ind w:firstLine="643"/>
        <w:rPr>
          <w:rFonts w:hAnsi="宋体"/>
          <w:highlight w:val="none"/>
        </w:rPr>
      </w:pPr>
      <w:bookmarkStart w:id="401" w:name="_Toc70201062"/>
      <w:bookmarkStart w:id="402" w:name="_Toc4678555"/>
      <w:r>
        <w:rPr>
          <w:rFonts w:hAnsi="宋体"/>
          <w:highlight w:val="none"/>
        </w:rPr>
        <w:t>9.</w:t>
      </w:r>
      <w:r>
        <w:rPr>
          <w:rFonts w:hint="eastAsia" w:hAnsi="宋体"/>
          <w:highlight w:val="none"/>
        </w:rPr>
        <w:t>9</w:t>
      </w:r>
      <w:r>
        <w:rPr>
          <w:rFonts w:hAnsi="宋体"/>
          <w:highlight w:val="none"/>
        </w:rPr>
        <w:t>总结论</w:t>
      </w:r>
      <w:bookmarkEnd w:id="401"/>
      <w:bookmarkEnd w:id="402"/>
    </w:p>
    <w:bookmarkEnd w:id="350"/>
    <w:bookmarkEnd w:id="351"/>
    <w:p>
      <w:pPr>
        <w:ind w:firstLine="482"/>
        <w:rPr>
          <w:rFonts w:ascii="宋体" w:hAnsi="宋体"/>
          <w:b/>
          <w:highlight w:val="none"/>
        </w:rPr>
      </w:pPr>
      <w:r>
        <w:rPr>
          <w:rFonts w:ascii="宋体" w:hAnsi="宋体"/>
          <w:b/>
          <w:highlight w:val="none"/>
        </w:rPr>
        <w:t>山西省繁峙县垣利铁选厂30万吨/年低品位铁矿石综合利用项目符合国家产业政策，符合当地相关规划要求，项目选址可行。建设单位认真落实环评报告提出的污染防治措施及生态恢复措施后，各项污染物均能做到达标排放，不会对区域环境空气、地下水、声环境和生态环境产生明显不利影响；公众参与期间未收到反馈意见。从环境保护角度看，本项目的建设是可行的。</w:t>
      </w:r>
    </w:p>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sectPr>
      <w:footerReference r:id="rId27" w:type="default"/>
      <w:pgSz w:w="11906" w:h="16838"/>
      <w:pgMar w:top="1588" w:right="1588" w:bottom="1474" w:left="1588" w:header="964" w:footer="850" w:gutter="0"/>
      <w:pgBorders>
        <w:top w:val="none" w:sz="0" w:space="0"/>
        <w:left w:val="none" w:sz="0" w:space="0"/>
        <w:bottom w:val="none" w:sz="0" w:space="0"/>
        <w:right w:val="none" w:sz="0" w:space="0"/>
      </w:pgBorders>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hakuyoxingshu7000">
    <w:altName w:val="宋体"/>
    <w:panose1 w:val="02000600000000000000"/>
    <w:charset w:val="86"/>
    <w:family w:val="auto"/>
    <w:pitch w:val="default"/>
    <w:sig w:usb0="00000000" w:usb1="00000000" w:usb2="0000003F" w:usb3="00000000" w:csb0="603F00FF" w:csb1="FFFF0000"/>
  </w:font>
  <w:font w:name="等线">
    <w:altName w:val="宋体"/>
    <w:panose1 w:val="02010600030101010101"/>
    <w:charset w:val="86"/>
    <w:family w:val="auto"/>
    <w:pitch w:val="default"/>
    <w:sig w:usb0="00000000" w:usb1="00000000" w:usb2="00000016" w:usb3="00000000" w:csb0="0004000F" w:csb1="00000000"/>
  </w:font>
  <w:font w:name="MS Mincho">
    <w:panose1 w:val="02020609040205080304"/>
    <w:charset w:val="80"/>
    <w:family w:val="modern"/>
    <w:pitch w:val="default"/>
    <w:sig w:usb0="E00002FF" w:usb1="6AC7FDFB" w:usb2="00000012" w:usb3="00000000" w:csb0="4002009F" w:csb1="DFD7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p>
    <w:pPr>
      <w:ind w:firstLine="48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20"/>
      <w:jc w:val="center"/>
      <w:rPr>
        <w:rFonts w:ascii="宋体" w:hAnsi="宋体"/>
        <w:sz w:val="21"/>
        <w:szCs w:val="21"/>
      </w:rPr>
    </w:pPr>
    <w:r>
      <w:rPr>
        <w:rFonts w:hint="eastAsia" w:ascii="宋体" w:hAnsi="宋体"/>
        <w:sz w:val="21"/>
        <w:szCs w:val="21"/>
      </w:rPr>
      <w:t>5-</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81</w:t>
    </w:r>
    <w:r>
      <w:rPr>
        <w:rFonts w:ascii="宋体" w:hAnsi="宋体"/>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20"/>
      <w:jc w:val="center"/>
      <w:rPr>
        <w:rFonts w:ascii="宋体" w:hAnsi="宋体"/>
        <w:sz w:val="21"/>
        <w:szCs w:val="21"/>
      </w:rPr>
    </w:pPr>
    <w:r>
      <w:rPr>
        <w:rFonts w:hint="eastAsia" w:ascii="宋体" w:hAnsi="宋体"/>
        <w:sz w:val="21"/>
        <w:szCs w:val="21"/>
        <w:lang w:val="zh-CN"/>
      </w:rPr>
      <w:t>6-</w:t>
    </w:r>
    <w:r>
      <w:rPr>
        <w:rFonts w:ascii="宋体" w:hAnsi="宋体"/>
        <w:b/>
        <w:sz w:val="21"/>
        <w:szCs w:val="21"/>
      </w:rPr>
      <w:fldChar w:fldCharType="begin"/>
    </w:r>
    <w:r>
      <w:rPr>
        <w:rFonts w:ascii="宋体" w:hAnsi="宋体"/>
        <w:b/>
        <w:sz w:val="21"/>
        <w:szCs w:val="21"/>
      </w:rPr>
      <w:instrText xml:space="preserve">PAGE  \* Arabic  \* MERGEFORMAT</w:instrText>
    </w:r>
    <w:r>
      <w:rPr>
        <w:rFonts w:ascii="宋体" w:hAnsi="宋体"/>
        <w:b/>
        <w:sz w:val="21"/>
        <w:szCs w:val="21"/>
      </w:rPr>
      <w:fldChar w:fldCharType="separate"/>
    </w:r>
    <w:r>
      <w:rPr>
        <w:rFonts w:ascii="宋体" w:hAnsi="宋体"/>
        <w:b/>
        <w:sz w:val="21"/>
        <w:szCs w:val="21"/>
        <w:lang w:val="zh-CN"/>
      </w:rPr>
      <w:t>8</w:t>
    </w:r>
    <w:r>
      <w:rPr>
        <w:rFonts w:ascii="宋体" w:hAnsi="宋体"/>
        <w:b/>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20"/>
      <w:jc w:val="center"/>
      <w:rPr>
        <w:rFonts w:ascii="宋体" w:hAnsi="宋体"/>
        <w:sz w:val="21"/>
        <w:szCs w:val="21"/>
      </w:rPr>
    </w:pPr>
    <w:r>
      <w:rPr>
        <w:rFonts w:hint="eastAsia" w:ascii="宋体" w:hAnsi="宋体"/>
        <w:sz w:val="21"/>
        <w:szCs w:val="21"/>
        <w:lang w:val="zh-CN"/>
      </w:rPr>
      <w:t>7-</w:t>
    </w:r>
    <w:r>
      <w:rPr>
        <w:rFonts w:ascii="宋体" w:hAnsi="宋体"/>
        <w:b/>
        <w:sz w:val="21"/>
        <w:szCs w:val="21"/>
      </w:rPr>
      <w:fldChar w:fldCharType="begin"/>
    </w:r>
    <w:r>
      <w:rPr>
        <w:rFonts w:ascii="宋体" w:hAnsi="宋体"/>
        <w:b/>
        <w:sz w:val="21"/>
        <w:szCs w:val="21"/>
      </w:rPr>
      <w:instrText xml:space="preserve">PAGE  \* Arabic  \* MERGEFORMAT</w:instrText>
    </w:r>
    <w:r>
      <w:rPr>
        <w:rFonts w:ascii="宋体" w:hAnsi="宋体"/>
        <w:b/>
        <w:sz w:val="21"/>
        <w:szCs w:val="21"/>
      </w:rPr>
      <w:fldChar w:fldCharType="separate"/>
    </w:r>
    <w:r>
      <w:rPr>
        <w:rFonts w:ascii="宋体" w:hAnsi="宋体"/>
        <w:b/>
        <w:sz w:val="21"/>
        <w:szCs w:val="21"/>
        <w:lang w:val="zh-CN"/>
      </w:rPr>
      <w:t>2</w:t>
    </w:r>
    <w:r>
      <w:rPr>
        <w:rFonts w:ascii="宋体" w:hAnsi="宋体"/>
        <w:b/>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20"/>
      <w:jc w:val="center"/>
      <w:rPr>
        <w:rFonts w:ascii="宋体" w:hAnsi="宋体"/>
        <w:sz w:val="21"/>
        <w:szCs w:val="21"/>
      </w:rPr>
    </w:pPr>
    <w:r>
      <w:rPr>
        <w:rFonts w:hint="eastAsia" w:ascii="宋体" w:hAnsi="宋体"/>
        <w:sz w:val="21"/>
        <w:szCs w:val="21"/>
        <w:lang w:val="zh-CN"/>
      </w:rPr>
      <w:t>8-</w:t>
    </w:r>
    <w:r>
      <w:rPr>
        <w:rFonts w:ascii="宋体" w:hAnsi="宋体"/>
        <w:sz w:val="21"/>
        <w:szCs w:val="21"/>
      </w:rPr>
      <w:fldChar w:fldCharType="begin"/>
    </w:r>
    <w:r>
      <w:rPr>
        <w:rFonts w:ascii="宋体" w:hAnsi="宋体"/>
        <w:sz w:val="21"/>
        <w:szCs w:val="21"/>
      </w:rPr>
      <w:instrText xml:space="preserve">PAGE  \* Arabic  \* MERGEFORMAT</w:instrText>
    </w:r>
    <w:r>
      <w:rPr>
        <w:rFonts w:ascii="宋体" w:hAnsi="宋体"/>
        <w:sz w:val="21"/>
        <w:szCs w:val="21"/>
      </w:rPr>
      <w:fldChar w:fldCharType="separate"/>
    </w:r>
    <w:r>
      <w:rPr>
        <w:rFonts w:ascii="宋体" w:hAnsi="宋体"/>
        <w:sz w:val="21"/>
        <w:szCs w:val="21"/>
        <w:lang w:val="zh-CN"/>
      </w:rPr>
      <w:t>7</w:t>
    </w:r>
    <w:r>
      <w:rPr>
        <w:rFonts w:ascii="宋体" w:hAnsi="宋体"/>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20"/>
      <w:jc w:val="center"/>
      <w:rPr>
        <w:rFonts w:ascii="宋体" w:hAnsi="宋体"/>
        <w:sz w:val="21"/>
        <w:szCs w:val="21"/>
      </w:rPr>
    </w:pPr>
    <w:r>
      <w:rPr>
        <w:rFonts w:hint="eastAsia" w:ascii="宋体" w:hAnsi="宋体"/>
        <w:sz w:val="21"/>
        <w:szCs w:val="21"/>
        <w:lang w:val="zh-CN"/>
      </w:rPr>
      <w:t>9-</w:t>
    </w:r>
    <w:r>
      <w:rPr>
        <w:rFonts w:ascii="宋体" w:hAnsi="宋体"/>
        <w:b/>
        <w:sz w:val="21"/>
        <w:szCs w:val="21"/>
      </w:rPr>
      <w:fldChar w:fldCharType="begin"/>
    </w:r>
    <w:r>
      <w:rPr>
        <w:rFonts w:ascii="宋体" w:hAnsi="宋体"/>
        <w:b/>
        <w:sz w:val="21"/>
        <w:szCs w:val="21"/>
      </w:rPr>
      <w:instrText xml:space="preserve">PAGE  \* Arabic  \* MERGEFORMAT</w:instrText>
    </w:r>
    <w:r>
      <w:rPr>
        <w:rFonts w:ascii="宋体" w:hAnsi="宋体"/>
        <w:b/>
        <w:sz w:val="21"/>
        <w:szCs w:val="21"/>
      </w:rPr>
      <w:fldChar w:fldCharType="separate"/>
    </w:r>
    <w:r>
      <w:rPr>
        <w:rFonts w:ascii="宋体" w:hAnsi="宋体"/>
        <w:b/>
        <w:sz w:val="21"/>
        <w:szCs w:val="21"/>
        <w:lang w:val="zh-CN"/>
      </w:rPr>
      <w:t>5</w:t>
    </w:r>
    <w:r>
      <w:rPr>
        <w:rFonts w:ascii="宋体" w:hAnsi="宋体"/>
        <w:b/>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80"/>
      <w:jc w:val="center"/>
      <w:rPr>
        <w:rFonts w:ascii="宋体" w:hAnsi="宋体"/>
        <w:sz w:val="21"/>
        <w:szCs w:val="21"/>
      </w:rPr>
    </w:pPr>
    <w:sdt>
      <w:sdtPr>
        <w:id w:val="-58019239"/>
      </w:sdtPr>
      <w:sdtEndPr>
        <w:rPr>
          <w:rFonts w:ascii="宋体" w:hAnsi="宋体"/>
          <w:sz w:val="21"/>
          <w:szCs w:val="21"/>
        </w:rPr>
      </w:sdtEndPr>
      <w:sdtContent>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I</w:t>
        </w:r>
        <w:r>
          <w:rPr>
            <w:rFonts w:ascii="宋体" w:hAnsi="宋体"/>
            <w:sz w:val="21"/>
            <w:szCs w:val="21"/>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80"/>
      <w:jc w:val="center"/>
      <w:rPr>
        <w:rFonts w:ascii="宋体" w:hAnsi="宋体"/>
        <w:sz w:val="21"/>
        <w:szCs w:val="21"/>
      </w:rPr>
    </w:pPr>
    <w:r>
      <w:rPr>
        <w:rFonts w:hint="eastAsia"/>
        <w:lang w:val="en-US" w:eastAsia="zh-CN"/>
      </w:rPr>
      <w:t>1-</w:t>
    </w:r>
    <w:sdt>
      <w:sdtPr>
        <w:id w:val="-58019239"/>
      </w:sdtPr>
      <w:sdtEndPr>
        <w:rPr>
          <w:rFonts w:ascii="宋体" w:hAnsi="宋体"/>
          <w:sz w:val="21"/>
          <w:szCs w:val="21"/>
        </w:rPr>
      </w:sdtEndPr>
      <w:sdtContent>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I</w:t>
        </w:r>
        <w:r>
          <w:rPr>
            <w:rFonts w:ascii="宋体" w:hAnsi="宋体"/>
            <w:sz w:val="21"/>
            <w:szCs w:val="21"/>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tabs>
        <w:tab w:val="center" w:pos="4575"/>
        <w:tab w:val="left" w:pos="5515"/>
      </w:tabs>
      <w:spacing w:line="320" w:lineRule="exact"/>
      <w:ind w:firstLine="420"/>
      <w:jc w:val="center"/>
      <w:rPr>
        <w:rFonts w:ascii="宋体" w:hAnsi="宋体"/>
        <w:sz w:val="21"/>
        <w:szCs w:val="21"/>
      </w:rPr>
    </w:pPr>
    <w:r>
      <w:rPr>
        <w:rFonts w:hint="eastAsia" w:ascii="宋体" w:hAnsi="宋体"/>
        <w:sz w:val="21"/>
        <w:szCs w:val="21"/>
      </w:rPr>
      <w:t>2-</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19</w:t>
    </w:r>
    <w:r>
      <w:rPr>
        <w:rFonts w:ascii="宋体" w:hAnsi="宋体"/>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spacing w:line="320" w:lineRule="exact"/>
      <w:ind w:firstLine="420"/>
      <w:jc w:val="center"/>
      <w:rPr>
        <w:rFonts w:ascii="宋体" w:hAnsi="宋体"/>
        <w:sz w:val="21"/>
        <w:szCs w:val="21"/>
      </w:rPr>
    </w:pPr>
    <w:r>
      <w:rPr>
        <w:rFonts w:hint="eastAsia" w:ascii="宋体" w:hAnsi="宋体"/>
        <w:sz w:val="21"/>
        <w:szCs w:val="21"/>
      </w:rPr>
      <w:t>3-</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4</w:t>
    </w:r>
    <w:r>
      <w:rPr>
        <w:rFonts w:ascii="宋体" w:hAnsi="宋体"/>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LargeGap" w:color="auto" w:sz="24" w:space="1"/>
      </w:pBdr>
      <w:tabs>
        <w:tab w:val="center" w:pos="4745"/>
      </w:tabs>
      <w:spacing w:line="320" w:lineRule="exact"/>
      <w:ind w:firstLine="420"/>
      <w:jc w:val="center"/>
      <w:rPr>
        <w:rFonts w:ascii="宋体" w:hAnsi="宋体"/>
        <w:sz w:val="21"/>
        <w:szCs w:val="21"/>
      </w:rPr>
    </w:pPr>
    <w:r>
      <w:rPr>
        <w:rFonts w:hint="eastAsia" w:ascii="宋体" w:hAnsi="宋体"/>
        <w:sz w:val="21"/>
        <w:szCs w:val="21"/>
        <w:lang w:val="en-US" w:eastAsia="zh-CN"/>
      </w:rPr>
      <w:t>4</w:t>
    </w:r>
    <w:r>
      <w:rPr>
        <w:rFonts w:hint="eastAsia" w:ascii="宋体" w:hAnsi="宋体"/>
        <w:sz w:val="21"/>
        <w:szCs w:val="21"/>
      </w:rPr>
      <w:t>-</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37</w:t>
    </w:r>
    <w:r>
      <w:rPr>
        <w:rFonts w:ascii="宋体" w:hAnsi="宋体"/>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ind w:firstLine="440"/>
      <w:rPr>
        <w:sz w:val="20"/>
        <w:szCs w:val="20"/>
      </w:rPr>
    </w:pPr>
    <w:r>
      <w:rPr>
        <w:sz w:val="22"/>
        <w:szCs w:val="22"/>
      </w:rPr>
      <mc:AlternateContent>
        <mc:Choice Requires="wps">
          <w:drawing>
            <wp:anchor distT="0" distB="0" distL="114300" distR="114300" simplePos="0" relativeHeight="251664384" behindDoc="1" locked="0" layoutInCell="1" allowOverlap="1">
              <wp:simplePos x="0" y="0"/>
              <wp:positionH relativeFrom="page">
                <wp:posOffset>2425700</wp:posOffset>
              </wp:positionH>
              <wp:positionV relativeFrom="page">
                <wp:posOffset>6924675</wp:posOffset>
              </wp:positionV>
              <wp:extent cx="5808980" cy="144145"/>
              <wp:effectExtent l="0" t="0" r="1270" b="8255"/>
              <wp:wrapNone/>
              <wp:docPr id="918"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5808980" cy="144145"/>
                      </a:xfrm>
                      <a:prstGeom prst="rect">
                        <a:avLst/>
                      </a:prstGeom>
                      <a:noFill/>
                      <a:ln>
                        <a:noFill/>
                      </a:ln>
                    </wps:spPr>
                    <wps:txbx>
                      <w:txbxContent>
                        <w:p>
                          <w:pPr>
                            <w:spacing w:line="214" w:lineRule="exact"/>
                            <w:ind w:firstLine="480"/>
                            <w:rPr>
                              <w:rFonts w:eastAsia="Times New Roman"/>
                            </w:rPr>
                          </w:pPr>
                          <w:r>
                            <w:t>地址：山西综改示范区太原唐槐园区正阳街</w:t>
                          </w:r>
                          <w:r>
                            <w:rPr>
                              <w:rFonts w:eastAsia="Times New Roman"/>
                              <w:spacing w:val="1"/>
                            </w:rPr>
                            <w:t>5</w:t>
                          </w:r>
                          <w:r>
                            <w:rPr>
                              <w:rFonts w:eastAsia="Times New Roman"/>
                            </w:rPr>
                            <w:t>0</w:t>
                          </w:r>
                          <w:r>
                            <w:t>号</w:t>
                          </w:r>
                          <w:r>
                            <w:rPr>
                              <w:rFonts w:eastAsia="Times New Roman"/>
                            </w:rPr>
                            <w:t>2</w:t>
                          </w:r>
                          <w:r>
                            <w:t>幢</w:t>
                          </w:r>
                          <w:r>
                            <w:rPr>
                              <w:rFonts w:eastAsia="Times New Roman"/>
                            </w:rPr>
                            <w:t>4</w:t>
                          </w:r>
                          <w:r>
                            <w:t>层电话</w:t>
                          </w:r>
                          <w:r>
                            <w:rPr>
                              <w:rFonts w:eastAsia="Times New Roman"/>
                            </w:rPr>
                            <w:t>/</w:t>
                          </w:r>
                          <w:r>
                            <w:t>传真：</w:t>
                          </w:r>
                          <w:r>
                            <w:rPr>
                              <w:rFonts w:eastAsia="Times New Roman"/>
                              <w:spacing w:val="1"/>
                            </w:rPr>
                            <w:t>0</w:t>
                          </w:r>
                          <w:r>
                            <w:rPr>
                              <w:rFonts w:eastAsia="Times New Roman"/>
                              <w:spacing w:val="-2"/>
                            </w:rPr>
                            <w:t>3</w:t>
                          </w:r>
                          <w:r>
                            <w:rPr>
                              <w:rFonts w:eastAsia="Times New Roman"/>
                              <w:spacing w:val="1"/>
                            </w:rPr>
                            <w:t>5</w:t>
                          </w:r>
                          <w:r>
                            <w:rPr>
                              <w:rFonts w:eastAsia="Times New Roman"/>
                              <w:spacing w:val="-2"/>
                            </w:rPr>
                            <w:t>1</w:t>
                          </w:r>
                          <w:r>
                            <w:rPr>
                              <w:rFonts w:eastAsia="Times New Roman"/>
                            </w:rPr>
                            <w:t>-</w:t>
                          </w:r>
                          <w:r>
                            <w:rPr>
                              <w:rFonts w:eastAsia="Times New Roman"/>
                              <w:spacing w:val="1"/>
                            </w:rPr>
                            <w:t>7</w:t>
                          </w:r>
                          <w:r>
                            <w:rPr>
                              <w:rFonts w:eastAsia="Times New Roman"/>
                              <w:spacing w:val="-2"/>
                            </w:rPr>
                            <w:t>8</w:t>
                          </w:r>
                          <w:r>
                            <w:rPr>
                              <w:rFonts w:eastAsia="Times New Roman"/>
                              <w:spacing w:val="1"/>
                            </w:rPr>
                            <w:t>1</w:t>
                          </w:r>
                          <w:r>
                            <w:rPr>
                              <w:rFonts w:eastAsia="Times New Roman"/>
                              <w:spacing w:val="-2"/>
                            </w:rPr>
                            <w:t>9</w:t>
                          </w:r>
                          <w:r>
                            <w:rPr>
                              <w:rFonts w:eastAsia="Times New Roman"/>
                              <w:spacing w:val="1"/>
                            </w:rPr>
                            <w:t>7</w:t>
                          </w:r>
                          <w:r>
                            <w:rPr>
                              <w:rFonts w:eastAsia="Times New Roman"/>
                              <w:spacing w:val="-2"/>
                            </w:rPr>
                            <w:t>9</w:t>
                          </w:r>
                          <w:r>
                            <w:rPr>
                              <w:rFonts w:eastAsia="Times New Roman"/>
                            </w:rPr>
                            <w:t>9E</w:t>
                          </w:r>
                          <w:r>
                            <w:rPr>
                              <w:rFonts w:eastAsia="Times New Roman"/>
                              <w:spacing w:val="-1"/>
                            </w:rPr>
                            <w:t>ma</w:t>
                          </w:r>
                          <w:r>
                            <w:rPr>
                              <w:rFonts w:eastAsia="Times New Roman"/>
                            </w:rPr>
                            <w:t>il</w:t>
                          </w:r>
                          <w:r>
                            <w:t>：</w:t>
                          </w:r>
                          <w:r>
                            <w:fldChar w:fldCharType="begin"/>
                          </w:r>
                          <w:r>
                            <w:instrText xml:space="preserve"> HYPERLINK "mailto:liputesting@163.com" \h </w:instrText>
                          </w:r>
                          <w:r>
                            <w:fldChar w:fldCharType="separate"/>
                          </w:r>
                          <w:r>
                            <w:rPr>
                              <w:rFonts w:eastAsia="Times New Roman"/>
                            </w:rPr>
                            <w:t>li</w:t>
                          </w:r>
                          <w:r>
                            <w:rPr>
                              <w:rFonts w:eastAsia="Times New Roman"/>
                              <w:spacing w:val="1"/>
                            </w:rPr>
                            <w:t>p</w:t>
                          </w:r>
                          <w:r>
                            <w:rPr>
                              <w:rFonts w:eastAsia="Times New Roman"/>
                              <w:spacing w:val="-2"/>
                            </w:rPr>
                            <w:t>u</w:t>
                          </w:r>
                          <w:r>
                            <w:rPr>
                              <w:rFonts w:eastAsia="Times New Roman"/>
                            </w:rPr>
                            <w:t>t</w:t>
                          </w:r>
                          <w:r>
                            <w:rPr>
                              <w:rFonts w:eastAsia="Times New Roman"/>
                              <w:spacing w:val="-1"/>
                            </w:rPr>
                            <w:t>es</w:t>
                          </w:r>
                          <w:r>
                            <w:rPr>
                              <w:rFonts w:eastAsia="Times New Roman"/>
                            </w:rPr>
                            <w:t>ti</w:t>
                          </w:r>
                          <w:r>
                            <w:rPr>
                              <w:rFonts w:eastAsia="Times New Roman"/>
                              <w:spacing w:val="1"/>
                            </w:rPr>
                            <w:t>n</w:t>
                          </w:r>
                          <w:r>
                            <w:rPr>
                              <w:rFonts w:eastAsia="Times New Roman"/>
                              <w:spacing w:val="-2"/>
                            </w:rPr>
                            <w:t>g</w:t>
                          </w:r>
                          <w:r>
                            <w:rPr>
                              <w:rFonts w:eastAsia="Times New Roman"/>
                            </w:rPr>
                            <w:t>@</w:t>
                          </w:r>
                          <w:r>
                            <w:rPr>
                              <w:rFonts w:eastAsia="Times New Roman"/>
                              <w:spacing w:val="1"/>
                            </w:rPr>
                            <w:t>1</w:t>
                          </w:r>
                          <w:r>
                            <w:rPr>
                              <w:rFonts w:eastAsia="Times New Roman"/>
                              <w:spacing w:val="-2"/>
                            </w:rPr>
                            <w:t>6</w:t>
                          </w:r>
                          <w:r>
                            <w:rPr>
                              <w:rFonts w:eastAsia="Times New Roman"/>
                              <w:spacing w:val="1"/>
                            </w:rPr>
                            <w:t>3</w:t>
                          </w:r>
                          <w:r>
                            <w:rPr>
                              <w:rFonts w:eastAsia="Times New Roman"/>
                              <w:spacing w:val="-2"/>
                            </w:rPr>
                            <w:t>.</w:t>
                          </w:r>
                          <w:r>
                            <w:rPr>
                              <w:rFonts w:eastAsia="Times New Roman"/>
                              <w:spacing w:val="-1"/>
                            </w:rPr>
                            <w:t>c</w:t>
                          </w:r>
                          <w:r>
                            <w:rPr>
                              <w:rFonts w:eastAsia="Times New Roman"/>
                              <w:spacing w:val="1"/>
                            </w:rPr>
                            <w:t>o</w:t>
                          </w:r>
                          <w:r>
                            <w:rPr>
                              <w:rFonts w:eastAsia="Times New Roman"/>
                            </w:rPr>
                            <w:t>m</w:t>
                          </w:r>
                          <w:r>
                            <w:rPr>
                              <w:rFonts w:eastAsia="Times New Roman"/>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91pt;margin-top:545.25pt;height:11.35pt;width:457.4pt;mso-position-horizontal-relative:page;mso-position-vertical-relative:page;z-index:-251652096;mso-width-relative:page;mso-height-relative:page;" filled="f" stroked="f" coordsize="21600,21600" o:gfxdata="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GMM9sAAAAOAQAADwAAAAAA&#10;AAABACAAAAAiAAAAZHJzL2Rvd25yZXYueG1sUEsBAhQAFAAAAAgAh07iQJ4KaoYQAgAACQQAAA4A&#10;AAAAAAAAAQAgAAAAKgEAAGRycy9lMm9Eb2MueG1sUEsFBgAAAAAGAAYAWQEAAKwFAAAAAA==&#10;">
              <v:fill on="f" focussize="0,0"/>
              <v:stroke on="f"/>
              <v:imagedata o:title=""/>
              <o:lock v:ext="edit" aspectratio="f"/>
              <v:textbox inset="0mm,0mm,0mm,0mm">
                <w:txbxContent>
                  <w:p>
                    <w:pPr>
                      <w:spacing w:line="214" w:lineRule="exact"/>
                      <w:ind w:firstLine="480"/>
                      <w:rPr>
                        <w:rFonts w:eastAsia="Times New Roman"/>
                      </w:rPr>
                    </w:pPr>
                    <w:r>
                      <w:t>地址：山西综改示范区太原唐槐园区正阳街</w:t>
                    </w:r>
                    <w:r>
                      <w:rPr>
                        <w:rFonts w:eastAsia="Times New Roman"/>
                        <w:spacing w:val="1"/>
                      </w:rPr>
                      <w:t>5</w:t>
                    </w:r>
                    <w:r>
                      <w:rPr>
                        <w:rFonts w:eastAsia="Times New Roman"/>
                      </w:rPr>
                      <w:t>0</w:t>
                    </w:r>
                    <w:r>
                      <w:t>号</w:t>
                    </w:r>
                    <w:r>
                      <w:rPr>
                        <w:rFonts w:eastAsia="Times New Roman"/>
                      </w:rPr>
                      <w:t>2</w:t>
                    </w:r>
                    <w:r>
                      <w:t>幢</w:t>
                    </w:r>
                    <w:r>
                      <w:rPr>
                        <w:rFonts w:eastAsia="Times New Roman"/>
                      </w:rPr>
                      <w:t>4</w:t>
                    </w:r>
                    <w:r>
                      <w:t>层电话</w:t>
                    </w:r>
                    <w:r>
                      <w:rPr>
                        <w:rFonts w:eastAsia="Times New Roman"/>
                      </w:rPr>
                      <w:t>/</w:t>
                    </w:r>
                    <w:r>
                      <w:t>传真：</w:t>
                    </w:r>
                    <w:r>
                      <w:rPr>
                        <w:rFonts w:eastAsia="Times New Roman"/>
                        <w:spacing w:val="1"/>
                      </w:rPr>
                      <w:t>0</w:t>
                    </w:r>
                    <w:r>
                      <w:rPr>
                        <w:rFonts w:eastAsia="Times New Roman"/>
                        <w:spacing w:val="-2"/>
                      </w:rPr>
                      <w:t>3</w:t>
                    </w:r>
                    <w:r>
                      <w:rPr>
                        <w:rFonts w:eastAsia="Times New Roman"/>
                        <w:spacing w:val="1"/>
                      </w:rPr>
                      <w:t>5</w:t>
                    </w:r>
                    <w:r>
                      <w:rPr>
                        <w:rFonts w:eastAsia="Times New Roman"/>
                        <w:spacing w:val="-2"/>
                      </w:rPr>
                      <w:t>1</w:t>
                    </w:r>
                    <w:r>
                      <w:rPr>
                        <w:rFonts w:eastAsia="Times New Roman"/>
                      </w:rPr>
                      <w:t>-</w:t>
                    </w:r>
                    <w:r>
                      <w:rPr>
                        <w:rFonts w:eastAsia="Times New Roman"/>
                        <w:spacing w:val="1"/>
                      </w:rPr>
                      <w:t>7</w:t>
                    </w:r>
                    <w:r>
                      <w:rPr>
                        <w:rFonts w:eastAsia="Times New Roman"/>
                        <w:spacing w:val="-2"/>
                      </w:rPr>
                      <w:t>8</w:t>
                    </w:r>
                    <w:r>
                      <w:rPr>
                        <w:rFonts w:eastAsia="Times New Roman"/>
                        <w:spacing w:val="1"/>
                      </w:rPr>
                      <w:t>1</w:t>
                    </w:r>
                    <w:r>
                      <w:rPr>
                        <w:rFonts w:eastAsia="Times New Roman"/>
                        <w:spacing w:val="-2"/>
                      </w:rPr>
                      <w:t>9</w:t>
                    </w:r>
                    <w:r>
                      <w:rPr>
                        <w:rFonts w:eastAsia="Times New Roman"/>
                        <w:spacing w:val="1"/>
                      </w:rPr>
                      <w:t>7</w:t>
                    </w:r>
                    <w:r>
                      <w:rPr>
                        <w:rFonts w:eastAsia="Times New Roman"/>
                        <w:spacing w:val="-2"/>
                      </w:rPr>
                      <w:t>9</w:t>
                    </w:r>
                    <w:r>
                      <w:rPr>
                        <w:rFonts w:eastAsia="Times New Roman"/>
                      </w:rPr>
                      <w:t>9E</w:t>
                    </w:r>
                    <w:r>
                      <w:rPr>
                        <w:rFonts w:eastAsia="Times New Roman"/>
                        <w:spacing w:val="-1"/>
                      </w:rPr>
                      <w:t>ma</w:t>
                    </w:r>
                    <w:r>
                      <w:rPr>
                        <w:rFonts w:eastAsia="Times New Roman"/>
                      </w:rPr>
                      <w:t>il</w:t>
                    </w:r>
                    <w:r>
                      <w:t>：</w:t>
                    </w:r>
                    <w:r>
                      <w:fldChar w:fldCharType="begin"/>
                    </w:r>
                    <w:r>
                      <w:instrText xml:space="preserve"> HYPERLINK "mailto:liputesting@163.com" \h </w:instrText>
                    </w:r>
                    <w:r>
                      <w:fldChar w:fldCharType="separate"/>
                    </w:r>
                    <w:r>
                      <w:rPr>
                        <w:rFonts w:eastAsia="Times New Roman"/>
                      </w:rPr>
                      <w:t>li</w:t>
                    </w:r>
                    <w:r>
                      <w:rPr>
                        <w:rFonts w:eastAsia="Times New Roman"/>
                        <w:spacing w:val="1"/>
                      </w:rPr>
                      <w:t>p</w:t>
                    </w:r>
                    <w:r>
                      <w:rPr>
                        <w:rFonts w:eastAsia="Times New Roman"/>
                        <w:spacing w:val="-2"/>
                      </w:rPr>
                      <w:t>u</w:t>
                    </w:r>
                    <w:r>
                      <w:rPr>
                        <w:rFonts w:eastAsia="Times New Roman"/>
                      </w:rPr>
                      <w:t>t</w:t>
                    </w:r>
                    <w:r>
                      <w:rPr>
                        <w:rFonts w:eastAsia="Times New Roman"/>
                        <w:spacing w:val="-1"/>
                      </w:rPr>
                      <w:t>es</w:t>
                    </w:r>
                    <w:r>
                      <w:rPr>
                        <w:rFonts w:eastAsia="Times New Roman"/>
                      </w:rPr>
                      <w:t>ti</w:t>
                    </w:r>
                    <w:r>
                      <w:rPr>
                        <w:rFonts w:eastAsia="Times New Roman"/>
                        <w:spacing w:val="1"/>
                      </w:rPr>
                      <w:t>n</w:t>
                    </w:r>
                    <w:r>
                      <w:rPr>
                        <w:rFonts w:eastAsia="Times New Roman"/>
                        <w:spacing w:val="-2"/>
                      </w:rPr>
                      <w:t>g</w:t>
                    </w:r>
                    <w:r>
                      <w:rPr>
                        <w:rFonts w:eastAsia="Times New Roman"/>
                      </w:rPr>
                      <w:t>@</w:t>
                    </w:r>
                    <w:r>
                      <w:rPr>
                        <w:rFonts w:eastAsia="Times New Roman"/>
                        <w:spacing w:val="1"/>
                      </w:rPr>
                      <w:t>1</w:t>
                    </w:r>
                    <w:r>
                      <w:rPr>
                        <w:rFonts w:eastAsia="Times New Roman"/>
                        <w:spacing w:val="-2"/>
                      </w:rPr>
                      <w:t>6</w:t>
                    </w:r>
                    <w:r>
                      <w:rPr>
                        <w:rFonts w:eastAsia="Times New Roman"/>
                        <w:spacing w:val="1"/>
                      </w:rPr>
                      <w:t>3</w:t>
                    </w:r>
                    <w:r>
                      <w:rPr>
                        <w:rFonts w:eastAsia="Times New Roman"/>
                        <w:spacing w:val="-2"/>
                      </w:rPr>
                      <w:t>.</w:t>
                    </w:r>
                    <w:r>
                      <w:rPr>
                        <w:rFonts w:eastAsia="Times New Roman"/>
                        <w:spacing w:val="-1"/>
                      </w:rPr>
                      <w:t>c</w:t>
                    </w:r>
                    <w:r>
                      <w:rPr>
                        <w:rFonts w:eastAsia="Times New Roman"/>
                        <w:spacing w:val="1"/>
                      </w:rPr>
                      <w:t>o</w:t>
                    </w:r>
                    <w:r>
                      <w:rPr>
                        <w:rFonts w:eastAsia="Times New Roman"/>
                      </w:rPr>
                      <w:t>m</w:t>
                    </w:r>
                    <w:r>
                      <w:rPr>
                        <w:rFonts w:eastAsia="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LargeGap" w:color="auto" w:sz="24" w:space="1"/>
      </w:pBdr>
      <w:spacing w:line="320" w:lineRule="exact"/>
      <w:ind w:firstLine="0" w:firstLineChars="0"/>
      <w:jc w:val="center"/>
      <w:rPr>
        <w:rFonts w:ascii="宋体" w:hAnsi="宋体"/>
        <w:sz w:val="21"/>
        <w:szCs w:val="21"/>
      </w:rPr>
    </w:pPr>
    <w:r>
      <w:rPr>
        <w:rFonts w:hint="eastAsia" w:ascii="宋体" w:hAnsi="宋体"/>
        <w:sz w:val="21"/>
        <w:szCs w:val="21"/>
      </w:rPr>
      <w:t>山西省繁峙县垣利铁选厂30万吨/年低品位铁矿石综合利用项目环境影响报告书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ind w:firstLine="440"/>
      <w:rPr>
        <w:sz w:val="20"/>
        <w:szCs w:val="20"/>
      </w:rPr>
    </w:pPr>
    <w:r>
      <w:rPr>
        <w:sz w:val="22"/>
        <w:szCs w:val="22"/>
      </w:rPr>
      <mc:AlternateContent>
        <mc:Choice Requires="wps">
          <w:drawing>
            <wp:anchor distT="0" distB="0" distL="114300" distR="114300" simplePos="0" relativeHeight="251661312" behindDoc="1" locked="0" layoutInCell="1" allowOverlap="1">
              <wp:simplePos x="0" y="0"/>
              <wp:positionH relativeFrom="page">
                <wp:posOffset>1019175</wp:posOffset>
              </wp:positionH>
              <wp:positionV relativeFrom="page">
                <wp:posOffset>607695</wp:posOffset>
              </wp:positionV>
              <wp:extent cx="8606790" cy="139700"/>
              <wp:effectExtent l="0" t="0" r="3810" b="12700"/>
              <wp:wrapNone/>
              <wp:docPr id="921"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606790" cy="139700"/>
                      </a:xfrm>
                      <a:prstGeom prst="rect">
                        <a:avLst/>
                      </a:prstGeom>
                      <a:noFill/>
                      <a:ln>
                        <a:noFill/>
                      </a:ln>
                    </wps:spPr>
                    <wps:txbx>
                      <w:txbxContent>
                        <w:p>
                          <w:pPr>
                            <w:tabs>
                              <w:tab w:val="left" w:pos="12139"/>
                            </w:tabs>
                            <w:spacing w:line="200" w:lineRule="exact"/>
                            <w:ind w:firstLine="480"/>
                          </w:pPr>
                          <w:r>
                            <w:rPr>
                              <w:u w:val="single" w:color="000000"/>
                            </w:rPr>
                            <w:t>丽</w:t>
                          </w:r>
                          <w:r>
                            <w:rPr>
                              <w:spacing w:val="2"/>
                              <w:u w:val="single" w:color="000000"/>
                            </w:rPr>
                            <w:t>浦</w:t>
                          </w:r>
                          <w:r>
                            <w:rPr>
                              <w:u w:val="single" w:color="000000"/>
                            </w:rPr>
                            <w:t>检测</w:t>
                          </w:r>
                          <w:r>
                            <w:rPr>
                              <w:spacing w:val="1"/>
                              <w:u w:val="single" w:color="000000"/>
                            </w:rPr>
                            <w:t>[2020]02</w:t>
                          </w:r>
                          <w:r>
                            <w:rPr>
                              <w:u w:val="single" w:color="000000"/>
                            </w:rPr>
                            <w:t>0号</w:t>
                          </w:r>
                          <w:r>
                            <w:rPr>
                              <w:u w:val="single" w:color="000000"/>
                            </w:rPr>
                            <w:tab/>
                          </w:r>
                          <w:r>
                            <w:rPr>
                              <w:u w:val="single" w:color="000000"/>
                            </w:rPr>
                            <w:t>第6页共</w:t>
                          </w:r>
                          <w:r>
                            <w:rPr>
                              <w:spacing w:val="1"/>
                              <w:u w:val="single" w:color="000000"/>
                            </w:rPr>
                            <w:t>2</w:t>
                          </w:r>
                          <w:r>
                            <w:rPr>
                              <w:u w:val="single" w:color="000000"/>
                            </w:rPr>
                            <w:t>7页</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0.25pt;margin-top:47.85pt;height:11pt;width:677.7pt;mso-position-horizontal-relative:page;mso-position-vertical-relative:page;z-index:-251655168;mso-width-relative:page;mso-height-relative:page;" filled="f" stroked="f" coordsize="21600,21600" o:gfxdata="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22X49kAAAALAQAADwAAAAAAAAAB&#10;ACAAAAAiAAAAZHJzL2Rvd25yZXYueG1sUEsBAhQAFAAAAAgAh07iQJDonf0PAgAACQQAAA4AAAAA&#10;AAAAAQAgAAAAKAEAAGRycy9lMm9Eb2MueG1sUEsFBgAAAAAGAAYAWQEAAKkFAAAAAA==&#10;">
              <v:fill on="f" focussize="0,0"/>
              <v:stroke on="f"/>
              <v:imagedata o:title=""/>
              <o:lock v:ext="edit" aspectratio="f"/>
              <v:textbox inset="0mm,0mm,0mm,0mm">
                <w:txbxContent>
                  <w:p>
                    <w:pPr>
                      <w:tabs>
                        <w:tab w:val="left" w:pos="12139"/>
                      </w:tabs>
                      <w:spacing w:line="200" w:lineRule="exact"/>
                      <w:ind w:firstLine="480"/>
                    </w:pPr>
                    <w:r>
                      <w:rPr>
                        <w:u w:val="single" w:color="000000"/>
                      </w:rPr>
                      <w:t>丽</w:t>
                    </w:r>
                    <w:r>
                      <w:rPr>
                        <w:spacing w:val="2"/>
                        <w:u w:val="single" w:color="000000"/>
                      </w:rPr>
                      <w:t>浦</w:t>
                    </w:r>
                    <w:r>
                      <w:rPr>
                        <w:u w:val="single" w:color="000000"/>
                      </w:rPr>
                      <w:t>检测</w:t>
                    </w:r>
                    <w:r>
                      <w:rPr>
                        <w:spacing w:val="1"/>
                        <w:u w:val="single" w:color="000000"/>
                      </w:rPr>
                      <w:t>[2020]02</w:t>
                    </w:r>
                    <w:r>
                      <w:rPr>
                        <w:u w:val="single" w:color="000000"/>
                      </w:rPr>
                      <w:t>0号</w:t>
                    </w:r>
                    <w:r>
                      <w:rPr>
                        <w:u w:val="single" w:color="000000"/>
                      </w:rPr>
                      <w:tab/>
                    </w:r>
                    <w:r>
                      <w:rPr>
                        <w:u w:val="single" w:color="000000"/>
                      </w:rPr>
                      <w:t>第6页共</w:t>
                    </w:r>
                    <w:r>
                      <w:rPr>
                        <w:spacing w:val="1"/>
                        <w:u w:val="single" w:color="000000"/>
                      </w:rPr>
                      <w:t>2</w:t>
                    </w:r>
                    <w:r>
                      <w:rPr>
                        <w:u w:val="single" w:color="000000"/>
                      </w:rPr>
                      <w:t>7页</w:t>
                    </w:r>
                  </w:p>
                </w:txbxContent>
              </v:textbox>
            </v:shape>
          </w:pict>
        </mc:Fallback>
      </mc:AlternateContent>
    </w:r>
    <w:r>
      <w:rPr>
        <w:sz w:val="22"/>
        <w:szCs w:val="22"/>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917575</wp:posOffset>
              </wp:positionV>
              <wp:extent cx="1168400" cy="186055"/>
              <wp:effectExtent l="0" t="0" r="12700" b="4445"/>
              <wp:wrapNone/>
              <wp:docPr id="92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1168400" cy="186055"/>
                      </a:xfrm>
                      <a:prstGeom prst="rect">
                        <a:avLst/>
                      </a:prstGeom>
                      <a:noFill/>
                      <a:ln>
                        <a:noFill/>
                      </a:ln>
                    </wps:spPr>
                    <wps:txbx>
                      <w:txbxContent>
                        <w:p>
                          <w:pPr>
                            <w:spacing w:line="278" w:lineRule="exact"/>
                            <w:ind w:left="20" w:firstLine="480"/>
                            <w:rPr>
                              <w:rFonts w:hAnsi="宋体" w:cs="宋体"/>
                            </w:rPr>
                          </w:pPr>
                          <w:r>
                            <w:rPr>
                              <w:rFonts w:eastAsia="Times New Roman"/>
                            </w:rPr>
                            <w:t>5.3</w:t>
                          </w:r>
                          <w:r>
                            <w:rPr>
                              <w:rFonts w:hAnsi="宋体" w:cs="宋体"/>
                            </w:rPr>
                            <w:t>土壤监测结果</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5.55pt;margin-top:72.25pt;height:14.65pt;width:92pt;mso-position-horizontal-relative:page;mso-position-vertical-relative:page;z-index:-251654144;mso-width-relative:page;mso-height-relative:page;" filled="f" stroked="f" coordsize="21600,21600" o:gfxdata="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PTgG2QAAAAsBAAAPAAAAAAAAAAEA&#10;IAAAACIAAABkcnMvZG93bnJldi54bWxQSwECFAAUAAAACACHTuJAwN+kpg4CAAAJBAAADgAAAAAA&#10;AAABACAAAAAoAQAAZHJzL2Uyb0RvYy54bWxQSwUGAAAAAAYABgBZAQAAqAUAAAAA&#10;">
              <v:fill on="f" focussize="0,0"/>
              <v:stroke on="f"/>
              <v:imagedata o:title=""/>
              <o:lock v:ext="edit" aspectratio="f"/>
              <v:textbox inset="0mm,0mm,0mm,0mm">
                <w:txbxContent>
                  <w:p>
                    <w:pPr>
                      <w:spacing w:line="278" w:lineRule="exact"/>
                      <w:ind w:left="20" w:firstLine="480"/>
                      <w:rPr>
                        <w:rFonts w:hAnsi="宋体" w:cs="宋体"/>
                      </w:rPr>
                    </w:pPr>
                    <w:r>
                      <w:rPr>
                        <w:rFonts w:eastAsia="Times New Roman"/>
                      </w:rPr>
                      <w:t>5.3</w:t>
                    </w:r>
                    <w:r>
                      <w:rPr>
                        <w:rFonts w:hAnsi="宋体" w:cs="宋体"/>
                      </w:rPr>
                      <w:t>土壤监测结果</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M2U3OWU1ODk0YjVlMTFlNDMwNmQ5ZjljNDEwMTQifQ=="/>
  </w:docVars>
  <w:rsids>
    <w:rsidRoot w:val="00172A27"/>
    <w:rsid w:val="00000789"/>
    <w:rsid w:val="000018BC"/>
    <w:rsid w:val="000019C9"/>
    <w:rsid w:val="00001A10"/>
    <w:rsid w:val="00002118"/>
    <w:rsid w:val="000025DE"/>
    <w:rsid w:val="00002CCE"/>
    <w:rsid w:val="00004716"/>
    <w:rsid w:val="00004E00"/>
    <w:rsid w:val="000050D5"/>
    <w:rsid w:val="000053F1"/>
    <w:rsid w:val="000057CA"/>
    <w:rsid w:val="00005957"/>
    <w:rsid w:val="00005C4C"/>
    <w:rsid w:val="0000679F"/>
    <w:rsid w:val="00006DDF"/>
    <w:rsid w:val="00006DEA"/>
    <w:rsid w:val="00007C9F"/>
    <w:rsid w:val="000112DB"/>
    <w:rsid w:val="000135A7"/>
    <w:rsid w:val="0001364E"/>
    <w:rsid w:val="000141FA"/>
    <w:rsid w:val="000146EA"/>
    <w:rsid w:val="00014A10"/>
    <w:rsid w:val="00014EED"/>
    <w:rsid w:val="000166DA"/>
    <w:rsid w:val="00016F91"/>
    <w:rsid w:val="00017222"/>
    <w:rsid w:val="00020110"/>
    <w:rsid w:val="000203A9"/>
    <w:rsid w:val="00020542"/>
    <w:rsid w:val="0002149E"/>
    <w:rsid w:val="00021C0A"/>
    <w:rsid w:val="00022622"/>
    <w:rsid w:val="00023F9C"/>
    <w:rsid w:val="00024525"/>
    <w:rsid w:val="00024BC9"/>
    <w:rsid w:val="00024F37"/>
    <w:rsid w:val="00024FEB"/>
    <w:rsid w:val="00025700"/>
    <w:rsid w:val="0002575C"/>
    <w:rsid w:val="00030421"/>
    <w:rsid w:val="0003142A"/>
    <w:rsid w:val="00031911"/>
    <w:rsid w:val="000327EE"/>
    <w:rsid w:val="00032D70"/>
    <w:rsid w:val="00033415"/>
    <w:rsid w:val="0003480B"/>
    <w:rsid w:val="000351FD"/>
    <w:rsid w:val="00035A26"/>
    <w:rsid w:val="00035E5A"/>
    <w:rsid w:val="0003679D"/>
    <w:rsid w:val="00036AEA"/>
    <w:rsid w:val="00036D8D"/>
    <w:rsid w:val="00036F0F"/>
    <w:rsid w:val="00037334"/>
    <w:rsid w:val="00037854"/>
    <w:rsid w:val="00037867"/>
    <w:rsid w:val="00037BD2"/>
    <w:rsid w:val="0004112D"/>
    <w:rsid w:val="00041F85"/>
    <w:rsid w:val="000420E5"/>
    <w:rsid w:val="00044540"/>
    <w:rsid w:val="0004523F"/>
    <w:rsid w:val="000453C8"/>
    <w:rsid w:val="000453CD"/>
    <w:rsid w:val="00045924"/>
    <w:rsid w:val="00045AC6"/>
    <w:rsid w:val="00045B3B"/>
    <w:rsid w:val="000462EF"/>
    <w:rsid w:val="000467D6"/>
    <w:rsid w:val="0005056C"/>
    <w:rsid w:val="0005130D"/>
    <w:rsid w:val="0005296C"/>
    <w:rsid w:val="000539D9"/>
    <w:rsid w:val="00054574"/>
    <w:rsid w:val="00054E37"/>
    <w:rsid w:val="000558FC"/>
    <w:rsid w:val="00055C2C"/>
    <w:rsid w:val="000563A9"/>
    <w:rsid w:val="000574A6"/>
    <w:rsid w:val="00057A69"/>
    <w:rsid w:val="000600AA"/>
    <w:rsid w:val="00061184"/>
    <w:rsid w:val="0006120E"/>
    <w:rsid w:val="00061A6D"/>
    <w:rsid w:val="000622B1"/>
    <w:rsid w:val="0006236B"/>
    <w:rsid w:val="00062A17"/>
    <w:rsid w:val="00063050"/>
    <w:rsid w:val="00063530"/>
    <w:rsid w:val="0006459A"/>
    <w:rsid w:val="00064BCF"/>
    <w:rsid w:val="00064C68"/>
    <w:rsid w:val="000656C7"/>
    <w:rsid w:val="00065BDE"/>
    <w:rsid w:val="00065C55"/>
    <w:rsid w:val="00065E4D"/>
    <w:rsid w:val="00065F30"/>
    <w:rsid w:val="00066F29"/>
    <w:rsid w:val="00067441"/>
    <w:rsid w:val="00070716"/>
    <w:rsid w:val="00071247"/>
    <w:rsid w:val="00073633"/>
    <w:rsid w:val="000736D9"/>
    <w:rsid w:val="00073D2A"/>
    <w:rsid w:val="00073D53"/>
    <w:rsid w:val="0007460B"/>
    <w:rsid w:val="00074AA3"/>
    <w:rsid w:val="0007504A"/>
    <w:rsid w:val="00075261"/>
    <w:rsid w:val="000758AE"/>
    <w:rsid w:val="000763ED"/>
    <w:rsid w:val="00076BA4"/>
    <w:rsid w:val="00076E9C"/>
    <w:rsid w:val="00080978"/>
    <w:rsid w:val="00080F4A"/>
    <w:rsid w:val="000812B7"/>
    <w:rsid w:val="000814CC"/>
    <w:rsid w:val="00082735"/>
    <w:rsid w:val="000828A5"/>
    <w:rsid w:val="00082B19"/>
    <w:rsid w:val="000831C8"/>
    <w:rsid w:val="00083443"/>
    <w:rsid w:val="00083C49"/>
    <w:rsid w:val="00083D27"/>
    <w:rsid w:val="00083F8B"/>
    <w:rsid w:val="00083FA4"/>
    <w:rsid w:val="00084335"/>
    <w:rsid w:val="000851AD"/>
    <w:rsid w:val="00085511"/>
    <w:rsid w:val="00085B41"/>
    <w:rsid w:val="00085E52"/>
    <w:rsid w:val="00085EEB"/>
    <w:rsid w:val="00086AC4"/>
    <w:rsid w:val="00086F55"/>
    <w:rsid w:val="0008794D"/>
    <w:rsid w:val="00087CC3"/>
    <w:rsid w:val="0009192B"/>
    <w:rsid w:val="00091EA1"/>
    <w:rsid w:val="00093BF8"/>
    <w:rsid w:val="0009419A"/>
    <w:rsid w:val="00094506"/>
    <w:rsid w:val="000946E1"/>
    <w:rsid w:val="00094830"/>
    <w:rsid w:val="000949C0"/>
    <w:rsid w:val="00094AF5"/>
    <w:rsid w:val="00094DC2"/>
    <w:rsid w:val="00095161"/>
    <w:rsid w:val="0009580C"/>
    <w:rsid w:val="000961A8"/>
    <w:rsid w:val="0009662A"/>
    <w:rsid w:val="00096A77"/>
    <w:rsid w:val="000977FC"/>
    <w:rsid w:val="00097C97"/>
    <w:rsid w:val="000A07FB"/>
    <w:rsid w:val="000A0DB5"/>
    <w:rsid w:val="000A1B98"/>
    <w:rsid w:val="000A1EC8"/>
    <w:rsid w:val="000A2108"/>
    <w:rsid w:val="000A2202"/>
    <w:rsid w:val="000A31D2"/>
    <w:rsid w:val="000A33A2"/>
    <w:rsid w:val="000A50C2"/>
    <w:rsid w:val="000A5180"/>
    <w:rsid w:val="000A5391"/>
    <w:rsid w:val="000A55C1"/>
    <w:rsid w:val="000A57A5"/>
    <w:rsid w:val="000A5E3C"/>
    <w:rsid w:val="000A7486"/>
    <w:rsid w:val="000A75EB"/>
    <w:rsid w:val="000B00BF"/>
    <w:rsid w:val="000B00D0"/>
    <w:rsid w:val="000B0696"/>
    <w:rsid w:val="000B07B4"/>
    <w:rsid w:val="000B1413"/>
    <w:rsid w:val="000B152E"/>
    <w:rsid w:val="000B1F89"/>
    <w:rsid w:val="000B27A9"/>
    <w:rsid w:val="000B3CC0"/>
    <w:rsid w:val="000B4590"/>
    <w:rsid w:val="000B4B98"/>
    <w:rsid w:val="000B6B45"/>
    <w:rsid w:val="000C0AB1"/>
    <w:rsid w:val="000C0DE3"/>
    <w:rsid w:val="000C0E51"/>
    <w:rsid w:val="000C1AAB"/>
    <w:rsid w:val="000C1C95"/>
    <w:rsid w:val="000C2499"/>
    <w:rsid w:val="000C2795"/>
    <w:rsid w:val="000C3239"/>
    <w:rsid w:val="000C38E6"/>
    <w:rsid w:val="000C47B9"/>
    <w:rsid w:val="000C4E46"/>
    <w:rsid w:val="000C5CE9"/>
    <w:rsid w:val="000C5CEA"/>
    <w:rsid w:val="000C5EF6"/>
    <w:rsid w:val="000C601F"/>
    <w:rsid w:val="000C6A1B"/>
    <w:rsid w:val="000D0341"/>
    <w:rsid w:val="000D03EA"/>
    <w:rsid w:val="000D0550"/>
    <w:rsid w:val="000D1042"/>
    <w:rsid w:val="000D13BB"/>
    <w:rsid w:val="000D1FCC"/>
    <w:rsid w:val="000D282F"/>
    <w:rsid w:val="000D2AF8"/>
    <w:rsid w:val="000D2D93"/>
    <w:rsid w:val="000D2F18"/>
    <w:rsid w:val="000D318F"/>
    <w:rsid w:val="000D378C"/>
    <w:rsid w:val="000D3CE8"/>
    <w:rsid w:val="000D40C0"/>
    <w:rsid w:val="000D4175"/>
    <w:rsid w:val="000D47E8"/>
    <w:rsid w:val="000D488C"/>
    <w:rsid w:val="000D54C3"/>
    <w:rsid w:val="000D574E"/>
    <w:rsid w:val="000D738A"/>
    <w:rsid w:val="000D7CCB"/>
    <w:rsid w:val="000D7EBF"/>
    <w:rsid w:val="000E04B6"/>
    <w:rsid w:val="000E0743"/>
    <w:rsid w:val="000E1562"/>
    <w:rsid w:val="000E179F"/>
    <w:rsid w:val="000E21E7"/>
    <w:rsid w:val="000E287E"/>
    <w:rsid w:val="000E330F"/>
    <w:rsid w:val="000E3CCE"/>
    <w:rsid w:val="000E4948"/>
    <w:rsid w:val="000E54A9"/>
    <w:rsid w:val="000E5E18"/>
    <w:rsid w:val="000E5E44"/>
    <w:rsid w:val="000E62B9"/>
    <w:rsid w:val="000E69AE"/>
    <w:rsid w:val="000E6EFE"/>
    <w:rsid w:val="000E761D"/>
    <w:rsid w:val="000E7784"/>
    <w:rsid w:val="000F07A0"/>
    <w:rsid w:val="000F0A8A"/>
    <w:rsid w:val="000F1FFD"/>
    <w:rsid w:val="000F2618"/>
    <w:rsid w:val="000F2A3F"/>
    <w:rsid w:val="000F2E6E"/>
    <w:rsid w:val="000F325F"/>
    <w:rsid w:val="000F384E"/>
    <w:rsid w:val="000F3BDD"/>
    <w:rsid w:val="000F4448"/>
    <w:rsid w:val="000F480C"/>
    <w:rsid w:val="000F4C1A"/>
    <w:rsid w:val="000F5309"/>
    <w:rsid w:val="000F6120"/>
    <w:rsid w:val="000F7767"/>
    <w:rsid w:val="000F7F57"/>
    <w:rsid w:val="00100132"/>
    <w:rsid w:val="001007CF"/>
    <w:rsid w:val="00100D37"/>
    <w:rsid w:val="0010171D"/>
    <w:rsid w:val="0010181E"/>
    <w:rsid w:val="00101F5B"/>
    <w:rsid w:val="001031A0"/>
    <w:rsid w:val="00103321"/>
    <w:rsid w:val="00104557"/>
    <w:rsid w:val="0010459A"/>
    <w:rsid w:val="001048E2"/>
    <w:rsid w:val="00104A53"/>
    <w:rsid w:val="0010626A"/>
    <w:rsid w:val="00106732"/>
    <w:rsid w:val="00106D8D"/>
    <w:rsid w:val="00106F48"/>
    <w:rsid w:val="0010714C"/>
    <w:rsid w:val="00107164"/>
    <w:rsid w:val="00107C99"/>
    <w:rsid w:val="00110471"/>
    <w:rsid w:val="00111810"/>
    <w:rsid w:val="0011230E"/>
    <w:rsid w:val="00112875"/>
    <w:rsid w:val="00112BA1"/>
    <w:rsid w:val="0011304B"/>
    <w:rsid w:val="00113874"/>
    <w:rsid w:val="00113A78"/>
    <w:rsid w:val="001145BE"/>
    <w:rsid w:val="00114DF1"/>
    <w:rsid w:val="00115253"/>
    <w:rsid w:val="001158B5"/>
    <w:rsid w:val="00115BED"/>
    <w:rsid w:val="00115E21"/>
    <w:rsid w:val="00116042"/>
    <w:rsid w:val="001160EF"/>
    <w:rsid w:val="00117F98"/>
    <w:rsid w:val="00121D3E"/>
    <w:rsid w:val="001221E5"/>
    <w:rsid w:val="00122CB7"/>
    <w:rsid w:val="0012318A"/>
    <w:rsid w:val="001236EB"/>
    <w:rsid w:val="001240B4"/>
    <w:rsid w:val="00124C65"/>
    <w:rsid w:val="00125119"/>
    <w:rsid w:val="001255C4"/>
    <w:rsid w:val="00125A5E"/>
    <w:rsid w:val="00125BC1"/>
    <w:rsid w:val="00125F60"/>
    <w:rsid w:val="0012635B"/>
    <w:rsid w:val="0012645C"/>
    <w:rsid w:val="001268E1"/>
    <w:rsid w:val="00126979"/>
    <w:rsid w:val="00127F9A"/>
    <w:rsid w:val="0013045E"/>
    <w:rsid w:val="00130B49"/>
    <w:rsid w:val="001320CB"/>
    <w:rsid w:val="0013282D"/>
    <w:rsid w:val="001337E9"/>
    <w:rsid w:val="00134125"/>
    <w:rsid w:val="0013598A"/>
    <w:rsid w:val="00136908"/>
    <w:rsid w:val="00137E60"/>
    <w:rsid w:val="00141419"/>
    <w:rsid w:val="001417FB"/>
    <w:rsid w:val="001419DC"/>
    <w:rsid w:val="001427E0"/>
    <w:rsid w:val="00142FC9"/>
    <w:rsid w:val="0014304B"/>
    <w:rsid w:val="00143C92"/>
    <w:rsid w:val="00145157"/>
    <w:rsid w:val="00145166"/>
    <w:rsid w:val="001451BA"/>
    <w:rsid w:val="00145F4F"/>
    <w:rsid w:val="00146269"/>
    <w:rsid w:val="001474FC"/>
    <w:rsid w:val="0014789D"/>
    <w:rsid w:val="00147A73"/>
    <w:rsid w:val="00147C6F"/>
    <w:rsid w:val="00150FE5"/>
    <w:rsid w:val="0015282D"/>
    <w:rsid w:val="00153143"/>
    <w:rsid w:val="001532BF"/>
    <w:rsid w:val="00153735"/>
    <w:rsid w:val="00153D41"/>
    <w:rsid w:val="00153ECC"/>
    <w:rsid w:val="00154460"/>
    <w:rsid w:val="00155AD9"/>
    <w:rsid w:val="00156313"/>
    <w:rsid w:val="00156414"/>
    <w:rsid w:val="00156AFF"/>
    <w:rsid w:val="00156F5A"/>
    <w:rsid w:val="00157538"/>
    <w:rsid w:val="00157568"/>
    <w:rsid w:val="00157909"/>
    <w:rsid w:val="00161DDF"/>
    <w:rsid w:val="00162450"/>
    <w:rsid w:val="00162A7D"/>
    <w:rsid w:val="0016352F"/>
    <w:rsid w:val="00163D3A"/>
    <w:rsid w:val="001643D5"/>
    <w:rsid w:val="0016497A"/>
    <w:rsid w:val="0016506D"/>
    <w:rsid w:val="001651FC"/>
    <w:rsid w:val="001653A7"/>
    <w:rsid w:val="0016649E"/>
    <w:rsid w:val="0016661A"/>
    <w:rsid w:val="00166BBC"/>
    <w:rsid w:val="00167A74"/>
    <w:rsid w:val="00170D88"/>
    <w:rsid w:val="00170DE7"/>
    <w:rsid w:val="00171891"/>
    <w:rsid w:val="001726D9"/>
    <w:rsid w:val="00172A27"/>
    <w:rsid w:val="00172B98"/>
    <w:rsid w:val="00173CC1"/>
    <w:rsid w:val="00173E90"/>
    <w:rsid w:val="00174583"/>
    <w:rsid w:val="001748E4"/>
    <w:rsid w:val="0017605D"/>
    <w:rsid w:val="00176771"/>
    <w:rsid w:val="00176891"/>
    <w:rsid w:val="00177329"/>
    <w:rsid w:val="001810C0"/>
    <w:rsid w:val="0018113E"/>
    <w:rsid w:val="001814F0"/>
    <w:rsid w:val="00182114"/>
    <w:rsid w:val="00183706"/>
    <w:rsid w:val="00184355"/>
    <w:rsid w:val="00186931"/>
    <w:rsid w:val="00187697"/>
    <w:rsid w:val="00187C84"/>
    <w:rsid w:val="00190135"/>
    <w:rsid w:val="0019045C"/>
    <w:rsid w:val="00190C3C"/>
    <w:rsid w:val="00190F05"/>
    <w:rsid w:val="00190F9A"/>
    <w:rsid w:val="001915A6"/>
    <w:rsid w:val="00191E8F"/>
    <w:rsid w:val="001956D9"/>
    <w:rsid w:val="001957EA"/>
    <w:rsid w:val="00195998"/>
    <w:rsid w:val="00196A13"/>
    <w:rsid w:val="001973C3"/>
    <w:rsid w:val="001974D3"/>
    <w:rsid w:val="0019779A"/>
    <w:rsid w:val="001A0CC5"/>
    <w:rsid w:val="001A10C8"/>
    <w:rsid w:val="001A12D6"/>
    <w:rsid w:val="001A1EDF"/>
    <w:rsid w:val="001A206D"/>
    <w:rsid w:val="001A299A"/>
    <w:rsid w:val="001A2B91"/>
    <w:rsid w:val="001A2F0D"/>
    <w:rsid w:val="001A3435"/>
    <w:rsid w:val="001A382D"/>
    <w:rsid w:val="001A3CE8"/>
    <w:rsid w:val="001A437E"/>
    <w:rsid w:val="001A4632"/>
    <w:rsid w:val="001A6447"/>
    <w:rsid w:val="001A6AAC"/>
    <w:rsid w:val="001A75B7"/>
    <w:rsid w:val="001A7928"/>
    <w:rsid w:val="001A79BA"/>
    <w:rsid w:val="001A7F60"/>
    <w:rsid w:val="001B013D"/>
    <w:rsid w:val="001B06C1"/>
    <w:rsid w:val="001B083F"/>
    <w:rsid w:val="001B260D"/>
    <w:rsid w:val="001B3420"/>
    <w:rsid w:val="001B368C"/>
    <w:rsid w:val="001B3FBD"/>
    <w:rsid w:val="001B4164"/>
    <w:rsid w:val="001B4517"/>
    <w:rsid w:val="001B4BB8"/>
    <w:rsid w:val="001B51E5"/>
    <w:rsid w:val="001B55FF"/>
    <w:rsid w:val="001B5FD5"/>
    <w:rsid w:val="001B60BA"/>
    <w:rsid w:val="001B65C7"/>
    <w:rsid w:val="001B6F5B"/>
    <w:rsid w:val="001C0076"/>
    <w:rsid w:val="001C1143"/>
    <w:rsid w:val="001C12AE"/>
    <w:rsid w:val="001C194A"/>
    <w:rsid w:val="001C1959"/>
    <w:rsid w:val="001C1B31"/>
    <w:rsid w:val="001C31DF"/>
    <w:rsid w:val="001C392C"/>
    <w:rsid w:val="001C3E4A"/>
    <w:rsid w:val="001C519E"/>
    <w:rsid w:val="001C569A"/>
    <w:rsid w:val="001C57E8"/>
    <w:rsid w:val="001C6F3B"/>
    <w:rsid w:val="001C7668"/>
    <w:rsid w:val="001C7BBC"/>
    <w:rsid w:val="001D01D4"/>
    <w:rsid w:val="001D0AB2"/>
    <w:rsid w:val="001D160E"/>
    <w:rsid w:val="001D1C52"/>
    <w:rsid w:val="001D2225"/>
    <w:rsid w:val="001D2895"/>
    <w:rsid w:val="001D296C"/>
    <w:rsid w:val="001D2C24"/>
    <w:rsid w:val="001D3E1A"/>
    <w:rsid w:val="001D59EF"/>
    <w:rsid w:val="001D6DBD"/>
    <w:rsid w:val="001D74FD"/>
    <w:rsid w:val="001E0084"/>
    <w:rsid w:val="001E2241"/>
    <w:rsid w:val="001E28E8"/>
    <w:rsid w:val="001E2F07"/>
    <w:rsid w:val="001E34C4"/>
    <w:rsid w:val="001E3719"/>
    <w:rsid w:val="001E3C70"/>
    <w:rsid w:val="001E48CE"/>
    <w:rsid w:val="001E55BF"/>
    <w:rsid w:val="001E578B"/>
    <w:rsid w:val="001E621E"/>
    <w:rsid w:val="001E6EBB"/>
    <w:rsid w:val="001F07D9"/>
    <w:rsid w:val="001F1292"/>
    <w:rsid w:val="001F1421"/>
    <w:rsid w:val="001F1DC7"/>
    <w:rsid w:val="001F1F53"/>
    <w:rsid w:val="001F2858"/>
    <w:rsid w:val="001F2EEA"/>
    <w:rsid w:val="001F305F"/>
    <w:rsid w:val="001F336F"/>
    <w:rsid w:val="001F43A5"/>
    <w:rsid w:val="001F47ED"/>
    <w:rsid w:val="001F4BB8"/>
    <w:rsid w:val="001F58B4"/>
    <w:rsid w:val="001F5CFE"/>
    <w:rsid w:val="001F63DF"/>
    <w:rsid w:val="001F6700"/>
    <w:rsid w:val="001F71AF"/>
    <w:rsid w:val="001F71C3"/>
    <w:rsid w:val="001F72EA"/>
    <w:rsid w:val="00200095"/>
    <w:rsid w:val="0020086A"/>
    <w:rsid w:val="00200B8E"/>
    <w:rsid w:val="00200D0D"/>
    <w:rsid w:val="00201265"/>
    <w:rsid w:val="002017CB"/>
    <w:rsid w:val="00201AF0"/>
    <w:rsid w:val="00202752"/>
    <w:rsid w:val="002030A4"/>
    <w:rsid w:val="002030BF"/>
    <w:rsid w:val="00204161"/>
    <w:rsid w:val="00205E4B"/>
    <w:rsid w:val="0020644F"/>
    <w:rsid w:val="002066C0"/>
    <w:rsid w:val="002073B9"/>
    <w:rsid w:val="00210788"/>
    <w:rsid w:val="0021134B"/>
    <w:rsid w:val="002113A1"/>
    <w:rsid w:val="00212180"/>
    <w:rsid w:val="00214019"/>
    <w:rsid w:val="0021458B"/>
    <w:rsid w:val="00215005"/>
    <w:rsid w:val="00215381"/>
    <w:rsid w:val="00215DFA"/>
    <w:rsid w:val="002166F7"/>
    <w:rsid w:val="002174BF"/>
    <w:rsid w:val="00217674"/>
    <w:rsid w:val="00220E40"/>
    <w:rsid w:val="00221CDA"/>
    <w:rsid w:val="00222638"/>
    <w:rsid w:val="002244F9"/>
    <w:rsid w:val="00224519"/>
    <w:rsid w:val="002248D7"/>
    <w:rsid w:val="0022533C"/>
    <w:rsid w:val="00225C38"/>
    <w:rsid w:val="00226065"/>
    <w:rsid w:val="002264E1"/>
    <w:rsid w:val="00227759"/>
    <w:rsid w:val="002277A3"/>
    <w:rsid w:val="00227B79"/>
    <w:rsid w:val="002306CF"/>
    <w:rsid w:val="00230816"/>
    <w:rsid w:val="00230CE3"/>
    <w:rsid w:val="00230ED4"/>
    <w:rsid w:val="002313E1"/>
    <w:rsid w:val="00232419"/>
    <w:rsid w:val="002327CB"/>
    <w:rsid w:val="00232C60"/>
    <w:rsid w:val="00233288"/>
    <w:rsid w:val="002337FB"/>
    <w:rsid w:val="002337FC"/>
    <w:rsid w:val="002339D8"/>
    <w:rsid w:val="00233B60"/>
    <w:rsid w:val="00233DD2"/>
    <w:rsid w:val="00233E82"/>
    <w:rsid w:val="00234188"/>
    <w:rsid w:val="0023474E"/>
    <w:rsid w:val="00234CB6"/>
    <w:rsid w:val="00234EB2"/>
    <w:rsid w:val="00235643"/>
    <w:rsid w:val="0023573C"/>
    <w:rsid w:val="00236C06"/>
    <w:rsid w:val="00236DEB"/>
    <w:rsid w:val="00237A64"/>
    <w:rsid w:val="00240DF5"/>
    <w:rsid w:val="00241B3D"/>
    <w:rsid w:val="00241F2E"/>
    <w:rsid w:val="00241F52"/>
    <w:rsid w:val="00242362"/>
    <w:rsid w:val="0024264B"/>
    <w:rsid w:val="00243032"/>
    <w:rsid w:val="0024314A"/>
    <w:rsid w:val="00244290"/>
    <w:rsid w:val="00245407"/>
    <w:rsid w:val="0024685B"/>
    <w:rsid w:val="00246D75"/>
    <w:rsid w:val="00246DA7"/>
    <w:rsid w:val="002471AA"/>
    <w:rsid w:val="0025100F"/>
    <w:rsid w:val="0025281E"/>
    <w:rsid w:val="0025288A"/>
    <w:rsid w:val="00253CD4"/>
    <w:rsid w:val="002559D8"/>
    <w:rsid w:val="00255A60"/>
    <w:rsid w:val="00255B18"/>
    <w:rsid w:val="00256F06"/>
    <w:rsid w:val="002571C6"/>
    <w:rsid w:val="00261167"/>
    <w:rsid w:val="0026121B"/>
    <w:rsid w:val="002621C1"/>
    <w:rsid w:val="002625E5"/>
    <w:rsid w:val="00263343"/>
    <w:rsid w:val="00263403"/>
    <w:rsid w:val="002636EE"/>
    <w:rsid w:val="00263BE6"/>
    <w:rsid w:val="002648B2"/>
    <w:rsid w:val="00264DD8"/>
    <w:rsid w:val="00264EBC"/>
    <w:rsid w:val="00265087"/>
    <w:rsid w:val="00265945"/>
    <w:rsid w:val="00265C25"/>
    <w:rsid w:val="0026600A"/>
    <w:rsid w:val="002673FE"/>
    <w:rsid w:val="00270EB0"/>
    <w:rsid w:val="00270FBF"/>
    <w:rsid w:val="0027157E"/>
    <w:rsid w:val="00271BFE"/>
    <w:rsid w:val="0027410A"/>
    <w:rsid w:val="002741CB"/>
    <w:rsid w:val="00274CD4"/>
    <w:rsid w:val="0027538D"/>
    <w:rsid w:val="002754BD"/>
    <w:rsid w:val="002758DF"/>
    <w:rsid w:val="00275B0B"/>
    <w:rsid w:val="00275DA1"/>
    <w:rsid w:val="00275F12"/>
    <w:rsid w:val="00277665"/>
    <w:rsid w:val="00277FFC"/>
    <w:rsid w:val="0028037A"/>
    <w:rsid w:val="00280727"/>
    <w:rsid w:val="00280A67"/>
    <w:rsid w:val="00280D01"/>
    <w:rsid w:val="002815F0"/>
    <w:rsid w:val="00281B3E"/>
    <w:rsid w:val="002827E9"/>
    <w:rsid w:val="00283865"/>
    <w:rsid w:val="00283FF3"/>
    <w:rsid w:val="00285982"/>
    <w:rsid w:val="00285ABE"/>
    <w:rsid w:val="00286147"/>
    <w:rsid w:val="0028617B"/>
    <w:rsid w:val="00286CC8"/>
    <w:rsid w:val="00286F18"/>
    <w:rsid w:val="00287D8F"/>
    <w:rsid w:val="0029004B"/>
    <w:rsid w:val="002902FE"/>
    <w:rsid w:val="00291402"/>
    <w:rsid w:val="002915EB"/>
    <w:rsid w:val="00291700"/>
    <w:rsid w:val="00292004"/>
    <w:rsid w:val="002921F7"/>
    <w:rsid w:val="00292768"/>
    <w:rsid w:val="00293003"/>
    <w:rsid w:val="00293773"/>
    <w:rsid w:val="00294721"/>
    <w:rsid w:val="00294A20"/>
    <w:rsid w:val="00294B92"/>
    <w:rsid w:val="00294CBB"/>
    <w:rsid w:val="00296C38"/>
    <w:rsid w:val="0029760E"/>
    <w:rsid w:val="00297FB7"/>
    <w:rsid w:val="002A0A06"/>
    <w:rsid w:val="002A0D1B"/>
    <w:rsid w:val="002A1A4F"/>
    <w:rsid w:val="002A1FE9"/>
    <w:rsid w:val="002A29D2"/>
    <w:rsid w:val="002A453D"/>
    <w:rsid w:val="002A49DC"/>
    <w:rsid w:val="002A4CA0"/>
    <w:rsid w:val="002A540A"/>
    <w:rsid w:val="002A546E"/>
    <w:rsid w:val="002A586F"/>
    <w:rsid w:val="002A611F"/>
    <w:rsid w:val="002A6B9E"/>
    <w:rsid w:val="002A7C9A"/>
    <w:rsid w:val="002B01DD"/>
    <w:rsid w:val="002B0339"/>
    <w:rsid w:val="002B057C"/>
    <w:rsid w:val="002B0CC5"/>
    <w:rsid w:val="002B123A"/>
    <w:rsid w:val="002B17A0"/>
    <w:rsid w:val="002B1841"/>
    <w:rsid w:val="002B1FBC"/>
    <w:rsid w:val="002B24C0"/>
    <w:rsid w:val="002B2C7C"/>
    <w:rsid w:val="002B3468"/>
    <w:rsid w:val="002B382A"/>
    <w:rsid w:val="002B3876"/>
    <w:rsid w:val="002B4B18"/>
    <w:rsid w:val="002B5291"/>
    <w:rsid w:val="002B6D56"/>
    <w:rsid w:val="002B7403"/>
    <w:rsid w:val="002B7C78"/>
    <w:rsid w:val="002C0D54"/>
    <w:rsid w:val="002C0DE2"/>
    <w:rsid w:val="002C0FE7"/>
    <w:rsid w:val="002C1045"/>
    <w:rsid w:val="002C163C"/>
    <w:rsid w:val="002C18F4"/>
    <w:rsid w:val="002C2D06"/>
    <w:rsid w:val="002C34A0"/>
    <w:rsid w:val="002C433B"/>
    <w:rsid w:val="002C477E"/>
    <w:rsid w:val="002C4787"/>
    <w:rsid w:val="002C4843"/>
    <w:rsid w:val="002C6623"/>
    <w:rsid w:val="002C7CD4"/>
    <w:rsid w:val="002D1D53"/>
    <w:rsid w:val="002D1FA4"/>
    <w:rsid w:val="002D21C9"/>
    <w:rsid w:val="002D337B"/>
    <w:rsid w:val="002D37EE"/>
    <w:rsid w:val="002D37FC"/>
    <w:rsid w:val="002D3ECE"/>
    <w:rsid w:val="002D6411"/>
    <w:rsid w:val="002D6418"/>
    <w:rsid w:val="002D7426"/>
    <w:rsid w:val="002D761F"/>
    <w:rsid w:val="002E0678"/>
    <w:rsid w:val="002E0DAE"/>
    <w:rsid w:val="002E120D"/>
    <w:rsid w:val="002E13B8"/>
    <w:rsid w:val="002E1D90"/>
    <w:rsid w:val="002E1E04"/>
    <w:rsid w:val="002E2C4D"/>
    <w:rsid w:val="002E3A7F"/>
    <w:rsid w:val="002E3BDB"/>
    <w:rsid w:val="002E47EA"/>
    <w:rsid w:val="002E482C"/>
    <w:rsid w:val="002E483C"/>
    <w:rsid w:val="002E4DAD"/>
    <w:rsid w:val="002E507D"/>
    <w:rsid w:val="002E7247"/>
    <w:rsid w:val="002E7D5C"/>
    <w:rsid w:val="002E7F05"/>
    <w:rsid w:val="002F0510"/>
    <w:rsid w:val="002F0CA0"/>
    <w:rsid w:val="002F19CB"/>
    <w:rsid w:val="002F23B5"/>
    <w:rsid w:val="002F2679"/>
    <w:rsid w:val="002F4CBF"/>
    <w:rsid w:val="002F6619"/>
    <w:rsid w:val="002F6B30"/>
    <w:rsid w:val="002F7592"/>
    <w:rsid w:val="002F7FCF"/>
    <w:rsid w:val="00300779"/>
    <w:rsid w:val="00300AAF"/>
    <w:rsid w:val="003018DB"/>
    <w:rsid w:val="003022DF"/>
    <w:rsid w:val="00302816"/>
    <w:rsid w:val="00302BD9"/>
    <w:rsid w:val="00303085"/>
    <w:rsid w:val="003036D8"/>
    <w:rsid w:val="00304327"/>
    <w:rsid w:val="0030454B"/>
    <w:rsid w:val="00305629"/>
    <w:rsid w:val="00305DDA"/>
    <w:rsid w:val="00305FB2"/>
    <w:rsid w:val="003064EF"/>
    <w:rsid w:val="0030689A"/>
    <w:rsid w:val="00306D39"/>
    <w:rsid w:val="00307B00"/>
    <w:rsid w:val="003103E4"/>
    <w:rsid w:val="0031058A"/>
    <w:rsid w:val="00310928"/>
    <w:rsid w:val="003110B2"/>
    <w:rsid w:val="00311F41"/>
    <w:rsid w:val="0031245E"/>
    <w:rsid w:val="003129DA"/>
    <w:rsid w:val="00312BFA"/>
    <w:rsid w:val="0031311F"/>
    <w:rsid w:val="0031322D"/>
    <w:rsid w:val="00313599"/>
    <w:rsid w:val="003143F6"/>
    <w:rsid w:val="003149F1"/>
    <w:rsid w:val="00314EBA"/>
    <w:rsid w:val="00315021"/>
    <w:rsid w:val="0031555D"/>
    <w:rsid w:val="00315964"/>
    <w:rsid w:val="0031629F"/>
    <w:rsid w:val="00316348"/>
    <w:rsid w:val="0031759D"/>
    <w:rsid w:val="00320536"/>
    <w:rsid w:val="0032101A"/>
    <w:rsid w:val="0032147B"/>
    <w:rsid w:val="0032149B"/>
    <w:rsid w:val="00321769"/>
    <w:rsid w:val="00321AED"/>
    <w:rsid w:val="00321BA7"/>
    <w:rsid w:val="00321C25"/>
    <w:rsid w:val="0032208A"/>
    <w:rsid w:val="0032255F"/>
    <w:rsid w:val="00322917"/>
    <w:rsid w:val="003234F0"/>
    <w:rsid w:val="0032386E"/>
    <w:rsid w:val="003239FF"/>
    <w:rsid w:val="00323B2B"/>
    <w:rsid w:val="00324421"/>
    <w:rsid w:val="003247FC"/>
    <w:rsid w:val="00325E75"/>
    <w:rsid w:val="003277A9"/>
    <w:rsid w:val="00327860"/>
    <w:rsid w:val="00327A14"/>
    <w:rsid w:val="00327A36"/>
    <w:rsid w:val="00327BDF"/>
    <w:rsid w:val="0033030F"/>
    <w:rsid w:val="0033161A"/>
    <w:rsid w:val="0033182B"/>
    <w:rsid w:val="00331835"/>
    <w:rsid w:val="003322AB"/>
    <w:rsid w:val="00332375"/>
    <w:rsid w:val="00332944"/>
    <w:rsid w:val="00334768"/>
    <w:rsid w:val="00334C2B"/>
    <w:rsid w:val="003353D4"/>
    <w:rsid w:val="00335E44"/>
    <w:rsid w:val="0034018E"/>
    <w:rsid w:val="003403CA"/>
    <w:rsid w:val="003404E2"/>
    <w:rsid w:val="00342D54"/>
    <w:rsid w:val="00342E67"/>
    <w:rsid w:val="0034303A"/>
    <w:rsid w:val="00343D6E"/>
    <w:rsid w:val="00344B3D"/>
    <w:rsid w:val="00345054"/>
    <w:rsid w:val="003454B9"/>
    <w:rsid w:val="003454F8"/>
    <w:rsid w:val="00345DBF"/>
    <w:rsid w:val="00347267"/>
    <w:rsid w:val="00347767"/>
    <w:rsid w:val="00347907"/>
    <w:rsid w:val="00347BCB"/>
    <w:rsid w:val="00350985"/>
    <w:rsid w:val="00351EF1"/>
    <w:rsid w:val="0035265C"/>
    <w:rsid w:val="00352D15"/>
    <w:rsid w:val="00352D9A"/>
    <w:rsid w:val="00352E6D"/>
    <w:rsid w:val="00352F28"/>
    <w:rsid w:val="00352F71"/>
    <w:rsid w:val="0035300D"/>
    <w:rsid w:val="00353040"/>
    <w:rsid w:val="0035359D"/>
    <w:rsid w:val="00353E30"/>
    <w:rsid w:val="00354056"/>
    <w:rsid w:val="003548E8"/>
    <w:rsid w:val="00354960"/>
    <w:rsid w:val="00354B73"/>
    <w:rsid w:val="00355857"/>
    <w:rsid w:val="00355AFB"/>
    <w:rsid w:val="00355B7F"/>
    <w:rsid w:val="0035603F"/>
    <w:rsid w:val="0035616D"/>
    <w:rsid w:val="0035630E"/>
    <w:rsid w:val="00356A6A"/>
    <w:rsid w:val="00356EDB"/>
    <w:rsid w:val="00360027"/>
    <w:rsid w:val="003600A6"/>
    <w:rsid w:val="00360812"/>
    <w:rsid w:val="00360B41"/>
    <w:rsid w:val="00361147"/>
    <w:rsid w:val="0036128C"/>
    <w:rsid w:val="003612D3"/>
    <w:rsid w:val="003617B4"/>
    <w:rsid w:val="003617DD"/>
    <w:rsid w:val="0036198D"/>
    <w:rsid w:val="0036207E"/>
    <w:rsid w:val="00363C01"/>
    <w:rsid w:val="0036402D"/>
    <w:rsid w:val="00364433"/>
    <w:rsid w:val="00364E27"/>
    <w:rsid w:val="00365AF5"/>
    <w:rsid w:val="00365D7A"/>
    <w:rsid w:val="00366051"/>
    <w:rsid w:val="00366709"/>
    <w:rsid w:val="00367AA9"/>
    <w:rsid w:val="00370C88"/>
    <w:rsid w:val="003718FF"/>
    <w:rsid w:val="003723BB"/>
    <w:rsid w:val="0037289A"/>
    <w:rsid w:val="003748B3"/>
    <w:rsid w:val="00374EEE"/>
    <w:rsid w:val="00376400"/>
    <w:rsid w:val="00376904"/>
    <w:rsid w:val="00376B46"/>
    <w:rsid w:val="00377608"/>
    <w:rsid w:val="00377DB8"/>
    <w:rsid w:val="00380513"/>
    <w:rsid w:val="0038059D"/>
    <w:rsid w:val="00380CDA"/>
    <w:rsid w:val="00380F11"/>
    <w:rsid w:val="00381ECB"/>
    <w:rsid w:val="003828EB"/>
    <w:rsid w:val="00383D0D"/>
    <w:rsid w:val="00383EA9"/>
    <w:rsid w:val="00384B9F"/>
    <w:rsid w:val="00385508"/>
    <w:rsid w:val="00385B84"/>
    <w:rsid w:val="0038736D"/>
    <w:rsid w:val="00387A66"/>
    <w:rsid w:val="00390360"/>
    <w:rsid w:val="00390817"/>
    <w:rsid w:val="00390936"/>
    <w:rsid w:val="00390F77"/>
    <w:rsid w:val="003916CD"/>
    <w:rsid w:val="00391945"/>
    <w:rsid w:val="00391B99"/>
    <w:rsid w:val="003925DB"/>
    <w:rsid w:val="003926C7"/>
    <w:rsid w:val="0039271C"/>
    <w:rsid w:val="003932C2"/>
    <w:rsid w:val="00393672"/>
    <w:rsid w:val="003936CA"/>
    <w:rsid w:val="003943BB"/>
    <w:rsid w:val="0039517B"/>
    <w:rsid w:val="003955D9"/>
    <w:rsid w:val="0039628F"/>
    <w:rsid w:val="00396BD1"/>
    <w:rsid w:val="003974ED"/>
    <w:rsid w:val="00397724"/>
    <w:rsid w:val="003978AC"/>
    <w:rsid w:val="00397DC1"/>
    <w:rsid w:val="003A158A"/>
    <w:rsid w:val="003A18B7"/>
    <w:rsid w:val="003A370B"/>
    <w:rsid w:val="003A4606"/>
    <w:rsid w:val="003A4676"/>
    <w:rsid w:val="003A5ECE"/>
    <w:rsid w:val="003A6272"/>
    <w:rsid w:val="003A67D8"/>
    <w:rsid w:val="003A6A9B"/>
    <w:rsid w:val="003A6F06"/>
    <w:rsid w:val="003A7B8F"/>
    <w:rsid w:val="003A7E01"/>
    <w:rsid w:val="003A7E1C"/>
    <w:rsid w:val="003B0E94"/>
    <w:rsid w:val="003B14BD"/>
    <w:rsid w:val="003B19B1"/>
    <w:rsid w:val="003B201C"/>
    <w:rsid w:val="003B254B"/>
    <w:rsid w:val="003B4095"/>
    <w:rsid w:val="003B429C"/>
    <w:rsid w:val="003B559C"/>
    <w:rsid w:val="003B6501"/>
    <w:rsid w:val="003B7084"/>
    <w:rsid w:val="003C0D73"/>
    <w:rsid w:val="003C2485"/>
    <w:rsid w:val="003C3E35"/>
    <w:rsid w:val="003C4BED"/>
    <w:rsid w:val="003C6C14"/>
    <w:rsid w:val="003C6D4A"/>
    <w:rsid w:val="003C792A"/>
    <w:rsid w:val="003C7D21"/>
    <w:rsid w:val="003D0601"/>
    <w:rsid w:val="003D13F7"/>
    <w:rsid w:val="003D173B"/>
    <w:rsid w:val="003D1C62"/>
    <w:rsid w:val="003D1FC5"/>
    <w:rsid w:val="003D24A6"/>
    <w:rsid w:val="003D3F93"/>
    <w:rsid w:val="003D4748"/>
    <w:rsid w:val="003D50D1"/>
    <w:rsid w:val="003D517B"/>
    <w:rsid w:val="003D7E71"/>
    <w:rsid w:val="003E10DD"/>
    <w:rsid w:val="003E1417"/>
    <w:rsid w:val="003E270E"/>
    <w:rsid w:val="003E2A50"/>
    <w:rsid w:val="003E2C19"/>
    <w:rsid w:val="003E30FE"/>
    <w:rsid w:val="003E32BA"/>
    <w:rsid w:val="003E3511"/>
    <w:rsid w:val="003E37B9"/>
    <w:rsid w:val="003E3A13"/>
    <w:rsid w:val="003E3EF6"/>
    <w:rsid w:val="003E47A2"/>
    <w:rsid w:val="003E47E7"/>
    <w:rsid w:val="003E4CC2"/>
    <w:rsid w:val="003E54AA"/>
    <w:rsid w:val="003E6CC6"/>
    <w:rsid w:val="003E6FF7"/>
    <w:rsid w:val="003E76A0"/>
    <w:rsid w:val="003E7B61"/>
    <w:rsid w:val="003F0031"/>
    <w:rsid w:val="003F04B5"/>
    <w:rsid w:val="003F0E2E"/>
    <w:rsid w:val="003F0E7B"/>
    <w:rsid w:val="003F1CA7"/>
    <w:rsid w:val="003F29BE"/>
    <w:rsid w:val="003F2CE4"/>
    <w:rsid w:val="003F2D40"/>
    <w:rsid w:val="003F3127"/>
    <w:rsid w:val="003F3C61"/>
    <w:rsid w:val="003F3FD5"/>
    <w:rsid w:val="003F4E3C"/>
    <w:rsid w:val="003F5265"/>
    <w:rsid w:val="003F612B"/>
    <w:rsid w:val="003F631F"/>
    <w:rsid w:val="00400917"/>
    <w:rsid w:val="00401524"/>
    <w:rsid w:val="004018BE"/>
    <w:rsid w:val="00402186"/>
    <w:rsid w:val="00402840"/>
    <w:rsid w:val="00403651"/>
    <w:rsid w:val="004064ED"/>
    <w:rsid w:val="00406644"/>
    <w:rsid w:val="004066F2"/>
    <w:rsid w:val="00406B36"/>
    <w:rsid w:val="00406EB2"/>
    <w:rsid w:val="00407380"/>
    <w:rsid w:val="00407B98"/>
    <w:rsid w:val="00407E65"/>
    <w:rsid w:val="00410684"/>
    <w:rsid w:val="00410C44"/>
    <w:rsid w:val="00411FA0"/>
    <w:rsid w:val="004152EA"/>
    <w:rsid w:val="00415419"/>
    <w:rsid w:val="00415495"/>
    <w:rsid w:val="00415F5F"/>
    <w:rsid w:val="00420015"/>
    <w:rsid w:val="0042046F"/>
    <w:rsid w:val="004204B7"/>
    <w:rsid w:val="00421EDF"/>
    <w:rsid w:val="0042219B"/>
    <w:rsid w:val="004222EE"/>
    <w:rsid w:val="00422445"/>
    <w:rsid w:val="0042292D"/>
    <w:rsid w:val="00422D5D"/>
    <w:rsid w:val="00423DAB"/>
    <w:rsid w:val="0042530C"/>
    <w:rsid w:val="00426C49"/>
    <w:rsid w:val="00426C4F"/>
    <w:rsid w:val="00427476"/>
    <w:rsid w:val="004303E4"/>
    <w:rsid w:val="004309AE"/>
    <w:rsid w:val="004316C9"/>
    <w:rsid w:val="00433337"/>
    <w:rsid w:val="0043393A"/>
    <w:rsid w:val="0043435D"/>
    <w:rsid w:val="00434374"/>
    <w:rsid w:val="004347E7"/>
    <w:rsid w:val="00435719"/>
    <w:rsid w:val="004361D6"/>
    <w:rsid w:val="00436303"/>
    <w:rsid w:val="00436524"/>
    <w:rsid w:val="00437685"/>
    <w:rsid w:val="00437E23"/>
    <w:rsid w:val="00440797"/>
    <w:rsid w:val="00440807"/>
    <w:rsid w:val="004412CA"/>
    <w:rsid w:val="0044148F"/>
    <w:rsid w:val="00443086"/>
    <w:rsid w:val="00443E0A"/>
    <w:rsid w:val="00444835"/>
    <w:rsid w:val="004452C5"/>
    <w:rsid w:val="0044666A"/>
    <w:rsid w:val="00446A7C"/>
    <w:rsid w:val="00446D78"/>
    <w:rsid w:val="00446EEB"/>
    <w:rsid w:val="00447ACC"/>
    <w:rsid w:val="00450A53"/>
    <w:rsid w:val="00451604"/>
    <w:rsid w:val="0045226A"/>
    <w:rsid w:val="00452AF4"/>
    <w:rsid w:val="00452F9F"/>
    <w:rsid w:val="00452FE6"/>
    <w:rsid w:val="00453BA4"/>
    <w:rsid w:val="004540F4"/>
    <w:rsid w:val="0045424B"/>
    <w:rsid w:val="00454382"/>
    <w:rsid w:val="004546B0"/>
    <w:rsid w:val="004548D1"/>
    <w:rsid w:val="00455363"/>
    <w:rsid w:val="0045647A"/>
    <w:rsid w:val="0045697A"/>
    <w:rsid w:val="00456C71"/>
    <w:rsid w:val="00457010"/>
    <w:rsid w:val="004575B2"/>
    <w:rsid w:val="00457D14"/>
    <w:rsid w:val="004601EE"/>
    <w:rsid w:val="00460E58"/>
    <w:rsid w:val="00461209"/>
    <w:rsid w:val="004612A4"/>
    <w:rsid w:val="00461C40"/>
    <w:rsid w:val="0046246B"/>
    <w:rsid w:val="00462EAA"/>
    <w:rsid w:val="004632A5"/>
    <w:rsid w:val="004632BD"/>
    <w:rsid w:val="004635AE"/>
    <w:rsid w:val="0046379E"/>
    <w:rsid w:val="00463994"/>
    <w:rsid w:val="00463DD8"/>
    <w:rsid w:val="0046406F"/>
    <w:rsid w:val="00464145"/>
    <w:rsid w:val="0046525C"/>
    <w:rsid w:val="00465BF6"/>
    <w:rsid w:val="00465FF4"/>
    <w:rsid w:val="00466CCA"/>
    <w:rsid w:val="00467222"/>
    <w:rsid w:val="0046758F"/>
    <w:rsid w:val="00467896"/>
    <w:rsid w:val="00470017"/>
    <w:rsid w:val="004701F0"/>
    <w:rsid w:val="00470225"/>
    <w:rsid w:val="004702EA"/>
    <w:rsid w:val="00470D0F"/>
    <w:rsid w:val="004713D7"/>
    <w:rsid w:val="00472757"/>
    <w:rsid w:val="00472B4D"/>
    <w:rsid w:val="00472F58"/>
    <w:rsid w:val="00473409"/>
    <w:rsid w:val="00473FB3"/>
    <w:rsid w:val="00475243"/>
    <w:rsid w:val="004762B7"/>
    <w:rsid w:val="00476F49"/>
    <w:rsid w:val="004777D0"/>
    <w:rsid w:val="0047791E"/>
    <w:rsid w:val="00480493"/>
    <w:rsid w:val="00480578"/>
    <w:rsid w:val="00482412"/>
    <w:rsid w:val="00482775"/>
    <w:rsid w:val="00482DA3"/>
    <w:rsid w:val="004833BE"/>
    <w:rsid w:val="004835F8"/>
    <w:rsid w:val="00485031"/>
    <w:rsid w:val="0048529E"/>
    <w:rsid w:val="004853AC"/>
    <w:rsid w:val="004859FA"/>
    <w:rsid w:val="00486296"/>
    <w:rsid w:val="0048646C"/>
    <w:rsid w:val="0048717E"/>
    <w:rsid w:val="00487FBE"/>
    <w:rsid w:val="0049037C"/>
    <w:rsid w:val="004906FF"/>
    <w:rsid w:val="00490A4C"/>
    <w:rsid w:val="00491000"/>
    <w:rsid w:val="00491124"/>
    <w:rsid w:val="00492A1C"/>
    <w:rsid w:val="004943DF"/>
    <w:rsid w:val="00494C58"/>
    <w:rsid w:val="00495B20"/>
    <w:rsid w:val="00496178"/>
    <w:rsid w:val="004964F1"/>
    <w:rsid w:val="00496E1E"/>
    <w:rsid w:val="004A000F"/>
    <w:rsid w:val="004A023A"/>
    <w:rsid w:val="004A03F3"/>
    <w:rsid w:val="004A169F"/>
    <w:rsid w:val="004A1AED"/>
    <w:rsid w:val="004A1C50"/>
    <w:rsid w:val="004A23AC"/>
    <w:rsid w:val="004A27ED"/>
    <w:rsid w:val="004A37DE"/>
    <w:rsid w:val="004A415E"/>
    <w:rsid w:val="004A4CB6"/>
    <w:rsid w:val="004A4D8D"/>
    <w:rsid w:val="004A5900"/>
    <w:rsid w:val="004A6971"/>
    <w:rsid w:val="004A6E51"/>
    <w:rsid w:val="004A7C04"/>
    <w:rsid w:val="004B04E8"/>
    <w:rsid w:val="004B0557"/>
    <w:rsid w:val="004B1A48"/>
    <w:rsid w:val="004B2074"/>
    <w:rsid w:val="004B290A"/>
    <w:rsid w:val="004B3C35"/>
    <w:rsid w:val="004B3CFD"/>
    <w:rsid w:val="004B4918"/>
    <w:rsid w:val="004B567D"/>
    <w:rsid w:val="004B56F3"/>
    <w:rsid w:val="004B57FA"/>
    <w:rsid w:val="004B5C2B"/>
    <w:rsid w:val="004B71EC"/>
    <w:rsid w:val="004B7B38"/>
    <w:rsid w:val="004C066B"/>
    <w:rsid w:val="004C280F"/>
    <w:rsid w:val="004C2CF3"/>
    <w:rsid w:val="004C3242"/>
    <w:rsid w:val="004C3D8E"/>
    <w:rsid w:val="004C406C"/>
    <w:rsid w:val="004C6799"/>
    <w:rsid w:val="004C6E96"/>
    <w:rsid w:val="004D12B6"/>
    <w:rsid w:val="004D18E7"/>
    <w:rsid w:val="004D2081"/>
    <w:rsid w:val="004D290D"/>
    <w:rsid w:val="004D2B51"/>
    <w:rsid w:val="004D2BD0"/>
    <w:rsid w:val="004D3248"/>
    <w:rsid w:val="004D33B6"/>
    <w:rsid w:val="004D34C2"/>
    <w:rsid w:val="004D3984"/>
    <w:rsid w:val="004D3A1C"/>
    <w:rsid w:val="004D3D12"/>
    <w:rsid w:val="004D4449"/>
    <w:rsid w:val="004D4886"/>
    <w:rsid w:val="004D5049"/>
    <w:rsid w:val="004D55B2"/>
    <w:rsid w:val="004D56C9"/>
    <w:rsid w:val="004D611E"/>
    <w:rsid w:val="004D64C2"/>
    <w:rsid w:val="004D7020"/>
    <w:rsid w:val="004D7C6E"/>
    <w:rsid w:val="004D7ED4"/>
    <w:rsid w:val="004E0BFD"/>
    <w:rsid w:val="004E134B"/>
    <w:rsid w:val="004E13FE"/>
    <w:rsid w:val="004E24A5"/>
    <w:rsid w:val="004E24F5"/>
    <w:rsid w:val="004E25FE"/>
    <w:rsid w:val="004E266C"/>
    <w:rsid w:val="004E2910"/>
    <w:rsid w:val="004E3E03"/>
    <w:rsid w:val="004E52F8"/>
    <w:rsid w:val="004E551A"/>
    <w:rsid w:val="004E73B8"/>
    <w:rsid w:val="004E749A"/>
    <w:rsid w:val="004E7593"/>
    <w:rsid w:val="004E773F"/>
    <w:rsid w:val="004F069B"/>
    <w:rsid w:val="004F1AB2"/>
    <w:rsid w:val="004F1BCE"/>
    <w:rsid w:val="004F1D40"/>
    <w:rsid w:val="004F2536"/>
    <w:rsid w:val="004F2B1C"/>
    <w:rsid w:val="004F3D8F"/>
    <w:rsid w:val="004F3F1F"/>
    <w:rsid w:val="004F4011"/>
    <w:rsid w:val="004F4C2E"/>
    <w:rsid w:val="004F5951"/>
    <w:rsid w:val="004F5A5E"/>
    <w:rsid w:val="004F5CFB"/>
    <w:rsid w:val="004F672F"/>
    <w:rsid w:val="00500350"/>
    <w:rsid w:val="0050064F"/>
    <w:rsid w:val="00500D03"/>
    <w:rsid w:val="005022CF"/>
    <w:rsid w:val="005022DB"/>
    <w:rsid w:val="005026F5"/>
    <w:rsid w:val="00502FA8"/>
    <w:rsid w:val="0050467F"/>
    <w:rsid w:val="005046D9"/>
    <w:rsid w:val="00504A48"/>
    <w:rsid w:val="00505545"/>
    <w:rsid w:val="00505BB4"/>
    <w:rsid w:val="005063A4"/>
    <w:rsid w:val="00507072"/>
    <w:rsid w:val="005072CD"/>
    <w:rsid w:val="00510C96"/>
    <w:rsid w:val="00513142"/>
    <w:rsid w:val="00513C1C"/>
    <w:rsid w:val="0051418B"/>
    <w:rsid w:val="00514B14"/>
    <w:rsid w:val="005154A5"/>
    <w:rsid w:val="00515595"/>
    <w:rsid w:val="005162BC"/>
    <w:rsid w:val="0051796E"/>
    <w:rsid w:val="00517C24"/>
    <w:rsid w:val="00520070"/>
    <w:rsid w:val="005205AC"/>
    <w:rsid w:val="0052060B"/>
    <w:rsid w:val="00520C2F"/>
    <w:rsid w:val="005212FC"/>
    <w:rsid w:val="0052131B"/>
    <w:rsid w:val="005218DE"/>
    <w:rsid w:val="005231A4"/>
    <w:rsid w:val="005232C1"/>
    <w:rsid w:val="00524490"/>
    <w:rsid w:val="00526CA8"/>
    <w:rsid w:val="00527E2E"/>
    <w:rsid w:val="0053074A"/>
    <w:rsid w:val="005308D9"/>
    <w:rsid w:val="00530F9E"/>
    <w:rsid w:val="005317B8"/>
    <w:rsid w:val="005323CD"/>
    <w:rsid w:val="00536531"/>
    <w:rsid w:val="00536E5B"/>
    <w:rsid w:val="005405B1"/>
    <w:rsid w:val="00540D2A"/>
    <w:rsid w:val="00541BB8"/>
    <w:rsid w:val="00542B2E"/>
    <w:rsid w:val="005434D0"/>
    <w:rsid w:val="00544302"/>
    <w:rsid w:val="00545A59"/>
    <w:rsid w:val="00545F75"/>
    <w:rsid w:val="0054666F"/>
    <w:rsid w:val="0054675E"/>
    <w:rsid w:val="00546DE1"/>
    <w:rsid w:val="00550026"/>
    <w:rsid w:val="0055078F"/>
    <w:rsid w:val="005517A0"/>
    <w:rsid w:val="005518DD"/>
    <w:rsid w:val="005525A9"/>
    <w:rsid w:val="005528CF"/>
    <w:rsid w:val="00552BAF"/>
    <w:rsid w:val="00553CC8"/>
    <w:rsid w:val="005541B8"/>
    <w:rsid w:val="005558FD"/>
    <w:rsid w:val="005569F5"/>
    <w:rsid w:val="00557885"/>
    <w:rsid w:val="00557B8C"/>
    <w:rsid w:val="0056091E"/>
    <w:rsid w:val="00560AB9"/>
    <w:rsid w:val="00561226"/>
    <w:rsid w:val="00561C10"/>
    <w:rsid w:val="00562210"/>
    <w:rsid w:val="005625A8"/>
    <w:rsid w:val="005632CC"/>
    <w:rsid w:val="005635D4"/>
    <w:rsid w:val="00563805"/>
    <w:rsid w:val="0056380D"/>
    <w:rsid w:val="005641F1"/>
    <w:rsid w:val="005646CF"/>
    <w:rsid w:val="00564A51"/>
    <w:rsid w:val="00564C8F"/>
    <w:rsid w:val="00565B3A"/>
    <w:rsid w:val="00565C27"/>
    <w:rsid w:val="00566D9F"/>
    <w:rsid w:val="00566F0C"/>
    <w:rsid w:val="00567F74"/>
    <w:rsid w:val="005704AC"/>
    <w:rsid w:val="00570CC6"/>
    <w:rsid w:val="00571379"/>
    <w:rsid w:val="005732AD"/>
    <w:rsid w:val="00573F58"/>
    <w:rsid w:val="005746CF"/>
    <w:rsid w:val="00575956"/>
    <w:rsid w:val="00575D53"/>
    <w:rsid w:val="00576D3A"/>
    <w:rsid w:val="00577617"/>
    <w:rsid w:val="005809C1"/>
    <w:rsid w:val="005811FA"/>
    <w:rsid w:val="0058223E"/>
    <w:rsid w:val="00582732"/>
    <w:rsid w:val="0058318B"/>
    <w:rsid w:val="00583239"/>
    <w:rsid w:val="0058369D"/>
    <w:rsid w:val="00583776"/>
    <w:rsid w:val="00584D27"/>
    <w:rsid w:val="005853F3"/>
    <w:rsid w:val="00585EBB"/>
    <w:rsid w:val="00586226"/>
    <w:rsid w:val="00586651"/>
    <w:rsid w:val="005872B1"/>
    <w:rsid w:val="00587374"/>
    <w:rsid w:val="00587406"/>
    <w:rsid w:val="0059028B"/>
    <w:rsid w:val="00590484"/>
    <w:rsid w:val="00590487"/>
    <w:rsid w:val="00590959"/>
    <w:rsid w:val="00590A74"/>
    <w:rsid w:val="00591448"/>
    <w:rsid w:val="00591708"/>
    <w:rsid w:val="005917C5"/>
    <w:rsid w:val="00591DB8"/>
    <w:rsid w:val="005927E5"/>
    <w:rsid w:val="00592B0D"/>
    <w:rsid w:val="005941FC"/>
    <w:rsid w:val="00595A7E"/>
    <w:rsid w:val="00595FEA"/>
    <w:rsid w:val="00596CBB"/>
    <w:rsid w:val="005972EE"/>
    <w:rsid w:val="00597837"/>
    <w:rsid w:val="005A1125"/>
    <w:rsid w:val="005A1826"/>
    <w:rsid w:val="005A29D6"/>
    <w:rsid w:val="005A2F5D"/>
    <w:rsid w:val="005A31DD"/>
    <w:rsid w:val="005A3993"/>
    <w:rsid w:val="005A3D30"/>
    <w:rsid w:val="005A4E81"/>
    <w:rsid w:val="005A4F6F"/>
    <w:rsid w:val="005A507A"/>
    <w:rsid w:val="005A6062"/>
    <w:rsid w:val="005A633C"/>
    <w:rsid w:val="005A67B8"/>
    <w:rsid w:val="005A779F"/>
    <w:rsid w:val="005B0C99"/>
    <w:rsid w:val="005B0D7A"/>
    <w:rsid w:val="005B1B18"/>
    <w:rsid w:val="005B29A9"/>
    <w:rsid w:val="005B2D40"/>
    <w:rsid w:val="005B2E39"/>
    <w:rsid w:val="005B3661"/>
    <w:rsid w:val="005B3B2C"/>
    <w:rsid w:val="005B40B6"/>
    <w:rsid w:val="005B44B4"/>
    <w:rsid w:val="005B4B0B"/>
    <w:rsid w:val="005B628A"/>
    <w:rsid w:val="005B6522"/>
    <w:rsid w:val="005B6CF7"/>
    <w:rsid w:val="005B6FEA"/>
    <w:rsid w:val="005B7AC2"/>
    <w:rsid w:val="005B7D84"/>
    <w:rsid w:val="005C05C1"/>
    <w:rsid w:val="005C0633"/>
    <w:rsid w:val="005C093C"/>
    <w:rsid w:val="005C1311"/>
    <w:rsid w:val="005C1886"/>
    <w:rsid w:val="005C1F17"/>
    <w:rsid w:val="005C2606"/>
    <w:rsid w:val="005C2BDF"/>
    <w:rsid w:val="005C4081"/>
    <w:rsid w:val="005C45D1"/>
    <w:rsid w:val="005C4A53"/>
    <w:rsid w:val="005C67A3"/>
    <w:rsid w:val="005C6DF5"/>
    <w:rsid w:val="005C7181"/>
    <w:rsid w:val="005C7542"/>
    <w:rsid w:val="005D036A"/>
    <w:rsid w:val="005D03E3"/>
    <w:rsid w:val="005D0B81"/>
    <w:rsid w:val="005D2074"/>
    <w:rsid w:val="005D20A2"/>
    <w:rsid w:val="005D21D8"/>
    <w:rsid w:val="005D2271"/>
    <w:rsid w:val="005D2403"/>
    <w:rsid w:val="005D2744"/>
    <w:rsid w:val="005D3016"/>
    <w:rsid w:val="005D33A6"/>
    <w:rsid w:val="005D399C"/>
    <w:rsid w:val="005D4385"/>
    <w:rsid w:val="005D4587"/>
    <w:rsid w:val="005D477F"/>
    <w:rsid w:val="005D48AF"/>
    <w:rsid w:val="005D4A29"/>
    <w:rsid w:val="005D4E83"/>
    <w:rsid w:val="005D61FE"/>
    <w:rsid w:val="005D62EE"/>
    <w:rsid w:val="005D70D1"/>
    <w:rsid w:val="005E1269"/>
    <w:rsid w:val="005E157A"/>
    <w:rsid w:val="005E31F5"/>
    <w:rsid w:val="005E3240"/>
    <w:rsid w:val="005E331F"/>
    <w:rsid w:val="005E3431"/>
    <w:rsid w:val="005E34D3"/>
    <w:rsid w:val="005E3D7B"/>
    <w:rsid w:val="005E3FA9"/>
    <w:rsid w:val="005E447A"/>
    <w:rsid w:val="005E59E4"/>
    <w:rsid w:val="005E5B1A"/>
    <w:rsid w:val="005E5E31"/>
    <w:rsid w:val="005E60D8"/>
    <w:rsid w:val="005E61FF"/>
    <w:rsid w:val="005E709F"/>
    <w:rsid w:val="005E7F5C"/>
    <w:rsid w:val="005F0907"/>
    <w:rsid w:val="005F1CC2"/>
    <w:rsid w:val="005F20A7"/>
    <w:rsid w:val="005F20AF"/>
    <w:rsid w:val="005F2E56"/>
    <w:rsid w:val="005F3526"/>
    <w:rsid w:val="005F38AC"/>
    <w:rsid w:val="005F3FD8"/>
    <w:rsid w:val="005F4484"/>
    <w:rsid w:val="005F6836"/>
    <w:rsid w:val="005F715A"/>
    <w:rsid w:val="005F77AB"/>
    <w:rsid w:val="0060078F"/>
    <w:rsid w:val="00601A49"/>
    <w:rsid w:val="00601A4B"/>
    <w:rsid w:val="00601D3E"/>
    <w:rsid w:val="00601FDC"/>
    <w:rsid w:val="0060292F"/>
    <w:rsid w:val="00602D9E"/>
    <w:rsid w:val="00602E5E"/>
    <w:rsid w:val="006038E1"/>
    <w:rsid w:val="006047DC"/>
    <w:rsid w:val="00604C90"/>
    <w:rsid w:val="00604F7D"/>
    <w:rsid w:val="00605299"/>
    <w:rsid w:val="00606466"/>
    <w:rsid w:val="00606598"/>
    <w:rsid w:val="00606D07"/>
    <w:rsid w:val="0060736A"/>
    <w:rsid w:val="00607443"/>
    <w:rsid w:val="0060792B"/>
    <w:rsid w:val="006079CA"/>
    <w:rsid w:val="0061147B"/>
    <w:rsid w:val="0061198A"/>
    <w:rsid w:val="00611EF9"/>
    <w:rsid w:val="00612658"/>
    <w:rsid w:val="00612679"/>
    <w:rsid w:val="0061287F"/>
    <w:rsid w:val="0061629B"/>
    <w:rsid w:val="00617B3C"/>
    <w:rsid w:val="00617BF6"/>
    <w:rsid w:val="006214C2"/>
    <w:rsid w:val="00621E7B"/>
    <w:rsid w:val="00623A78"/>
    <w:rsid w:val="006244F6"/>
    <w:rsid w:val="00625D66"/>
    <w:rsid w:val="006263D0"/>
    <w:rsid w:val="00627377"/>
    <w:rsid w:val="00627C75"/>
    <w:rsid w:val="006317F4"/>
    <w:rsid w:val="00631C61"/>
    <w:rsid w:val="00632260"/>
    <w:rsid w:val="00632C71"/>
    <w:rsid w:val="00634964"/>
    <w:rsid w:val="00635C05"/>
    <w:rsid w:val="00636FB8"/>
    <w:rsid w:val="00641B87"/>
    <w:rsid w:val="00642D88"/>
    <w:rsid w:val="00643901"/>
    <w:rsid w:val="0064480F"/>
    <w:rsid w:val="006452EB"/>
    <w:rsid w:val="00645BB4"/>
    <w:rsid w:val="0064610A"/>
    <w:rsid w:val="00646591"/>
    <w:rsid w:val="0064688F"/>
    <w:rsid w:val="00646BA0"/>
    <w:rsid w:val="00646C70"/>
    <w:rsid w:val="0064720E"/>
    <w:rsid w:val="006477E3"/>
    <w:rsid w:val="00652139"/>
    <w:rsid w:val="00653772"/>
    <w:rsid w:val="00654ADC"/>
    <w:rsid w:val="00654F6B"/>
    <w:rsid w:val="00655F38"/>
    <w:rsid w:val="00656313"/>
    <w:rsid w:val="0065639C"/>
    <w:rsid w:val="00656EF7"/>
    <w:rsid w:val="0065780B"/>
    <w:rsid w:val="00657E2C"/>
    <w:rsid w:val="00661432"/>
    <w:rsid w:val="00661D3D"/>
    <w:rsid w:val="00662852"/>
    <w:rsid w:val="00662B9D"/>
    <w:rsid w:val="0066311B"/>
    <w:rsid w:val="006636A3"/>
    <w:rsid w:val="006648CE"/>
    <w:rsid w:val="00665696"/>
    <w:rsid w:val="0066579D"/>
    <w:rsid w:val="00665A7F"/>
    <w:rsid w:val="00665AB6"/>
    <w:rsid w:val="00665F50"/>
    <w:rsid w:val="00666359"/>
    <w:rsid w:val="0066679F"/>
    <w:rsid w:val="006702CA"/>
    <w:rsid w:val="00670841"/>
    <w:rsid w:val="00672238"/>
    <w:rsid w:val="0067249C"/>
    <w:rsid w:val="0067265A"/>
    <w:rsid w:val="00674AE5"/>
    <w:rsid w:val="006751AF"/>
    <w:rsid w:val="0067520B"/>
    <w:rsid w:val="00675246"/>
    <w:rsid w:val="00676388"/>
    <w:rsid w:val="00676DF2"/>
    <w:rsid w:val="006770D1"/>
    <w:rsid w:val="00677B9C"/>
    <w:rsid w:val="00677BBD"/>
    <w:rsid w:val="00677CD1"/>
    <w:rsid w:val="00680E7C"/>
    <w:rsid w:val="006812B2"/>
    <w:rsid w:val="0068145D"/>
    <w:rsid w:val="006821FE"/>
    <w:rsid w:val="00682846"/>
    <w:rsid w:val="00682C7F"/>
    <w:rsid w:val="00682D3B"/>
    <w:rsid w:val="00683124"/>
    <w:rsid w:val="006831EF"/>
    <w:rsid w:val="00683467"/>
    <w:rsid w:val="0068357B"/>
    <w:rsid w:val="00683C1C"/>
    <w:rsid w:val="00683ECB"/>
    <w:rsid w:val="006842D6"/>
    <w:rsid w:val="00684330"/>
    <w:rsid w:val="00684AE3"/>
    <w:rsid w:val="00685C24"/>
    <w:rsid w:val="00685DBF"/>
    <w:rsid w:val="00686967"/>
    <w:rsid w:val="00687289"/>
    <w:rsid w:val="0068740B"/>
    <w:rsid w:val="00687958"/>
    <w:rsid w:val="00687FF2"/>
    <w:rsid w:val="00690587"/>
    <w:rsid w:val="00690E52"/>
    <w:rsid w:val="00691FD5"/>
    <w:rsid w:val="0069247B"/>
    <w:rsid w:val="0069334A"/>
    <w:rsid w:val="00693492"/>
    <w:rsid w:val="00693707"/>
    <w:rsid w:val="00694034"/>
    <w:rsid w:val="00694144"/>
    <w:rsid w:val="00694167"/>
    <w:rsid w:val="00694DBF"/>
    <w:rsid w:val="00696CF2"/>
    <w:rsid w:val="00696D8C"/>
    <w:rsid w:val="006973FF"/>
    <w:rsid w:val="006A000B"/>
    <w:rsid w:val="006A03F3"/>
    <w:rsid w:val="006A0EAA"/>
    <w:rsid w:val="006A202F"/>
    <w:rsid w:val="006A35AE"/>
    <w:rsid w:val="006A35CF"/>
    <w:rsid w:val="006A49C9"/>
    <w:rsid w:val="006A4A4C"/>
    <w:rsid w:val="006A50C4"/>
    <w:rsid w:val="006A62E5"/>
    <w:rsid w:val="006A7085"/>
    <w:rsid w:val="006A716F"/>
    <w:rsid w:val="006A72D6"/>
    <w:rsid w:val="006A7936"/>
    <w:rsid w:val="006A7BC7"/>
    <w:rsid w:val="006B09CA"/>
    <w:rsid w:val="006B0F6C"/>
    <w:rsid w:val="006B1222"/>
    <w:rsid w:val="006B1C78"/>
    <w:rsid w:val="006B21BF"/>
    <w:rsid w:val="006B2278"/>
    <w:rsid w:val="006B3208"/>
    <w:rsid w:val="006B37D8"/>
    <w:rsid w:val="006B3B18"/>
    <w:rsid w:val="006B448A"/>
    <w:rsid w:val="006B6431"/>
    <w:rsid w:val="006B646A"/>
    <w:rsid w:val="006B6AB3"/>
    <w:rsid w:val="006B7E2D"/>
    <w:rsid w:val="006C0171"/>
    <w:rsid w:val="006C1A46"/>
    <w:rsid w:val="006C2B15"/>
    <w:rsid w:val="006C3FFB"/>
    <w:rsid w:val="006C418E"/>
    <w:rsid w:val="006C488C"/>
    <w:rsid w:val="006C551E"/>
    <w:rsid w:val="006C5A07"/>
    <w:rsid w:val="006C6EFF"/>
    <w:rsid w:val="006D00C6"/>
    <w:rsid w:val="006D03E3"/>
    <w:rsid w:val="006D0E69"/>
    <w:rsid w:val="006D203C"/>
    <w:rsid w:val="006D27B1"/>
    <w:rsid w:val="006D2944"/>
    <w:rsid w:val="006D340B"/>
    <w:rsid w:val="006D35BF"/>
    <w:rsid w:val="006D381C"/>
    <w:rsid w:val="006D4282"/>
    <w:rsid w:val="006D4749"/>
    <w:rsid w:val="006D5466"/>
    <w:rsid w:val="006D60B1"/>
    <w:rsid w:val="006D6673"/>
    <w:rsid w:val="006D70EB"/>
    <w:rsid w:val="006D72D9"/>
    <w:rsid w:val="006D7672"/>
    <w:rsid w:val="006D7C75"/>
    <w:rsid w:val="006D7F10"/>
    <w:rsid w:val="006E02E1"/>
    <w:rsid w:val="006E0E79"/>
    <w:rsid w:val="006E117F"/>
    <w:rsid w:val="006E15A1"/>
    <w:rsid w:val="006E16A2"/>
    <w:rsid w:val="006E1D95"/>
    <w:rsid w:val="006E322D"/>
    <w:rsid w:val="006E3352"/>
    <w:rsid w:val="006E5259"/>
    <w:rsid w:val="006E537A"/>
    <w:rsid w:val="006E55DB"/>
    <w:rsid w:val="006E6334"/>
    <w:rsid w:val="006E72FE"/>
    <w:rsid w:val="006E7815"/>
    <w:rsid w:val="006E7CB6"/>
    <w:rsid w:val="006F0862"/>
    <w:rsid w:val="006F11DE"/>
    <w:rsid w:val="006F18EA"/>
    <w:rsid w:val="006F2803"/>
    <w:rsid w:val="006F2936"/>
    <w:rsid w:val="006F2B67"/>
    <w:rsid w:val="006F2E6D"/>
    <w:rsid w:val="006F3548"/>
    <w:rsid w:val="006F35C7"/>
    <w:rsid w:val="006F3A96"/>
    <w:rsid w:val="006F6009"/>
    <w:rsid w:val="006F65FA"/>
    <w:rsid w:val="006F6FDD"/>
    <w:rsid w:val="006F791A"/>
    <w:rsid w:val="006F7B51"/>
    <w:rsid w:val="00700FBB"/>
    <w:rsid w:val="00701B7A"/>
    <w:rsid w:val="007031BA"/>
    <w:rsid w:val="007035A6"/>
    <w:rsid w:val="007038CC"/>
    <w:rsid w:val="00703966"/>
    <w:rsid w:val="00703E32"/>
    <w:rsid w:val="00703EAB"/>
    <w:rsid w:val="00703EE6"/>
    <w:rsid w:val="00703FDA"/>
    <w:rsid w:val="007043AA"/>
    <w:rsid w:val="00704ECE"/>
    <w:rsid w:val="00705115"/>
    <w:rsid w:val="00706842"/>
    <w:rsid w:val="0070746A"/>
    <w:rsid w:val="00707B80"/>
    <w:rsid w:val="00707DBF"/>
    <w:rsid w:val="007101E1"/>
    <w:rsid w:val="00710660"/>
    <w:rsid w:val="00711C5A"/>
    <w:rsid w:val="0071204B"/>
    <w:rsid w:val="00712B58"/>
    <w:rsid w:val="0071342B"/>
    <w:rsid w:val="007144AE"/>
    <w:rsid w:val="00714D3A"/>
    <w:rsid w:val="00714FA9"/>
    <w:rsid w:val="007160DD"/>
    <w:rsid w:val="00716490"/>
    <w:rsid w:val="0071670A"/>
    <w:rsid w:val="00716BF4"/>
    <w:rsid w:val="007170C9"/>
    <w:rsid w:val="00717780"/>
    <w:rsid w:val="00717FE6"/>
    <w:rsid w:val="0072084D"/>
    <w:rsid w:val="007209B4"/>
    <w:rsid w:val="00720D5C"/>
    <w:rsid w:val="00721857"/>
    <w:rsid w:val="00721C76"/>
    <w:rsid w:val="00722657"/>
    <w:rsid w:val="0072434B"/>
    <w:rsid w:val="007244D0"/>
    <w:rsid w:val="00724866"/>
    <w:rsid w:val="00724A0E"/>
    <w:rsid w:val="00725494"/>
    <w:rsid w:val="00726AD2"/>
    <w:rsid w:val="00726EAB"/>
    <w:rsid w:val="00727658"/>
    <w:rsid w:val="007276D3"/>
    <w:rsid w:val="00730100"/>
    <w:rsid w:val="00730119"/>
    <w:rsid w:val="007305DB"/>
    <w:rsid w:val="00730671"/>
    <w:rsid w:val="00730E2D"/>
    <w:rsid w:val="00730F6F"/>
    <w:rsid w:val="0073160E"/>
    <w:rsid w:val="00731BAC"/>
    <w:rsid w:val="00731FF6"/>
    <w:rsid w:val="007321BE"/>
    <w:rsid w:val="0073344E"/>
    <w:rsid w:val="007334A5"/>
    <w:rsid w:val="0073466B"/>
    <w:rsid w:val="0073748A"/>
    <w:rsid w:val="0073749A"/>
    <w:rsid w:val="0074028D"/>
    <w:rsid w:val="0074078D"/>
    <w:rsid w:val="00740830"/>
    <w:rsid w:val="00740E09"/>
    <w:rsid w:val="00741BE9"/>
    <w:rsid w:val="00741F42"/>
    <w:rsid w:val="007427D1"/>
    <w:rsid w:val="00742D27"/>
    <w:rsid w:val="0074337C"/>
    <w:rsid w:val="0074399D"/>
    <w:rsid w:val="00743A80"/>
    <w:rsid w:val="00743AD8"/>
    <w:rsid w:val="00743D7D"/>
    <w:rsid w:val="007448F6"/>
    <w:rsid w:val="0074535C"/>
    <w:rsid w:val="00745943"/>
    <w:rsid w:val="007466C4"/>
    <w:rsid w:val="007474A8"/>
    <w:rsid w:val="00750AED"/>
    <w:rsid w:val="00751942"/>
    <w:rsid w:val="007526EC"/>
    <w:rsid w:val="00752B16"/>
    <w:rsid w:val="00752B47"/>
    <w:rsid w:val="007551C0"/>
    <w:rsid w:val="00755554"/>
    <w:rsid w:val="00755697"/>
    <w:rsid w:val="0075588E"/>
    <w:rsid w:val="00755AC2"/>
    <w:rsid w:val="007560C2"/>
    <w:rsid w:val="007565DF"/>
    <w:rsid w:val="0075695D"/>
    <w:rsid w:val="00756A9B"/>
    <w:rsid w:val="007570B7"/>
    <w:rsid w:val="0075718E"/>
    <w:rsid w:val="007571BE"/>
    <w:rsid w:val="007575FA"/>
    <w:rsid w:val="00760C57"/>
    <w:rsid w:val="00761A28"/>
    <w:rsid w:val="00761A39"/>
    <w:rsid w:val="00761AF2"/>
    <w:rsid w:val="00761D0F"/>
    <w:rsid w:val="00761DB6"/>
    <w:rsid w:val="00761DBB"/>
    <w:rsid w:val="00762570"/>
    <w:rsid w:val="00762F33"/>
    <w:rsid w:val="00763928"/>
    <w:rsid w:val="007640D4"/>
    <w:rsid w:val="00765302"/>
    <w:rsid w:val="007656A7"/>
    <w:rsid w:val="00766BDD"/>
    <w:rsid w:val="00766EA9"/>
    <w:rsid w:val="00767033"/>
    <w:rsid w:val="007675FE"/>
    <w:rsid w:val="00767BD8"/>
    <w:rsid w:val="00767FB1"/>
    <w:rsid w:val="00770884"/>
    <w:rsid w:val="00770A9D"/>
    <w:rsid w:val="00770E2C"/>
    <w:rsid w:val="00770E41"/>
    <w:rsid w:val="00772DDA"/>
    <w:rsid w:val="00773519"/>
    <w:rsid w:val="007747F2"/>
    <w:rsid w:val="00774A3F"/>
    <w:rsid w:val="00775215"/>
    <w:rsid w:val="007753BD"/>
    <w:rsid w:val="0077542B"/>
    <w:rsid w:val="00775C8B"/>
    <w:rsid w:val="0077652F"/>
    <w:rsid w:val="0077686E"/>
    <w:rsid w:val="007768FC"/>
    <w:rsid w:val="00776B63"/>
    <w:rsid w:val="00776C23"/>
    <w:rsid w:val="007774C1"/>
    <w:rsid w:val="00780BA9"/>
    <w:rsid w:val="00780D87"/>
    <w:rsid w:val="007816E5"/>
    <w:rsid w:val="00782628"/>
    <w:rsid w:val="00782EDE"/>
    <w:rsid w:val="00782F0C"/>
    <w:rsid w:val="00783891"/>
    <w:rsid w:val="00783A2D"/>
    <w:rsid w:val="00783B34"/>
    <w:rsid w:val="00783EE1"/>
    <w:rsid w:val="00784E64"/>
    <w:rsid w:val="00785566"/>
    <w:rsid w:val="00786191"/>
    <w:rsid w:val="0078645A"/>
    <w:rsid w:val="007865FB"/>
    <w:rsid w:val="00786D3A"/>
    <w:rsid w:val="00787012"/>
    <w:rsid w:val="007871D1"/>
    <w:rsid w:val="00787683"/>
    <w:rsid w:val="007901DE"/>
    <w:rsid w:val="0079021C"/>
    <w:rsid w:val="00790404"/>
    <w:rsid w:val="0079045E"/>
    <w:rsid w:val="00790965"/>
    <w:rsid w:val="00790A1E"/>
    <w:rsid w:val="007912F6"/>
    <w:rsid w:val="00792269"/>
    <w:rsid w:val="0079227D"/>
    <w:rsid w:val="007924E0"/>
    <w:rsid w:val="007927D9"/>
    <w:rsid w:val="007929A3"/>
    <w:rsid w:val="00793039"/>
    <w:rsid w:val="00793EB0"/>
    <w:rsid w:val="00794476"/>
    <w:rsid w:val="0079523C"/>
    <w:rsid w:val="0079556F"/>
    <w:rsid w:val="007957CE"/>
    <w:rsid w:val="00795C39"/>
    <w:rsid w:val="00796077"/>
    <w:rsid w:val="007962E9"/>
    <w:rsid w:val="00796CDE"/>
    <w:rsid w:val="00797967"/>
    <w:rsid w:val="007A0857"/>
    <w:rsid w:val="007A0DC9"/>
    <w:rsid w:val="007A0E82"/>
    <w:rsid w:val="007A185C"/>
    <w:rsid w:val="007A1C54"/>
    <w:rsid w:val="007A28BF"/>
    <w:rsid w:val="007A2F17"/>
    <w:rsid w:val="007A2F9D"/>
    <w:rsid w:val="007A32B9"/>
    <w:rsid w:val="007A556F"/>
    <w:rsid w:val="007A5F1F"/>
    <w:rsid w:val="007A6968"/>
    <w:rsid w:val="007A72FE"/>
    <w:rsid w:val="007A7725"/>
    <w:rsid w:val="007A7F6C"/>
    <w:rsid w:val="007B0DB4"/>
    <w:rsid w:val="007B1242"/>
    <w:rsid w:val="007B2B56"/>
    <w:rsid w:val="007B3559"/>
    <w:rsid w:val="007B3668"/>
    <w:rsid w:val="007B39AA"/>
    <w:rsid w:val="007B3A15"/>
    <w:rsid w:val="007B400F"/>
    <w:rsid w:val="007B40D5"/>
    <w:rsid w:val="007B4D49"/>
    <w:rsid w:val="007B554C"/>
    <w:rsid w:val="007B5CE5"/>
    <w:rsid w:val="007B5DEF"/>
    <w:rsid w:val="007B78BA"/>
    <w:rsid w:val="007B7BD7"/>
    <w:rsid w:val="007B7F2D"/>
    <w:rsid w:val="007C12B2"/>
    <w:rsid w:val="007C1428"/>
    <w:rsid w:val="007C1AEA"/>
    <w:rsid w:val="007C1E5A"/>
    <w:rsid w:val="007C321A"/>
    <w:rsid w:val="007C3D87"/>
    <w:rsid w:val="007C453A"/>
    <w:rsid w:val="007C46C0"/>
    <w:rsid w:val="007C521F"/>
    <w:rsid w:val="007C5298"/>
    <w:rsid w:val="007C54E8"/>
    <w:rsid w:val="007C575C"/>
    <w:rsid w:val="007C5B46"/>
    <w:rsid w:val="007C5DFB"/>
    <w:rsid w:val="007C6372"/>
    <w:rsid w:val="007C737A"/>
    <w:rsid w:val="007C74AA"/>
    <w:rsid w:val="007C76BE"/>
    <w:rsid w:val="007C7E8D"/>
    <w:rsid w:val="007D046E"/>
    <w:rsid w:val="007D0F24"/>
    <w:rsid w:val="007D11E4"/>
    <w:rsid w:val="007D192E"/>
    <w:rsid w:val="007D27C1"/>
    <w:rsid w:val="007D3178"/>
    <w:rsid w:val="007D3501"/>
    <w:rsid w:val="007D3DF0"/>
    <w:rsid w:val="007D4908"/>
    <w:rsid w:val="007D570A"/>
    <w:rsid w:val="007D6E4E"/>
    <w:rsid w:val="007D7505"/>
    <w:rsid w:val="007D7A10"/>
    <w:rsid w:val="007D7A2C"/>
    <w:rsid w:val="007E004F"/>
    <w:rsid w:val="007E197D"/>
    <w:rsid w:val="007E1AEF"/>
    <w:rsid w:val="007E2FCD"/>
    <w:rsid w:val="007E37C7"/>
    <w:rsid w:val="007E4688"/>
    <w:rsid w:val="007E47F0"/>
    <w:rsid w:val="007E4856"/>
    <w:rsid w:val="007E4F06"/>
    <w:rsid w:val="007E5CEA"/>
    <w:rsid w:val="007E6274"/>
    <w:rsid w:val="007E650F"/>
    <w:rsid w:val="007E652F"/>
    <w:rsid w:val="007E7AE5"/>
    <w:rsid w:val="007E7B20"/>
    <w:rsid w:val="007E7D46"/>
    <w:rsid w:val="007F1DE5"/>
    <w:rsid w:val="007F254B"/>
    <w:rsid w:val="007F2C4C"/>
    <w:rsid w:val="007F33DB"/>
    <w:rsid w:val="007F3417"/>
    <w:rsid w:val="007F391D"/>
    <w:rsid w:val="007F3C5B"/>
    <w:rsid w:val="007F3EE3"/>
    <w:rsid w:val="007F572C"/>
    <w:rsid w:val="008003EE"/>
    <w:rsid w:val="00800C69"/>
    <w:rsid w:val="00800EC2"/>
    <w:rsid w:val="00801524"/>
    <w:rsid w:val="00802ACD"/>
    <w:rsid w:val="00802AE4"/>
    <w:rsid w:val="00802AF9"/>
    <w:rsid w:val="00802C64"/>
    <w:rsid w:val="008032B5"/>
    <w:rsid w:val="00803683"/>
    <w:rsid w:val="00804129"/>
    <w:rsid w:val="0080495F"/>
    <w:rsid w:val="00805004"/>
    <w:rsid w:val="00805925"/>
    <w:rsid w:val="00805F15"/>
    <w:rsid w:val="00807DF4"/>
    <w:rsid w:val="008101E1"/>
    <w:rsid w:val="008104CC"/>
    <w:rsid w:val="00810CDB"/>
    <w:rsid w:val="00810E06"/>
    <w:rsid w:val="0081152C"/>
    <w:rsid w:val="0081157E"/>
    <w:rsid w:val="00811DA8"/>
    <w:rsid w:val="00812628"/>
    <w:rsid w:val="008129DB"/>
    <w:rsid w:val="0081303E"/>
    <w:rsid w:val="0081408E"/>
    <w:rsid w:val="0081520A"/>
    <w:rsid w:val="008154ED"/>
    <w:rsid w:val="00816991"/>
    <w:rsid w:val="0081733C"/>
    <w:rsid w:val="008178DE"/>
    <w:rsid w:val="0081790A"/>
    <w:rsid w:val="0082062B"/>
    <w:rsid w:val="00820DFD"/>
    <w:rsid w:val="00821226"/>
    <w:rsid w:val="00822E9A"/>
    <w:rsid w:val="008232F9"/>
    <w:rsid w:val="00824261"/>
    <w:rsid w:val="00824346"/>
    <w:rsid w:val="00824AE5"/>
    <w:rsid w:val="00825278"/>
    <w:rsid w:val="00825755"/>
    <w:rsid w:val="008259B2"/>
    <w:rsid w:val="00825F78"/>
    <w:rsid w:val="00826108"/>
    <w:rsid w:val="008264BA"/>
    <w:rsid w:val="00826CCC"/>
    <w:rsid w:val="00827089"/>
    <w:rsid w:val="008273AA"/>
    <w:rsid w:val="00827400"/>
    <w:rsid w:val="008318F5"/>
    <w:rsid w:val="00831A21"/>
    <w:rsid w:val="00831CB5"/>
    <w:rsid w:val="00833103"/>
    <w:rsid w:val="00833536"/>
    <w:rsid w:val="00836308"/>
    <w:rsid w:val="0083656F"/>
    <w:rsid w:val="008367AA"/>
    <w:rsid w:val="00836C95"/>
    <w:rsid w:val="00837AB6"/>
    <w:rsid w:val="00837CF6"/>
    <w:rsid w:val="00840130"/>
    <w:rsid w:val="00841850"/>
    <w:rsid w:val="00841B17"/>
    <w:rsid w:val="008423F3"/>
    <w:rsid w:val="0084344F"/>
    <w:rsid w:val="00843998"/>
    <w:rsid w:val="0084463E"/>
    <w:rsid w:val="008447E9"/>
    <w:rsid w:val="00844BF3"/>
    <w:rsid w:val="0084505D"/>
    <w:rsid w:val="00845106"/>
    <w:rsid w:val="00846947"/>
    <w:rsid w:val="00850503"/>
    <w:rsid w:val="00850994"/>
    <w:rsid w:val="0085142E"/>
    <w:rsid w:val="00851DD7"/>
    <w:rsid w:val="0085271A"/>
    <w:rsid w:val="00852EBD"/>
    <w:rsid w:val="0085306F"/>
    <w:rsid w:val="00853AAC"/>
    <w:rsid w:val="00854BBB"/>
    <w:rsid w:val="0085574C"/>
    <w:rsid w:val="008564EE"/>
    <w:rsid w:val="008571E8"/>
    <w:rsid w:val="008577DA"/>
    <w:rsid w:val="00857F8F"/>
    <w:rsid w:val="00860898"/>
    <w:rsid w:val="00860BF1"/>
    <w:rsid w:val="008617D3"/>
    <w:rsid w:val="0086266D"/>
    <w:rsid w:val="00862E09"/>
    <w:rsid w:val="00863117"/>
    <w:rsid w:val="00864223"/>
    <w:rsid w:val="00864F48"/>
    <w:rsid w:val="00865852"/>
    <w:rsid w:val="00865BE7"/>
    <w:rsid w:val="00865FCF"/>
    <w:rsid w:val="0086666E"/>
    <w:rsid w:val="008668F0"/>
    <w:rsid w:val="00870015"/>
    <w:rsid w:val="008702A4"/>
    <w:rsid w:val="0087131A"/>
    <w:rsid w:val="00871CFB"/>
    <w:rsid w:val="00871D0D"/>
    <w:rsid w:val="008724C5"/>
    <w:rsid w:val="00872731"/>
    <w:rsid w:val="00872DB7"/>
    <w:rsid w:val="008744E6"/>
    <w:rsid w:val="0087517C"/>
    <w:rsid w:val="00875211"/>
    <w:rsid w:val="008767AB"/>
    <w:rsid w:val="008769AC"/>
    <w:rsid w:val="00876CFE"/>
    <w:rsid w:val="00876F66"/>
    <w:rsid w:val="00876F90"/>
    <w:rsid w:val="00880389"/>
    <w:rsid w:val="00880449"/>
    <w:rsid w:val="0088098C"/>
    <w:rsid w:val="00880DDE"/>
    <w:rsid w:val="008834E3"/>
    <w:rsid w:val="00883D34"/>
    <w:rsid w:val="0088419E"/>
    <w:rsid w:val="00884A05"/>
    <w:rsid w:val="0088520E"/>
    <w:rsid w:val="008853AF"/>
    <w:rsid w:val="00885DED"/>
    <w:rsid w:val="00886C87"/>
    <w:rsid w:val="00886EB6"/>
    <w:rsid w:val="00887107"/>
    <w:rsid w:val="0088788E"/>
    <w:rsid w:val="00890B8E"/>
    <w:rsid w:val="00890DFE"/>
    <w:rsid w:val="00890E34"/>
    <w:rsid w:val="00890E97"/>
    <w:rsid w:val="0089132A"/>
    <w:rsid w:val="00891563"/>
    <w:rsid w:val="008921E0"/>
    <w:rsid w:val="00892498"/>
    <w:rsid w:val="00892FEF"/>
    <w:rsid w:val="008930E8"/>
    <w:rsid w:val="008942D3"/>
    <w:rsid w:val="00894912"/>
    <w:rsid w:val="008949F2"/>
    <w:rsid w:val="00894BD2"/>
    <w:rsid w:val="0089536D"/>
    <w:rsid w:val="00895783"/>
    <w:rsid w:val="00895C5D"/>
    <w:rsid w:val="00895E48"/>
    <w:rsid w:val="00895F22"/>
    <w:rsid w:val="0089645C"/>
    <w:rsid w:val="0089654E"/>
    <w:rsid w:val="0089698C"/>
    <w:rsid w:val="00897141"/>
    <w:rsid w:val="00897C11"/>
    <w:rsid w:val="008A0311"/>
    <w:rsid w:val="008A0A3F"/>
    <w:rsid w:val="008A1711"/>
    <w:rsid w:val="008A25C7"/>
    <w:rsid w:val="008A2620"/>
    <w:rsid w:val="008A3E73"/>
    <w:rsid w:val="008A6441"/>
    <w:rsid w:val="008B14BD"/>
    <w:rsid w:val="008B1C32"/>
    <w:rsid w:val="008B20D9"/>
    <w:rsid w:val="008B211E"/>
    <w:rsid w:val="008B25C6"/>
    <w:rsid w:val="008B2816"/>
    <w:rsid w:val="008B34E6"/>
    <w:rsid w:val="008B3927"/>
    <w:rsid w:val="008B4402"/>
    <w:rsid w:val="008B46FC"/>
    <w:rsid w:val="008B4A71"/>
    <w:rsid w:val="008B5C77"/>
    <w:rsid w:val="008B5CED"/>
    <w:rsid w:val="008B72F5"/>
    <w:rsid w:val="008B76BC"/>
    <w:rsid w:val="008B7716"/>
    <w:rsid w:val="008B7FFD"/>
    <w:rsid w:val="008C01B5"/>
    <w:rsid w:val="008C0681"/>
    <w:rsid w:val="008C13F2"/>
    <w:rsid w:val="008C1C69"/>
    <w:rsid w:val="008C24FC"/>
    <w:rsid w:val="008C43A1"/>
    <w:rsid w:val="008C5059"/>
    <w:rsid w:val="008C507C"/>
    <w:rsid w:val="008C58C4"/>
    <w:rsid w:val="008C613F"/>
    <w:rsid w:val="008C68C1"/>
    <w:rsid w:val="008C6C4D"/>
    <w:rsid w:val="008C72A2"/>
    <w:rsid w:val="008C72C7"/>
    <w:rsid w:val="008C7350"/>
    <w:rsid w:val="008C798B"/>
    <w:rsid w:val="008C7E6E"/>
    <w:rsid w:val="008D1B1A"/>
    <w:rsid w:val="008D20D8"/>
    <w:rsid w:val="008D24E0"/>
    <w:rsid w:val="008D29A3"/>
    <w:rsid w:val="008D2B2A"/>
    <w:rsid w:val="008D3BAF"/>
    <w:rsid w:val="008D449D"/>
    <w:rsid w:val="008D4AE7"/>
    <w:rsid w:val="008D5BCF"/>
    <w:rsid w:val="008D5CB3"/>
    <w:rsid w:val="008D6ED3"/>
    <w:rsid w:val="008D7B0D"/>
    <w:rsid w:val="008D7B74"/>
    <w:rsid w:val="008E0668"/>
    <w:rsid w:val="008E19A4"/>
    <w:rsid w:val="008E21F3"/>
    <w:rsid w:val="008E48DC"/>
    <w:rsid w:val="008E4E4A"/>
    <w:rsid w:val="008E5090"/>
    <w:rsid w:val="008E58B7"/>
    <w:rsid w:val="008E59ED"/>
    <w:rsid w:val="008E647D"/>
    <w:rsid w:val="008E7105"/>
    <w:rsid w:val="008E7580"/>
    <w:rsid w:val="008F01E2"/>
    <w:rsid w:val="008F04FB"/>
    <w:rsid w:val="008F1310"/>
    <w:rsid w:val="008F195C"/>
    <w:rsid w:val="008F1AED"/>
    <w:rsid w:val="008F227A"/>
    <w:rsid w:val="008F29FD"/>
    <w:rsid w:val="008F2A11"/>
    <w:rsid w:val="008F2A71"/>
    <w:rsid w:val="008F34FF"/>
    <w:rsid w:val="008F3C3F"/>
    <w:rsid w:val="008F4287"/>
    <w:rsid w:val="008F460F"/>
    <w:rsid w:val="008F49BB"/>
    <w:rsid w:val="008F4B2D"/>
    <w:rsid w:val="008F603F"/>
    <w:rsid w:val="008F6088"/>
    <w:rsid w:val="008F64FA"/>
    <w:rsid w:val="008F690A"/>
    <w:rsid w:val="008F6A51"/>
    <w:rsid w:val="008F6B30"/>
    <w:rsid w:val="008F7336"/>
    <w:rsid w:val="008F7C23"/>
    <w:rsid w:val="0090104E"/>
    <w:rsid w:val="0090337F"/>
    <w:rsid w:val="00903646"/>
    <w:rsid w:val="009039E7"/>
    <w:rsid w:val="009049F9"/>
    <w:rsid w:val="0090505C"/>
    <w:rsid w:val="009062AE"/>
    <w:rsid w:val="009066D5"/>
    <w:rsid w:val="00907B72"/>
    <w:rsid w:val="00910D08"/>
    <w:rsid w:val="009111C2"/>
    <w:rsid w:val="009118D7"/>
    <w:rsid w:val="00911B03"/>
    <w:rsid w:val="00911C63"/>
    <w:rsid w:val="009121AF"/>
    <w:rsid w:val="009122F3"/>
    <w:rsid w:val="009125A5"/>
    <w:rsid w:val="009126B9"/>
    <w:rsid w:val="009130EE"/>
    <w:rsid w:val="009138C5"/>
    <w:rsid w:val="00913C36"/>
    <w:rsid w:val="00913CFB"/>
    <w:rsid w:val="009143F4"/>
    <w:rsid w:val="00914417"/>
    <w:rsid w:val="0091497A"/>
    <w:rsid w:val="00914DF6"/>
    <w:rsid w:val="009150CC"/>
    <w:rsid w:val="00915A46"/>
    <w:rsid w:val="009161D7"/>
    <w:rsid w:val="00916F1A"/>
    <w:rsid w:val="00917894"/>
    <w:rsid w:val="00917A5E"/>
    <w:rsid w:val="00920E72"/>
    <w:rsid w:val="0092181D"/>
    <w:rsid w:val="00921C74"/>
    <w:rsid w:val="00922A8C"/>
    <w:rsid w:val="00923C9F"/>
    <w:rsid w:val="00924207"/>
    <w:rsid w:val="009246D6"/>
    <w:rsid w:val="00924AD9"/>
    <w:rsid w:val="00924D60"/>
    <w:rsid w:val="00925495"/>
    <w:rsid w:val="009261D1"/>
    <w:rsid w:val="009263BA"/>
    <w:rsid w:val="00927328"/>
    <w:rsid w:val="00930AAD"/>
    <w:rsid w:val="00930C89"/>
    <w:rsid w:val="00930D11"/>
    <w:rsid w:val="00931475"/>
    <w:rsid w:val="009316E0"/>
    <w:rsid w:val="00931FCB"/>
    <w:rsid w:val="00932470"/>
    <w:rsid w:val="00932E6E"/>
    <w:rsid w:val="00933523"/>
    <w:rsid w:val="00933B4C"/>
    <w:rsid w:val="00935293"/>
    <w:rsid w:val="009352E6"/>
    <w:rsid w:val="00935931"/>
    <w:rsid w:val="00935A6C"/>
    <w:rsid w:val="00935BDA"/>
    <w:rsid w:val="0093735A"/>
    <w:rsid w:val="009402AF"/>
    <w:rsid w:val="00940DB3"/>
    <w:rsid w:val="009418C7"/>
    <w:rsid w:val="0094248B"/>
    <w:rsid w:val="00942CD7"/>
    <w:rsid w:val="00942FFD"/>
    <w:rsid w:val="00943854"/>
    <w:rsid w:val="00943C69"/>
    <w:rsid w:val="00943F19"/>
    <w:rsid w:val="00943FCD"/>
    <w:rsid w:val="00944694"/>
    <w:rsid w:val="00945D3B"/>
    <w:rsid w:val="00946130"/>
    <w:rsid w:val="00947708"/>
    <w:rsid w:val="00950449"/>
    <w:rsid w:val="00950657"/>
    <w:rsid w:val="0095124A"/>
    <w:rsid w:val="00952078"/>
    <w:rsid w:val="009520F6"/>
    <w:rsid w:val="0095261F"/>
    <w:rsid w:val="0095292E"/>
    <w:rsid w:val="00952F4C"/>
    <w:rsid w:val="00953149"/>
    <w:rsid w:val="009535B3"/>
    <w:rsid w:val="00953BBE"/>
    <w:rsid w:val="0095457F"/>
    <w:rsid w:val="0095582C"/>
    <w:rsid w:val="00955A37"/>
    <w:rsid w:val="00955D88"/>
    <w:rsid w:val="009572CF"/>
    <w:rsid w:val="0095749E"/>
    <w:rsid w:val="00957D26"/>
    <w:rsid w:val="00960252"/>
    <w:rsid w:val="00960457"/>
    <w:rsid w:val="009609DB"/>
    <w:rsid w:val="00960A67"/>
    <w:rsid w:val="0096131C"/>
    <w:rsid w:val="0096162E"/>
    <w:rsid w:val="009618D8"/>
    <w:rsid w:val="00961D14"/>
    <w:rsid w:val="00961E69"/>
    <w:rsid w:val="009625E6"/>
    <w:rsid w:val="00962EC2"/>
    <w:rsid w:val="0096349B"/>
    <w:rsid w:val="0096356F"/>
    <w:rsid w:val="00963A77"/>
    <w:rsid w:val="00963A97"/>
    <w:rsid w:val="009643BF"/>
    <w:rsid w:val="00964F22"/>
    <w:rsid w:val="0096527C"/>
    <w:rsid w:val="00965727"/>
    <w:rsid w:val="00966914"/>
    <w:rsid w:val="00966AAF"/>
    <w:rsid w:val="00966E28"/>
    <w:rsid w:val="009675BF"/>
    <w:rsid w:val="00967B53"/>
    <w:rsid w:val="00970078"/>
    <w:rsid w:val="00970310"/>
    <w:rsid w:val="00970524"/>
    <w:rsid w:val="00970AB1"/>
    <w:rsid w:val="009711F0"/>
    <w:rsid w:val="00971951"/>
    <w:rsid w:val="00971AEE"/>
    <w:rsid w:val="0097247F"/>
    <w:rsid w:val="00973708"/>
    <w:rsid w:val="009739A9"/>
    <w:rsid w:val="00974796"/>
    <w:rsid w:val="009749EF"/>
    <w:rsid w:val="00974E90"/>
    <w:rsid w:val="00975024"/>
    <w:rsid w:val="009756FB"/>
    <w:rsid w:val="009764DB"/>
    <w:rsid w:val="0097656C"/>
    <w:rsid w:val="00976BCA"/>
    <w:rsid w:val="00977B60"/>
    <w:rsid w:val="009809EC"/>
    <w:rsid w:val="00980CCF"/>
    <w:rsid w:val="009812D0"/>
    <w:rsid w:val="0098193A"/>
    <w:rsid w:val="009829D2"/>
    <w:rsid w:val="00982E78"/>
    <w:rsid w:val="00982F17"/>
    <w:rsid w:val="0098777C"/>
    <w:rsid w:val="009879F0"/>
    <w:rsid w:val="00987A72"/>
    <w:rsid w:val="00987E40"/>
    <w:rsid w:val="00990425"/>
    <w:rsid w:val="00990E0E"/>
    <w:rsid w:val="00992C73"/>
    <w:rsid w:val="009933B7"/>
    <w:rsid w:val="00994F54"/>
    <w:rsid w:val="00995296"/>
    <w:rsid w:val="00995847"/>
    <w:rsid w:val="00995B38"/>
    <w:rsid w:val="00995C2D"/>
    <w:rsid w:val="009965FD"/>
    <w:rsid w:val="009978E7"/>
    <w:rsid w:val="009A0624"/>
    <w:rsid w:val="009A2A30"/>
    <w:rsid w:val="009A3504"/>
    <w:rsid w:val="009A37DE"/>
    <w:rsid w:val="009A4169"/>
    <w:rsid w:val="009A43C8"/>
    <w:rsid w:val="009A4646"/>
    <w:rsid w:val="009A4C7F"/>
    <w:rsid w:val="009A54D7"/>
    <w:rsid w:val="009A7E9B"/>
    <w:rsid w:val="009B09FB"/>
    <w:rsid w:val="009B1294"/>
    <w:rsid w:val="009B1AE4"/>
    <w:rsid w:val="009B1E74"/>
    <w:rsid w:val="009B1E84"/>
    <w:rsid w:val="009B244D"/>
    <w:rsid w:val="009B2927"/>
    <w:rsid w:val="009B2B6F"/>
    <w:rsid w:val="009B36B8"/>
    <w:rsid w:val="009B42B6"/>
    <w:rsid w:val="009B48F4"/>
    <w:rsid w:val="009B4B9E"/>
    <w:rsid w:val="009B55C2"/>
    <w:rsid w:val="009B583A"/>
    <w:rsid w:val="009B5A9F"/>
    <w:rsid w:val="009B7D18"/>
    <w:rsid w:val="009C068B"/>
    <w:rsid w:val="009C0D98"/>
    <w:rsid w:val="009C11F2"/>
    <w:rsid w:val="009C2F84"/>
    <w:rsid w:val="009C3198"/>
    <w:rsid w:val="009C3BFB"/>
    <w:rsid w:val="009C4989"/>
    <w:rsid w:val="009C5688"/>
    <w:rsid w:val="009C5E17"/>
    <w:rsid w:val="009D1687"/>
    <w:rsid w:val="009D1F98"/>
    <w:rsid w:val="009D2360"/>
    <w:rsid w:val="009D4955"/>
    <w:rsid w:val="009E03E5"/>
    <w:rsid w:val="009E0A5E"/>
    <w:rsid w:val="009E0DA7"/>
    <w:rsid w:val="009E0E8B"/>
    <w:rsid w:val="009E1580"/>
    <w:rsid w:val="009E2823"/>
    <w:rsid w:val="009E3FBD"/>
    <w:rsid w:val="009E4187"/>
    <w:rsid w:val="009E47F3"/>
    <w:rsid w:val="009E4A77"/>
    <w:rsid w:val="009E4B8F"/>
    <w:rsid w:val="009E5B24"/>
    <w:rsid w:val="009E66F9"/>
    <w:rsid w:val="009E73B5"/>
    <w:rsid w:val="009E757C"/>
    <w:rsid w:val="009E792E"/>
    <w:rsid w:val="009E7A1A"/>
    <w:rsid w:val="009F0213"/>
    <w:rsid w:val="009F058D"/>
    <w:rsid w:val="009F215C"/>
    <w:rsid w:val="009F3257"/>
    <w:rsid w:val="009F326E"/>
    <w:rsid w:val="009F339D"/>
    <w:rsid w:val="009F3AC1"/>
    <w:rsid w:val="009F3F24"/>
    <w:rsid w:val="009F44D8"/>
    <w:rsid w:val="009F577C"/>
    <w:rsid w:val="009F6328"/>
    <w:rsid w:val="009F6C6B"/>
    <w:rsid w:val="00A0004C"/>
    <w:rsid w:val="00A00065"/>
    <w:rsid w:val="00A006A2"/>
    <w:rsid w:val="00A00728"/>
    <w:rsid w:val="00A01185"/>
    <w:rsid w:val="00A02214"/>
    <w:rsid w:val="00A036DF"/>
    <w:rsid w:val="00A0374F"/>
    <w:rsid w:val="00A04153"/>
    <w:rsid w:val="00A041F2"/>
    <w:rsid w:val="00A0438C"/>
    <w:rsid w:val="00A046A3"/>
    <w:rsid w:val="00A047F5"/>
    <w:rsid w:val="00A05274"/>
    <w:rsid w:val="00A05A8C"/>
    <w:rsid w:val="00A05F96"/>
    <w:rsid w:val="00A067FC"/>
    <w:rsid w:val="00A06E8D"/>
    <w:rsid w:val="00A06E97"/>
    <w:rsid w:val="00A10474"/>
    <w:rsid w:val="00A106C8"/>
    <w:rsid w:val="00A12619"/>
    <w:rsid w:val="00A129D7"/>
    <w:rsid w:val="00A12C3F"/>
    <w:rsid w:val="00A13472"/>
    <w:rsid w:val="00A145C6"/>
    <w:rsid w:val="00A1562B"/>
    <w:rsid w:val="00A159A6"/>
    <w:rsid w:val="00A166C1"/>
    <w:rsid w:val="00A174AE"/>
    <w:rsid w:val="00A17D45"/>
    <w:rsid w:val="00A17E3C"/>
    <w:rsid w:val="00A17E67"/>
    <w:rsid w:val="00A209D2"/>
    <w:rsid w:val="00A214A4"/>
    <w:rsid w:val="00A21EEE"/>
    <w:rsid w:val="00A243CC"/>
    <w:rsid w:val="00A25150"/>
    <w:rsid w:val="00A25278"/>
    <w:rsid w:val="00A25390"/>
    <w:rsid w:val="00A2695E"/>
    <w:rsid w:val="00A308EE"/>
    <w:rsid w:val="00A32472"/>
    <w:rsid w:val="00A324D9"/>
    <w:rsid w:val="00A32B4F"/>
    <w:rsid w:val="00A3384E"/>
    <w:rsid w:val="00A34CAA"/>
    <w:rsid w:val="00A34CC1"/>
    <w:rsid w:val="00A3502A"/>
    <w:rsid w:val="00A35C6E"/>
    <w:rsid w:val="00A35E1D"/>
    <w:rsid w:val="00A36456"/>
    <w:rsid w:val="00A36DEC"/>
    <w:rsid w:val="00A3717C"/>
    <w:rsid w:val="00A37627"/>
    <w:rsid w:val="00A404CF"/>
    <w:rsid w:val="00A4070C"/>
    <w:rsid w:val="00A40814"/>
    <w:rsid w:val="00A431F6"/>
    <w:rsid w:val="00A43234"/>
    <w:rsid w:val="00A434CF"/>
    <w:rsid w:val="00A439A2"/>
    <w:rsid w:val="00A447A5"/>
    <w:rsid w:val="00A4553D"/>
    <w:rsid w:val="00A469AF"/>
    <w:rsid w:val="00A503AA"/>
    <w:rsid w:val="00A50607"/>
    <w:rsid w:val="00A52E8B"/>
    <w:rsid w:val="00A533C1"/>
    <w:rsid w:val="00A5376E"/>
    <w:rsid w:val="00A5415D"/>
    <w:rsid w:val="00A5421C"/>
    <w:rsid w:val="00A5536D"/>
    <w:rsid w:val="00A555B6"/>
    <w:rsid w:val="00A55A02"/>
    <w:rsid w:val="00A55A2C"/>
    <w:rsid w:val="00A55FC3"/>
    <w:rsid w:val="00A5634D"/>
    <w:rsid w:val="00A5639E"/>
    <w:rsid w:val="00A565FB"/>
    <w:rsid w:val="00A56CDD"/>
    <w:rsid w:val="00A56DE5"/>
    <w:rsid w:val="00A575B0"/>
    <w:rsid w:val="00A60B88"/>
    <w:rsid w:val="00A6157D"/>
    <w:rsid w:val="00A6200C"/>
    <w:rsid w:val="00A637E3"/>
    <w:rsid w:val="00A639F5"/>
    <w:rsid w:val="00A63DEF"/>
    <w:rsid w:val="00A642E8"/>
    <w:rsid w:val="00A645DA"/>
    <w:rsid w:val="00A64CD7"/>
    <w:rsid w:val="00A6518E"/>
    <w:rsid w:val="00A652D1"/>
    <w:rsid w:val="00A652F2"/>
    <w:rsid w:val="00A656D1"/>
    <w:rsid w:val="00A6670C"/>
    <w:rsid w:val="00A66F6A"/>
    <w:rsid w:val="00A670AE"/>
    <w:rsid w:val="00A67C5A"/>
    <w:rsid w:val="00A70697"/>
    <w:rsid w:val="00A71464"/>
    <w:rsid w:val="00A718E3"/>
    <w:rsid w:val="00A720F7"/>
    <w:rsid w:val="00A72595"/>
    <w:rsid w:val="00A72694"/>
    <w:rsid w:val="00A7298E"/>
    <w:rsid w:val="00A729E1"/>
    <w:rsid w:val="00A7388B"/>
    <w:rsid w:val="00A738E9"/>
    <w:rsid w:val="00A74BFE"/>
    <w:rsid w:val="00A767CA"/>
    <w:rsid w:val="00A76928"/>
    <w:rsid w:val="00A77870"/>
    <w:rsid w:val="00A77C2B"/>
    <w:rsid w:val="00A80CCD"/>
    <w:rsid w:val="00A818F5"/>
    <w:rsid w:val="00A81C86"/>
    <w:rsid w:val="00A82551"/>
    <w:rsid w:val="00A83D39"/>
    <w:rsid w:val="00A84E68"/>
    <w:rsid w:val="00A84EBE"/>
    <w:rsid w:val="00A853A5"/>
    <w:rsid w:val="00A87E11"/>
    <w:rsid w:val="00A9034B"/>
    <w:rsid w:val="00A91DDD"/>
    <w:rsid w:val="00A92585"/>
    <w:rsid w:val="00A931B0"/>
    <w:rsid w:val="00A949F5"/>
    <w:rsid w:val="00A94F36"/>
    <w:rsid w:val="00A950C4"/>
    <w:rsid w:val="00A95207"/>
    <w:rsid w:val="00A95C2E"/>
    <w:rsid w:val="00A95F94"/>
    <w:rsid w:val="00A9647C"/>
    <w:rsid w:val="00A9670C"/>
    <w:rsid w:val="00A968D2"/>
    <w:rsid w:val="00A969E7"/>
    <w:rsid w:val="00A96AB9"/>
    <w:rsid w:val="00A9750B"/>
    <w:rsid w:val="00AA048B"/>
    <w:rsid w:val="00AA089D"/>
    <w:rsid w:val="00AA0D48"/>
    <w:rsid w:val="00AA2144"/>
    <w:rsid w:val="00AA232C"/>
    <w:rsid w:val="00AA3398"/>
    <w:rsid w:val="00AA3816"/>
    <w:rsid w:val="00AA3B5D"/>
    <w:rsid w:val="00AA453A"/>
    <w:rsid w:val="00AA489A"/>
    <w:rsid w:val="00AA4A44"/>
    <w:rsid w:val="00AA4D1B"/>
    <w:rsid w:val="00AA564C"/>
    <w:rsid w:val="00AA633E"/>
    <w:rsid w:val="00AA6EE4"/>
    <w:rsid w:val="00AA7581"/>
    <w:rsid w:val="00AA773F"/>
    <w:rsid w:val="00AA7E48"/>
    <w:rsid w:val="00AB080E"/>
    <w:rsid w:val="00AB0FEB"/>
    <w:rsid w:val="00AB12B4"/>
    <w:rsid w:val="00AB255C"/>
    <w:rsid w:val="00AB2BA8"/>
    <w:rsid w:val="00AB2DE9"/>
    <w:rsid w:val="00AB3A8B"/>
    <w:rsid w:val="00AB3CA5"/>
    <w:rsid w:val="00AB3FCF"/>
    <w:rsid w:val="00AB4D04"/>
    <w:rsid w:val="00AB4F0F"/>
    <w:rsid w:val="00AB58BF"/>
    <w:rsid w:val="00AB5AA8"/>
    <w:rsid w:val="00AB5F4B"/>
    <w:rsid w:val="00AB6AF4"/>
    <w:rsid w:val="00AB6DB8"/>
    <w:rsid w:val="00AB7230"/>
    <w:rsid w:val="00AC04E5"/>
    <w:rsid w:val="00AC0963"/>
    <w:rsid w:val="00AC0C32"/>
    <w:rsid w:val="00AC221E"/>
    <w:rsid w:val="00AC2849"/>
    <w:rsid w:val="00AC2B3F"/>
    <w:rsid w:val="00AC2C3B"/>
    <w:rsid w:val="00AC2DDC"/>
    <w:rsid w:val="00AC2DF5"/>
    <w:rsid w:val="00AC32CD"/>
    <w:rsid w:val="00AC3A4C"/>
    <w:rsid w:val="00AC3BDE"/>
    <w:rsid w:val="00AC42FF"/>
    <w:rsid w:val="00AC4BE5"/>
    <w:rsid w:val="00AC4D80"/>
    <w:rsid w:val="00AC527D"/>
    <w:rsid w:val="00AC726D"/>
    <w:rsid w:val="00AD026E"/>
    <w:rsid w:val="00AD07E6"/>
    <w:rsid w:val="00AD1083"/>
    <w:rsid w:val="00AD1A19"/>
    <w:rsid w:val="00AD2027"/>
    <w:rsid w:val="00AD271B"/>
    <w:rsid w:val="00AD3744"/>
    <w:rsid w:val="00AD391D"/>
    <w:rsid w:val="00AD3F80"/>
    <w:rsid w:val="00AD45ED"/>
    <w:rsid w:val="00AD6350"/>
    <w:rsid w:val="00AD673A"/>
    <w:rsid w:val="00AD795D"/>
    <w:rsid w:val="00AE06C0"/>
    <w:rsid w:val="00AE0BD4"/>
    <w:rsid w:val="00AE0F2F"/>
    <w:rsid w:val="00AE11A6"/>
    <w:rsid w:val="00AE1EB2"/>
    <w:rsid w:val="00AE24A7"/>
    <w:rsid w:val="00AE3A00"/>
    <w:rsid w:val="00AE3B33"/>
    <w:rsid w:val="00AE3E50"/>
    <w:rsid w:val="00AE407D"/>
    <w:rsid w:val="00AE410E"/>
    <w:rsid w:val="00AE420F"/>
    <w:rsid w:val="00AE45FD"/>
    <w:rsid w:val="00AE4CB8"/>
    <w:rsid w:val="00AE58B9"/>
    <w:rsid w:val="00AE5D11"/>
    <w:rsid w:val="00AE5EA1"/>
    <w:rsid w:val="00AE6787"/>
    <w:rsid w:val="00AE73E0"/>
    <w:rsid w:val="00AE765D"/>
    <w:rsid w:val="00AE7854"/>
    <w:rsid w:val="00AF068F"/>
    <w:rsid w:val="00AF1144"/>
    <w:rsid w:val="00AF2573"/>
    <w:rsid w:val="00AF25F1"/>
    <w:rsid w:val="00AF325D"/>
    <w:rsid w:val="00AF35D4"/>
    <w:rsid w:val="00AF4B86"/>
    <w:rsid w:val="00AF74B3"/>
    <w:rsid w:val="00AF7783"/>
    <w:rsid w:val="00AF794E"/>
    <w:rsid w:val="00B00151"/>
    <w:rsid w:val="00B002C0"/>
    <w:rsid w:val="00B006ED"/>
    <w:rsid w:val="00B008CA"/>
    <w:rsid w:val="00B0116C"/>
    <w:rsid w:val="00B012C3"/>
    <w:rsid w:val="00B03045"/>
    <w:rsid w:val="00B030DE"/>
    <w:rsid w:val="00B034F0"/>
    <w:rsid w:val="00B03F74"/>
    <w:rsid w:val="00B04A92"/>
    <w:rsid w:val="00B0534A"/>
    <w:rsid w:val="00B05BB9"/>
    <w:rsid w:val="00B05CBF"/>
    <w:rsid w:val="00B05FB0"/>
    <w:rsid w:val="00B06A76"/>
    <w:rsid w:val="00B06BB1"/>
    <w:rsid w:val="00B0709B"/>
    <w:rsid w:val="00B07171"/>
    <w:rsid w:val="00B07E92"/>
    <w:rsid w:val="00B10008"/>
    <w:rsid w:val="00B10075"/>
    <w:rsid w:val="00B10489"/>
    <w:rsid w:val="00B10845"/>
    <w:rsid w:val="00B10BC6"/>
    <w:rsid w:val="00B11493"/>
    <w:rsid w:val="00B11543"/>
    <w:rsid w:val="00B11E22"/>
    <w:rsid w:val="00B126CA"/>
    <w:rsid w:val="00B12B60"/>
    <w:rsid w:val="00B131D5"/>
    <w:rsid w:val="00B13E43"/>
    <w:rsid w:val="00B14362"/>
    <w:rsid w:val="00B14A74"/>
    <w:rsid w:val="00B14F9E"/>
    <w:rsid w:val="00B15F39"/>
    <w:rsid w:val="00B1644D"/>
    <w:rsid w:val="00B1658E"/>
    <w:rsid w:val="00B17291"/>
    <w:rsid w:val="00B1729D"/>
    <w:rsid w:val="00B17C2B"/>
    <w:rsid w:val="00B17E7E"/>
    <w:rsid w:val="00B206B4"/>
    <w:rsid w:val="00B220AC"/>
    <w:rsid w:val="00B222B1"/>
    <w:rsid w:val="00B2243C"/>
    <w:rsid w:val="00B230C1"/>
    <w:rsid w:val="00B234B4"/>
    <w:rsid w:val="00B237E6"/>
    <w:rsid w:val="00B245AB"/>
    <w:rsid w:val="00B2504F"/>
    <w:rsid w:val="00B25395"/>
    <w:rsid w:val="00B258FA"/>
    <w:rsid w:val="00B27A20"/>
    <w:rsid w:val="00B27B4C"/>
    <w:rsid w:val="00B27D31"/>
    <w:rsid w:val="00B300EB"/>
    <w:rsid w:val="00B30D71"/>
    <w:rsid w:val="00B310B4"/>
    <w:rsid w:val="00B310CD"/>
    <w:rsid w:val="00B3209A"/>
    <w:rsid w:val="00B32118"/>
    <w:rsid w:val="00B33C2F"/>
    <w:rsid w:val="00B33C9B"/>
    <w:rsid w:val="00B34216"/>
    <w:rsid w:val="00B34EED"/>
    <w:rsid w:val="00B34EEF"/>
    <w:rsid w:val="00B35071"/>
    <w:rsid w:val="00B35B4F"/>
    <w:rsid w:val="00B3666A"/>
    <w:rsid w:val="00B366A6"/>
    <w:rsid w:val="00B36A8A"/>
    <w:rsid w:val="00B37DE4"/>
    <w:rsid w:val="00B413AF"/>
    <w:rsid w:val="00B4169B"/>
    <w:rsid w:val="00B4170E"/>
    <w:rsid w:val="00B41EF5"/>
    <w:rsid w:val="00B42A07"/>
    <w:rsid w:val="00B4319A"/>
    <w:rsid w:val="00B434CA"/>
    <w:rsid w:val="00B43719"/>
    <w:rsid w:val="00B43853"/>
    <w:rsid w:val="00B445DD"/>
    <w:rsid w:val="00B44D83"/>
    <w:rsid w:val="00B45A3E"/>
    <w:rsid w:val="00B45ED3"/>
    <w:rsid w:val="00B45F15"/>
    <w:rsid w:val="00B4652C"/>
    <w:rsid w:val="00B469C7"/>
    <w:rsid w:val="00B501E6"/>
    <w:rsid w:val="00B506FF"/>
    <w:rsid w:val="00B518A5"/>
    <w:rsid w:val="00B525C0"/>
    <w:rsid w:val="00B54119"/>
    <w:rsid w:val="00B541AE"/>
    <w:rsid w:val="00B55AFF"/>
    <w:rsid w:val="00B56B39"/>
    <w:rsid w:val="00B57102"/>
    <w:rsid w:val="00B579DF"/>
    <w:rsid w:val="00B57CC4"/>
    <w:rsid w:val="00B602AB"/>
    <w:rsid w:val="00B608FE"/>
    <w:rsid w:val="00B61870"/>
    <w:rsid w:val="00B61A4A"/>
    <w:rsid w:val="00B61FBC"/>
    <w:rsid w:val="00B62BF9"/>
    <w:rsid w:val="00B62DDF"/>
    <w:rsid w:val="00B633D8"/>
    <w:rsid w:val="00B63831"/>
    <w:rsid w:val="00B645CC"/>
    <w:rsid w:val="00B6487C"/>
    <w:rsid w:val="00B64F10"/>
    <w:rsid w:val="00B656C1"/>
    <w:rsid w:val="00B6588F"/>
    <w:rsid w:val="00B66C12"/>
    <w:rsid w:val="00B66C9D"/>
    <w:rsid w:val="00B6753C"/>
    <w:rsid w:val="00B67C91"/>
    <w:rsid w:val="00B706B1"/>
    <w:rsid w:val="00B70C0D"/>
    <w:rsid w:val="00B70F48"/>
    <w:rsid w:val="00B71200"/>
    <w:rsid w:val="00B71E76"/>
    <w:rsid w:val="00B722B6"/>
    <w:rsid w:val="00B7268C"/>
    <w:rsid w:val="00B729CE"/>
    <w:rsid w:val="00B72E30"/>
    <w:rsid w:val="00B739F6"/>
    <w:rsid w:val="00B74C1F"/>
    <w:rsid w:val="00B74E00"/>
    <w:rsid w:val="00B75C9C"/>
    <w:rsid w:val="00B77772"/>
    <w:rsid w:val="00B77C99"/>
    <w:rsid w:val="00B802D0"/>
    <w:rsid w:val="00B80619"/>
    <w:rsid w:val="00B812C5"/>
    <w:rsid w:val="00B8136D"/>
    <w:rsid w:val="00B82841"/>
    <w:rsid w:val="00B8304A"/>
    <w:rsid w:val="00B83832"/>
    <w:rsid w:val="00B83857"/>
    <w:rsid w:val="00B83873"/>
    <w:rsid w:val="00B839F4"/>
    <w:rsid w:val="00B83A26"/>
    <w:rsid w:val="00B83B63"/>
    <w:rsid w:val="00B84CC6"/>
    <w:rsid w:val="00B85E49"/>
    <w:rsid w:val="00B85FCD"/>
    <w:rsid w:val="00B86021"/>
    <w:rsid w:val="00B86A71"/>
    <w:rsid w:val="00B901D9"/>
    <w:rsid w:val="00B904E7"/>
    <w:rsid w:val="00B90B6C"/>
    <w:rsid w:val="00B90EEB"/>
    <w:rsid w:val="00B90FF2"/>
    <w:rsid w:val="00B91623"/>
    <w:rsid w:val="00B91766"/>
    <w:rsid w:val="00B921B7"/>
    <w:rsid w:val="00B92564"/>
    <w:rsid w:val="00B9264D"/>
    <w:rsid w:val="00B938D5"/>
    <w:rsid w:val="00B93981"/>
    <w:rsid w:val="00B949F1"/>
    <w:rsid w:val="00B94EE2"/>
    <w:rsid w:val="00B969AB"/>
    <w:rsid w:val="00B97928"/>
    <w:rsid w:val="00B97B69"/>
    <w:rsid w:val="00BA248B"/>
    <w:rsid w:val="00BA25FE"/>
    <w:rsid w:val="00BA2F1E"/>
    <w:rsid w:val="00BA4673"/>
    <w:rsid w:val="00BA4D52"/>
    <w:rsid w:val="00BA4E39"/>
    <w:rsid w:val="00BA50B6"/>
    <w:rsid w:val="00BA59BD"/>
    <w:rsid w:val="00BA5CAA"/>
    <w:rsid w:val="00BA6281"/>
    <w:rsid w:val="00BA6754"/>
    <w:rsid w:val="00BA6F32"/>
    <w:rsid w:val="00BA6F9D"/>
    <w:rsid w:val="00BA7AB6"/>
    <w:rsid w:val="00BB061B"/>
    <w:rsid w:val="00BB1DCE"/>
    <w:rsid w:val="00BB1ED8"/>
    <w:rsid w:val="00BB2519"/>
    <w:rsid w:val="00BB35AA"/>
    <w:rsid w:val="00BB4015"/>
    <w:rsid w:val="00BB40A9"/>
    <w:rsid w:val="00BB446D"/>
    <w:rsid w:val="00BB45B5"/>
    <w:rsid w:val="00BB45E1"/>
    <w:rsid w:val="00BB4778"/>
    <w:rsid w:val="00BB4D28"/>
    <w:rsid w:val="00BB5909"/>
    <w:rsid w:val="00BB6A11"/>
    <w:rsid w:val="00BB6DCD"/>
    <w:rsid w:val="00BB6FD9"/>
    <w:rsid w:val="00BB7326"/>
    <w:rsid w:val="00BB7792"/>
    <w:rsid w:val="00BB7C6E"/>
    <w:rsid w:val="00BB7F03"/>
    <w:rsid w:val="00BC0C2F"/>
    <w:rsid w:val="00BC18C6"/>
    <w:rsid w:val="00BC1F90"/>
    <w:rsid w:val="00BC2EBB"/>
    <w:rsid w:val="00BC31FD"/>
    <w:rsid w:val="00BC46C4"/>
    <w:rsid w:val="00BC48CB"/>
    <w:rsid w:val="00BC51E1"/>
    <w:rsid w:val="00BC637E"/>
    <w:rsid w:val="00BC7D18"/>
    <w:rsid w:val="00BD0AF7"/>
    <w:rsid w:val="00BD10BC"/>
    <w:rsid w:val="00BD1618"/>
    <w:rsid w:val="00BD1DCC"/>
    <w:rsid w:val="00BD1E10"/>
    <w:rsid w:val="00BD28B3"/>
    <w:rsid w:val="00BD2AF8"/>
    <w:rsid w:val="00BD3D52"/>
    <w:rsid w:val="00BD42B9"/>
    <w:rsid w:val="00BD44CE"/>
    <w:rsid w:val="00BD59A8"/>
    <w:rsid w:val="00BD5D30"/>
    <w:rsid w:val="00BD5EE5"/>
    <w:rsid w:val="00BD61FF"/>
    <w:rsid w:val="00BD62DF"/>
    <w:rsid w:val="00BD66B4"/>
    <w:rsid w:val="00BD67CE"/>
    <w:rsid w:val="00BD74AF"/>
    <w:rsid w:val="00BD7813"/>
    <w:rsid w:val="00BD7B2A"/>
    <w:rsid w:val="00BE01A0"/>
    <w:rsid w:val="00BE108D"/>
    <w:rsid w:val="00BE1172"/>
    <w:rsid w:val="00BE1436"/>
    <w:rsid w:val="00BE2730"/>
    <w:rsid w:val="00BE28C4"/>
    <w:rsid w:val="00BE3B39"/>
    <w:rsid w:val="00BE3CAE"/>
    <w:rsid w:val="00BE4159"/>
    <w:rsid w:val="00BE46E6"/>
    <w:rsid w:val="00BE49FB"/>
    <w:rsid w:val="00BE51E9"/>
    <w:rsid w:val="00BE52A0"/>
    <w:rsid w:val="00BE5C35"/>
    <w:rsid w:val="00BE643C"/>
    <w:rsid w:val="00BE6A2A"/>
    <w:rsid w:val="00BE76F1"/>
    <w:rsid w:val="00BE7B80"/>
    <w:rsid w:val="00BE7B87"/>
    <w:rsid w:val="00BE7F3C"/>
    <w:rsid w:val="00BF00F0"/>
    <w:rsid w:val="00BF074C"/>
    <w:rsid w:val="00BF0830"/>
    <w:rsid w:val="00BF0A4B"/>
    <w:rsid w:val="00BF0BAA"/>
    <w:rsid w:val="00BF2B29"/>
    <w:rsid w:val="00BF2C48"/>
    <w:rsid w:val="00BF368D"/>
    <w:rsid w:val="00BF3F11"/>
    <w:rsid w:val="00BF479C"/>
    <w:rsid w:val="00BF5735"/>
    <w:rsid w:val="00BF58B3"/>
    <w:rsid w:val="00BF5AC0"/>
    <w:rsid w:val="00BF5C1A"/>
    <w:rsid w:val="00BF5CE1"/>
    <w:rsid w:val="00BF663E"/>
    <w:rsid w:val="00BF6F32"/>
    <w:rsid w:val="00BF761D"/>
    <w:rsid w:val="00C01824"/>
    <w:rsid w:val="00C01A18"/>
    <w:rsid w:val="00C01AFD"/>
    <w:rsid w:val="00C01B34"/>
    <w:rsid w:val="00C020B4"/>
    <w:rsid w:val="00C02287"/>
    <w:rsid w:val="00C027A5"/>
    <w:rsid w:val="00C02C77"/>
    <w:rsid w:val="00C02DA2"/>
    <w:rsid w:val="00C04294"/>
    <w:rsid w:val="00C046D4"/>
    <w:rsid w:val="00C0486E"/>
    <w:rsid w:val="00C04D23"/>
    <w:rsid w:val="00C05DEA"/>
    <w:rsid w:val="00C06A7E"/>
    <w:rsid w:val="00C06E77"/>
    <w:rsid w:val="00C0726A"/>
    <w:rsid w:val="00C072AE"/>
    <w:rsid w:val="00C07EA2"/>
    <w:rsid w:val="00C10647"/>
    <w:rsid w:val="00C10E4E"/>
    <w:rsid w:val="00C113AF"/>
    <w:rsid w:val="00C1202E"/>
    <w:rsid w:val="00C122C4"/>
    <w:rsid w:val="00C129C2"/>
    <w:rsid w:val="00C12EB3"/>
    <w:rsid w:val="00C1436F"/>
    <w:rsid w:val="00C14857"/>
    <w:rsid w:val="00C14E1B"/>
    <w:rsid w:val="00C15BF2"/>
    <w:rsid w:val="00C1603B"/>
    <w:rsid w:val="00C167D9"/>
    <w:rsid w:val="00C16AF2"/>
    <w:rsid w:val="00C16F1B"/>
    <w:rsid w:val="00C16FC4"/>
    <w:rsid w:val="00C177B2"/>
    <w:rsid w:val="00C177FA"/>
    <w:rsid w:val="00C2040E"/>
    <w:rsid w:val="00C21C96"/>
    <w:rsid w:val="00C22620"/>
    <w:rsid w:val="00C22AEB"/>
    <w:rsid w:val="00C22C64"/>
    <w:rsid w:val="00C23AC4"/>
    <w:rsid w:val="00C23E45"/>
    <w:rsid w:val="00C23F39"/>
    <w:rsid w:val="00C244EA"/>
    <w:rsid w:val="00C2454F"/>
    <w:rsid w:val="00C24682"/>
    <w:rsid w:val="00C25A67"/>
    <w:rsid w:val="00C26C40"/>
    <w:rsid w:val="00C27844"/>
    <w:rsid w:val="00C27DC9"/>
    <w:rsid w:val="00C30FBA"/>
    <w:rsid w:val="00C325C7"/>
    <w:rsid w:val="00C32ADF"/>
    <w:rsid w:val="00C32C4E"/>
    <w:rsid w:val="00C33420"/>
    <w:rsid w:val="00C33708"/>
    <w:rsid w:val="00C33AF7"/>
    <w:rsid w:val="00C34124"/>
    <w:rsid w:val="00C35AD2"/>
    <w:rsid w:val="00C36077"/>
    <w:rsid w:val="00C363A0"/>
    <w:rsid w:val="00C36A7A"/>
    <w:rsid w:val="00C402AB"/>
    <w:rsid w:val="00C41553"/>
    <w:rsid w:val="00C422F8"/>
    <w:rsid w:val="00C42A57"/>
    <w:rsid w:val="00C42A85"/>
    <w:rsid w:val="00C435CE"/>
    <w:rsid w:val="00C43E94"/>
    <w:rsid w:val="00C44F30"/>
    <w:rsid w:val="00C44FE0"/>
    <w:rsid w:val="00C451CF"/>
    <w:rsid w:val="00C45B3E"/>
    <w:rsid w:val="00C45F00"/>
    <w:rsid w:val="00C46237"/>
    <w:rsid w:val="00C4691C"/>
    <w:rsid w:val="00C47481"/>
    <w:rsid w:val="00C50EBA"/>
    <w:rsid w:val="00C52224"/>
    <w:rsid w:val="00C5248B"/>
    <w:rsid w:val="00C52C26"/>
    <w:rsid w:val="00C52D2A"/>
    <w:rsid w:val="00C53115"/>
    <w:rsid w:val="00C53703"/>
    <w:rsid w:val="00C55D49"/>
    <w:rsid w:val="00C56A1D"/>
    <w:rsid w:val="00C56C20"/>
    <w:rsid w:val="00C57BEE"/>
    <w:rsid w:val="00C60467"/>
    <w:rsid w:val="00C605B4"/>
    <w:rsid w:val="00C60B38"/>
    <w:rsid w:val="00C61A20"/>
    <w:rsid w:val="00C61D36"/>
    <w:rsid w:val="00C6267D"/>
    <w:rsid w:val="00C62DEC"/>
    <w:rsid w:val="00C64479"/>
    <w:rsid w:val="00C64B58"/>
    <w:rsid w:val="00C6564E"/>
    <w:rsid w:val="00C65882"/>
    <w:rsid w:val="00C65D9B"/>
    <w:rsid w:val="00C666A9"/>
    <w:rsid w:val="00C66B8A"/>
    <w:rsid w:val="00C66DF0"/>
    <w:rsid w:val="00C707BC"/>
    <w:rsid w:val="00C71CB0"/>
    <w:rsid w:val="00C723D5"/>
    <w:rsid w:val="00C73F67"/>
    <w:rsid w:val="00C74399"/>
    <w:rsid w:val="00C746A6"/>
    <w:rsid w:val="00C74A1C"/>
    <w:rsid w:val="00C74B7C"/>
    <w:rsid w:val="00C74DF5"/>
    <w:rsid w:val="00C74FE7"/>
    <w:rsid w:val="00C75A7C"/>
    <w:rsid w:val="00C75D5A"/>
    <w:rsid w:val="00C760DC"/>
    <w:rsid w:val="00C7683B"/>
    <w:rsid w:val="00C77237"/>
    <w:rsid w:val="00C77339"/>
    <w:rsid w:val="00C777B0"/>
    <w:rsid w:val="00C81049"/>
    <w:rsid w:val="00C813F1"/>
    <w:rsid w:val="00C815CC"/>
    <w:rsid w:val="00C81644"/>
    <w:rsid w:val="00C82186"/>
    <w:rsid w:val="00C83254"/>
    <w:rsid w:val="00C8391A"/>
    <w:rsid w:val="00C852D9"/>
    <w:rsid w:val="00C85307"/>
    <w:rsid w:val="00C86908"/>
    <w:rsid w:val="00C86A25"/>
    <w:rsid w:val="00C873E0"/>
    <w:rsid w:val="00C87616"/>
    <w:rsid w:val="00C901ED"/>
    <w:rsid w:val="00C9049A"/>
    <w:rsid w:val="00C90E4F"/>
    <w:rsid w:val="00C91117"/>
    <w:rsid w:val="00C91647"/>
    <w:rsid w:val="00C91CF5"/>
    <w:rsid w:val="00C92D17"/>
    <w:rsid w:val="00C93AF4"/>
    <w:rsid w:val="00C93B98"/>
    <w:rsid w:val="00C93E23"/>
    <w:rsid w:val="00C9454B"/>
    <w:rsid w:val="00C945F5"/>
    <w:rsid w:val="00C957F2"/>
    <w:rsid w:val="00C95A9A"/>
    <w:rsid w:val="00C95AA1"/>
    <w:rsid w:val="00C96A0E"/>
    <w:rsid w:val="00C96C84"/>
    <w:rsid w:val="00C9718E"/>
    <w:rsid w:val="00CA01F7"/>
    <w:rsid w:val="00CA10DF"/>
    <w:rsid w:val="00CA1224"/>
    <w:rsid w:val="00CA1339"/>
    <w:rsid w:val="00CA1C1F"/>
    <w:rsid w:val="00CA2D18"/>
    <w:rsid w:val="00CA2FA3"/>
    <w:rsid w:val="00CA30A7"/>
    <w:rsid w:val="00CA314A"/>
    <w:rsid w:val="00CA3368"/>
    <w:rsid w:val="00CA341B"/>
    <w:rsid w:val="00CA3638"/>
    <w:rsid w:val="00CA3982"/>
    <w:rsid w:val="00CA4F73"/>
    <w:rsid w:val="00CA5596"/>
    <w:rsid w:val="00CA5B6D"/>
    <w:rsid w:val="00CA7552"/>
    <w:rsid w:val="00CA7A7E"/>
    <w:rsid w:val="00CB1F4C"/>
    <w:rsid w:val="00CB24E0"/>
    <w:rsid w:val="00CB2CAD"/>
    <w:rsid w:val="00CB2E25"/>
    <w:rsid w:val="00CB420F"/>
    <w:rsid w:val="00CB4702"/>
    <w:rsid w:val="00CB4945"/>
    <w:rsid w:val="00CB6414"/>
    <w:rsid w:val="00CB6AED"/>
    <w:rsid w:val="00CB6C4D"/>
    <w:rsid w:val="00CB6E40"/>
    <w:rsid w:val="00CB7363"/>
    <w:rsid w:val="00CB77B4"/>
    <w:rsid w:val="00CB78FD"/>
    <w:rsid w:val="00CC053B"/>
    <w:rsid w:val="00CC13C4"/>
    <w:rsid w:val="00CC13EB"/>
    <w:rsid w:val="00CC1601"/>
    <w:rsid w:val="00CC17C9"/>
    <w:rsid w:val="00CC1971"/>
    <w:rsid w:val="00CC2787"/>
    <w:rsid w:val="00CC2DD2"/>
    <w:rsid w:val="00CC3594"/>
    <w:rsid w:val="00CC3E1C"/>
    <w:rsid w:val="00CC3FA1"/>
    <w:rsid w:val="00CC45CA"/>
    <w:rsid w:val="00CC4ACD"/>
    <w:rsid w:val="00CC565A"/>
    <w:rsid w:val="00CC579B"/>
    <w:rsid w:val="00CC5EFD"/>
    <w:rsid w:val="00CC6544"/>
    <w:rsid w:val="00CC6A87"/>
    <w:rsid w:val="00CC6FC4"/>
    <w:rsid w:val="00CD0135"/>
    <w:rsid w:val="00CD0868"/>
    <w:rsid w:val="00CD087F"/>
    <w:rsid w:val="00CD107D"/>
    <w:rsid w:val="00CD2158"/>
    <w:rsid w:val="00CD2219"/>
    <w:rsid w:val="00CD2C8F"/>
    <w:rsid w:val="00CD3B8D"/>
    <w:rsid w:val="00CD3FFB"/>
    <w:rsid w:val="00CD400B"/>
    <w:rsid w:val="00CD40DB"/>
    <w:rsid w:val="00CD547A"/>
    <w:rsid w:val="00CD5626"/>
    <w:rsid w:val="00CD64A4"/>
    <w:rsid w:val="00CD6AD7"/>
    <w:rsid w:val="00CD750D"/>
    <w:rsid w:val="00CE0E2F"/>
    <w:rsid w:val="00CE0E5D"/>
    <w:rsid w:val="00CE1094"/>
    <w:rsid w:val="00CE21EB"/>
    <w:rsid w:val="00CE53AE"/>
    <w:rsid w:val="00CE7D40"/>
    <w:rsid w:val="00CF00C8"/>
    <w:rsid w:val="00CF0EE0"/>
    <w:rsid w:val="00CF1B2A"/>
    <w:rsid w:val="00CF204B"/>
    <w:rsid w:val="00CF209C"/>
    <w:rsid w:val="00CF247E"/>
    <w:rsid w:val="00CF362B"/>
    <w:rsid w:val="00CF3AEC"/>
    <w:rsid w:val="00CF3AF1"/>
    <w:rsid w:val="00CF461D"/>
    <w:rsid w:val="00CF4D57"/>
    <w:rsid w:val="00CF5177"/>
    <w:rsid w:val="00CF539C"/>
    <w:rsid w:val="00CF605D"/>
    <w:rsid w:val="00CF7731"/>
    <w:rsid w:val="00D00231"/>
    <w:rsid w:val="00D0072E"/>
    <w:rsid w:val="00D013F7"/>
    <w:rsid w:val="00D02ADD"/>
    <w:rsid w:val="00D02B70"/>
    <w:rsid w:val="00D03A44"/>
    <w:rsid w:val="00D03F18"/>
    <w:rsid w:val="00D04C39"/>
    <w:rsid w:val="00D05553"/>
    <w:rsid w:val="00D0606A"/>
    <w:rsid w:val="00D06511"/>
    <w:rsid w:val="00D06EDE"/>
    <w:rsid w:val="00D07A2A"/>
    <w:rsid w:val="00D115CE"/>
    <w:rsid w:val="00D11949"/>
    <w:rsid w:val="00D11A58"/>
    <w:rsid w:val="00D11B16"/>
    <w:rsid w:val="00D1233A"/>
    <w:rsid w:val="00D12E90"/>
    <w:rsid w:val="00D131C2"/>
    <w:rsid w:val="00D143AF"/>
    <w:rsid w:val="00D144CF"/>
    <w:rsid w:val="00D14B10"/>
    <w:rsid w:val="00D158E3"/>
    <w:rsid w:val="00D16591"/>
    <w:rsid w:val="00D16EB6"/>
    <w:rsid w:val="00D1765A"/>
    <w:rsid w:val="00D17B70"/>
    <w:rsid w:val="00D20B6C"/>
    <w:rsid w:val="00D220E5"/>
    <w:rsid w:val="00D22BD2"/>
    <w:rsid w:val="00D23736"/>
    <w:rsid w:val="00D24441"/>
    <w:rsid w:val="00D24F48"/>
    <w:rsid w:val="00D26071"/>
    <w:rsid w:val="00D262CD"/>
    <w:rsid w:val="00D27F7E"/>
    <w:rsid w:val="00D27FC5"/>
    <w:rsid w:val="00D30AD4"/>
    <w:rsid w:val="00D30E43"/>
    <w:rsid w:val="00D30FCA"/>
    <w:rsid w:val="00D3145B"/>
    <w:rsid w:val="00D31F67"/>
    <w:rsid w:val="00D338E0"/>
    <w:rsid w:val="00D33C9B"/>
    <w:rsid w:val="00D33EBD"/>
    <w:rsid w:val="00D34D73"/>
    <w:rsid w:val="00D34E04"/>
    <w:rsid w:val="00D34F4A"/>
    <w:rsid w:val="00D35104"/>
    <w:rsid w:val="00D354EA"/>
    <w:rsid w:val="00D355E1"/>
    <w:rsid w:val="00D35A8E"/>
    <w:rsid w:val="00D369F0"/>
    <w:rsid w:val="00D36AE6"/>
    <w:rsid w:val="00D37001"/>
    <w:rsid w:val="00D3734C"/>
    <w:rsid w:val="00D403D6"/>
    <w:rsid w:val="00D40762"/>
    <w:rsid w:val="00D40FCD"/>
    <w:rsid w:val="00D42ABD"/>
    <w:rsid w:val="00D42EDA"/>
    <w:rsid w:val="00D445F0"/>
    <w:rsid w:val="00D44FBF"/>
    <w:rsid w:val="00D506CD"/>
    <w:rsid w:val="00D506F4"/>
    <w:rsid w:val="00D50C15"/>
    <w:rsid w:val="00D51094"/>
    <w:rsid w:val="00D5166D"/>
    <w:rsid w:val="00D51759"/>
    <w:rsid w:val="00D51AF1"/>
    <w:rsid w:val="00D51F53"/>
    <w:rsid w:val="00D527DD"/>
    <w:rsid w:val="00D52B8D"/>
    <w:rsid w:val="00D5322E"/>
    <w:rsid w:val="00D53AFD"/>
    <w:rsid w:val="00D53FDE"/>
    <w:rsid w:val="00D54115"/>
    <w:rsid w:val="00D54209"/>
    <w:rsid w:val="00D5491C"/>
    <w:rsid w:val="00D54E99"/>
    <w:rsid w:val="00D54F1B"/>
    <w:rsid w:val="00D55816"/>
    <w:rsid w:val="00D559C7"/>
    <w:rsid w:val="00D560BF"/>
    <w:rsid w:val="00D56BF6"/>
    <w:rsid w:val="00D57853"/>
    <w:rsid w:val="00D600E7"/>
    <w:rsid w:val="00D6023B"/>
    <w:rsid w:val="00D60A41"/>
    <w:rsid w:val="00D60B45"/>
    <w:rsid w:val="00D60B5D"/>
    <w:rsid w:val="00D61446"/>
    <w:rsid w:val="00D6176B"/>
    <w:rsid w:val="00D61B19"/>
    <w:rsid w:val="00D6212D"/>
    <w:rsid w:val="00D62862"/>
    <w:rsid w:val="00D62920"/>
    <w:rsid w:val="00D62D3E"/>
    <w:rsid w:val="00D62E82"/>
    <w:rsid w:val="00D63685"/>
    <w:rsid w:val="00D640FC"/>
    <w:rsid w:val="00D64788"/>
    <w:rsid w:val="00D64B03"/>
    <w:rsid w:val="00D64BB6"/>
    <w:rsid w:val="00D64C90"/>
    <w:rsid w:val="00D65663"/>
    <w:rsid w:val="00D658FC"/>
    <w:rsid w:val="00D66BCE"/>
    <w:rsid w:val="00D670D2"/>
    <w:rsid w:val="00D7011B"/>
    <w:rsid w:val="00D71017"/>
    <w:rsid w:val="00D714A0"/>
    <w:rsid w:val="00D7214D"/>
    <w:rsid w:val="00D725C5"/>
    <w:rsid w:val="00D72E75"/>
    <w:rsid w:val="00D73165"/>
    <w:rsid w:val="00D732C9"/>
    <w:rsid w:val="00D74596"/>
    <w:rsid w:val="00D7462F"/>
    <w:rsid w:val="00D756D7"/>
    <w:rsid w:val="00D765BA"/>
    <w:rsid w:val="00D7783E"/>
    <w:rsid w:val="00D80529"/>
    <w:rsid w:val="00D8091E"/>
    <w:rsid w:val="00D80B06"/>
    <w:rsid w:val="00D81067"/>
    <w:rsid w:val="00D8129A"/>
    <w:rsid w:val="00D82ABA"/>
    <w:rsid w:val="00D83B35"/>
    <w:rsid w:val="00D84976"/>
    <w:rsid w:val="00D84D17"/>
    <w:rsid w:val="00D84F8F"/>
    <w:rsid w:val="00D85A97"/>
    <w:rsid w:val="00D85D1E"/>
    <w:rsid w:val="00D869B8"/>
    <w:rsid w:val="00D8743D"/>
    <w:rsid w:val="00D87888"/>
    <w:rsid w:val="00D87DCD"/>
    <w:rsid w:val="00D91066"/>
    <w:rsid w:val="00D913C3"/>
    <w:rsid w:val="00D91CEC"/>
    <w:rsid w:val="00D9209F"/>
    <w:rsid w:val="00D92277"/>
    <w:rsid w:val="00D927FD"/>
    <w:rsid w:val="00D92B75"/>
    <w:rsid w:val="00D92BC0"/>
    <w:rsid w:val="00D945ED"/>
    <w:rsid w:val="00D94C47"/>
    <w:rsid w:val="00D94D66"/>
    <w:rsid w:val="00D95080"/>
    <w:rsid w:val="00D950B8"/>
    <w:rsid w:val="00D956A4"/>
    <w:rsid w:val="00D95CD0"/>
    <w:rsid w:val="00D95EE3"/>
    <w:rsid w:val="00D969C7"/>
    <w:rsid w:val="00D97123"/>
    <w:rsid w:val="00D979EC"/>
    <w:rsid w:val="00DA02D7"/>
    <w:rsid w:val="00DA095B"/>
    <w:rsid w:val="00DA148F"/>
    <w:rsid w:val="00DA1585"/>
    <w:rsid w:val="00DA2216"/>
    <w:rsid w:val="00DA2501"/>
    <w:rsid w:val="00DA2AB4"/>
    <w:rsid w:val="00DA3945"/>
    <w:rsid w:val="00DA443D"/>
    <w:rsid w:val="00DA4BCF"/>
    <w:rsid w:val="00DA4D6C"/>
    <w:rsid w:val="00DA6C21"/>
    <w:rsid w:val="00DA72ED"/>
    <w:rsid w:val="00DB07CA"/>
    <w:rsid w:val="00DB0D2C"/>
    <w:rsid w:val="00DB1E8F"/>
    <w:rsid w:val="00DB1F1D"/>
    <w:rsid w:val="00DB229B"/>
    <w:rsid w:val="00DB2FC6"/>
    <w:rsid w:val="00DB3802"/>
    <w:rsid w:val="00DB3805"/>
    <w:rsid w:val="00DB40F0"/>
    <w:rsid w:val="00DB4CF1"/>
    <w:rsid w:val="00DB546C"/>
    <w:rsid w:val="00DB5B6C"/>
    <w:rsid w:val="00DB6055"/>
    <w:rsid w:val="00DB6B1F"/>
    <w:rsid w:val="00DB709F"/>
    <w:rsid w:val="00DB7865"/>
    <w:rsid w:val="00DB7D06"/>
    <w:rsid w:val="00DB7D0C"/>
    <w:rsid w:val="00DB7E71"/>
    <w:rsid w:val="00DB7EC0"/>
    <w:rsid w:val="00DC09B6"/>
    <w:rsid w:val="00DC1511"/>
    <w:rsid w:val="00DC1E22"/>
    <w:rsid w:val="00DC23CE"/>
    <w:rsid w:val="00DC247D"/>
    <w:rsid w:val="00DC3EB8"/>
    <w:rsid w:val="00DC3EE5"/>
    <w:rsid w:val="00DC558F"/>
    <w:rsid w:val="00DC6184"/>
    <w:rsid w:val="00DC7F3A"/>
    <w:rsid w:val="00DD0229"/>
    <w:rsid w:val="00DD03D9"/>
    <w:rsid w:val="00DD1C24"/>
    <w:rsid w:val="00DD1C9C"/>
    <w:rsid w:val="00DD1EAF"/>
    <w:rsid w:val="00DD29CC"/>
    <w:rsid w:val="00DD2C8E"/>
    <w:rsid w:val="00DD2DC3"/>
    <w:rsid w:val="00DD3142"/>
    <w:rsid w:val="00DD3641"/>
    <w:rsid w:val="00DD38C9"/>
    <w:rsid w:val="00DD3B31"/>
    <w:rsid w:val="00DD40F3"/>
    <w:rsid w:val="00DD4C2A"/>
    <w:rsid w:val="00DD5978"/>
    <w:rsid w:val="00DD5E61"/>
    <w:rsid w:val="00DD62F0"/>
    <w:rsid w:val="00DD63E7"/>
    <w:rsid w:val="00DD6DD3"/>
    <w:rsid w:val="00DE05B5"/>
    <w:rsid w:val="00DE0735"/>
    <w:rsid w:val="00DE0DE3"/>
    <w:rsid w:val="00DE1E74"/>
    <w:rsid w:val="00DE21C2"/>
    <w:rsid w:val="00DE2586"/>
    <w:rsid w:val="00DE262D"/>
    <w:rsid w:val="00DE38D0"/>
    <w:rsid w:val="00DE439C"/>
    <w:rsid w:val="00DE5E90"/>
    <w:rsid w:val="00DE6867"/>
    <w:rsid w:val="00DE6B60"/>
    <w:rsid w:val="00DE6DCC"/>
    <w:rsid w:val="00DE72D5"/>
    <w:rsid w:val="00DE760D"/>
    <w:rsid w:val="00DE782B"/>
    <w:rsid w:val="00DF050D"/>
    <w:rsid w:val="00DF06E4"/>
    <w:rsid w:val="00DF0A44"/>
    <w:rsid w:val="00DF15C6"/>
    <w:rsid w:val="00DF16F9"/>
    <w:rsid w:val="00DF3A81"/>
    <w:rsid w:val="00DF3F1A"/>
    <w:rsid w:val="00DF440D"/>
    <w:rsid w:val="00DF45E1"/>
    <w:rsid w:val="00DF4F51"/>
    <w:rsid w:val="00DF4FB6"/>
    <w:rsid w:val="00DF59B2"/>
    <w:rsid w:val="00DF6536"/>
    <w:rsid w:val="00E0021D"/>
    <w:rsid w:val="00E0091B"/>
    <w:rsid w:val="00E00CB5"/>
    <w:rsid w:val="00E00E74"/>
    <w:rsid w:val="00E01CC1"/>
    <w:rsid w:val="00E0217A"/>
    <w:rsid w:val="00E02FD2"/>
    <w:rsid w:val="00E0370C"/>
    <w:rsid w:val="00E05368"/>
    <w:rsid w:val="00E057F3"/>
    <w:rsid w:val="00E058B1"/>
    <w:rsid w:val="00E05C7D"/>
    <w:rsid w:val="00E05E32"/>
    <w:rsid w:val="00E0650C"/>
    <w:rsid w:val="00E0651C"/>
    <w:rsid w:val="00E07472"/>
    <w:rsid w:val="00E07A07"/>
    <w:rsid w:val="00E1220A"/>
    <w:rsid w:val="00E14168"/>
    <w:rsid w:val="00E14AD2"/>
    <w:rsid w:val="00E15A10"/>
    <w:rsid w:val="00E165A2"/>
    <w:rsid w:val="00E16B5F"/>
    <w:rsid w:val="00E200C1"/>
    <w:rsid w:val="00E20F66"/>
    <w:rsid w:val="00E21033"/>
    <w:rsid w:val="00E2108B"/>
    <w:rsid w:val="00E2281E"/>
    <w:rsid w:val="00E237B1"/>
    <w:rsid w:val="00E23AC4"/>
    <w:rsid w:val="00E258FF"/>
    <w:rsid w:val="00E26498"/>
    <w:rsid w:val="00E26534"/>
    <w:rsid w:val="00E26B77"/>
    <w:rsid w:val="00E272A9"/>
    <w:rsid w:val="00E27344"/>
    <w:rsid w:val="00E27A00"/>
    <w:rsid w:val="00E27E45"/>
    <w:rsid w:val="00E27E98"/>
    <w:rsid w:val="00E323A7"/>
    <w:rsid w:val="00E32429"/>
    <w:rsid w:val="00E3251F"/>
    <w:rsid w:val="00E32B3D"/>
    <w:rsid w:val="00E32C24"/>
    <w:rsid w:val="00E332A1"/>
    <w:rsid w:val="00E336F9"/>
    <w:rsid w:val="00E337D0"/>
    <w:rsid w:val="00E33ACD"/>
    <w:rsid w:val="00E33B01"/>
    <w:rsid w:val="00E34246"/>
    <w:rsid w:val="00E349FC"/>
    <w:rsid w:val="00E355A6"/>
    <w:rsid w:val="00E36747"/>
    <w:rsid w:val="00E367D6"/>
    <w:rsid w:val="00E371E2"/>
    <w:rsid w:val="00E37274"/>
    <w:rsid w:val="00E379D1"/>
    <w:rsid w:val="00E37EA3"/>
    <w:rsid w:val="00E40287"/>
    <w:rsid w:val="00E40CBE"/>
    <w:rsid w:val="00E40EFD"/>
    <w:rsid w:val="00E41570"/>
    <w:rsid w:val="00E41C31"/>
    <w:rsid w:val="00E423DD"/>
    <w:rsid w:val="00E428D8"/>
    <w:rsid w:val="00E43837"/>
    <w:rsid w:val="00E444EC"/>
    <w:rsid w:val="00E458E6"/>
    <w:rsid w:val="00E46645"/>
    <w:rsid w:val="00E46EB5"/>
    <w:rsid w:val="00E46FBD"/>
    <w:rsid w:val="00E47C3E"/>
    <w:rsid w:val="00E508AB"/>
    <w:rsid w:val="00E51751"/>
    <w:rsid w:val="00E51A0E"/>
    <w:rsid w:val="00E524AC"/>
    <w:rsid w:val="00E52BEA"/>
    <w:rsid w:val="00E52F49"/>
    <w:rsid w:val="00E530E0"/>
    <w:rsid w:val="00E531A0"/>
    <w:rsid w:val="00E53C11"/>
    <w:rsid w:val="00E54997"/>
    <w:rsid w:val="00E54A99"/>
    <w:rsid w:val="00E54CFA"/>
    <w:rsid w:val="00E563E1"/>
    <w:rsid w:val="00E56FE9"/>
    <w:rsid w:val="00E57456"/>
    <w:rsid w:val="00E61678"/>
    <w:rsid w:val="00E61BE2"/>
    <w:rsid w:val="00E61FB9"/>
    <w:rsid w:val="00E62009"/>
    <w:rsid w:val="00E624B8"/>
    <w:rsid w:val="00E626E1"/>
    <w:rsid w:val="00E63607"/>
    <w:rsid w:val="00E63DA4"/>
    <w:rsid w:val="00E64316"/>
    <w:rsid w:val="00E64F91"/>
    <w:rsid w:val="00E658F3"/>
    <w:rsid w:val="00E664EE"/>
    <w:rsid w:val="00E67BF4"/>
    <w:rsid w:val="00E67D03"/>
    <w:rsid w:val="00E70BEB"/>
    <w:rsid w:val="00E73102"/>
    <w:rsid w:val="00E73ADB"/>
    <w:rsid w:val="00E73E6C"/>
    <w:rsid w:val="00E751A9"/>
    <w:rsid w:val="00E757FC"/>
    <w:rsid w:val="00E76546"/>
    <w:rsid w:val="00E766FB"/>
    <w:rsid w:val="00E76CA8"/>
    <w:rsid w:val="00E775AB"/>
    <w:rsid w:val="00E80AE5"/>
    <w:rsid w:val="00E80DA6"/>
    <w:rsid w:val="00E810CF"/>
    <w:rsid w:val="00E81593"/>
    <w:rsid w:val="00E81728"/>
    <w:rsid w:val="00E81DBD"/>
    <w:rsid w:val="00E81DD4"/>
    <w:rsid w:val="00E81E2D"/>
    <w:rsid w:val="00E84D81"/>
    <w:rsid w:val="00E852D6"/>
    <w:rsid w:val="00E857C7"/>
    <w:rsid w:val="00E869CE"/>
    <w:rsid w:val="00E87506"/>
    <w:rsid w:val="00E8794C"/>
    <w:rsid w:val="00E87BC4"/>
    <w:rsid w:val="00E903CB"/>
    <w:rsid w:val="00E90AF9"/>
    <w:rsid w:val="00E9166E"/>
    <w:rsid w:val="00E91826"/>
    <w:rsid w:val="00E920F2"/>
    <w:rsid w:val="00E93435"/>
    <w:rsid w:val="00E943A8"/>
    <w:rsid w:val="00E948A0"/>
    <w:rsid w:val="00E94B96"/>
    <w:rsid w:val="00E94FCC"/>
    <w:rsid w:val="00E950A0"/>
    <w:rsid w:val="00E95344"/>
    <w:rsid w:val="00E9578E"/>
    <w:rsid w:val="00E95DA3"/>
    <w:rsid w:val="00EA00DE"/>
    <w:rsid w:val="00EA035C"/>
    <w:rsid w:val="00EA044F"/>
    <w:rsid w:val="00EA0BCC"/>
    <w:rsid w:val="00EA1178"/>
    <w:rsid w:val="00EA1643"/>
    <w:rsid w:val="00EA1827"/>
    <w:rsid w:val="00EA1B6B"/>
    <w:rsid w:val="00EA4D13"/>
    <w:rsid w:val="00EA50DF"/>
    <w:rsid w:val="00EA5866"/>
    <w:rsid w:val="00EA5DFA"/>
    <w:rsid w:val="00EA6250"/>
    <w:rsid w:val="00EA62DC"/>
    <w:rsid w:val="00EA6752"/>
    <w:rsid w:val="00EA72C1"/>
    <w:rsid w:val="00EA7AD3"/>
    <w:rsid w:val="00EB004F"/>
    <w:rsid w:val="00EB031B"/>
    <w:rsid w:val="00EB0362"/>
    <w:rsid w:val="00EB0497"/>
    <w:rsid w:val="00EB1331"/>
    <w:rsid w:val="00EB1AE4"/>
    <w:rsid w:val="00EB3321"/>
    <w:rsid w:val="00EB45AC"/>
    <w:rsid w:val="00EB4CF0"/>
    <w:rsid w:val="00EB4E82"/>
    <w:rsid w:val="00EB565E"/>
    <w:rsid w:val="00EB5A4E"/>
    <w:rsid w:val="00EB6FBB"/>
    <w:rsid w:val="00EB7C52"/>
    <w:rsid w:val="00EC015E"/>
    <w:rsid w:val="00EC0F19"/>
    <w:rsid w:val="00EC11E1"/>
    <w:rsid w:val="00EC1281"/>
    <w:rsid w:val="00EC1423"/>
    <w:rsid w:val="00EC21CB"/>
    <w:rsid w:val="00EC2290"/>
    <w:rsid w:val="00EC2D38"/>
    <w:rsid w:val="00EC34E2"/>
    <w:rsid w:val="00EC3C14"/>
    <w:rsid w:val="00EC698A"/>
    <w:rsid w:val="00EC6AA0"/>
    <w:rsid w:val="00EC7389"/>
    <w:rsid w:val="00ED0586"/>
    <w:rsid w:val="00ED07F2"/>
    <w:rsid w:val="00ED0D24"/>
    <w:rsid w:val="00ED0E47"/>
    <w:rsid w:val="00ED115F"/>
    <w:rsid w:val="00ED141C"/>
    <w:rsid w:val="00ED161D"/>
    <w:rsid w:val="00ED17CE"/>
    <w:rsid w:val="00ED1BE3"/>
    <w:rsid w:val="00ED1F7E"/>
    <w:rsid w:val="00ED1FEB"/>
    <w:rsid w:val="00ED2689"/>
    <w:rsid w:val="00ED2CCD"/>
    <w:rsid w:val="00ED3079"/>
    <w:rsid w:val="00ED3F04"/>
    <w:rsid w:val="00ED4267"/>
    <w:rsid w:val="00ED549E"/>
    <w:rsid w:val="00ED63C9"/>
    <w:rsid w:val="00ED70C9"/>
    <w:rsid w:val="00ED7651"/>
    <w:rsid w:val="00ED766C"/>
    <w:rsid w:val="00EE1432"/>
    <w:rsid w:val="00EE15ED"/>
    <w:rsid w:val="00EE197F"/>
    <w:rsid w:val="00EE1C44"/>
    <w:rsid w:val="00EE1E53"/>
    <w:rsid w:val="00EE272A"/>
    <w:rsid w:val="00EE329F"/>
    <w:rsid w:val="00EE38E9"/>
    <w:rsid w:val="00EE3D50"/>
    <w:rsid w:val="00EE4482"/>
    <w:rsid w:val="00EE50BB"/>
    <w:rsid w:val="00EE5366"/>
    <w:rsid w:val="00EE53C6"/>
    <w:rsid w:val="00EE60D5"/>
    <w:rsid w:val="00EE67D2"/>
    <w:rsid w:val="00EE6881"/>
    <w:rsid w:val="00EE6EE0"/>
    <w:rsid w:val="00EE74F2"/>
    <w:rsid w:val="00EE756D"/>
    <w:rsid w:val="00EE77A8"/>
    <w:rsid w:val="00EF0519"/>
    <w:rsid w:val="00EF0560"/>
    <w:rsid w:val="00EF11E3"/>
    <w:rsid w:val="00EF1A8C"/>
    <w:rsid w:val="00EF1A9A"/>
    <w:rsid w:val="00EF1CDC"/>
    <w:rsid w:val="00EF1EE2"/>
    <w:rsid w:val="00EF4C2A"/>
    <w:rsid w:val="00EF4D5B"/>
    <w:rsid w:val="00EF513D"/>
    <w:rsid w:val="00EF6F1C"/>
    <w:rsid w:val="00EF7405"/>
    <w:rsid w:val="00EF7AE5"/>
    <w:rsid w:val="00F0138D"/>
    <w:rsid w:val="00F02436"/>
    <w:rsid w:val="00F02B3E"/>
    <w:rsid w:val="00F0365D"/>
    <w:rsid w:val="00F0433C"/>
    <w:rsid w:val="00F04842"/>
    <w:rsid w:val="00F048FE"/>
    <w:rsid w:val="00F054A5"/>
    <w:rsid w:val="00F05554"/>
    <w:rsid w:val="00F070A3"/>
    <w:rsid w:val="00F074C9"/>
    <w:rsid w:val="00F07E7F"/>
    <w:rsid w:val="00F118D3"/>
    <w:rsid w:val="00F14FBB"/>
    <w:rsid w:val="00F15300"/>
    <w:rsid w:val="00F1581E"/>
    <w:rsid w:val="00F1596E"/>
    <w:rsid w:val="00F16128"/>
    <w:rsid w:val="00F16354"/>
    <w:rsid w:val="00F169D7"/>
    <w:rsid w:val="00F16ACA"/>
    <w:rsid w:val="00F20780"/>
    <w:rsid w:val="00F208C7"/>
    <w:rsid w:val="00F20DFC"/>
    <w:rsid w:val="00F21AB0"/>
    <w:rsid w:val="00F21EB4"/>
    <w:rsid w:val="00F21F26"/>
    <w:rsid w:val="00F23094"/>
    <w:rsid w:val="00F2335B"/>
    <w:rsid w:val="00F25C8E"/>
    <w:rsid w:val="00F25E2E"/>
    <w:rsid w:val="00F26B10"/>
    <w:rsid w:val="00F2741A"/>
    <w:rsid w:val="00F309E4"/>
    <w:rsid w:val="00F32974"/>
    <w:rsid w:val="00F3475B"/>
    <w:rsid w:val="00F34CB9"/>
    <w:rsid w:val="00F3514D"/>
    <w:rsid w:val="00F37C53"/>
    <w:rsid w:val="00F37F02"/>
    <w:rsid w:val="00F400A7"/>
    <w:rsid w:val="00F4032B"/>
    <w:rsid w:val="00F40F9D"/>
    <w:rsid w:val="00F41DF0"/>
    <w:rsid w:val="00F42445"/>
    <w:rsid w:val="00F42BE4"/>
    <w:rsid w:val="00F4363E"/>
    <w:rsid w:val="00F4438D"/>
    <w:rsid w:val="00F444A7"/>
    <w:rsid w:val="00F452AA"/>
    <w:rsid w:val="00F45BCA"/>
    <w:rsid w:val="00F4657F"/>
    <w:rsid w:val="00F466E7"/>
    <w:rsid w:val="00F469A0"/>
    <w:rsid w:val="00F46E0A"/>
    <w:rsid w:val="00F471C3"/>
    <w:rsid w:val="00F47251"/>
    <w:rsid w:val="00F47549"/>
    <w:rsid w:val="00F47EC2"/>
    <w:rsid w:val="00F50D8D"/>
    <w:rsid w:val="00F5179B"/>
    <w:rsid w:val="00F51900"/>
    <w:rsid w:val="00F51988"/>
    <w:rsid w:val="00F5198B"/>
    <w:rsid w:val="00F52935"/>
    <w:rsid w:val="00F5321E"/>
    <w:rsid w:val="00F535AC"/>
    <w:rsid w:val="00F53E29"/>
    <w:rsid w:val="00F54447"/>
    <w:rsid w:val="00F54A20"/>
    <w:rsid w:val="00F561F0"/>
    <w:rsid w:val="00F56252"/>
    <w:rsid w:val="00F56480"/>
    <w:rsid w:val="00F566AD"/>
    <w:rsid w:val="00F5730C"/>
    <w:rsid w:val="00F573A7"/>
    <w:rsid w:val="00F576A1"/>
    <w:rsid w:val="00F577F5"/>
    <w:rsid w:val="00F57A01"/>
    <w:rsid w:val="00F57A30"/>
    <w:rsid w:val="00F60D3C"/>
    <w:rsid w:val="00F60FBC"/>
    <w:rsid w:val="00F60FC5"/>
    <w:rsid w:val="00F61405"/>
    <w:rsid w:val="00F616B3"/>
    <w:rsid w:val="00F62620"/>
    <w:rsid w:val="00F62D68"/>
    <w:rsid w:val="00F6301C"/>
    <w:rsid w:val="00F63A83"/>
    <w:rsid w:val="00F64CCA"/>
    <w:rsid w:val="00F65D10"/>
    <w:rsid w:val="00F66B35"/>
    <w:rsid w:val="00F70071"/>
    <w:rsid w:val="00F703E0"/>
    <w:rsid w:val="00F713C5"/>
    <w:rsid w:val="00F71EC4"/>
    <w:rsid w:val="00F71FE2"/>
    <w:rsid w:val="00F723C4"/>
    <w:rsid w:val="00F72419"/>
    <w:rsid w:val="00F7290A"/>
    <w:rsid w:val="00F7296A"/>
    <w:rsid w:val="00F730ED"/>
    <w:rsid w:val="00F73EC2"/>
    <w:rsid w:val="00F752A9"/>
    <w:rsid w:val="00F76155"/>
    <w:rsid w:val="00F762F0"/>
    <w:rsid w:val="00F76723"/>
    <w:rsid w:val="00F76953"/>
    <w:rsid w:val="00F76F99"/>
    <w:rsid w:val="00F771B1"/>
    <w:rsid w:val="00F7799B"/>
    <w:rsid w:val="00F77DA3"/>
    <w:rsid w:val="00F81A85"/>
    <w:rsid w:val="00F82100"/>
    <w:rsid w:val="00F8212B"/>
    <w:rsid w:val="00F82765"/>
    <w:rsid w:val="00F83399"/>
    <w:rsid w:val="00F83C3F"/>
    <w:rsid w:val="00F8443F"/>
    <w:rsid w:val="00F8472D"/>
    <w:rsid w:val="00F847DC"/>
    <w:rsid w:val="00F84BF5"/>
    <w:rsid w:val="00F85604"/>
    <w:rsid w:val="00F862D6"/>
    <w:rsid w:val="00F8673E"/>
    <w:rsid w:val="00F86B8F"/>
    <w:rsid w:val="00F90969"/>
    <w:rsid w:val="00F919B1"/>
    <w:rsid w:val="00F92000"/>
    <w:rsid w:val="00F9330C"/>
    <w:rsid w:val="00F93712"/>
    <w:rsid w:val="00F947C9"/>
    <w:rsid w:val="00F952ED"/>
    <w:rsid w:val="00F95B6D"/>
    <w:rsid w:val="00F95D4F"/>
    <w:rsid w:val="00F96424"/>
    <w:rsid w:val="00F9656F"/>
    <w:rsid w:val="00F96AA8"/>
    <w:rsid w:val="00F97245"/>
    <w:rsid w:val="00F97BF2"/>
    <w:rsid w:val="00F97C9A"/>
    <w:rsid w:val="00F97DC5"/>
    <w:rsid w:val="00FA1069"/>
    <w:rsid w:val="00FA129B"/>
    <w:rsid w:val="00FA231F"/>
    <w:rsid w:val="00FA2575"/>
    <w:rsid w:val="00FA2979"/>
    <w:rsid w:val="00FA2DA8"/>
    <w:rsid w:val="00FA34C3"/>
    <w:rsid w:val="00FA3809"/>
    <w:rsid w:val="00FA3B97"/>
    <w:rsid w:val="00FA415C"/>
    <w:rsid w:val="00FA446D"/>
    <w:rsid w:val="00FA465D"/>
    <w:rsid w:val="00FA47E7"/>
    <w:rsid w:val="00FA4A9E"/>
    <w:rsid w:val="00FA4BE6"/>
    <w:rsid w:val="00FA5021"/>
    <w:rsid w:val="00FA5D4C"/>
    <w:rsid w:val="00FA6038"/>
    <w:rsid w:val="00FA7383"/>
    <w:rsid w:val="00FB00B4"/>
    <w:rsid w:val="00FB13A7"/>
    <w:rsid w:val="00FB1AB0"/>
    <w:rsid w:val="00FB1ECA"/>
    <w:rsid w:val="00FB2483"/>
    <w:rsid w:val="00FB264F"/>
    <w:rsid w:val="00FB2E1C"/>
    <w:rsid w:val="00FB304C"/>
    <w:rsid w:val="00FB4150"/>
    <w:rsid w:val="00FB4C7B"/>
    <w:rsid w:val="00FB5BB7"/>
    <w:rsid w:val="00FB735D"/>
    <w:rsid w:val="00FB791F"/>
    <w:rsid w:val="00FC0CBB"/>
    <w:rsid w:val="00FC18FA"/>
    <w:rsid w:val="00FC1BDB"/>
    <w:rsid w:val="00FC2F9A"/>
    <w:rsid w:val="00FC39E7"/>
    <w:rsid w:val="00FC469D"/>
    <w:rsid w:val="00FC522C"/>
    <w:rsid w:val="00FC5700"/>
    <w:rsid w:val="00FC5850"/>
    <w:rsid w:val="00FC585C"/>
    <w:rsid w:val="00FC61E2"/>
    <w:rsid w:val="00FC763F"/>
    <w:rsid w:val="00FC7ED9"/>
    <w:rsid w:val="00FD0B8B"/>
    <w:rsid w:val="00FD0FB5"/>
    <w:rsid w:val="00FD12E9"/>
    <w:rsid w:val="00FD1DCE"/>
    <w:rsid w:val="00FD237D"/>
    <w:rsid w:val="00FD25A3"/>
    <w:rsid w:val="00FD3DF0"/>
    <w:rsid w:val="00FD6421"/>
    <w:rsid w:val="00FD6EB1"/>
    <w:rsid w:val="00FD70CC"/>
    <w:rsid w:val="00FD722A"/>
    <w:rsid w:val="00FD7CD6"/>
    <w:rsid w:val="00FE0C73"/>
    <w:rsid w:val="00FE0E99"/>
    <w:rsid w:val="00FE1408"/>
    <w:rsid w:val="00FE1626"/>
    <w:rsid w:val="00FE172E"/>
    <w:rsid w:val="00FE1977"/>
    <w:rsid w:val="00FE2653"/>
    <w:rsid w:val="00FE3095"/>
    <w:rsid w:val="00FE3CE0"/>
    <w:rsid w:val="00FE3F5F"/>
    <w:rsid w:val="00FE44BA"/>
    <w:rsid w:val="00FE456D"/>
    <w:rsid w:val="00FE470B"/>
    <w:rsid w:val="00FE4820"/>
    <w:rsid w:val="00FE5CD0"/>
    <w:rsid w:val="00FE5FA6"/>
    <w:rsid w:val="00FE618A"/>
    <w:rsid w:val="00FE6823"/>
    <w:rsid w:val="00FE7822"/>
    <w:rsid w:val="00FE7AF4"/>
    <w:rsid w:val="00FF05EC"/>
    <w:rsid w:val="00FF0D67"/>
    <w:rsid w:val="00FF105B"/>
    <w:rsid w:val="00FF2F2B"/>
    <w:rsid w:val="00FF335E"/>
    <w:rsid w:val="00FF3ECE"/>
    <w:rsid w:val="00FF4A83"/>
    <w:rsid w:val="00FF513E"/>
    <w:rsid w:val="00FF5987"/>
    <w:rsid w:val="00FF633E"/>
    <w:rsid w:val="00FF75C0"/>
    <w:rsid w:val="00FF7643"/>
    <w:rsid w:val="00FF784B"/>
    <w:rsid w:val="00FF7884"/>
    <w:rsid w:val="02064E54"/>
    <w:rsid w:val="02121CC8"/>
    <w:rsid w:val="027476E4"/>
    <w:rsid w:val="05BF6CD2"/>
    <w:rsid w:val="06C8408C"/>
    <w:rsid w:val="06D81ED4"/>
    <w:rsid w:val="073C31C4"/>
    <w:rsid w:val="07FF6475"/>
    <w:rsid w:val="09A724AB"/>
    <w:rsid w:val="09AA65F0"/>
    <w:rsid w:val="0CA152E4"/>
    <w:rsid w:val="0CBA5F13"/>
    <w:rsid w:val="0CC57512"/>
    <w:rsid w:val="0CD934C1"/>
    <w:rsid w:val="0E342AD5"/>
    <w:rsid w:val="0F944EA8"/>
    <w:rsid w:val="11704817"/>
    <w:rsid w:val="121946A3"/>
    <w:rsid w:val="15750D04"/>
    <w:rsid w:val="16480CAC"/>
    <w:rsid w:val="16A34855"/>
    <w:rsid w:val="16AC7A82"/>
    <w:rsid w:val="18205BC1"/>
    <w:rsid w:val="18321C8C"/>
    <w:rsid w:val="1923292F"/>
    <w:rsid w:val="1AF71CC6"/>
    <w:rsid w:val="1CD32671"/>
    <w:rsid w:val="1E8F70E7"/>
    <w:rsid w:val="1FE47B4B"/>
    <w:rsid w:val="22595F06"/>
    <w:rsid w:val="23210A2D"/>
    <w:rsid w:val="250C1FD0"/>
    <w:rsid w:val="272A6446"/>
    <w:rsid w:val="276A6485"/>
    <w:rsid w:val="2846682C"/>
    <w:rsid w:val="28B739D6"/>
    <w:rsid w:val="29025D0A"/>
    <w:rsid w:val="2BB409AE"/>
    <w:rsid w:val="2D350184"/>
    <w:rsid w:val="2E4053E0"/>
    <w:rsid w:val="2F01096F"/>
    <w:rsid w:val="2F053DED"/>
    <w:rsid w:val="2F080FF4"/>
    <w:rsid w:val="2F5C51A5"/>
    <w:rsid w:val="30247CCC"/>
    <w:rsid w:val="310A5F26"/>
    <w:rsid w:val="312F00C3"/>
    <w:rsid w:val="327E1B14"/>
    <w:rsid w:val="33F56773"/>
    <w:rsid w:val="34F10E26"/>
    <w:rsid w:val="35131843"/>
    <w:rsid w:val="3517780F"/>
    <w:rsid w:val="370C149F"/>
    <w:rsid w:val="37160040"/>
    <w:rsid w:val="38227DDA"/>
    <w:rsid w:val="39034397"/>
    <w:rsid w:val="39ED6EBA"/>
    <w:rsid w:val="3A7373A9"/>
    <w:rsid w:val="3E5E4A5C"/>
    <w:rsid w:val="3F465D55"/>
    <w:rsid w:val="3F7A3757"/>
    <w:rsid w:val="4020288A"/>
    <w:rsid w:val="402941C4"/>
    <w:rsid w:val="404B04DC"/>
    <w:rsid w:val="410015B9"/>
    <w:rsid w:val="412D6DD6"/>
    <w:rsid w:val="413866D1"/>
    <w:rsid w:val="436037BB"/>
    <w:rsid w:val="44D726D5"/>
    <w:rsid w:val="49284D7B"/>
    <w:rsid w:val="4A380D27"/>
    <w:rsid w:val="4BFF1F64"/>
    <w:rsid w:val="4D3C01A6"/>
    <w:rsid w:val="4D3F013F"/>
    <w:rsid w:val="4EE574E0"/>
    <w:rsid w:val="4EFF7796"/>
    <w:rsid w:val="4F7F66FC"/>
    <w:rsid w:val="502E3957"/>
    <w:rsid w:val="503720D3"/>
    <w:rsid w:val="508E145A"/>
    <w:rsid w:val="529D4BF0"/>
    <w:rsid w:val="56E65C50"/>
    <w:rsid w:val="58F6486A"/>
    <w:rsid w:val="5AE437B0"/>
    <w:rsid w:val="5BBA0CD3"/>
    <w:rsid w:val="5BC941A0"/>
    <w:rsid w:val="5C9D49F1"/>
    <w:rsid w:val="5DC4081B"/>
    <w:rsid w:val="5E173BCC"/>
    <w:rsid w:val="5EBA04E1"/>
    <w:rsid w:val="6012759A"/>
    <w:rsid w:val="6074044E"/>
    <w:rsid w:val="619D7B55"/>
    <w:rsid w:val="61BA6334"/>
    <w:rsid w:val="637D4E3C"/>
    <w:rsid w:val="63C5554E"/>
    <w:rsid w:val="668F1004"/>
    <w:rsid w:val="684B470F"/>
    <w:rsid w:val="69651789"/>
    <w:rsid w:val="70604683"/>
    <w:rsid w:val="715F3EF1"/>
    <w:rsid w:val="72F46836"/>
    <w:rsid w:val="732861B3"/>
    <w:rsid w:val="734D26CF"/>
    <w:rsid w:val="73817614"/>
    <w:rsid w:val="73ED68DD"/>
    <w:rsid w:val="74333493"/>
    <w:rsid w:val="76497172"/>
    <w:rsid w:val="76B10282"/>
    <w:rsid w:val="76BD07ED"/>
    <w:rsid w:val="773A6F90"/>
    <w:rsid w:val="79A25BD4"/>
    <w:rsid w:val="79B646E1"/>
    <w:rsid w:val="79C46E2C"/>
    <w:rsid w:val="7BF41CC8"/>
    <w:rsid w:val="7D747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iPriority="0" w:name="endnote reference"/>
    <w:lsdException w:qFormat="1" w:uiPriority="99" w:name="endnote text"/>
    <w:lsdException w:unhideWhenUsed="0" w:uiPriority="0" w:semiHidden="0" w:name="table of authorities"/>
    <w:lsdException w:uiPriority="99" w:name="macro"/>
    <w:lsdException w:qFormat="1" w:uiPriority="0" w:name="toa heading"/>
    <w:lsdException w:unhideWhenUsed="0" w:uiPriority="0" w:semiHidden="0" w:name="List"/>
    <w:lsdException w:unhideWhenUsed="0" w:uiPriority="0" w:semiHidden="0" w:name="List Bullet"/>
    <w:lsdException w:qFormat="1" w:uiPriority="0" w:name="List Number"/>
    <w:lsdException w:qFormat="1" w:uiPriority="99" w:name="List 2"/>
    <w:lsdException w:qFormat="1" w:unhideWhenUsed="0" w:uiPriority="0" w:semiHidden="0" w:name="List 3"/>
    <w:lsdException w:qFormat="1" w:uiPriority="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name="Salutation"/>
    <w:lsdException w:qFormat="1" w:unhideWhenUsed="0" w:uiPriority="0" w:semiHidden="0" w:name="Date"/>
    <w:lsdException w:qFormat="1" w:unhideWhenUsed="0" w:uiPriority="0" w:semiHidden="0" w:name="Body Text First Indent"/>
    <w:lsdException w:qFormat="1" w:uiPriority="0" w:name="Body Text First Indent 2"/>
    <w:lsdException w:qFormat="1" w:uiPriority="0" w:name="Note Heading"/>
    <w:lsdException w:qFormat="1" w:unhideWhenUsed="0" w:uiPriority="0" w:semiHidden="0" w:name="Body Text 2"/>
    <w:lsdException w:qFormat="1" w:uiPriority="0" w:name="Body Text 3"/>
    <w:lsdException w:qFormat="1" w:unhideWhenUsed="0" w:uiPriority="0" w:semiHidden="0" w:name="Body Text Indent 2"/>
    <w:lsdException w:qFormat="1" w:unhideWhenUsed="0" w:uiPriority="0" w:semiHidden="0" w:name="Body Text Indent 3"/>
    <w:lsdException w:qFormat="1" w:uiPriority="0" w:name="Block Text"/>
    <w:lsdException w:qFormat="1" w:uiPriority="99" w:semiHidden="0" w:name="Hyperlink"/>
    <w:lsdException w:qFormat="1" w:uiPriority="99" w:name="FollowedHyperlink"/>
    <w:lsdException w:qFormat="1" w:unhideWhenUsed="0" w:uiPriority="0" w:semiHidden="0" w:name="Strong"/>
    <w:lsdException w:unhideWhenUsed="0" w:uiPriority="20" w:semiHidden="0" w:name="Emphasis"/>
    <w:lsdException w:qFormat="1" w:unhideWhenUsed="0" w:uiPriority="0" w:semiHidden="0" w:name="Document Map"/>
    <w:lsdException w:qFormat="1" w:unhideWhenUsed="0" w:uiPriority="0" w:semiHidden="0" w:name="Plain Text"/>
    <w:lsdException w:qFormat="1" w:uiPriority="0"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qFormat="1" w:uiPriority="0" w:name="HTML Sample"/>
    <w:lsdException w:uiPriority="99" w:name="HTML Typewriter"/>
    <w:lsdException w:uiPriority="99" w:name="HTML Variable"/>
    <w:lsdException w:qFormat="1" w:uiPriority="99" w:name="Normal Table"/>
    <w:lsdException w:qFormat="1" w:uiPriority="0" w:semiHidden="0" w:name="annotation subject"/>
    <w:lsdException w:qFormat="1"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iPriority="0" w:name="Table Grid 5"/>
    <w:lsdException w:qFormat="1" w:uiPriority="0" w:name="Table Grid 6"/>
    <w:lsdException w:qFormat="1" w:uiPriority="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2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line="720" w:lineRule="exact"/>
      <w:jc w:val="center"/>
      <w:outlineLvl w:val="0"/>
    </w:pPr>
    <w:rPr>
      <w:rFonts w:eastAsia="隶书"/>
      <w:b/>
      <w:bCs/>
      <w:kern w:val="44"/>
      <w:sz w:val="44"/>
      <w:szCs w:val="44"/>
      <w:lang w:val="zh-CN"/>
    </w:rPr>
  </w:style>
  <w:style w:type="paragraph" w:styleId="3">
    <w:name w:val="heading 2"/>
    <w:basedOn w:val="1"/>
    <w:next w:val="1"/>
    <w:link w:val="52"/>
    <w:qFormat/>
    <w:uiPriority w:val="0"/>
    <w:pPr>
      <w:keepNext/>
      <w:keepLines/>
      <w:spacing w:line="600" w:lineRule="exact"/>
      <w:outlineLvl w:val="1"/>
    </w:pPr>
    <w:rPr>
      <w:rFonts w:ascii="宋体" w:hAnsi="Arial"/>
      <w:b/>
      <w:bCs/>
      <w:kern w:val="0"/>
      <w:sz w:val="32"/>
      <w:szCs w:val="32"/>
      <w:lang w:val="zh-CN"/>
    </w:rPr>
  </w:style>
  <w:style w:type="paragraph" w:styleId="4">
    <w:name w:val="heading 3"/>
    <w:basedOn w:val="1"/>
    <w:next w:val="5"/>
    <w:link w:val="53"/>
    <w:unhideWhenUsed/>
    <w:qFormat/>
    <w:uiPriority w:val="0"/>
    <w:pPr>
      <w:keepNext/>
      <w:keepLines/>
      <w:spacing w:line="500" w:lineRule="exact"/>
      <w:outlineLvl w:val="2"/>
    </w:pPr>
    <w:rPr>
      <w:rFonts w:ascii="宋体"/>
      <w:b/>
      <w:bCs/>
      <w:sz w:val="28"/>
      <w:szCs w:val="32"/>
    </w:rPr>
  </w:style>
  <w:style w:type="paragraph" w:styleId="6">
    <w:name w:val="heading 4"/>
    <w:basedOn w:val="1"/>
    <w:next w:val="1"/>
    <w:link w:val="54"/>
    <w:unhideWhenUsed/>
    <w:qFormat/>
    <w:uiPriority w:val="0"/>
    <w:pPr>
      <w:keepNext/>
      <w:keepLines/>
      <w:snapToGrid w:val="0"/>
      <w:spacing w:line="480" w:lineRule="auto"/>
      <w:outlineLvl w:val="3"/>
    </w:pPr>
    <w:rPr>
      <w:rFonts w:asciiTheme="majorHAnsi" w:hAnsiTheme="majorHAnsi" w:eastAsiaTheme="majorEastAsia" w:cstheme="majorBidi"/>
      <w:b/>
      <w:bCs/>
      <w:szCs w:val="28"/>
    </w:rPr>
  </w:style>
  <w:style w:type="paragraph" w:styleId="7">
    <w:name w:val="heading 5"/>
    <w:basedOn w:val="1"/>
    <w:next w:val="1"/>
    <w:link w:val="55"/>
    <w:qFormat/>
    <w:uiPriority w:val="0"/>
    <w:pPr>
      <w:keepNext/>
      <w:jc w:val="center"/>
      <w:outlineLvl w:val="4"/>
    </w:pPr>
    <w:rPr>
      <w:i/>
      <w:iCs/>
      <w:kern w:val="0"/>
      <w:sz w:val="20"/>
      <w:szCs w:val="20"/>
      <w:lang w:val="zh-CN"/>
    </w:rPr>
  </w:style>
  <w:style w:type="paragraph" w:styleId="8">
    <w:name w:val="heading 6"/>
    <w:basedOn w:val="1"/>
    <w:next w:val="1"/>
    <w:link w:val="56"/>
    <w:qFormat/>
    <w:uiPriority w:val="0"/>
    <w:pPr>
      <w:keepNext/>
      <w:widowControl/>
      <w:tabs>
        <w:tab w:val="left" w:pos="2520"/>
        <w:tab w:val="left" w:pos="5040"/>
      </w:tabs>
      <w:spacing w:before="40" w:after="40"/>
      <w:ind w:left="3600"/>
      <w:outlineLvl w:val="5"/>
    </w:pPr>
    <w:rPr>
      <w:b/>
      <w:color w:val="000000"/>
      <w:kern w:val="0"/>
      <w:szCs w:val="20"/>
      <w:lang w:val="zh-CN"/>
    </w:rPr>
  </w:style>
  <w:style w:type="paragraph" w:styleId="9">
    <w:name w:val="heading 7"/>
    <w:basedOn w:val="1"/>
    <w:next w:val="1"/>
    <w:link w:val="57"/>
    <w:qFormat/>
    <w:uiPriority w:val="0"/>
    <w:pPr>
      <w:keepNext/>
      <w:keepLines/>
      <w:spacing w:before="240" w:after="64" w:line="320" w:lineRule="auto"/>
      <w:outlineLvl w:val="6"/>
    </w:pPr>
    <w:rPr>
      <w:b/>
      <w:bCs/>
      <w:kern w:val="0"/>
      <w:lang w:val="zh-CN"/>
    </w:rPr>
  </w:style>
  <w:style w:type="paragraph" w:styleId="10">
    <w:name w:val="heading 8"/>
    <w:basedOn w:val="1"/>
    <w:next w:val="1"/>
    <w:link w:val="58"/>
    <w:qFormat/>
    <w:uiPriority w:val="0"/>
    <w:pPr>
      <w:keepNext/>
      <w:widowControl/>
      <w:tabs>
        <w:tab w:val="left" w:pos="5400"/>
      </w:tabs>
      <w:spacing w:line="360" w:lineRule="auto"/>
      <w:ind w:left="5040"/>
      <w:jc w:val="left"/>
      <w:outlineLvl w:val="7"/>
    </w:pPr>
    <w:rPr>
      <w:b/>
      <w:color w:val="000000"/>
      <w:kern w:val="0"/>
      <w:szCs w:val="20"/>
      <w:lang w:val="zh-CN"/>
    </w:rPr>
  </w:style>
  <w:style w:type="paragraph" w:styleId="11">
    <w:name w:val="heading 9"/>
    <w:basedOn w:val="1"/>
    <w:next w:val="1"/>
    <w:link w:val="59"/>
    <w:qFormat/>
    <w:uiPriority w:val="0"/>
    <w:pPr>
      <w:keepNext/>
      <w:widowControl/>
      <w:tabs>
        <w:tab w:val="left" w:pos="6120"/>
      </w:tabs>
      <w:spacing w:line="360" w:lineRule="auto"/>
      <w:ind w:left="5760"/>
      <w:jc w:val="left"/>
      <w:outlineLvl w:val="8"/>
    </w:pPr>
    <w:rPr>
      <w:color w:val="000000"/>
      <w:kern w:val="0"/>
      <w:szCs w:val="20"/>
      <w:u w:val="single"/>
      <w:lang w:val="zh-CN"/>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104"/>
    <w:qFormat/>
    <w:uiPriority w:val="0"/>
    <w:pPr>
      <w:autoSpaceDE w:val="0"/>
      <w:autoSpaceDN w:val="0"/>
      <w:adjustRightInd w:val="0"/>
      <w:spacing w:line="560" w:lineRule="exact"/>
    </w:pPr>
    <w:rPr>
      <w:rFonts w:ascii="黑体" w:eastAsia="黑体"/>
      <w:kern w:val="0"/>
      <w:sz w:val="28"/>
      <w:szCs w:val="21"/>
    </w:rPr>
  </w:style>
  <w:style w:type="paragraph" w:styleId="12">
    <w:name w:val="List 3"/>
    <w:basedOn w:val="1"/>
    <w:qFormat/>
    <w:uiPriority w:val="0"/>
    <w:pPr>
      <w:tabs>
        <w:tab w:val="left" w:pos="1965"/>
      </w:tabs>
      <w:ind w:left="100" w:leftChars="400" w:hanging="200" w:hangingChars="200"/>
    </w:pPr>
    <w:rPr>
      <w:rFonts w:hAnsi="Times New Roman" w:cs="Times New Roman"/>
      <w:color w:val="000000"/>
      <w:szCs w:val="24"/>
    </w:rPr>
  </w:style>
  <w:style w:type="paragraph" w:styleId="13">
    <w:name w:val="toc 7"/>
    <w:basedOn w:val="1"/>
    <w:next w:val="1"/>
    <w:semiHidden/>
    <w:qFormat/>
    <w:uiPriority w:val="0"/>
    <w:pPr>
      <w:spacing w:line="240" w:lineRule="auto"/>
      <w:ind w:left="2520" w:leftChars="1200" w:firstLine="0" w:firstLineChars="0"/>
    </w:pPr>
    <w:rPr>
      <w:sz w:val="21"/>
    </w:rPr>
  </w:style>
  <w:style w:type="paragraph" w:styleId="14">
    <w:name w:val="Document Map"/>
    <w:basedOn w:val="1"/>
    <w:link w:val="97"/>
    <w:qFormat/>
    <w:uiPriority w:val="0"/>
    <w:pPr>
      <w:shd w:val="clear" w:color="auto" w:fill="000080"/>
      <w:spacing w:line="240" w:lineRule="auto"/>
      <w:ind w:firstLine="0" w:firstLineChars="0"/>
    </w:pPr>
    <w:rPr>
      <w:sz w:val="21"/>
    </w:rPr>
  </w:style>
  <w:style w:type="paragraph" w:styleId="15">
    <w:name w:val="annotation text"/>
    <w:basedOn w:val="1"/>
    <w:link w:val="73"/>
    <w:unhideWhenUsed/>
    <w:qFormat/>
    <w:uiPriority w:val="0"/>
    <w:pPr>
      <w:spacing w:line="240" w:lineRule="auto"/>
      <w:ind w:firstLine="0" w:firstLineChars="0"/>
      <w:jc w:val="left"/>
    </w:pPr>
    <w:rPr>
      <w:rFonts w:ascii="Calibri" w:hAnsi="Calibri"/>
      <w:kern w:val="0"/>
      <w:sz w:val="22"/>
      <w:szCs w:val="22"/>
      <w:lang w:eastAsia="en-US"/>
    </w:rPr>
  </w:style>
  <w:style w:type="paragraph" w:styleId="16">
    <w:name w:val="Body Text"/>
    <w:basedOn w:val="1"/>
    <w:link w:val="83"/>
    <w:qFormat/>
    <w:uiPriority w:val="0"/>
    <w:pPr>
      <w:spacing w:line="240" w:lineRule="auto"/>
      <w:ind w:left="117" w:firstLine="0" w:firstLineChars="0"/>
      <w:jc w:val="left"/>
    </w:pPr>
    <w:rPr>
      <w:rFonts w:ascii="宋体" w:hAnsi="宋体" w:cstheme="minorBidi"/>
      <w:kern w:val="0"/>
      <w:lang w:eastAsia="en-US"/>
    </w:rPr>
  </w:style>
  <w:style w:type="paragraph" w:styleId="17">
    <w:name w:val="Body Text Indent"/>
    <w:basedOn w:val="1"/>
    <w:link w:val="84"/>
    <w:unhideWhenUsed/>
    <w:qFormat/>
    <w:uiPriority w:val="0"/>
    <w:pPr>
      <w:spacing w:after="120"/>
      <w:ind w:left="420" w:leftChars="200"/>
    </w:pPr>
  </w:style>
  <w:style w:type="paragraph" w:styleId="18">
    <w:name w:val="toc 5"/>
    <w:basedOn w:val="1"/>
    <w:next w:val="1"/>
    <w:semiHidden/>
    <w:qFormat/>
    <w:uiPriority w:val="0"/>
    <w:pPr>
      <w:spacing w:line="240" w:lineRule="auto"/>
      <w:ind w:left="1680" w:leftChars="800" w:firstLine="0" w:firstLineChars="0"/>
    </w:pPr>
    <w:rPr>
      <w:sz w:val="21"/>
    </w:rPr>
  </w:style>
  <w:style w:type="paragraph" w:styleId="19">
    <w:name w:val="toc 3"/>
    <w:basedOn w:val="1"/>
    <w:next w:val="1"/>
    <w:qFormat/>
    <w:uiPriority w:val="39"/>
    <w:pPr>
      <w:spacing w:line="240" w:lineRule="auto"/>
      <w:ind w:left="840" w:leftChars="400" w:firstLine="0" w:firstLineChars="0"/>
    </w:pPr>
    <w:rPr>
      <w:sz w:val="21"/>
    </w:rPr>
  </w:style>
  <w:style w:type="paragraph" w:styleId="20">
    <w:name w:val="Plain Text"/>
    <w:basedOn w:val="1"/>
    <w:link w:val="90"/>
    <w:qFormat/>
    <w:uiPriority w:val="0"/>
    <w:pPr>
      <w:spacing w:line="240" w:lineRule="auto"/>
      <w:ind w:firstLine="0" w:firstLineChars="0"/>
    </w:pPr>
    <w:rPr>
      <w:rFonts w:ascii="宋体" w:hAnsi="Courier New" w:cs="Courier New"/>
      <w:sz w:val="21"/>
      <w:szCs w:val="21"/>
    </w:rPr>
  </w:style>
  <w:style w:type="paragraph" w:styleId="21">
    <w:name w:val="toc 8"/>
    <w:basedOn w:val="1"/>
    <w:next w:val="1"/>
    <w:semiHidden/>
    <w:qFormat/>
    <w:uiPriority w:val="0"/>
    <w:pPr>
      <w:spacing w:line="240" w:lineRule="auto"/>
      <w:ind w:left="2940" w:leftChars="1400" w:firstLine="0" w:firstLineChars="0"/>
    </w:pPr>
    <w:rPr>
      <w:sz w:val="21"/>
    </w:rPr>
  </w:style>
  <w:style w:type="paragraph" w:styleId="22">
    <w:name w:val="Date"/>
    <w:basedOn w:val="1"/>
    <w:next w:val="1"/>
    <w:link w:val="121"/>
    <w:qFormat/>
    <w:uiPriority w:val="0"/>
    <w:pPr>
      <w:spacing w:line="240" w:lineRule="auto"/>
      <w:ind w:left="100" w:leftChars="2500" w:firstLine="0" w:firstLineChars="0"/>
    </w:pPr>
    <w:rPr>
      <w:sz w:val="21"/>
    </w:rPr>
  </w:style>
  <w:style w:type="paragraph" w:styleId="23">
    <w:name w:val="Body Text Indent 2"/>
    <w:basedOn w:val="1"/>
    <w:link w:val="139"/>
    <w:qFormat/>
    <w:uiPriority w:val="0"/>
    <w:pPr>
      <w:spacing w:after="120" w:line="480" w:lineRule="auto"/>
      <w:ind w:left="420" w:leftChars="200" w:firstLine="0" w:firstLineChars="0"/>
    </w:pPr>
    <w:rPr>
      <w:sz w:val="21"/>
    </w:rPr>
  </w:style>
  <w:style w:type="paragraph" w:styleId="24">
    <w:name w:val="Balloon Text"/>
    <w:basedOn w:val="1"/>
    <w:link w:val="60"/>
    <w:unhideWhenUsed/>
    <w:qFormat/>
    <w:uiPriority w:val="0"/>
    <w:pPr>
      <w:spacing w:line="240" w:lineRule="auto"/>
    </w:pPr>
    <w:rPr>
      <w:sz w:val="18"/>
      <w:szCs w:val="18"/>
    </w:rPr>
  </w:style>
  <w:style w:type="paragraph" w:styleId="25">
    <w:name w:val="footer"/>
    <w:basedOn w:val="1"/>
    <w:link w:val="69"/>
    <w:unhideWhenUsed/>
    <w:qFormat/>
    <w:uiPriority w:val="0"/>
    <w:pPr>
      <w:tabs>
        <w:tab w:val="center" w:pos="4153"/>
        <w:tab w:val="right" w:pos="8306"/>
      </w:tabs>
      <w:snapToGrid w:val="0"/>
      <w:spacing w:line="240" w:lineRule="atLeast"/>
      <w:jc w:val="left"/>
    </w:pPr>
    <w:rPr>
      <w:sz w:val="18"/>
      <w:szCs w:val="18"/>
    </w:rPr>
  </w:style>
  <w:style w:type="paragraph" w:styleId="26">
    <w:name w:val="header"/>
    <w:basedOn w:val="1"/>
    <w:link w:val="67"/>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7">
    <w:name w:val="toc 1"/>
    <w:basedOn w:val="1"/>
    <w:next w:val="1"/>
    <w:unhideWhenUsed/>
    <w:qFormat/>
    <w:uiPriority w:val="39"/>
    <w:pPr>
      <w:spacing w:line="560" w:lineRule="exact"/>
      <w:ind w:firstLine="0" w:firstLineChars="0"/>
      <w:jc w:val="left"/>
    </w:pPr>
    <w:rPr>
      <w:rFonts w:ascii="宋体"/>
      <w:sz w:val="28"/>
    </w:rPr>
  </w:style>
  <w:style w:type="paragraph" w:styleId="28">
    <w:name w:val="toc 4"/>
    <w:basedOn w:val="1"/>
    <w:next w:val="1"/>
    <w:semiHidden/>
    <w:qFormat/>
    <w:uiPriority w:val="0"/>
    <w:pPr>
      <w:spacing w:line="240" w:lineRule="auto"/>
      <w:ind w:left="1260" w:leftChars="600" w:firstLine="0" w:firstLineChars="0"/>
    </w:pPr>
    <w:rPr>
      <w:sz w:val="21"/>
    </w:rPr>
  </w:style>
  <w:style w:type="paragraph" w:styleId="29">
    <w:name w:val="Subtitle"/>
    <w:basedOn w:val="1"/>
    <w:next w:val="1"/>
    <w:link w:val="210"/>
    <w:qFormat/>
    <w:uiPriority w:val="0"/>
    <w:pPr>
      <w:widowControl/>
      <w:spacing w:after="200" w:line="276" w:lineRule="auto"/>
      <w:ind w:firstLine="0" w:firstLineChars="0"/>
      <w:jc w:val="left"/>
    </w:pPr>
    <w:rPr>
      <w:rFonts w:ascii="Cambria" w:hAnsi="Cambria"/>
      <w:i/>
      <w:iCs/>
      <w:smallCaps/>
      <w:spacing w:val="10"/>
      <w:kern w:val="0"/>
      <w:sz w:val="28"/>
      <w:szCs w:val="28"/>
      <w:lang w:eastAsia="en-US" w:bidi="en-US"/>
    </w:rPr>
  </w:style>
  <w:style w:type="paragraph" w:styleId="30">
    <w:name w:val="footnote text"/>
    <w:basedOn w:val="1"/>
    <w:link w:val="174"/>
    <w:unhideWhenUsed/>
    <w:qFormat/>
    <w:uiPriority w:val="0"/>
    <w:pPr>
      <w:widowControl/>
      <w:snapToGrid w:val="0"/>
      <w:spacing w:after="200" w:line="276" w:lineRule="auto"/>
      <w:ind w:firstLine="0" w:firstLineChars="0"/>
      <w:jc w:val="left"/>
    </w:pPr>
    <w:rPr>
      <w:rFonts w:ascii="Cambria" w:hAnsi="Cambria"/>
      <w:kern w:val="0"/>
      <w:sz w:val="18"/>
      <w:szCs w:val="18"/>
      <w:lang w:eastAsia="en-US" w:bidi="en-US"/>
    </w:rPr>
  </w:style>
  <w:style w:type="paragraph" w:styleId="31">
    <w:name w:val="toc 6"/>
    <w:basedOn w:val="1"/>
    <w:next w:val="1"/>
    <w:semiHidden/>
    <w:qFormat/>
    <w:uiPriority w:val="0"/>
    <w:pPr>
      <w:spacing w:line="240" w:lineRule="auto"/>
      <w:ind w:left="2100" w:leftChars="1000" w:firstLine="0" w:firstLineChars="0"/>
    </w:pPr>
    <w:rPr>
      <w:sz w:val="21"/>
    </w:rPr>
  </w:style>
  <w:style w:type="paragraph" w:styleId="32">
    <w:name w:val="Body Text Indent 3"/>
    <w:basedOn w:val="1"/>
    <w:link w:val="88"/>
    <w:qFormat/>
    <w:uiPriority w:val="0"/>
    <w:pPr>
      <w:spacing w:after="120" w:line="240" w:lineRule="auto"/>
      <w:ind w:left="420" w:leftChars="200" w:firstLine="0" w:firstLineChars="0"/>
    </w:pPr>
    <w:rPr>
      <w:sz w:val="16"/>
      <w:szCs w:val="16"/>
    </w:rPr>
  </w:style>
  <w:style w:type="paragraph" w:styleId="33">
    <w:name w:val="table of figures"/>
    <w:basedOn w:val="1"/>
    <w:next w:val="1"/>
    <w:semiHidden/>
    <w:qFormat/>
    <w:uiPriority w:val="0"/>
    <w:pPr>
      <w:spacing w:line="240" w:lineRule="auto"/>
      <w:ind w:left="200" w:leftChars="200" w:hanging="200" w:hangingChars="200"/>
    </w:pPr>
    <w:rPr>
      <w:sz w:val="21"/>
    </w:rPr>
  </w:style>
  <w:style w:type="paragraph" w:styleId="34">
    <w:name w:val="toc 2"/>
    <w:basedOn w:val="1"/>
    <w:next w:val="1"/>
    <w:unhideWhenUsed/>
    <w:qFormat/>
    <w:uiPriority w:val="39"/>
    <w:pPr>
      <w:spacing w:line="460" w:lineRule="exact"/>
      <w:ind w:firstLine="100" w:firstLineChars="100"/>
    </w:pPr>
    <w:rPr>
      <w:rFonts w:ascii="宋体"/>
    </w:rPr>
  </w:style>
  <w:style w:type="paragraph" w:styleId="35">
    <w:name w:val="toc 9"/>
    <w:basedOn w:val="1"/>
    <w:next w:val="1"/>
    <w:semiHidden/>
    <w:qFormat/>
    <w:uiPriority w:val="0"/>
    <w:pPr>
      <w:spacing w:line="240" w:lineRule="auto"/>
      <w:ind w:left="3360" w:leftChars="1600" w:firstLine="0" w:firstLineChars="0"/>
    </w:pPr>
    <w:rPr>
      <w:sz w:val="21"/>
    </w:rPr>
  </w:style>
  <w:style w:type="paragraph" w:styleId="36">
    <w:name w:val="Body Text 2"/>
    <w:basedOn w:val="1"/>
    <w:link w:val="142"/>
    <w:qFormat/>
    <w:uiPriority w:val="0"/>
    <w:pPr>
      <w:spacing w:after="120" w:line="480" w:lineRule="auto"/>
      <w:ind w:firstLine="0" w:firstLineChars="0"/>
    </w:pPr>
    <w:rPr>
      <w:sz w:val="21"/>
    </w:rPr>
  </w:style>
  <w:style w:type="paragraph" w:styleId="37">
    <w:name w:val="HTML Preformatted"/>
    <w:basedOn w:val="1"/>
    <w:link w:val="15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rPr>
  </w:style>
  <w:style w:type="paragraph" w:styleId="38">
    <w:name w:val="Normal (Web)"/>
    <w:basedOn w:val="1"/>
    <w:qFormat/>
    <w:uiPriority w:val="0"/>
    <w:pPr>
      <w:widowControl/>
      <w:spacing w:before="100" w:beforeAutospacing="1" w:after="100" w:afterAutospacing="1" w:line="240" w:lineRule="auto"/>
      <w:ind w:firstLine="0" w:firstLineChars="0"/>
      <w:jc w:val="left"/>
    </w:pPr>
    <w:rPr>
      <w:rFonts w:ascii="宋体" w:hAnsi="宋体"/>
      <w:color w:val="000000"/>
      <w:kern w:val="0"/>
      <w:sz w:val="20"/>
      <w:szCs w:val="20"/>
    </w:rPr>
  </w:style>
  <w:style w:type="paragraph" w:styleId="39">
    <w:name w:val="index 1"/>
    <w:basedOn w:val="1"/>
    <w:next w:val="1"/>
    <w:semiHidden/>
    <w:qFormat/>
    <w:uiPriority w:val="0"/>
    <w:pPr>
      <w:spacing w:line="240" w:lineRule="auto"/>
      <w:ind w:firstLine="0" w:firstLineChars="0"/>
      <w:jc w:val="center"/>
    </w:pPr>
    <w:rPr>
      <w:rFonts w:ascii="宋体" w:hAnsi="宋体" w:cs="仿宋_GB2312"/>
      <w:color w:val="000000"/>
      <w:kern w:val="0"/>
      <w:sz w:val="21"/>
      <w:szCs w:val="21"/>
    </w:rPr>
  </w:style>
  <w:style w:type="paragraph" w:styleId="40">
    <w:name w:val="Title"/>
    <w:basedOn w:val="1"/>
    <w:next w:val="1"/>
    <w:link w:val="61"/>
    <w:qFormat/>
    <w:uiPriority w:val="0"/>
    <w:pPr>
      <w:spacing w:before="240" w:after="60"/>
      <w:jc w:val="center"/>
      <w:outlineLvl w:val="0"/>
    </w:pPr>
    <w:rPr>
      <w:rFonts w:asciiTheme="majorHAnsi" w:hAnsiTheme="majorHAnsi" w:cstheme="majorBidi"/>
      <w:b/>
      <w:bCs/>
      <w:sz w:val="32"/>
      <w:szCs w:val="32"/>
    </w:rPr>
  </w:style>
  <w:style w:type="paragraph" w:styleId="41">
    <w:name w:val="annotation subject"/>
    <w:basedOn w:val="15"/>
    <w:next w:val="15"/>
    <w:link w:val="78"/>
    <w:unhideWhenUsed/>
    <w:qFormat/>
    <w:uiPriority w:val="0"/>
    <w:pPr>
      <w:spacing w:line="420" w:lineRule="exact"/>
      <w:ind w:firstLine="200" w:firstLineChars="200"/>
    </w:pPr>
    <w:rPr>
      <w:rFonts w:ascii="Times New Roman" w:hAnsi="Times New Roman"/>
      <w:b/>
      <w:bCs/>
      <w:kern w:val="2"/>
      <w:sz w:val="24"/>
      <w:szCs w:val="24"/>
      <w:lang w:eastAsia="zh-CN"/>
    </w:rPr>
  </w:style>
  <w:style w:type="paragraph" w:styleId="42">
    <w:name w:val="Body Text First Indent"/>
    <w:basedOn w:val="16"/>
    <w:link w:val="203"/>
    <w:qFormat/>
    <w:uiPriority w:val="0"/>
    <w:pPr>
      <w:widowControl/>
      <w:spacing w:after="120" w:line="276" w:lineRule="auto"/>
      <w:ind w:left="0" w:firstLine="420" w:firstLineChars="100"/>
    </w:pPr>
    <w:rPr>
      <w:rFonts w:ascii="Times New Roman" w:hAnsi="Times New Roman" w:cs="Times New Roman"/>
      <w:kern w:val="2"/>
      <w:sz w:val="21"/>
      <w:szCs w:val="21"/>
      <w:lang w:eastAsia="zh-CN"/>
    </w:rPr>
  </w:style>
  <w:style w:type="paragraph" w:styleId="43">
    <w:name w:val="Body Text First Indent 2"/>
    <w:basedOn w:val="17"/>
    <w:link w:val="85"/>
    <w:semiHidden/>
    <w:unhideWhenUsed/>
    <w:qFormat/>
    <w:uiPriority w:val="0"/>
    <w:pPr>
      <w:ind w:firstLine="42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Hyperlink"/>
    <w:basedOn w:val="46"/>
    <w:unhideWhenUsed/>
    <w:qFormat/>
    <w:uiPriority w:val="99"/>
    <w:rPr>
      <w:color w:val="0563C1" w:themeColor="hyperlink"/>
      <w:u w:val="single"/>
      <w14:textFill>
        <w14:solidFill>
          <w14:schemeClr w14:val="hlink"/>
        </w14:solidFill>
      </w14:textFill>
    </w:rPr>
  </w:style>
  <w:style w:type="character" w:styleId="50">
    <w:name w:val="annotation reference"/>
    <w:basedOn w:val="46"/>
    <w:unhideWhenUsed/>
    <w:qFormat/>
    <w:uiPriority w:val="0"/>
    <w:rPr>
      <w:sz w:val="21"/>
      <w:szCs w:val="21"/>
    </w:rPr>
  </w:style>
  <w:style w:type="character" w:customStyle="1" w:styleId="51">
    <w:name w:val="标题 1 字符"/>
    <w:link w:val="2"/>
    <w:qFormat/>
    <w:uiPriority w:val="0"/>
    <w:rPr>
      <w:rFonts w:eastAsia="隶书"/>
      <w:b/>
      <w:bCs/>
      <w:kern w:val="44"/>
      <w:sz w:val="44"/>
      <w:szCs w:val="44"/>
      <w:lang w:val="zh-CN"/>
    </w:rPr>
  </w:style>
  <w:style w:type="character" w:customStyle="1" w:styleId="52">
    <w:name w:val="标题 2 字符"/>
    <w:link w:val="3"/>
    <w:qFormat/>
    <w:uiPriority w:val="0"/>
    <w:rPr>
      <w:rFonts w:ascii="宋体" w:hAnsi="Arial"/>
      <w:b/>
      <w:bCs/>
      <w:sz w:val="32"/>
      <w:szCs w:val="32"/>
      <w:lang w:val="zh-CN"/>
    </w:rPr>
  </w:style>
  <w:style w:type="character" w:customStyle="1" w:styleId="53">
    <w:name w:val="标题 3 字符"/>
    <w:basedOn w:val="46"/>
    <w:link w:val="4"/>
    <w:qFormat/>
    <w:uiPriority w:val="0"/>
    <w:rPr>
      <w:rFonts w:ascii="宋体"/>
      <w:b/>
      <w:bCs/>
      <w:kern w:val="2"/>
      <w:sz w:val="28"/>
      <w:szCs w:val="32"/>
    </w:rPr>
  </w:style>
  <w:style w:type="character" w:customStyle="1" w:styleId="54">
    <w:name w:val="标题 4 字符"/>
    <w:basedOn w:val="46"/>
    <w:link w:val="6"/>
    <w:qFormat/>
    <w:uiPriority w:val="0"/>
    <w:rPr>
      <w:rFonts w:asciiTheme="majorHAnsi" w:hAnsiTheme="majorHAnsi" w:eastAsiaTheme="majorEastAsia" w:cstheme="majorBidi"/>
      <w:b/>
      <w:bCs/>
      <w:kern w:val="2"/>
      <w:sz w:val="24"/>
      <w:szCs w:val="28"/>
    </w:rPr>
  </w:style>
  <w:style w:type="character" w:customStyle="1" w:styleId="55">
    <w:name w:val="标题 5 字符"/>
    <w:link w:val="7"/>
    <w:qFormat/>
    <w:uiPriority w:val="0"/>
    <w:rPr>
      <w:rFonts w:ascii="Times New Roman" w:hAnsi="Times New Roman" w:eastAsia="宋体" w:cs="Times New Roman"/>
      <w:i/>
      <w:iCs/>
      <w:lang w:val="zh-CN"/>
    </w:rPr>
  </w:style>
  <w:style w:type="character" w:customStyle="1" w:styleId="56">
    <w:name w:val="标题 6 字符"/>
    <w:link w:val="8"/>
    <w:qFormat/>
    <w:uiPriority w:val="0"/>
    <w:rPr>
      <w:rFonts w:ascii="宋体" w:hAnsi="Times New Roman" w:eastAsia="宋体" w:cs="Times New Roman"/>
      <w:b/>
      <w:color w:val="000000"/>
      <w:sz w:val="24"/>
      <w:lang w:val="zh-CN"/>
    </w:rPr>
  </w:style>
  <w:style w:type="character" w:customStyle="1" w:styleId="57">
    <w:name w:val="标题 7 字符"/>
    <w:link w:val="9"/>
    <w:qFormat/>
    <w:uiPriority w:val="0"/>
    <w:rPr>
      <w:rFonts w:ascii="Times New Roman" w:hAnsi="Times New Roman" w:eastAsia="宋体" w:cs="Times New Roman"/>
      <w:b/>
      <w:bCs/>
      <w:sz w:val="24"/>
      <w:szCs w:val="24"/>
      <w:lang w:val="zh-CN"/>
    </w:rPr>
  </w:style>
  <w:style w:type="character" w:customStyle="1" w:styleId="58">
    <w:name w:val="标题 8 字符"/>
    <w:link w:val="10"/>
    <w:qFormat/>
    <w:uiPriority w:val="0"/>
    <w:rPr>
      <w:rFonts w:ascii="宋体" w:hAnsi="Times New Roman" w:eastAsia="宋体" w:cs="Times New Roman"/>
      <w:b/>
      <w:color w:val="000000"/>
      <w:sz w:val="24"/>
      <w:lang w:val="zh-CN"/>
    </w:rPr>
  </w:style>
  <w:style w:type="character" w:customStyle="1" w:styleId="59">
    <w:name w:val="标题 9 字符"/>
    <w:link w:val="11"/>
    <w:qFormat/>
    <w:uiPriority w:val="0"/>
    <w:rPr>
      <w:rFonts w:ascii="宋体" w:hAnsi="Times New Roman" w:eastAsia="宋体" w:cs="Times New Roman"/>
      <w:color w:val="000000"/>
      <w:sz w:val="24"/>
      <w:u w:val="single"/>
      <w:lang w:val="zh-CN"/>
    </w:rPr>
  </w:style>
  <w:style w:type="character" w:customStyle="1" w:styleId="60">
    <w:name w:val="批注框文本 字符"/>
    <w:basedOn w:val="46"/>
    <w:link w:val="24"/>
    <w:qFormat/>
    <w:uiPriority w:val="0"/>
    <w:rPr>
      <w:kern w:val="2"/>
      <w:sz w:val="18"/>
      <w:szCs w:val="18"/>
    </w:rPr>
  </w:style>
  <w:style w:type="character" w:customStyle="1" w:styleId="61">
    <w:name w:val="标题 字符"/>
    <w:basedOn w:val="46"/>
    <w:link w:val="40"/>
    <w:qFormat/>
    <w:uiPriority w:val="0"/>
    <w:rPr>
      <w:rFonts w:asciiTheme="majorHAnsi" w:hAnsiTheme="majorHAnsi" w:cstheme="majorBidi"/>
      <w:b/>
      <w:bCs/>
      <w:kern w:val="2"/>
      <w:sz w:val="32"/>
      <w:szCs w:val="32"/>
    </w:rPr>
  </w:style>
  <w:style w:type="paragraph" w:customStyle="1" w:styleId="62">
    <w:name w:val="_正文格式"/>
    <w:basedOn w:val="1"/>
    <w:link w:val="63"/>
    <w:qFormat/>
    <w:uiPriority w:val="0"/>
    <w:rPr>
      <w:rFonts w:ascii="宋体"/>
      <w:szCs w:val="20"/>
      <w:lang w:val="zh-CN"/>
    </w:rPr>
  </w:style>
  <w:style w:type="character" w:customStyle="1" w:styleId="63">
    <w:name w:val="_正文格式 Char"/>
    <w:link w:val="62"/>
    <w:qFormat/>
    <w:uiPriority w:val="0"/>
    <w:rPr>
      <w:rFonts w:ascii="宋体"/>
      <w:kern w:val="2"/>
      <w:sz w:val="24"/>
      <w:lang w:val="zh-CN"/>
    </w:rPr>
  </w:style>
  <w:style w:type="paragraph" w:customStyle="1" w:styleId="64">
    <w:name w:val="【表格】"/>
    <w:next w:val="1"/>
    <w:qFormat/>
    <w:uiPriority w:val="99"/>
    <w:pPr>
      <w:spacing w:line="320" w:lineRule="exact"/>
      <w:jc w:val="center"/>
    </w:pPr>
    <w:rPr>
      <w:rFonts w:ascii="宋体" w:hAnsi="Times New Roman" w:eastAsia="宋体" w:cs="Times New Roman"/>
      <w:sz w:val="21"/>
      <w:szCs w:val="24"/>
      <w:lang w:val="en-US" w:eastAsia="zh-CN" w:bidi="ar-SA"/>
    </w:rPr>
  </w:style>
  <w:style w:type="paragraph" w:customStyle="1" w:styleId="65">
    <w:name w:val="TX-表头"/>
    <w:qFormat/>
    <w:uiPriority w:val="0"/>
    <w:pPr>
      <w:spacing w:line="420" w:lineRule="exact"/>
      <w:jc w:val="center"/>
    </w:pPr>
    <w:rPr>
      <w:rFonts w:ascii="宋体" w:hAnsi="Times New Roman" w:eastAsia="宋体" w:cs="Times New Roman"/>
      <w:kern w:val="2"/>
      <w:sz w:val="24"/>
      <w:szCs w:val="22"/>
      <w:lang w:val="en-US" w:eastAsia="zh-CN" w:bidi="ar-SA"/>
    </w:rPr>
  </w:style>
  <w:style w:type="paragraph" w:styleId="66">
    <w:name w:val="List Paragraph"/>
    <w:basedOn w:val="1"/>
    <w:qFormat/>
    <w:uiPriority w:val="1"/>
    <w:pPr>
      <w:ind w:firstLine="420"/>
    </w:pPr>
  </w:style>
  <w:style w:type="character" w:customStyle="1" w:styleId="67">
    <w:name w:val="页眉 字符"/>
    <w:basedOn w:val="46"/>
    <w:link w:val="26"/>
    <w:qFormat/>
    <w:uiPriority w:val="0"/>
    <w:rPr>
      <w:kern w:val="2"/>
      <w:sz w:val="18"/>
      <w:szCs w:val="18"/>
    </w:rPr>
  </w:style>
  <w:style w:type="table" w:customStyle="1" w:styleId="68">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69">
    <w:name w:val="页脚 字符"/>
    <w:basedOn w:val="46"/>
    <w:link w:val="25"/>
    <w:qFormat/>
    <w:uiPriority w:val="0"/>
    <w:rPr>
      <w:kern w:val="2"/>
      <w:sz w:val="18"/>
      <w:szCs w:val="18"/>
    </w:rPr>
  </w:style>
  <w:style w:type="table" w:customStyle="1" w:styleId="70">
    <w:name w:val="Table Normal1"/>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71">
    <w:name w:val="Table Paragraph"/>
    <w:basedOn w:val="1"/>
    <w:qFormat/>
    <w:uiPriority w:val="1"/>
    <w:pPr>
      <w:spacing w:line="240" w:lineRule="auto"/>
      <w:ind w:firstLine="0" w:firstLineChars="0"/>
      <w:jc w:val="left"/>
    </w:pPr>
    <w:rPr>
      <w:rFonts w:ascii="Calibri" w:hAnsi="Calibri"/>
      <w:kern w:val="0"/>
      <w:sz w:val="22"/>
      <w:szCs w:val="22"/>
      <w:lang w:eastAsia="en-US"/>
    </w:rPr>
  </w:style>
  <w:style w:type="table" w:customStyle="1" w:styleId="72">
    <w:name w:val="Table Normal2"/>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73">
    <w:name w:val="批注文字 字符"/>
    <w:basedOn w:val="46"/>
    <w:link w:val="15"/>
    <w:semiHidden/>
    <w:qFormat/>
    <w:uiPriority w:val="0"/>
    <w:rPr>
      <w:rFonts w:ascii="Calibri" w:hAnsi="Calibri"/>
      <w:sz w:val="22"/>
      <w:szCs w:val="22"/>
      <w:lang w:eastAsia="en-US"/>
    </w:rPr>
  </w:style>
  <w:style w:type="table" w:customStyle="1" w:styleId="74">
    <w:name w:val="Table Normal3"/>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5">
    <w:name w:val="Table Normal4"/>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6">
    <w:name w:val="Table Normal5"/>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7">
    <w:name w:val="Table Normal6"/>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78">
    <w:name w:val="批注主题 字符"/>
    <w:basedOn w:val="73"/>
    <w:link w:val="41"/>
    <w:semiHidden/>
    <w:qFormat/>
    <w:uiPriority w:val="99"/>
    <w:rPr>
      <w:rFonts w:ascii="Calibri" w:hAnsi="Calibri"/>
      <w:b/>
      <w:bCs/>
      <w:kern w:val="2"/>
      <w:sz w:val="24"/>
      <w:szCs w:val="24"/>
      <w:lang w:eastAsia="en-US"/>
    </w:rPr>
  </w:style>
  <w:style w:type="paragraph" w:customStyle="1" w:styleId="79">
    <w:name w:val="修订1"/>
    <w:hidden/>
    <w:semiHidden/>
    <w:qFormat/>
    <w:uiPriority w:val="99"/>
    <w:rPr>
      <w:rFonts w:ascii="Times New Roman" w:hAnsi="Times New Roman" w:eastAsia="宋体" w:cs="Times New Roman"/>
      <w:kern w:val="2"/>
      <w:sz w:val="24"/>
      <w:szCs w:val="24"/>
      <w:lang w:val="en-US" w:eastAsia="zh-CN" w:bidi="ar-SA"/>
    </w:rPr>
  </w:style>
  <w:style w:type="paragraph" w:styleId="80">
    <w:name w:val="Quote"/>
    <w:basedOn w:val="1"/>
    <w:next w:val="1"/>
    <w:link w:val="81"/>
    <w:qFormat/>
    <w:uiPriority w:val="0"/>
    <w:pPr>
      <w:spacing w:line="320" w:lineRule="exact"/>
      <w:ind w:firstLine="0" w:firstLineChars="0"/>
      <w:jc w:val="center"/>
    </w:pPr>
    <w:rPr>
      <w:rFonts w:ascii="宋体"/>
      <w:iCs/>
      <w:color w:val="000000"/>
      <w:sz w:val="21"/>
    </w:rPr>
  </w:style>
  <w:style w:type="character" w:customStyle="1" w:styleId="81">
    <w:name w:val="引用 字符"/>
    <w:basedOn w:val="46"/>
    <w:link w:val="80"/>
    <w:qFormat/>
    <w:uiPriority w:val="0"/>
    <w:rPr>
      <w:rFonts w:ascii="宋体"/>
      <w:iCs/>
      <w:color w:val="000000"/>
      <w:kern w:val="2"/>
      <w:sz w:val="21"/>
      <w:szCs w:val="24"/>
    </w:rPr>
  </w:style>
  <w:style w:type="paragraph" w:customStyle="1" w:styleId="8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83">
    <w:name w:val="正文文本 字符"/>
    <w:basedOn w:val="46"/>
    <w:link w:val="16"/>
    <w:qFormat/>
    <w:uiPriority w:val="0"/>
    <w:rPr>
      <w:rFonts w:ascii="宋体" w:hAnsi="宋体" w:cstheme="minorBidi"/>
      <w:sz w:val="24"/>
      <w:szCs w:val="24"/>
      <w:lang w:eastAsia="en-US"/>
    </w:rPr>
  </w:style>
  <w:style w:type="character" w:customStyle="1" w:styleId="84">
    <w:name w:val="正文文本缩进 字符"/>
    <w:basedOn w:val="46"/>
    <w:link w:val="17"/>
    <w:qFormat/>
    <w:uiPriority w:val="0"/>
    <w:rPr>
      <w:kern w:val="2"/>
      <w:sz w:val="24"/>
      <w:szCs w:val="24"/>
    </w:rPr>
  </w:style>
  <w:style w:type="character" w:customStyle="1" w:styleId="85">
    <w:name w:val="正文文本首行缩进 2 字符"/>
    <w:basedOn w:val="84"/>
    <w:link w:val="43"/>
    <w:semiHidden/>
    <w:qFormat/>
    <w:uiPriority w:val="0"/>
    <w:rPr>
      <w:kern w:val="2"/>
      <w:sz w:val="24"/>
      <w:szCs w:val="24"/>
    </w:rPr>
  </w:style>
  <w:style w:type="character" w:customStyle="1" w:styleId="86">
    <w:name w:val="标题 2 Char2"/>
    <w:qFormat/>
    <w:uiPriority w:val="0"/>
    <w:rPr>
      <w:rFonts w:ascii="仿宋_GB2312" w:eastAsia="仿宋_GB2312"/>
      <w:b/>
      <w:kern w:val="2"/>
      <w:sz w:val="28"/>
      <w:szCs w:val="28"/>
      <w:lang w:val="en-US" w:eastAsia="zh-CN" w:bidi="ar-SA"/>
    </w:rPr>
  </w:style>
  <w:style w:type="character" w:customStyle="1" w:styleId="87">
    <w:name w:val="标题 3 Char1"/>
    <w:qFormat/>
    <w:uiPriority w:val="0"/>
    <w:rPr>
      <w:rFonts w:ascii="仿宋_GB2312" w:eastAsia="仿宋_GB2312"/>
      <w:b/>
      <w:bCs/>
      <w:kern w:val="2"/>
      <w:sz w:val="28"/>
      <w:szCs w:val="28"/>
      <w:lang w:val="en-US" w:eastAsia="zh-CN" w:bidi="ar-SA"/>
    </w:rPr>
  </w:style>
  <w:style w:type="character" w:customStyle="1" w:styleId="88">
    <w:name w:val="正文文本缩进 3 字符"/>
    <w:link w:val="32"/>
    <w:qFormat/>
    <w:uiPriority w:val="0"/>
    <w:rPr>
      <w:kern w:val="2"/>
      <w:sz w:val="16"/>
      <w:szCs w:val="16"/>
    </w:rPr>
  </w:style>
  <w:style w:type="character" w:customStyle="1" w:styleId="89">
    <w:name w:val="正文文本缩进 3 Char"/>
    <w:basedOn w:val="46"/>
    <w:qFormat/>
    <w:uiPriority w:val="0"/>
    <w:rPr>
      <w:kern w:val="2"/>
      <w:sz w:val="16"/>
      <w:szCs w:val="16"/>
    </w:rPr>
  </w:style>
  <w:style w:type="character" w:customStyle="1" w:styleId="90">
    <w:name w:val="纯文本 字符"/>
    <w:link w:val="20"/>
    <w:qFormat/>
    <w:uiPriority w:val="0"/>
    <w:rPr>
      <w:rFonts w:ascii="宋体" w:hAnsi="Courier New" w:cs="Courier New"/>
      <w:kern w:val="2"/>
      <w:sz w:val="21"/>
      <w:szCs w:val="21"/>
    </w:rPr>
  </w:style>
  <w:style w:type="character" w:customStyle="1" w:styleId="91">
    <w:name w:val="纯文本 Char1"/>
    <w:basedOn w:val="46"/>
    <w:semiHidden/>
    <w:qFormat/>
    <w:uiPriority w:val="0"/>
    <w:rPr>
      <w:rFonts w:ascii="宋体" w:hAnsi="Courier New" w:cs="Courier New"/>
      <w:kern w:val="2"/>
      <w:sz w:val="21"/>
      <w:szCs w:val="21"/>
    </w:rPr>
  </w:style>
  <w:style w:type="character" w:customStyle="1" w:styleId="92">
    <w:name w:val="表头 Char1"/>
    <w:link w:val="93"/>
    <w:qFormat/>
    <w:uiPriority w:val="0"/>
    <w:rPr>
      <w:rFonts w:eastAsia="华文中宋"/>
      <w:b/>
      <w:snapToGrid w:val="0"/>
      <w:sz w:val="28"/>
      <w:szCs w:val="24"/>
    </w:rPr>
  </w:style>
  <w:style w:type="paragraph" w:customStyle="1" w:styleId="93">
    <w:name w:val="表头"/>
    <w:basedOn w:val="1"/>
    <w:next w:val="1"/>
    <w:link w:val="92"/>
    <w:qFormat/>
    <w:uiPriority w:val="0"/>
    <w:pPr>
      <w:adjustRightInd w:val="0"/>
      <w:snapToGrid w:val="0"/>
      <w:spacing w:before="60" w:after="60" w:line="480" w:lineRule="exact"/>
      <w:ind w:firstLine="0" w:firstLineChars="0"/>
      <w:jc w:val="center"/>
    </w:pPr>
    <w:rPr>
      <w:rFonts w:eastAsia="华文中宋"/>
      <w:b/>
      <w:snapToGrid w:val="0"/>
      <w:kern w:val="0"/>
      <w:sz w:val="28"/>
    </w:rPr>
  </w:style>
  <w:style w:type="character" w:customStyle="1" w:styleId="94">
    <w:name w:val="表格文字 Char Char"/>
    <w:link w:val="95"/>
    <w:qFormat/>
    <w:uiPriority w:val="0"/>
    <w:rPr>
      <w:rFonts w:eastAsia="仿宋_GB2312"/>
      <w:kern w:val="2"/>
      <w:sz w:val="21"/>
      <w:szCs w:val="21"/>
    </w:rPr>
  </w:style>
  <w:style w:type="paragraph" w:customStyle="1" w:styleId="95">
    <w:name w:val="表格文字"/>
    <w:basedOn w:val="1"/>
    <w:next w:val="1"/>
    <w:link w:val="94"/>
    <w:qFormat/>
    <w:uiPriority w:val="0"/>
    <w:pPr>
      <w:spacing w:line="240" w:lineRule="auto"/>
      <w:ind w:firstLine="0" w:firstLineChars="0"/>
      <w:jc w:val="center"/>
    </w:pPr>
    <w:rPr>
      <w:rFonts w:eastAsia="仿宋_GB2312"/>
      <w:sz w:val="21"/>
      <w:szCs w:val="21"/>
    </w:rPr>
  </w:style>
  <w:style w:type="character" w:customStyle="1" w:styleId="96">
    <w:name w:val="正文文本缩进 Char1"/>
    <w:qFormat/>
    <w:locked/>
    <w:uiPriority w:val="0"/>
    <w:rPr>
      <w:rFonts w:eastAsia="宋体"/>
      <w:kern w:val="2"/>
      <w:sz w:val="30"/>
      <w:szCs w:val="24"/>
      <w:lang w:val="en-US" w:eastAsia="zh-CN" w:bidi="ar-SA"/>
    </w:rPr>
  </w:style>
  <w:style w:type="character" w:customStyle="1" w:styleId="97">
    <w:name w:val="文档结构图 字符"/>
    <w:basedOn w:val="46"/>
    <w:link w:val="14"/>
    <w:qFormat/>
    <w:uiPriority w:val="0"/>
    <w:rPr>
      <w:kern w:val="2"/>
      <w:sz w:val="21"/>
      <w:szCs w:val="24"/>
      <w:shd w:val="clear" w:color="auto" w:fill="000080"/>
    </w:rPr>
  </w:style>
  <w:style w:type="character" w:customStyle="1" w:styleId="98">
    <w:name w:val="批注框文本 Char1"/>
    <w:qFormat/>
    <w:uiPriority w:val="0"/>
    <w:rPr>
      <w:rFonts w:eastAsia="宋体"/>
      <w:kern w:val="2"/>
      <w:sz w:val="18"/>
      <w:szCs w:val="18"/>
      <w:lang w:val="en-US" w:eastAsia="zh-CN" w:bidi="ar-SA"/>
    </w:rPr>
  </w:style>
  <w:style w:type="paragraph" w:customStyle="1" w:styleId="99">
    <w:name w:val="Char Char Char Char Char Char Char Char Char Char"/>
    <w:basedOn w:val="1"/>
    <w:qFormat/>
    <w:uiPriority w:val="0"/>
    <w:pPr>
      <w:spacing w:line="360" w:lineRule="auto"/>
    </w:pPr>
    <w:rPr>
      <w:szCs w:val="22"/>
    </w:rPr>
  </w:style>
  <w:style w:type="paragraph" w:customStyle="1" w:styleId="100">
    <w:name w:val="Char1"/>
    <w:basedOn w:val="1"/>
    <w:next w:val="1"/>
    <w:qFormat/>
    <w:uiPriority w:val="0"/>
    <w:pPr>
      <w:spacing w:line="360" w:lineRule="auto"/>
    </w:pPr>
    <w:rPr>
      <w:sz w:val="21"/>
    </w:rPr>
  </w:style>
  <w:style w:type="paragraph" w:customStyle="1" w:styleId="101">
    <w:name w:val="p0"/>
    <w:basedOn w:val="1"/>
    <w:qFormat/>
    <w:uiPriority w:val="0"/>
    <w:pPr>
      <w:widowControl/>
      <w:spacing w:line="240" w:lineRule="auto"/>
      <w:ind w:firstLine="0" w:firstLineChars="0"/>
    </w:pPr>
    <w:rPr>
      <w:kern w:val="0"/>
      <w:sz w:val="21"/>
      <w:szCs w:val="21"/>
    </w:rPr>
  </w:style>
  <w:style w:type="character" w:customStyle="1" w:styleId="102">
    <w:name w:val="表格文字 Char"/>
    <w:qFormat/>
    <w:uiPriority w:val="0"/>
    <w:rPr>
      <w:rFonts w:eastAsia="宋体"/>
      <w:kern w:val="2"/>
      <w:sz w:val="21"/>
      <w:szCs w:val="21"/>
      <w:lang w:val="en-US" w:eastAsia="zh-CN" w:bidi="ar-SA"/>
    </w:rPr>
  </w:style>
  <w:style w:type="character" w:customStyle="1" w:styleId="103">
    <w:name w:val="表头 Char"/>
    <w:qFormat/>
    <w:uiPriority w:val="0"/>
    <w:rPr>
      <w:rFonts w:eastAsia="宋体"/>
      <w:b/>
      <w:bCs/>
      <w:color w:val="FF0000"/>
      <w:sz w:val="24"/>
      <w:szCs w:val="24"/>
      <w:lang w:val="en-US" w:eastAsia="zh-CN" w:bidi="ar-SA"/>
    </w:rPr>
  </w:style>
  <w:style w:type="character" w:customStyle="1" w:styleId="104">
    <w:name w:val="正文缩进 字符"/>
    <w:link w:val="5"/>
    <w:qFormat/>
    <w:locked/>
    <w:uiPriority w:val="0"/>
    <w:rPr>
      <w:rFonts w:ascii="黑体" w:eastAsia="黑体"/>
      <w:sz w:val="28"/>
      <w:szCs w:val="21"/>
    </w:rPr>
  </w:style>
  <w:style w:type="character" w:customStyle="1" w:styleId="105">
    <w:name w:val="Char Char9"/>
    <w:qFormat/>
    <w:uiPriority w:val="0"/>
    <w:rPr>
      <w:rFonts w:ascii="宋体" w:hAnsi="Courier New" w:eastAsia="宋体"/>
      <w:kern w:val="2"/>
      <w:sz w:val="21"/>
      <w:lang w:val="en-US" w:eastAsia="zh-CN" w:bidi="ar-SA"/>
    </w:rPr>
  </w:style>
  <w:style w:type="paragraph" w:customStyle="1" w:styleId="106">
    <w:name w:val="表格(新)"/>
    <w:basedOn w:val="1"/>
    <w:qFormat/>
    <w:uiPriority w:val="0"/>
    <w:pPr>
      <w:adjustRightInd w:val="0"/>
      <w:snapToGrid w:val="0"/>
      <w:spacing w:line="240" w:lineRule="auto"/>
      <w:ind w:firstLine="0" w:firstLineChars="0"/>
      <w:jc w:val="center"/>
    </w:pPr>
    <w:rPr>
      <w:rFonts w:ascii="Calibri" w:hAnsi="Calibri"/>
      <w:kern w:val="24"/>
      <w:sz w:val="21"/>
      <w:szCs w:val="21"/>
      <w:lang w:eastAsia="en-US"/>
    </w:rPr>
  </w:style>
  <w:style w:type="paragraph" w:customStyle="1" w:styleId="107">
    <w:name w:val="表头(新)"/>
    <w:basedOn w:val="1"/>
    <w:link w:val="108"/>
    <w:qFormat/>
    <w:uiPriority w:val="0"/>
    <w:pPr>
      <w:spacing w:before="156" w:beforeLines="50" w:line="240" w:lineRule="auto"/>
      <w:ind w:firstLine="0" w:firstLineChars="0"/>
      <w:jc w:val="center"/>
    </w:pPr>
    <w:rPr>
      <w:rFonts w:ascii="宋体" w:hAnsi="宋体"/>
      <w:b/>
      <w:snapToGrid w:val="0"/>
      <w:kern w:val="0"/>
      <w:sz w:val="21"/>
    </w:rPr>
  </w:style>
  <w:style w:type="character" w:customStyle="1" w:styleId="108">
    <w:name w:val="表头(新) Char"/>
    <w:link w:val="107"/>
    <w:qFormat/>
    <w:uiPriority w:val="0"/>
    <w:rPr>
      <w:rFonts w:ascii="宋体" w:hAnsi="宋体"/>
      <w:b/>
      <w:snapToGrid w:val="0"/>
      <w:sz w:val="21"/>
      <w:szCs w:val="24"/>
    </w:rPr>
  </w:style>
  <w:style w:type="paragraph" w:customStyle="1" w:styleId="109">
    <w:name w:val="正文a"/>
    <w:basedOn w:val="1"/>
    <w:link w:val="110"/>
    <w:qFormat/>
    <w:uiPriority w:val="0"/>
    <w:pPr>
      <w:tabs>
        <w:tab w:val="left" w:pos="6327"/>
      </w:tabs>
      <w:snapToGrid w:val="0"/>
      <w:spacing w:line="240" w:lineRule="atLeast"/>
    </w:pPr>
    <w:rPr>
      <w:szCs w:val="20"/>
    </w:rPr>
  </w:style>
  <w:style w:type="character" w:customStyle="1" w:styleId="110">
    <w:name w:val="正文a Char"/>
    <w:link w:val="109"/>
    <w:qFormat/>
    <w:uiPriority w:val="0"/>
    <w:rPr>
      <w:kern w:val="2"/>
      <w:sz w:val="24"/>
    </w:rPr>
  </w:style>
  <w:style w:type="character" w:customStyle="1" w:styleId="111">
    <w:name w:val="我的表格 Char"/>
    <w:link w:val="112"/>
    <w:qFormat/>
    <w:uiPriority w:val="0"/>
    <w:rPr>
      <w:rFonts w:eastAsia="华文中宋"/>
      <w:snapToGrid w:val="0"/>
      <w:color w:val="000000"/>
      <w:kern w:val="2"/>
      <w:sz w:val="21"/>
      <w:szCs w:val="18"/>
    </w:rPr>
  </w:style>
  <w:style w:type="paragraph" w:customStyle="1" w:styleId="112">
    <w:name w:val="我的表格"/>
    <w:basedOn w:val="1"/>
    <w:link w:val="111"/>
    <w:qFormat/>
    <w:uiPriority w:val="0"/>
    <w:pPr>
      <w:tabs>
        <w:tab w:val="left" w:pos="540"/>
        <w:tab w:val="left" w:pos="1260"/>
      </w:tabs>
      <w:snapToGrid w:val="0"/>
      <w:spacing w:line="260" w:lineRule="exact"/>
      <w:ind w:firstLine="0" w:firstLineChars="0"/>
      <w:jc w:val="center"/>
    </w:pPr>
    <w:rPr>
      <w:rFonts w:eastAsia="华文中宋"/>
      <w:snapToGrid w:val="0"/>
      <w:color w:val="000000"/>
      <w:sz w:val="21"/>
      <w:szCs w:val="18"/>
    </w:rPr>
  </w:style>
  <w:style w:type="paragraph" w:customStyle="1" w:styleId="113">
    <w:name w:val="Char Char Char Char Char Char Char Char Char1 Char Char Char Char"/>
    <w:basedOn w:val="1"/>
    <w:qFormat/>
    <w:uiPriority w:val="0"/>
    <w:pPr>
      <w:adjustRightInd w:val="0"/>
      <w:spacing w:line="360" w:lineRule="auto"/>
      <w:ind w:firstLine="0" w:firstLineChars="0"/>
    </w:pPr>
    <w:rPr>
      <w:kern w:val="0"/>
      <w:szCs w:val="20"/>
    </w:rPr>
  </w:style>
  <w:style w:type="paragraph" w:customStyle="1" w:styleId="114">
    <w:name w:val="p15"/>
    <w:basedOn w:val="1"/>
    <w:qFormat/>
    <w:uiPriority w:val="0"/>
    <w:pPr>
      <w:widowControl/>
      <w:snapToGrid w:val="0"/>
      <w:spacing w:line="360" w:lineRule="auto"/>
      <w:ind w:firstLine="420" w:firstLineChars="0"/>
    </w:pPr>
    <w:rPr>
      <w:kern w:val="0"/>
    </w:rPr>
  </w:style>
  <w:style w:type="character" w:customStyle="1" w:styleId="115">
    <w:name w:val="apple-style-span"/>
    <w:basedOn w:val="46"/>
    <w:qFormat/>
    <w:uiPriority w:val="0"/>
  </w:style>
  <w:style w:type="paragraph" w:customStyle="1" w:styleId="116">
    <w:name w:val="样式 标题 3 + 首行缩进:  0 字符"/>
    <w:basedOn w:val="4"/>
    <w:qFormat/>
    <w:uiPriority w:val="0"/>
    <w:pPr>
      <w:tabs>
        <w:tab w:val="left" w:pos="6327"/>
      </w:tabs>
      <w:snapToGrid w:val="0"/>
      <w:spacing w:before="260" w:after="260" w:line="416" w:lineRule="auto"/>
      <w:ind w:firstLine="0" w:firstLineChars="0"/>
    </w:pPr>
    <w:rPr>
      <w:rFonts w:ascii="Times New Roman" w:hAnsi="宋体" w:cs="宋体"/>
      <w:snapToGrid w:val="0"/>
      <w:spacing w:val="10"/>
      <w:kern w:val="0"/>
      <w:szCs w:val="20"/>
    </w:rPr>
  </w:style>
  <w:style w:type="paragraph" w:customStyle="1" w:styleId="117">
    <w:name w:val="2 Char Char Char Char"/>
    <w:basedOn w:val="1"/>
    <w:qFormat/>
    <w:uiPriority w:val="0"/>
    <w:pPr>
      <w:snapToGrid w:val="0"/>
      <w:spacing w:line="360" w:lineRule="auto"/>
      <w:ind w:firstLine="529"/>
    </w:pPr>
    <w:rPr>
      <w:rFonts w:ascii="宋体" w:hAnsi="宋体"/>
      <w:b/>
      <w:sz w:val="21"/>
    </w:rPr>
  </w:style>
  <w:style w:type="paragraph" w:customStyle="1" w:styleId="118">
    <w:name w:val="Char Char Char Char Char Char Char Char Char Char Char Char Char"/>
    <w:basedOn w:val="1"/>
    <w:semiHidden/>
    <w:qFormat/>
    <w:uiPriority w:val="0"/>
    <w:pPr>
      <w:adjustRightInd w:val="0"/>
      <w:snapToGrid w:val="0"/>
      <w:spacing w:line="360" w:lineRule="auto"/>
    </w:pPr>
    <w:rPr>
      <w:rFonts w:ascii="宋体" w:hAnsi="宋体" w:cs="宋体"/>
      <w:szCs w:val="26"/>
    </w:rPr>
  </w:style>
  <w:style w:type="paragraph" w:customStyle="1" w:styleId="119">
    <w:name w:val="表格1"/>
    <w:basedOn w:val="1"/>
    <w:link w:val="120"/>
    <w:qFormat/>
    <w:uiPriority w:val="0"/>
    <w:pPr>
      <w:spacing w:line="240" w:lineRule="atLeast"/>
      <w:ind w:firstLine="480"/>
    </w:pPr>
    <w:rPr>
      <w:rFonts w:ascii="宋体" w:hAnsi="宋体"/>
      <w:szCs w:val="21"/>
    </w:rPr>
  </w:style>
  <w:style w:type="character" w:customStyle="1" w:styleId="120">
    <w:name w:val="表格1 Char"/>
    <w:link w:val="119"/>
    <w:qFormat/>
    <w:uiPriority w:val="0"/>
    <w:rPr>
      <w:rFonts w:ascii="宋体" w:hAnsi="宋体"/>
      <w:kern w:val="2"/>
      <w:sz w:val="24"/>
      <w:szCs w:val="21"/>
    </w:rPr>
  </w:style>
  <w:style w:type="character" w:customStyle="1" w:styleId="121">
    <w:name w:val="日期 字符"/>
    <w:basedOn w:val="46"/>
    <w:link w:val="22"/>
    <w:qFormat/>
    <w:uiPriority w:val="0"/>
    <w:rPr>
      <w:kern w:val="2"/>
      <w:sz w:val="21"/>
      <w:szCs w:val="24"/>
    </w:rPr>
  </w:style>
  <w:style w:type="paragraph" w:customStyle="1" w:styleId="122">
    <w:name w:val="正文01"/>
    <w:basedOn w:val="1"/>
    <w:qFormat/>
    <w:uiPriority w:val="0"/>
    <w:pPr>
      <w:spacing w:line="480" w:lineRule="exact"/>
      <w:ind w:firstLine="480"/>
    </w:pPr>
  </w:style>
  <w:style w:type="paragraph" w:customStyle="1" w:styleId="123">
    <w:name w:val="Char Char Char2 Char Char Char Char"/>
    <w:basedOn w:val="1"/>
    <w:semiHidden/>
    <w:qFormat/>
    <w:uiPriority w:val="0"/>
    <w:pPr>
      <w:tabs>
        <w:tab w:val="left" w:pos="7380"/>
      </w:tabs>
      <w:spacing w:line="360" w:lineRule="auto"/>
      <w:jc w:val="left"/>
    </w:pPr>
    <w:rPr>
      <w:rFonts w:ascii="宋体" w:hAnsi="宋体" w:cs="宋体"/>
    </w:rPr>
  </w:style>
  <w:style w:type="paragraph" w:customStyle="1" w:styleId="124">
    <w:name w:val="Char Char Char Char"/>
    <w:basedOn w:val="1"/>
    <w:next w:val="1"/>
    <w:qFormat/>
    <w:uiPriority w:val="0"/>
    <w:pPr>
      <w:spacing w:line="360" w:lineRule="auto"/>
    </w:pPr>
    <w:rPr>
      <w:rFonts w:ascii="宋体" w:hAnsi="宋体" w:cs="宋体"/>
    </w:rPr>
  </w:style>
  <w:style w:type="paragraph" w:customStyle="1" w:styleId="125">
    <w:name w:val="正文文字缩进"/>
    <w:basedOn w:val="1"/>
    <w:qFormat/>
    <w:uiPriority w:val="0"/>
    <w:pPr>
      <w:widowControl/>
      <w:spacing w:line="351" w:lineRule="atLeast"/>
      <w:ind w:firstLine="538" w:firstLineChars="0"/>
      <w:textAlignment w:val="baseline"/>
    </w:pPr>
    <w:rPr>
      <w:color w:val="000000"/>
      <w:kern w:val="0"/>
      <w:sz w:val="28"/>
      <w:szCs w:val="20"/>
      <w:u w:color="000000"/>
    </w:rPr>
  </w:style>
  <w:style w:type="paragraph" w:customStyle="1" w:styleId="126">
    <w:name w:val="表格标题"/>
    <w:basedOn w:val="1"/>
    <w:next w:val="1"/>
    <w:link w:val="127"/>
    <w:qFormat/>
    <w:uiPriority w:val="0"/>
    <w:pPr>
      <w:spacing w:line="336" w:lineRule="auto"/>
      <w:ind w:firstLine="0" w:firstLineChars="0"/>
      <w:jc w:val="center"/>
    </w:pPr>
    <w:rPr>
      <w:rFonts w:hAnsi="宋体" w:cs="宋体"/>
      <w:b/>
      <w:bCs/>
      <w:sz w:val="21"/>
      <w:szCs w:val="21"/>
    </w:rPr>
  </w:style>
  <w:style w:type="character" w:customStyle="1" w:styleId="127">
    <w:name w:val="表格标题 Char"/>
    <w:link w:val="126"/>
    <w:qFormat/>
    <w:uiPriority w:val="0"/>
    <w:rPr>
      <w:rFonts w:hAnsi="宋体" w:cs="宋体"/>
      <w:b/>
      <w:bCs/>
      <w:kern w:val="2"/>
      <w:sz w:val="21"/>
      <w:szCs w:val="21"/>
    </w:rPr>
  </w:style>
  <w:style w:type="character" w:customStyle="1" w:styleId="128">
    <w:name w:val="普通文字 Char Char1"/>
    <w:qFormat/>
    <w:uiPriority w:val="0"/>
    <w:rPr>
      <w:rFonts w:ascii="宋体" w:hAnsi="Courier New" w:eastAsia="宋体" w:cs="Courier New"/>
      <w:kern w:val="2"/>
      <w:sz w:val="21"/>
      <w:szCs w:val="21"/>
      <w:lang w:val="en-US" w:eastAsia="zh-CN" w:bidi="ar-SA"/>
    </w:rPr>
  </w:style>
  <w:style w:type="character" w:customStyle="1" w:styleId="129">
    <w:name w:val="正文文本 Char1"/>
    <w:qFormat/>
    <w:uiPriority w:val="0"/>
    <w:rPr>
      <w:rFonts w:eastAsia="宋体"/>
      <w:kern w:val="2"/>
      <w:sz w:val="21"/>
      <w:szCs w:val="24"/>
      <w:lang w:val="en-US" w:eastAsia="zh-CN" w:bidi="ar-SA"/>
    </w:rPr>
  </w:style>
  <w:style w:type="paragraph" w:customStyle="1" w:styleId="130">
    <w:name w:val="Char Char Char Char Char Char1 Char Char Char Char"/>
    <w:basedOn w:val="1"/>
    <w:semiHidden/>
    <w:qFormat/>
    <w:uiPriority w:val="0"/>
    <w:pPr>
      <w:spacing w:line="360" w:lineRule="auto"/>
    </w:pPr>
    <w:rPr>
      <w:rFonts w:ascii="宋体" w:hAnsi="宋体" w:cs="宋体"/>
    </w:rPr>
  </w:style>
  <w:style w:type="paragraph" w:customStyle="1" w:styleId="131">
    <w:name w:val="我的正文"/>
    <w:basedOn w:val="1"/>
    <w:qFormat/>
    <w:uiPriority w:val="0"/>
    <w:pPr>
      <w:spacing w:line="460" w:lineRule="exact"/>
      <w:ind w:firstLine="482" w:firstLineChars="0"/>
    </w:pPr>
  </w:style>
  <w:style w:type="character" w:customStyle="1" w:styleId="132">
    <w:name w:val="标题 1 Char1"/>
    <w:qFormat/>
    <w:uiPriority w:val="0"/>
    <w:rPr>
      <w:rFonts w:eastAsia="宋体"/>
      <w:b/>
      <w:bCs/>
      <w:kern w:val="44"/>
      <w:sz w:val="44"/>
      <w:szCs w:val="44"/>
      <w:lang w:val="en-US" w:eastAsia="zh-CN" w:bidi="ar-SA"/>
    </w:rPr>
  </w:style>
  <w:style w:type="character" w:customStyle="1" w:styleId="133">
    <w:name w:val="标题 4 Char1"/>
    <w:qFormat/>
    <w:uiPriority w:val="0"/>
    <w:rPr>
      <w:rFonts w:ascii="Arial" w:hAnsi="Arial" w:eastAsia="黑体"/>
      <w:b/>
      <w:bCs/>
      <w:kern w:val="2"/>
      <w:sz w:val="28"/>
      <w:szCs w:val="28"/>
      <w:lang w:val="en-US" w:eastAsia="zh-CN" w:bidi="ar-SA"/>
    </w:rPr>
  </w:style>
  <w:style w:type="paragraph" w:customStyle="1" w:styleId="134">
    <w:name w:val="Char"/>
    <w:basedOn w:val="1"/>
    <w:qFormat/>
    <w:uiPriority w:val="0"/>
    <w:pPr>
      <w:snapToGrid w:val="0"/>
      <w:spacing w:line="360" w:lineRule="auto"/>
      <w:ind w:firstLine="529"/>
    </w:pPr>
    <w:rPr>
      <w:rFonts w:ascii="宋体" w:hAnsi="宋体"/>
      <w:b/>
      <w:sz w:val="21"/>
    </w:rPr>
  </w:style>
  <w:style w:type="paragraph" w:customStyle="1" w:styleId="135">
    <w:name w:val="页脚2"/>
    <w:basedOn w:val="1"/>
    <w:qFormat/>
    <w:uiPriority w:val="0"/>
    <w:pPr>
      <w:pBdr>
        <w:top w:val="single" w:color="auto" w:sz="4" w:space="1"/>
      </w:pBdr>
      <w:adjustRightInd w:val="0"/>
      <w:snapToGrid w:val="0"/>
      <w:spacing w:line="240" w:lineRule="auto"/>
      <w:ind w:firstLine="0" w:firstLineChars="0"/>
    </w:pPr>
    <w:rPr>
      <w:rFonts w:ascii="宋体"/>
      <w:sz w:val="18"/>
    </w:rPr>
  </w:style>
  <w:style w:type="paragraph" w:customStyle="1" w:styleId="136">
    <w:name w:val="Char11"/>
    <w:basedOn w:val="1"/>
    <w:next w:val="1"/>
    <w:qFormat/>
    <w:uiPriority w:val="0"/>
    <w:pPr>
      <w:spacing w:line="360" w:lineRule="auto"/>
    </w:pPr>
    <w:rPr>
      <w:rFonts w:ascii="宋体" w:hAnsi="宋体" w:cs="宋体"/>
    </w:rPr>
  </w:style>
  <w:style w:type="paragraph" w:customStyle="1" w:styleId="137">
    <w:name w:val="2"/>
    <w:basedOn w:val="1"/>
    <w:next w:val="23"/>
    <w:qFormat/>
    <w:uiPriority w:val="0"/>
    <w:pPr>
      <w:ind w:firstLine="480" w:firstLineChars="0"/>
    </w:pPr>
  </w:style>
  <w:style w:type="character" w:customStyle="1" w:styleId="138">
    <w:name w:val="正文文本缩进 2 Char"/>
    <w:basedOn w:val="46"/>
    <w:qFormat/>
    <w:uiPriority w:val="0"/>
    <w:rPr>
      <w:kern w:val="2"/>
      <w:sz w:val="24"/>
      <w:szCs w:val="24"/>
    </w:rPr>
  </w:style>
  <w:style w:type="character" w:customStyle="1" w:styleId="139">
    <w:name w:val="正文文本缩进 2 字符"/>
    <w:link w:val="23"/>
    <w:qFormat/>
    <w:uiPriority w:val="0"/>
    <w:rPr>
      <w:kern w:val="2"/>
      <w:sz w:val="21"/>
      <w:szCs w:val="24"/>
    </w:rPr>
  </w:style>
  <w:style w:type="paragraph" w:customStyle="1" w:styleId="140">
    <w:name w:val="样式1"/>
    <w:basedOn w:val="1"/>
    <w:qFormat/>
    <w:uiPriority w:val="0"/>
    <w:pPr>
      <w:adjustRightInd w:val="0"/>
      <w:snapToGrid w:val="0"/>
      <w:spacing w:line="360" w:lineRule="auto"/>
      <w:ind w:firstLine="0" w:firstLineChars="0"/>
    </w:pPr>
    <w:rPr>
      <w:sz w:val="28"/>
    </w:rPr>
  </w:style>
  <w:style w:type="paragraph" w:customStyle="1" w:styleId="141">
    <w:name w:val="山焦报告正文"/>
    <w:basedOn w:val="1"/>
    <w:qFormat/>
    <w:uiPriority w:val="0"/>
    <w:pPr>
      <w:adjustRightInd w:val="0"/>
      <w:snapToGrid w:val="0"/>
      <w:spacing w:before="25" w:beforeLines="25" w:line="440" w:lineRule="exact"/>
    </w:pPr>
    <w:rPr>
      <w:color w:val="000000"/>
    </w:rPr>
  </w:style>
  <w:style w:type="character" w:customStyle="1" w:styleId="142">
    <w:name w:val="正文文本 2 字符"/>
    <w:basedOn w:val="46"/>
    <w:link w:val="36"/>
    <w:qFormat/>
    <w:uiPriority w:val="0"/>
    <w:rPr>
      <w:kern w:val="2"/>
      <w:sz w:val="21"/>
      <w:szCs w:val="24"/>
    </w:rPr>
  </w:style>
  <w:style w:type="paragraph" w:customStyle="1" w:styleId="143">
    <w:name w:val="正文新"/>
    <w:basedOn w:val="5"/>
    <w:semiHidden/>
    <w:qFormat/>
    <w:uiPriority w:val="0"/>
    <w:pPr>
      <w:autoSpaceDE/>
      <w:autoSpaceDN/>
      <w:adjustRightInd/>
      <w:spacing w:line="360" w:lineRule="auto"/>
      <w:ind w:firstLine="480" w:firstLineChars="0"/>
    </w:pPr>
    <w:rPr>
      <w:rFonts w:ascii="Times New Roman" w:hAnsi="宋体" w:eastAsia="宋体"/>
      <w:color w:val="0000FF"/>
      <w:kern w:val="2"/>
      <w:sz w:val="24"/>
      <w:szCs w:val="24"/>
    </w:rPr>
  </w:style>
  <w:style w:type="character" w:customStyle="1" w:styleId="144">
    <w:name w:val="无页眉 Char Char"/>
    <w:qFormat/>
    <w:locked/>
    <w:uiPriority w:val="0"/>
    <w:rPr>
      <w:rFonts w:eastAsia="宋体"/>
      <w:kern w:val="2"/>
      <w:sz w:val="18"/>
      <w:szCs w:val="18"/>
      <w:lang w:val="en-US" w:eastAsia="zh-CN" w:bidi="ar-SA"/>
    </w:rPr>
  </w:style>
  <w:style w:type="paragraph" w:customStyle="1" w:styleId="145">
    <w:name w:val="正文文字"/>
    <w:basedOn w:val="1"/>
    <w:qFormat/>
    <w:uiPriority w:val="0"/>
    <w:pPr>
      <w:spacing w:after="120" w:line="240" w:lineRule="auto"/>
      <w:ind w:firstLine="0" w:firstLineChars="0"/>
    </w:pPr>
    <w:rPr>
      <w:sz w:val="21"/>
      <w:szCs w:val="21"/>
    </w:rPr>
  </w:style>
  <w:style w:type="character" w:customStyle="1" w:styleId="146">
    <w:name w:val="正文内容 Char"/>
    <w:link w:val="147"/>
    <w:qFormat/>
    <w:locked/>
    <w:uiPriority w:val="0"/>
    <w:rPr>
      <w:rFonts w:ascii="宋体" w:hAnsi="宋体" w:eastAsia="Times New Roman"/>
      <w:kern w:val="2"/>
      <w:sz w:val="24"/>
      <w:szCs w:val="24"/>
    </w:rPr>
  </w:style>
  <w:style w:type="paragraph" w:customStyle="1" w:styleId="147">
    <w:name w:val="正文内容"/>
    <w:link w:val="146"/>
    <w:qFormat/>
    <w:uiPriority w:val="0"/>
    <w:pPr>
      <w:widowControl w:val="0"/>
      <w:snapToGrid w:val="0"/>
      <w:spacing w:before="60" w:after="60" w:line="440" w:lineRule="exact"/>
      <w:ind w:firstLine="200" w:firstLineChars="200"/>
      <w:jc w:val="both"/>
    </w:pPr>
    <w:rPr>
      <w:rFonts w:ascii="宋体" w:hAnsi="宋体" w:eastAsia="Times New Roman" w:cs="Times New Roman"/>
      <w:kern w:val="2"/>
      <w:sz w:val="24"/>
      <w:szCs w:val="24"/>
      <w:lang w:val="en-US" w:eastAsia="zh-CN" w:bidi="ar-SA"/>
    </w:rPr>
  </w:style>
  <w:style w:type="character" w:customStyle="1" w:styleId="148">
    <w:name w:val="表头 Char3"/>
    <w:qFormat/>
    <w:uiPriority w:val="0"/>
    <w:rPr>
      <w:rFonts w:eastAsia="宋体"/>
      <w:b/>
      <w:color w:val="000000"/>
      <w:sz w:val="24"/>
      <w:szCs w:val="24"/>
      <w:lang w:val="de-DE" w:eastAsia="zh-CN" w:bidi="ar-SA"/>
    </w:rPr>
  </w:style>
  <w:style w:type="paragraph" w:customStyle="1" w:styleId="149">
    <w:name w:val="正文 + 宋体"/>
    <w:basedOn w:val="1"/>
    <w:qFormat/>
    <w:uiPriority w:val="0"/>
    <w:pPr>
      <w:adjustRightInd w:val="0"/>
      <w:spacing w:line="520" w:lineRule="exact"/>
      <w:jc w:val="left"/>
      <w:textAlignment w:val="baseline"/>
    </w:pPr>
    <w:rPr>
      <w:rFonts w:ascii="宋体" w:hAnsi="宋体"/>
      <w:kern w:val="0"/>
    </w:rPr>
  </w:style>
  <w:style w:type="paragraph" w:customStyle="1" w:styleId="150">
    <w:name w:val="默认段落字体 Para Char"/>
    <w:basedOn w:val="1"/>
    <w:qFormat/>
    <w:uiPriority w:val="0"/>
    <w:pPr>
      <w:spacing w:line="360" w:lineRule="auto"/>
    </w:pPr>
    <w:rPr>
      <w:rFonts w:ascii="宋体" w:hAnsi="宋体" w:cs="宋体"/>
    </w:rPr>
  </w:style>
  <w:style w:type="paragraph" w:customStyle="1" w:styleId="151">
    <w:name w:val="p16"/>
    <w:basedOn w:val="1"/>
    <w:qFormat/>
    <w:uiPriority w:val="0"/>
    <w:pPr>
      <w:widowControl/>
      <w:spacing w:line="240" w:lineRule="auto"/>
      <w:ind w:firstLine="0" w:firstLineChars="0"/>
    </w:pPr>
    <w:rPr>
      <w:kern w:val="0"/>
      <w:sz w:val="21"/>
      <w:szCs w:val="21"/>
    </w:rPr>
  </w:style>
  <w:style w:type="paragraph" w:customStyle="1" w:styleId="152">
    <w:name w:val="p19"/>
    <w:basedOn w:val="1"/>
    <w:qFormat/>
    <w:uiPriority w:val="0"/>
    <w:pPr>
      <w:widowControl/>
      <w:spacing w:after="120" w:line="240" w:lineRule="auto"/>
      <w:ind w:left="420" w:firstLine="0" w:firstLineChars="0"/>
    </w:pPr>
    <w:rPr>
      <w:kern w:val="0"/>
      <w:sz w:val="21"/>
      <w:szCs w:val="21"/>
    </w:rPr>
  </w:style>
  <w:style w:type="character" w:customStyle="1" w:styleId="153">
    <w:name w:val="Char Char19"/>
    <w:qFormat/>
    <w:uiPriority w:val="0"/>
    <w:rPr>
      <w:rFonts w:eastAsia="宋体"/>
      <w:kern w:val="2"/>
      <w:sz w:val="18"/>
      <w:szCs w:val="18"/>
      <w:lang w:val="en-US" w:eastAsia="zh-CN" w:bidi="ar-SA"/>
    </w:rPr>
  </w:style>
  <w:style w:type="character" w:customStyle="1" w:styleId="154">
    <w:name w:val="HTML 预设格式 字符"/>
    <w:link w:val="37"/>
    <w:qFormat/>
    <w:uiPriority w:val="99"/>
    <w:rPr>
      <w:rFonts w:ascii="宋体" w:hAnsi="宋体"/>
      <w:sz w:val="24"/>
      <w:szCs w:val="24"/>
    </w:rPr>
  </w:style>
  <w:style w:type="character" w:customStyle="1" w:styleId="155">
    <w:name w:val="HTML 预设格式 Char1"/>
    <w:basedOn w:val="46"/>
    <w:semiHidden/>
    <w:qFormat/>
    <w:uiPriority w:val="0"/>
    <w:rPr>
      <w:rFonts w:ascii="Courier New" w:hAnsi="Courier New" w:cs="Courier New"/>
      <w:kern w:val="2"/>
    </w:rPr>
  </w:style>
  <w:style w:type="paragraph" w:customStyle="1" w:styleId="156">
    <w:name w:val="Char Char1"/>
    <w:basedOn w:val="1"/>
    <w:qFormat/>
    <w:uiPriority w:val="0"/>
    <w:pPr>
      <w:widowControl/>
      <w:spacing w:after="160" w:line="240" w:lineRule="exact"/>
      <w:ind w:firstLine="0" w:firstLineChars="0"/>
      <w:jc w:val="left"/>
    </w:pPr>
    <w:rPr>
      <w:rFonts w:eastAsia="仿宋_GB2312"/>
      <w:sz w:val="28"/>
      <w:szCs w:val="20"/>
    </w:rPr>
  </w:style>
  <w:style w:type="paragraph" w:customStyle="1" w:styleId="157">
    <w:name w:val="段落"/>
    <w:basedOn w:val="1"/>
    <w:qFormat/>
    <w:uiPriority w:val="0"/>
    <w:pPr>
      <w:adjustRightInd w:val="0"/>
      <w:snapToGrid w:val="0"/>
      <w:spacing w:line="300" w:lineRule="auto"/>
      <w:ind w:firstLine="539" w:firstLineChars="0"/>
    </w:pPr>
    <w:rPr>
      <w:rFonts w:ascii="宋体" w:hAnsi="宋体"/>
      <w:sz w:val="28"/>
    </w:rPr>
  </w:style>
  <w:style w:type="paragraph" w:customStyle="1" w:styleId="158">
    <w:name w:val="样式 宋体 小四 + 首行缩进:  2 字符 Char Char"/>
    <w:basedOn w:val="1"/>
    <w:link w:val="159"/>
    <w:qFormat/>
    <w:uiPriority w:val="0"/>
    <w:pPr>
      <w:ind w:firstLine="480"/>
    </w:pPr>
    <w:rPr>
      <w:rFonts w:ascii="宋体" w:hAnsi="宋体" w:cs="宋体"/>
      <w:szCs w:val="20"/>
    </w:rPr>
  </w:style>
  <w:style w:type="character" w:customStyle="1" w:styleId="159">
    <w:name w:val="样式 宋体 小四 + 首行缩进:  2 字符 Char Char Char"/>
    <w:link w:val="158"/>
    <w:qFormat/>
    <w:uiPriority w:val="0"/>
    <w:rPr>
      <w:rFonts w:ascii="宋体" w:hAnsi="宋体" w:cs="宋体"/>
      <w:kern w:val="2"/>
      <w:sz w:val="24"/>
    </w:rPr>
  </w:style>
  <w:style w:type="paragraph" w:customStyle="1" w:styleId="160">
    <w:name w:val="表内正文"/>
    <w:basedOn w:val="1"/>
    <w:qFormat/>
    <w:uiPriority w:val="0"/>
    <w:pPr>
      <w:spacing w:line="240" w:lineRule="auto"/>
      <w:ind w:firstLine="0" w:firstLineChars="0"/>
    </w:pPr>
    <w:rPr>
      <w:rFonts w:ascii="仿宋_GB2312" w:hAnsi="宋体" w:eastAsia="仿宋_GB2312"/>
      <w:sz w:val="21"/>
    </w:rPr>
  </w:style>
  <w:style w:type="character" w:customStyle="1" w:styleId="161">
    <w:name w:val="description"/>
    <w:basedOn w:val="46"/>
    <w:qFormat/>
    <w:uiPriority w:val="0"/>
  </w:style>
  <w:style w:type="paragraph" w:customStyle="1" w:styleId="162">
    <w:name w:val="标题22222"/>
    <w:basedOn w:val="1"/>
    <w:qFormat/>
    <w:uiPriority w:val="0"/>
    <w:pPr>
      <w:spacing w:line="320" w:lineRule="exact"/>
      <w:ind w:firstLine="0" w:firstLineChars="0"/>
    </w:pPr>
    <w:rPr>
      <w:sz w:val="21"/>
      <w:szCs w:val="20"/>
    </w:rPr>
  </w:style>
  <w:style w:type="paragraph" w:customStyle="1" w:styleId="163">
    <w:name w:val="Char Char Char1 Char Char Char Char Char Char Char Char Char Char Char Char Char Char Char Char"/>
    <w:basedOn w:val="1"/>
    <w:qFormat/>
    <w:uiPriority w:val="0"/>
    <w:pPr>
      <w:spacing w:line="240" w:lineRule="auto"/>
      <w:ind w:firstLine="0" w:firstLineChars="0"/>
    </w:pPr>
    <w:rPr>
      <w:sz w:val="21"/>
      <w:szCs w:val="21"/>
    </w:rPr>
  </w:style>
  <w:style w:type="paragraph" w:customStyle="1" w:styleId="164">
    <w:name w:val="正文001"/>
    <w:basedOn w:val="1"/>
    <w:qFormat/>
    <w:uiPriority w:val="0"/>
    <w:pPr>
      <w:spacing w:before="60"/>
      <w:ind w:firstLine="482" w:firstLineChars="0"/>
    </w:pPr>
    <w:rPr>
      <w:szCs w:val="20"/>
    </w:rPr>
  </w:style>
  <w:style w:type="paragraph" w:customStyle="1" w:styleId="165">
    <w:name w:val="宋小4单"/>
    <w:basedOn w:val="1"/>
    <w:qFormat/>
    <w:uiPriority w:val="0"/>
    <w:pPr>
      <w:adjustRightInd w:val="0"/>
      <w:snapToGrid w:val="0"/>
      <w:spacing w:line="240" w:lineRule="auto"/>
      <w:jc w:val="left"/>
    </w:pPr>
  </w:style>
  <w:style w:type="paragraph" w:customStyle="1" w:styleId="166">
    <w:name w:val="正文样式1"/>
    <w:basedOn w:val="1"/>
    <w:qFormat/>
    <w:uiPriority w:val="0"/>
    <w:pPr>
      <w:widowControl/>
      <w:spacing w:line="360" w:lineRule="auto"/>
      <w:ind w:firstLine="480"/>
    </w:pPr>
    <w:rPr>
      <w:kern w:val="0"/>
      <w:szCs w:val="21"/>
      <w:lang w:val="zh-CN"/>
    </w:rPr>
  </w:style>
  <w:style w:type="paragraph" w:customStyle="1" w:styleId="167">
    <w:name w:val="Char2 Char Char Char Char Char Char1"/>
    <w:basedOn w:val="1"/>
    <w:semiHidden/>
    <w:qFormat/>
    <w:uiPriority w:val="0"/>
    <w:pPr>
      <w:keepNext/>
      <w:widowControl/>
      <w:tabs>
        <w:tab w:val="left" w:pos="425"/>
      </w:tabs>
      <w:autoSpaceDE w:val="0"/>
      <w:autoSpaceDN w:val="0"/>
      <w:adjustRightInd w:val="0"/>
      <w:spacing w:before="80" w:after="80" w:line="240" w:lineRule="auto"/>
      <w:ind w:hanging="425" w:firstLineChars="0"/>
    </w:pPr>
    <w:rPr>
      <w:rFonts w:ascii="Arial" w:hAnsi="Arial" w:cs="Arial"/>
      <w:sz w:val="20"/>
      <w:szCs w:val="20"/>
    </w:rPr>
  </w:style>
  <w:style w:type="character" w:customStyle="1" w:styleId="168">
    <w:name w:val="正文文本 + Arial Unicode MS"/>
    <w:qFormat/>
    <w:uiPriority w:val="0"/>
    <w:rPr>
      <w:rFonts w:ascii="Arial Unicode MS" w:hAnsi="Arial Unicode MS" w:eastAsia="Arial Unicode MS" w:cs="Arial Unicode MS"/>
      <w:color w:val="000000"/>
      <w:spacing w:val="0"/>
      <w:w w:val="100"/>
      <w:position w:val="0"/>
      <w:sz w:val="13"/>
      <w:szCs w:val="13"/>
      <w:shd w:val="clear" w:color="auto" w:fill="FFFFFF"/>
      <w:lang w:val="en-US" w:bidi="ar-SA"/>
    </w:rPr>
  </w:style>
  <w:style w:type="character" w:customStyle="1" w:styleId="169">
    <w:name w:val="正文文本_"/>
    <w:link w:val="170"/>
    <w:qFormat/>
    <w:uiPriority w:val="0"/>
    <w:rPr>
      <w:rFonts w:ascii="MingLiU" w:hAnsi="MingLiU" w:eastAsia="MingLiU"/>
      <w:sz w:val="14"/>
      <w:szCs w:val="14"/>
      <w:shd w:val="clear" w:color="auto" w:fill="FFFFFF"/>
    </w:rPr>
  </w:style>
  <w:style w:type="paragraph" w:customStyle="1" w:styleId="170">
    <w:name w:val="正文文本2"/>
    <w:basedOn w:val="1"/>
    <w:link w:val="169"/>
    <w:qFormat/>
    <w:uiPriority w:val="0"/>
    <w:pPr>
      <w:shd w:val="clear" w:color="auto" w:fill="FFFFFF"/>
      <w:spacing w:line="278" w:lineRule="exact"/>
      <w:ind w:firstLine="0" w:firstLineChars="0"/>
      <w:jc w:val="distribute"/>
    </w:pPr>
    <w:rPr>
      <w:rFonts w:ascii="MingLiU" w:hAnsi="MingLiU" w:eastAsia="MingLiU"/>
      <w:kern w:val="0"/>
      <w:sz w:val="14"/>
      <w:szCs w:val="14"/>
      <w:shd w:val="clear" w:color="auto" w:fill="FFFFFF"/>
    </w:rPr>
  </w:style>
  <w:style w:type="character" w:customStyle="1" w:styleId="171">
    <w:name w:val="正文文本 (9) + Times New Roman"/>
    <w:qFormat/>
    <w:uiPriority w:val="0"/>
    <w:rPr>
      <w:rFonts w:ascii="Times New Roman" w:hAnsi="Times New Roman" w:eastAsia="Times New Roman" w:cs="Times New Roman"/>
      <w:color w:val="000000"/>
      <w:spacing w:val="0"/>
      <w:w w:val="100"/>
      <w:position w:val="0"/>
      <w:sz w:val="18"/>
      <w:szCs w:val="18"/>
      <w:shd w:val="clear" w:color="auto" w:fill="FFFFFF"/>
      <w:lang w:val="en-US" w:bidi="ar-SA"/>
    </w:rPr>
  </w:style>
  <w:style w:type="character" w:customStyle="1" w:styleId="172">
    <w:name w:val="正文文本 (9)_"/>
    <w:link w:val="173"/>
    <w:qFormat/>
    <w:uiPriority w:val="0"/>
    <w:rPr>
      <w:rFonts w:ascii="MingLiU" w:hAnsi="MingLiU" w:eastAsia="MingLiU"/>
      <w:sz w:val="17"/>
      <w:szCs w:val="17"/>
      <w:shd w:val="clear" w:color="auto" w:fill="FFFFFF"/>
    </w:rPr>
  </w:style>
  <w:style w:type="paragraph" w:customStyle="1" w:styleId="173">
    <w:name w:val="正文文本 (9)"/>
    <w:basedOn w:val="1"/>
    <w:link w:val="172"/>
    <w:qFormat/>
    <w:uiPriority w:val="0"/>
    <w:pPr>
      <w:shd w:val="clear" w:color="auto" w:fill="FFFFFF"/>
      <w:spacing w:line="378" w:lineRule="exact"/>
      <w:ind w:firstLine="0" w:firstLineChars="0"/>
      <w:jc w:val="distribute"/>
    </w:pPr>
    <w:rPr>
      <w:rFonts w:ascii="MingLiU" w:hAnsi="MingLiU" w:eastAsia="MingLiU"/>
      <w:kern w:val="0"/>
      <w:sz w:val="17"/>
      <w:szCs w:val="17"/>
      <w:shd w:val="clear" w:color="auto" w:fill="FFFFFF"/>
    </w:rPr>
  </w:style>
  <w:style w:type="character" w:customStyle="1" w:styleId="174">
    <w:name w:val="脚注文本 字符"/>
    <w:link w:val="30"/>
    <w:qFormat/>
    <w:uiPriority w:val="0"/>
    <w:rPr>
      <w:rFonts w:ascii="Cambria" w:hAnsi="Cambria"/>
      <w:sz w:val="18"/>
      <w:szCs w:val="18"/>
      <w:lang w:eastAsia="en-US" w:bidi="en-US"/>
    </w:rPr>
  </w:style>
  <w:style w:type="character" w:customStyle="1" w:styleId="175">
    <w:name w:val="脚注文本 Char1"/>
    <w:basedOn w:val="46"/>
    <w:semiHidden/>
    <w:qFormat/>
    <w:uiPriority w:val="0"/>
    <w:rPr>
      <w:kern w:val="2"/>
      <w:sz w:val="18"/>
      <w:szCs w:val="18"/>
    </w:rPr>
  </w:style>
  <w:style w:type="character" w:customStyle="1" w:styleId="176">
    <w:name w:val="明显引用 字符"/>
    <w:link w:val="177"/>
    <w:qFormat/>
    <w:uiPriority w:val="0"/>
    <w:rPr>
      <w:rFonts w:ascii="Cambria" w:hAnsi="Cambria"/>
      <w:i/>
      <w:iCs/>
      <w:sz w:val="22"/>
      <w:lang w:eastAsia="en-US" w:bidi="en-US"/>
    </w:rPr>
  </w:style>
  <w:style w:type="paragraph" w:styleId="177">
    <w:name w:val="Intense Quote"/>
    <w:basedOn w:val="1"/>
    <w:next w:val="1"/>
    <w:link w:val="176"/>
    <w:qFormat/>
    <w:uiPriority w:val="0"/>
    <w:pPr>
      <w:widowControl/>
      <w:pBdr>
        <w:top w:val="single" w:color="auto" w:sz="4" w:space="10"/>
        <w:bottom w:val="single" w:color="auto" w:sz="4" w:space="10"/>
      </w:pBdr>
      <w:spacing w:before="240" w:after="240" w:line="300" w:lineRule="auto"/>
      <w:ind w:left="1152" w:right="1152" w:firstLine="0" w:firstLineChars="0"/>
    </w:pPr>
    <w:rPr>
      <w:rFonts w:ascii="Cambria" w:hAnsi="Cambria"/>
      <w:i/>
      <w:iCs/>
      <w:kern w:val="0"/>
      <w:sz w:val="22"/>
      <w:szCs w:val="20"/>
      <w:lang w:eastAsia="en-US" w:bidi="en-US"/>
    </w:rPr>
  </w:style>
  <w:style w:type="character" w:customStyle="1" w:styleId="178">
    <w:name w:val="明显引用 Char1"/>
    <w:basedOn w:val="46"/>
    <w:qFormat/>
    <w:uiPriority w:val="0"/>
    <w:rPr>
      <w:b/>
      <w:bCs/>
      <w:i/>
      <w:iCs/>
      <w:color w:val="4472C4" w:themeColor="accent1"/>
      <w:kern w:val="2"/>
      <w:sz w:val="24"/>
      <w:szCs w:val="24"/>
      <w14:textFill>
        <w14:solidFill>
          <w14:schemeClr w14:val="accent1"/>
        </w14:solidFill>
      </w14:textFill>
    </w:rPr>
  </w:style>
  <w:style w:type="character" w:customStyle="1" w:styleId="179">
    <w:name w:val="表文字 Char"/>
    <w:link w:val="180"/>
    <w:qFormat/>
    <w:uiPriority w:val="0"/>
    <w:rPr>
      <w:sz w:val="24"/>
    </w:rPr>
  </w:style>
  <w:style w:type="paragraph" w:customStyle="1" w:styleId="180">
    <w:name w:val="表文字"/>
    <w:basedOn w:val="1"/>
    <w:link w:val="179"/>
    <w:qFormat/>
    <w:uiPriority w:val="0"/>
    <w:pPr>
      <w:overflowPunct w:val="0"/>
      <w:autoSpaceDE w:val="0"/>
      <w:autoSpaceDN w:val="0"/>
      <w:adjustRightInd w:val="0"/>
      <w:spacing w:line="240" w:lineRule="atLeast"/>
      <w:ind w:firstLine="0" w:firstLineChars="0"/>
      <w:jc w:val="center"/>
      <w:textAlignment w:val="baseline"/>
    </w:pPr>
    <w:rPr>
      <w:kern w:val="0"/>
      <w:szCs w:val="20"/>
    </w:rPr>
  </w:style>
  <w:style w:type="character" w:customStyle="1" w:styleId="181">
    <w:name w:val="正文文本 (8) + MingLiU"/>
    <w:qFormat/>
    <w:uiPriority w:val="0"/>
    <w:rPr>
      <w:rFonts w:ascii="MingLiU" w:hAnsi="MingLiU" w:eastAsia="MingLiU" w:cs="MingLiU"/>
      <w:color w:val="000000"/>
      <w:spacing w:val="0"/>
      <w:w w:val="100"/>
      <w:position w:val="0"/>
      <w:sz w:val="14"/>
      <w:szCs w:val="14"/>
      <w:shd w:val="clear" w:color="auto" w:fill="FFFFFF"/>
      <w:lang w:val="zh-TW" w:bidi="ar-SA"/>
    </w:rPr>
  </w:style>
  <w:style w:type="character" w:customStyle="1" w:styleId="182">
    <w:name w:val="正文文本 (8)_"/>
    <w:link w:val="183"/>
    <w:qFormat/>
    <w:uiPriority w:val="0"/>
    <w:rPr>
      <w:rFonts w:ascii="Arial Unicode MS" w:hAnsi="Arial Unicode MS" w:eastAsia="Arial Unicode MS"/>
      <w:sz w:val="13"/>
      <w:szCs w:val="13"/>
      <w:shd w:val="clear" w:color="auto" w:fill="FFFFFF"/>
    </w:rPr>
  </w:style>
  <w:style w:type="paragraph" w:customStyle="1" w:styleId="183">
    <w:name w:val="正文文本 (8)"/>
    <w:basedOn w:val="1"/>
    <w:link w:val="182"/>
    <w:qFormat/>
    <w:uiPriority w:val="0"/>
    <w:pPr>
      <w:shd w:val="clear" w:color="auto" w:fill="FFFFFF"/>
      <w:spacing w:line="278" w:lineRule="exact"/>
      <w:ind w:firstLine="0" w:firstLineChars="0"/>
      <w:jc w:val="left"/>
    </w:pPr>
    <w:rPr>
      <w:rFonts w:ascii="Arial Unicode MS" w:hAnsi="Arial Unicode MS" w:eastAsia="Arial Unicode MS"/>
      <w:kern w:val="0"/>
      <w:sz w:val="13"/>
      <w:szCs w:val="13"/>
      <w:shd w:val="clear" w:color="auto" w:fill="FFFFFF"/>
    </w:rPr>
  </w:style>
  <w:style w:type="character" w:customStyle="1" w:styleId="184">
    <w:name w:val="正文文本 + 斜体"/>
    <w:qFormat/>
    <w:uiPriority w:val="0"/>
    <w:rPr>
      <w:rFonts w:ascii="MingLiU" w:hAnsi="MingLiU" w:eastAsia="MingLiU"/>
      <w:i/>
      <w:iCs/>
      <w:color w:val="000000"/>
      <w:spacing w:val="0"/>
      <w:w w:val="100"/>
      <w:position w:val="0"/>
      <w:sz w:val="14"/>
      <w:szCs w:val="14"/>
      <w:shd w:val="clear" w:color="auto" w:fill="FFFFFF"/>
      <w:lang w:val="zh-TW" w:bidi="ar-SA"/>
    </w:rPr>
  </w:style>
  <w:style w:type="character" w:customStyle="1" w:styleId="185">
    <w:name w:val="公式 Char"/>
    <w:link w:val="186"/>
    <w:qFormat/>
    <w:uiPriority w:val="0"/>
    <w:rPr>
      <w:sz w:val="24"/>
      <w:szCs w:val="24"/>
      <w:lang w:eastAsia="en-US" w:bidi="en-US"/>
    </w:rPr>
  </w:style>
  <w:style w:type="paragraph" w:customStyle="1" w:styleId="186">
    <w:name w:val="公式"/>
    <w:basedOn w:val="187"/>
    <w:link w:val="185"/>
    <w:qFormat/>
    <w:uiPriority w:val="0"/>
    <w:pPr>
      <w:tabs>
        <w:tab w:val="left" w:pos="0"/>
        <w:tab w:val="right" w:pos="8820"/>
      </w:tabs>
      <w:ind w:firstLine="2400" w:firstLineChars="1000"/>
      <w:jc w:val="right"/>
    </w:pPr>
  </w:style>
  <w:style w:type="paragraph" w:customStyle="1" w:styleId="187">
    <w:name w:val="内容"/>
    <w:basedOn w:val="1"/>
    <w:link w:val="188"/>
    <w:qFormat/>
    <w:uiPriority w:val="0"/>
    <w:pPr>
      <w:widowControl/>
      <w:tabs>
        <w:tab w:val="left" w:pos="0"/>
      </w:tabs>
      <w:adjustRightInd w:val="0"/>
      <w:snapToGrid w:val="0"/>
      <w:spacing w:after="200" w:line="360" w:lineRule="auto"/>
      <w:ind w:firstLine="480"/>
      <w:jc w:val="left"/>
    </w:pPr>
    <w:rPr>
      <w:kern w:val="0"/>
      <w:lang w:eastAsia="en-US" w:bidi="en-US"/>
    </w:rPr>
  </w:style>
  <w:style w:type="character" w:customStyle="1" w:styleId="188">
    <w:name w:val="内容 Char"/>
    <w:link w:val="187"/>
    <w:qFormat/>
    <w:uiPriority w:val="0"/>
    <w:rPr>
      <w:sz w:val="24"/>
      <w:szCs w:val="24"/>
      <w:lang w:val="en-US" w:eastAsia="en-US" w:bidi="en-US"/>
    </w:rPr>
  </w:style>
  <w:style w:type="character" w:customStyle="1" w:styleId="189">
    <w:name w:val="正文文本 (11)_"/>
    <w:link w:val="190"/>
    <w:qFormat/>
    <w:uiPriority w:val="0"/>
    <w:rPr>
      <w:b/>
      <w:bCs/>
      <w:sz w:val="15"/>
      <w:szCs w:val="15"/>
      <w:shd w:val="clear" w:color="auto" w:fill="FFFFFF"/>
    </w:rPr>
  </w:style>
  <w:style w:type="paragraph" w:customStyle="1" w:styleId="190">
    <w:name w:val="正文文本 (11)"/>
    <w:basedOn w:val="1"/>
    <w:link w:val="189"/>
    <w:qFormat/>
    <w:uiPriority w:val="0"/>
    <w:pPr>
      <w:shd w:val="clear" w:color="auto" w:fill="FFFFFF"/>
      <w:spacing w:line="278" w:lineRule="exact"/>
      <w:ind w:firstLine="0" w:firstLineChars="0"/>
      <w:jc w:val="distribute"/>
    </w:pPr>
    <w:rPr>
      <w:b/>
      <w:bCs/>
      <w:kern w:val="0"/>
      <w:sz w:val="15"/>
      <w:szCs w:val="15"/>
      <w:shd w:val="clear" w:color="auto" w:fill="FFFFFF"/>
    </w:rPr>
  </w:style>
  <w:style w:type="character" w:customStyle="1" w:styleId="191">
    <w:name w:val="表号 Char3"/>
    <w:link w:val="192"/>
    <w:qFormat/>
    <w:uiPriority w:val="0"/>
    <w:rPr>
      <w:rFonts w:ascii="宋体" w:hAnsi="宋体" w:eastAsia="Times New Roman"/>
      <w:kern w:val="2"/>
      <w:sz w:val="24"/>
      <w:szCs w:val="24"/>
    </w:rPr>
  </w:style>
  <w:style w:type="paragraph" w:customStyle="1" w:styleId="192">
    <w:name w:val="表号"/>
    <w:link w:val="191"/>
    <w:qFormat/>
    <w:uiPriority w:val="0"/>
    <w:pPr>
      <w:adjustRightInd w:val="0"/>
      <w:snapToGrid w:val="0"/>
      <w:spacing w:line="240" w:lineRule="atLeast"/>
      <w:jc w:val="both"/>
      <w:outlineLvl w:val="4"/>
    </w:pPr>
    <w:rPr>
      <w:rFonts w:ascii="宋体" w:hAnsi="宋体" w:eastAsia="Times New Roman" w:cs="Times New Roman"/>
      <w:kern w:val="2"/>
      <w:sz w:val="24"/>
      <w:szCs w:val="24"/>
      <w:lang w:val="en-US" w:eastAsia="zh-CN" w:bidi="ar-SA"/>
    </w:rPr>
  </w:style>
  <w:style w:type="character" w:customStyle="1" w:styleId="193">
    <w:name w:val="阳光文字小标 Char"/>
    <w:link w:val="194"/>
    <w:qFormat/>
    <w:uiPriority w:val="0"/>
    <w:rPr>
      <w:b/>
      <w:bCs/>
      <w:color w:val="000000"/>
      <w:kern w:val="32"/>
      <w:sz w:val="24"/>
      <w:szCs w:val="24"/>
      <w:lang w:eastAsia="en-US" w:bidi="en-US"/>
    </w:rPr>
  </w:style>
  <w:style w:type="paragraph" w:customStyle="1" w:styleId="194">
    <w:name w:val="阳光文字小标"/>
    <w:basedOn w:val="1"/>
    <w:link w:val="193"/>
    <w:qFormat/>
    <w:uiPriority w:val="0"/>
    <w:pPr>
      <w:widowControl/>
      <w:adjustRightInd w:val="0"/>
      <w:snapToGrid w:val="0"/>
      <w:spacing w:beforeLines="25" w:after="200" w:line="440" w:lineRule="exact"/>
      <w:ind w:firstLine="480"/>
      <w:jc w:val="left"/>
    </w:pPr>
    <w:rPr>
      <w:b/>
      <w:bCs/>
      <w:color w:val="000000"/>
      <w:kern w:val="32"/>
      <w:lang w:eastAsia="en-US" w:bidi="en-US"/>
    </w:rPr>
  </w:style>
  <w:style w:type="character" w:customStyle="1" w:styleId="195">
    <w:name w:val="垃圾13-24 Char"/>
    <w:link w:val="196"/>
    <w:qFormat/>
    <w:uiPriority w:val="0"/>
    <w:rPr>
      <w:rFonts w:ascii="宋体" w:hAnsi="宋体"/>
      <w:sz w:val="26"/>
    </w:rPr>
  </w:style>
  <w:style w:type="paragraph" w:customStyle="1" w:styleId="196">
    <w:name w:val="垃圾13-24"/>
    <w:basedOn w:val="1"/>
    <w:link w:val="195"/>
    <w:qFormat/>
    <w:uiPriority w:val="0"/>
    <w:pPr>
      <w:spacing w:line="480" w:lineRule="exact"/>
    </w:pPr>
    <w:rPr>
      <w:rFonts w:ascii="宋体" w:hAnsi="宋体"/>
      <w:kern w:val="0"/>
      <w:sz w:val="26"/>
      <w:szCs w:val="20"/>
    </w:rPr>
  </w:style>
  <w:style w:type="character" w:customStyle="1" w:styleId="197">
    <w:name w:val="13磅 Char"/>
    <w:link w:val="198"/>
    <w:qFormat/>
    <w:uiPriority w:val="0"/>
    <w:rPr>
      <w:rFonts w:eastAsia="仿宋_GB2312"/>
      <w:color w:val="000000"/>
      <w:sz w:val="28"/>
      <w:lang w:eastAsia="en-US" w:bidi="en-US"/>
    </w:rPr>
  </w:style>
  <w:style w:type="paragraph" w:customStyle="1" w:styleId="198">
    <w:name w:val="13磅"/>
    <w:basedOn w:val="5"/>
    <w:link w:val="197"/>
    <w:qFormat/>
    <w:uiPriority w:val="0"/>
    <w:pPr>
      <w:widowControl/>
      <w:autoSpaceDE/>
      <w:autoSpaceDN/>
      <w:adjustRightInd/>
      <w:spacing w:after="200" w:line="360" w:lineRule="auto"/>
      <w:ind w:firstLine="560"/>
      <w:jc w:val="left"/>
    </w:pPr>
    <w:rPr>
      <w:rFonts w:ascii="Times New Roman" w:eastAsia="仿宋_GB2312"/>
      <w:color w:val="000000"/>
      <w:szCs w:val="20"/>
      <w:lang w:eastAsia="en-US" w:bidi="en-US"/>
    </w:rPr>
  </w:style>
  <w:style w:type="character" w:customStyle="1" w:styleId="199">
    <w:name w:val="标题 #3_"/>
    <w:link w:val="200"/>
    <w:qFormat/>
    <w:uiPriority w:val="0"/>
    <w:rPr>
      <w:rFonts w:ascii="Arial Unicode MS" w:hAnsi="Arial Unicode MS" w:eastAsia="Arial Unicode MS"/>
      <w:sz w:val="13"/>
      <w:szCs w:val="13"/>
      <w:shd w:val="clear" w:color="auto" w:fill="FFFFFF"/>
    </w:rPr>
  </w:style>
  <w:style w:type="paragraph" w:customStyle="1" w:styleId="200">
    <w:name w:val="标题 #3"/>
    <w:basedOn w:val="1"/>
    <w:link w:val="199"/>
    <w:qFormat/>
    <w:uiPriority w:val="0"/>
    <w:pPr>
      <w:shd w:val="clear" w:color="auto" w:fill="FFFFFF"/>
      <w:spacing w:line="278" w:lineRule="exact"/>
      <w:ind w:firstLine="0" w:firstLineChars="0"/>
      <w:jc w:val="left"/>
      <w:outlineLvl w:val="2"/>
    </w:pPr>
    <w:rPr>
      <w:rFonts w:ascii="Arial Unicode MS" w:hAnsi="Arial Unicode MS" w:eastAsia="Arial Unicode MS"/>
      <w:kern w:val="0"/>
      <w:sz w:val="13"/>
      <w:szCs w:val="13"/>
      <w:shd w:val="clear" w:color="auto" w:fill="FFFFFF"/>
    </w:rPr>
  </w:style>
  <w:style w:type="character" w:customStyle="1" w:styleId="201">
    <w:name w:val="报告正文 Char"/>
    <w:link w:val="202"/>
    <w:qFormat/>
    <w:uiPriority w:val="0"/>
    <w:rPr>
      <w:sz w:val="24"/>
      <w:szCs w:val="24"/>
    </w:rPr>
  </w:style>
  <w:style w:type="paragraph" w:customStyle="1" w:styleId="202">
    <w:name w:val="报告正文"/>
    <w:basedOn w:val="1"/>
    <w:next w:val="1"/>
    <w:link w:val="201"/>
    <w:qFormat/>
    <w:uiPriority w:val="0"/>
    <w:pPr>
      <w:widowControl/>
      <w:adjustRightInd w:val="0"/>
      <w:snapToGrid w:val="0"/>
      <w:spacing w:after="200" w:line="360" w:lineRule="auto"/>
      <w:jc w:val="left"/>
    </w:pPr>
    <w:rPr>
      <w:kern w:val="0"/>
    </w:rPr>
  </w:style>
  <w:style w:type="character" w:customStyle="1" w:styleId="203">
    <w:name w:val="正文文本首行缩进 字符"/>
    <w:link w:val="42"/>
    <w:qFormat/>
    <w:uiPriority w:val="0"/>
    <w:rPr>
      <w:kern w:val="2"/>
      <w:sz w:val="21"/>
      <w:szCs w:val="21"/>
    </w:rPr>
  </w:style>
  <w:style w:type="character" w:customStyle="1" w:styleId="204">
    <w:name w:val="正文首行缩进 Char1"/>
    <w:basedOn w:val="83"/>
    <w:semiHidden/>
    <w:qFormat/>
    <w:uiPriority w:val="0"/>
    <w:rPr>
      <w:rFonts w:ascii="宋体" w:hAnsi="宋体" w:cstheme="minorBidi"/>
      <w:kern w:val="2"/>
      <w:sz w:val="24"/>
      <w:szCs w:val="24"/>
      <w:lang w:eastAsia="en-US"/>
    </w:rPr>
  </w:style>
  <w:style w:type="character" w:customStyle="1" w:styleId="205">
    <w:name w:val="朔电正文 Char"/>
    <w:link w:val="206"/>
    <w:qFormat/>
    <w:uiPriority w:val="0"/>
    <w:rPr>
      <w:color w:val="000000"/>
      <w:kern w:val="32"/>
      <w:sz w:val="24"/>
      <w:szCs w:val="24"/>
      <w:lang w:eastAsia="en-US" w:bidi="en-US"/>
    </w:rPr>
  </w:style>
  <w:style w:type="paragraph" w:customStyle="1" w:styleId="206">
    <w:name w:val="朔电正文"/>
    <w:basedOn w:val="1"/>
    <w:link w:val="205"/>
    <w:qFormat/>
    <w:uiPriority w:val="0"/>
    <w:pPr>
      <w:widowControl/>
      <w:adjustRightInd w:val="0"/>
      <w:snapToGrid w:val="0"/>
      <w:spacing w:beforeLines="25" w:after="200" w:line="440" w:lineRule="exact"/>
      <w:ind w:firstLine="480"/>
      <w:jc w:val="left"/>
    </w:pPr>
    <w:rPr>
      <w:color w:val="000000"/>
      <w:kern w:val="32"/>
      <w:lang w:eastAsia="en-US" w:bidi="en-US"/>
    </w:rPr>
  </w:style>
  <w:style w:type="character" w:customStyle="1" w:styleId="207">
    <w:name w:val="正文3 Char"/>
    <w:link w:val="208"/>
    <w:qFormat/>
    <w:uiPriority w:val="0"/>
    <w:rPr>
      <w:rFonts w:ascii="宋体" w:hAnsi="宋体" w:cs="宋体"/>
      <w:sz w:val="24"/>
      <w:szCs w:val="24"/>
      <w:lang w:eastAsia="en-US" w:bidi="en-US"/>
    </w:rPr>
  </w:style>
  <w:style w:type="paragraph" w:customStyle="1" w:styleId="208">
    <w:name w:val="正文3"/>
    <w:basedOn w:val="1"/>
    <w:next w:val="1"/>
    <w:link w:val="207"/>
    <w:qFormat/>
    <w:uiPriority w:val="0"/>
    <w:pPr>
      <w:widowControl/>
      <w:spacing w:after="200" w:line="529" w:lineRule="exact"/>
      <w:jc w:val="left"/>
    </w:pPr>
    <w:rPr>
      <w:rFonts w:ascii="宋体" w:hAnsi="宋体" w:cs="宋体"/>
      <w:kern w:val="0"/>
      <w:lang w:eastAsia="en-US" w:bidi="en-US"/>
    </w:rPr>
  </w:style>
  <w:style w:type="character" w:customStyle="1" w:styleId="209">
    <w:name w:val="正文文本 + 6.5 pt"/>
    <w:qFormat/>
    <w:uiPriority w:val="0"/>
    <w:rPr>
      <w:rFonts w:ascii="MingLiU" w:hAnsi="MingLiU" w:eastAsia="MingLiU"/>
      <w:color w:val="000000"/>
      <w:spacing w:val="0"/>
      <w:w w:val="100"/>
      <w:position w:val="0"/>
      <w:sz w:val="13"/>
      <w:szCs w:val="13"/>
      <w:u w:val="none"/>
      <w:shd w:val="clear" w:color="auto" w:fill="FFFFFF"/>
      <w:lang w:val="zh-TW" w:bidi="ar-SA"/>
    </w:rPr>
  </w:style>
  <w:style w:type="character" w:customStyle="1" w:styleId="210">
    <w:name w:val="副标题 字符"/>
    <w:link w:val="29"/>
    <w:qFormat/>
    <w:uiPriority w:val="0"/>
    <w:rPr>
      <w:rFonts w:ascii="Cambria" w:hAnsi="Cambria"/>
      <w:i/>
      <w:iCs/>
      <w:smallCaps/>
      <w:spacing w:val="10"/>
      <w:sz w:val="28"/>
      <w:szCs w:val="28"/>
      <w:lang w:eastAsia="en-US" w:bidi="en-US"/>
    </w:rPr>
  </w:style>
  <w:style w:type="character" w:customStyle="1" w:styleId="211">
    <w:name w:val="副标题 Char1"/>
    <w:basedOn w:val="46"/>
    <w:qFormat/>
    <w:uiPriority w:val="0"/>
    <w:rPr>
      <w:rFonts w:asciiTheme="majorHAnsi" w:hAnsiTheme="majorHAnsi" w:cstheme="majorBidi"/>
      <w:b/>
      <w:bCs/>
      <w:kern w:val="28"/>
      <w:sz w:val="32"/>
      <w:szCs w:val="32"/>
    </w:rPr>
  </w:style>
  <w:style w:type="character" w:customStyle="1" w:styleId="212">
    <w:name w:val="新政文 Char"/>
    <w:link w:val="213"/>
    <w:qFormat/>
    <w:uiPriority w:val="0"/>
    <w:rPr>
      <w:sz w:val="24"/>
      <w:szCs w:val="24"/>
    </w:rPr>
  </w:style>
  <w:style w:type="paragraph" w:customStyle="1" w:styleId="213">
    <w:name w:val="新政文"/>
    <w:basedOn w:val="1"/>
    <w:link w:val="212"/>
    <w:qFormat/>
    <w:uiPriority w:val="0"/>
    <w:pPr>
      <w:spacing w:line="440" w:lineRule="exact"/>
    </w:pPr>
    <w:rPr>
      <w:kern w:val="0"/>
    </w:rPr>
  </w:style>
  <w:style w:type="character" w:customStyle="1" w:styleId="214">
    <w:name w:val="无间隔 字符"/>
    <w:link w:val="215"/>
    <w:qFormat/>
    <w:uiPriority w:val="0"/>
    <w:rPr>
      <w:rFonts w:ascii="Cambria" w:hAnsi="Cambria"/>
      <w:sz w:val="22"/>
      <w:lang w:eastAsia="en-US" w:bidi="en-US"/>
    </w:rPr>
  </w:style>
  <w:style w:type="paragraph" w:styleId="215">
    <w:name w:val="No Spacing"/>
    <w:basedOn w:val="1"/>
    <w:link w:val="214"/>
    <w:qFormat/>
    <w:uiPriority w:val="0"/>
    <w:pPr>
      <w:widowControl/>
      <w:spacing w:line="240" w:lineRule="auto"/>
      <w:ind w:firstLine="0" w:firstLineChars="0"/>
      <w:jc w:val="left"/>
    </w:pPr>
    <w:rPr>
      <w:rFonts w:ascii="Cambria" w:hAnsi="Cambria"/>
      <w:kern w:val="0"/>
      <w:sz w:val="22"/>
      <w:szCs w:val="20"/>
      <w:lang w:eastAsia="en-US" w:bidi="en-US"/>
    </w:rPr>
  </w:style>
  <w:style w:type="paragraph" w:customStyle="1" w:styleId="216">
    <w:name w:val="样式 表文字 + (符号) 宋体 首行缩进:  0.74 厘米"/>
    <w:basedOn w:val="180"/>
    <w:qFormat/>
    <w:uiPriority w:val="0"/>
    <w:pPr>
      <w:overflowPunct/>
      <w:topLinePunct/>
      <w:autoSpaceDE/>
      <w:autoSpaceDN/>
      <w:spacing w:line="240" w:lineRule="exact"/>
    </w:pPr>
    <w:rPr>
      <w:rFonts w:hAnsi="宋体" w:cs="宋体"/>
      <w:sz w:val="21"/>
    </w:rPr>
  </w:style>
  <w:style w:type="paragraph" w:customStyle="1" w:styleId="217">
    <w:name w:val="样式 垃圾13-24 + 首行缩进:  2 字符"/>
    <w:basedOn w:val="1"/>
    <w:qFormat/>
    <w:uiPriority w:val="0"/>
    <w:pPr>
      <w:spacing w:line="480" w:lineRule="exact"/>
      <w:ind w:firstLine="0" w:firstLineChars="0"/>
    </w:pPr>
    <w:rPr>
      <w:rFonts w:ascii="宋体" w:hAnsi="宋体" w:cs="宋体"/>
      <w:color w:val="000000"/>
      <w:sz w:val="21"/>
      <w:szCs w:val="21"/>
    </w:rPr>
  </w:style>
  <w:style w:type="paragraph" w:customStyle="1" w:styleId="218">
    <w:name w:val="样式 标题 4 + 段前: 5 磅 段后: 3 磅 行距: 固定值 26 磅"/>
    <w:basedOn w:val="6"/>
    <w:qFormat/>
    <w:uiPriority w:val="0"/>
    <w:pPr>
      <w:snapToGrid/>
      <w:spacing w:line="500" w:lineRule="exact"/>
      <w:ind w:firstLine="0" w:firstLineChars="0"/>
    </w:pPr>
    <w:rPr>
      <w:rFonts w:ascii="楷体_GB2312" w:hAnsi="Arial" w:eastAsia="楷体_GB2312" w:cs="Times New Roman"/>
      <w:bCs w:val="0"/>
      <w:sz w:val="28"/>
      <w:szCs w:val="20"/>
    </w:rPr>
  </w:style>
  <w:style w:type="paragraph" w:customStyle="1" w:styleId="219">
    <w:name w:val="222"/>
    <w:basedOn w:val="3"/>
    <w:qFormat/>
    <w:uiPriority w:val="0"/>
    <w:pPr>
      <w:spacing w:before="60" w:after="60" w:line="460" w:lineRule="atLeast"/>
      <w:ind w:firstLine="0" w:firstLineChars="0"/>
    </w:pPr>
    <w:rPr>
      <w:rFonts w:ascii="Times New Roman" w:hAnsi="Times New Roman" w:eastAsia="黑体"/>
      <w:b w:val="0"/>
      <w:kern w:val="2"/>
      <w:sz w:val="30"/>
      <w:szCs w:val="30"/>
      <w:lang w:val="en-US"/>
    </w:rPr>
  </w:style>
  <w:style w:type="character" w:customStyle="1" w:styleId="220">
    <w:name w:val="表111111111111111111111111111111111 Char"/>
    <w:link w:val="221"/>
    <w:qFormat/>
    <w:uiPriority w:val="0"/>
    <w:rPr>
      <w:kern w:val="2"/>
      <w:sz w:val="21"/>
      <w:szCs w:val="24"/>
    </w:rPr>
  </w:style>
  <w:style w:type="paragraph" w:customStyle="1" w:styleId="221">
    <w:name w:val="表111111111111111111111111111111111"/>
    <w:basedOn w:val="1"/>
    <w:link w:val="220"/>
    <w:qFormat/>
    <w:uiPriority w:val="0"/>
    <w:pPr>
      <w:adjustRightInd w:val="0"/>
      <w:snapToGrid w:val="0"/>
      <w:spacing w:line="400" w:lineRule="exact"/>
      <w:ind w:firstLine="0" w:firstLineChars="0"/>
      <w:jc w:val="center"/>
    </w:pPr>
    <w:rPr>
      <w:sz w:val="21"/>
    </w:rPr>
  </w:style>
  <w:style w:type="paragraph" w:customStyle="1" w:styleId="222">
    <w:name w:val="图表头"/>
    <w:basedOn w:val="1"/>
    <w:qFormat/>
    <w:uiPriority w:val="0"/>
    <w:pPr>
      <w:adjustRightInd w:val="0"/>
      <w:spacing w:line="360" w:lineRule="auto"/>
      <w:ind w:firstLine="0" w:firstLineChars="0"/>
      <w:jc w:val="center"/>
      <w:textAlignment w:val="baseline"/>
    </w:pPr>
    <w:rPr>
      <w:rFonts w:ascii="黑体" w:eastAsia="黑体"/>
      <w:spacing w:val="5"/>
      <w:kern w:val="0"/>
      <w:sz w:val="21"/>
      <w:szCs w:val="20"/>
    </w:rPr>
  </w:style>
  <w:style w:type="character" w:customStyle="1" w:styleId="223">
    <w:name w:val="普通文字 Char Char Char2"/>
    <w:qFormat/>
    <w:uiPriority w:val="0"/>
    <w:rPr>
      <w:rFonts w:ascii="宋体" w:hAnsi="Courier New"/>
      <w:kern w:val="2"/>
      <w:sz w:val="21"/>
    </w:rPr>
  </w:style>
  <w:style w:type="character" w:customStyle="1" w:styleId="224">
    <w:name w:val="apple-converted-space"/>
    <w:basedOn w:val="46"/>
    <w:qFormat/>
    <w:uiPriority w:val="0"/>
  </w:style>
  <w:style w:type="paragraph" w:customStyle="1" w:styleId="225">
    <w:name w:val="威顿报告正文"/>
    <w:basedOn w:val="1"/>
    <w:link w:val="226"/>
    <w:qFormat/>
    <w:uiPriority w:val="0"/>
    <w:pPr>
      <w:adjustRightInd w:val="0"/>
      <w:snapToGrid w:val="0"/>
      <w:spacing w:before="25" w:beforeLines="25" w:line="440" w:lineRule="exact"/>
    </w:pPr>
    <w:rPr>
      <w:color w:val="000000"/>
    </w:rPr>
  </w:style>
  <w:style w:type="character" w:customStyle="1" w:styleId="226">
    <w:name w:val="威顿报告正文 Char"/>
    <w:link w:val="225"/>
    <w:qFormat/>
    <w:uiPriority w:val="0"/>
    <w:rPr>
      <w:color w:val="000000"/>
      <w:kern w:val="2"/>
      <w:sz w:val="24"/>
      <w:szCs w:val="24"/>
    </w:rPr>
  </w:style>
  <w:style w:type="paragraph" w:customStyle="1" w:styleId="227">
    <w:name w:val="Char Char Char1 Char Char Char Char Char Char Char Char Char Char Char Char2 Char Char Char"/>
    <w:basedOn w:val="1"/>
    <w:qFormat/>
    <w:uiPriority w:val="0"/>
    <w:pPr>
      <w:spacing w:line="360" w:lineRule="auto"/>
    </w:pPr>
    <w:rPr>
      <w:rFonts w:ascii="宋体" w:hAnsi="宋体" w:cs="宋体"/>
    </w:rPr>
  </w:style>
  <w:style w:type="paragraph" w:customStyle="1" w:styleId="22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Arial Unicode MS"/>
      <w:kern w:val="0"/>
      <w:sz w:val="20"/>
      <w:szCs w:val="20"/>
    </w:rPr>
  </w:style>
  <w:style w:type="paragraph" w:customStyle="1" w:styleId="229">
    <w:name w:val="Char Char Char Char Char Char Char Char Char Char Char Char Char Char Char Char Char Char1 Char Char Char Char Char Char Char Char Char Char Char Char1 Char Char Char"/>
    <w:basedOn w:val="1"/>
    <w:next w:val="1"/>
    <w:qFormat/>
    <w:uiPriority w:val="0"/>
    <w:pPr>
      <w:spacing w:line="360" w:lineRule="auto"/>
      <w:jc w:val="left"/>
    </w:pPr>
    <w:rPr>
      <w:rFonts w:ascii="宋体" w:hAnsi="宋体" w:cs="宋体"/>
    </w:rPr>
  </w:style>
  <w:style w:type="paragraph" w:customStyle="1" w:styleId="230">
    <w:name w:val="图表标题"/>
    <w:basedOn w:val="1"/>
    <w:link w:val="231"/>
    <w:qFormat/>
    <w:uiPriority w:val="0"/>
    <w:pPr>
      <w:tabs>
        <w:tab w:val="left" w:pos="2340"/>
        <w:tab w:val="left" w:pos="3240"/>
      </w:tabs>
      <w:snapToGrid w:val="0"/>
      <w:spacing w:line="500" w:lineRule="exact"/>
      <w:ind w:firstLine="480"/>
      <w:jc w:val="center"/>
    </w:pPr>
    <w:rPr>
      <w:rFonts w:ascii="黑体" w:hAnsi="黑体" w:eastAsia="黑体"/>
      <w:kern w:val="0"/>
      <w:sz w:val="20"/>
      <w:szCs w:val="20"/>
      <w:lang w:val="zh-CN"/>
    </w:rPr>
  </w:style>
  <w:style w:type="character" w:customStyle="1" w:styleId="231">
    <w:name w:val="图表标题 Char"/>
    <w:link w:val="230"/>
    <w:qFormat/>
    <w:locked/>
    <w:uiPriority w:val="0"/>
    <w:rPr>
      <w:rFonts w:ascii="黑体" w:hAnsi="黑体" w:eastAsia="黑体"/>
      <w:lang w:val="zh-CN" w:eastAsia="zh-CN"/>
    </w:rPr>
  </w:style>
  <w:style w:type="paragraph" w:customStyle="1" w:styleId="232">
    <w:name w:val="无间隔1"/>
    <w:link w:val="233"/>
    <w:qFormat/>
    <w:uiPriority w:val="0"/>
    <w:pPr>
      <w:widowControl w:val="0"/>
      <w:tabs>
        <w:tab w:val="left" w:pos="2340"/>
        <w:tab w:val="left" w:pos="3240"/>
      </w:tabs>
      <w:snapToGrid w:val="0"/>
      <w:spacing w:line="300" w:lineRule="exact"/>
      <w:jc w:val="center"/>
    </w:pPr>
    <w:rPr>
      <w:rFonts w:ascii="Times New Roman" w:hAnsi="Times New Roman" w:eastAsia="宋体" w:cs="Times New Roman"/>
      <w:color w:val="000000"/>
      <w:kern w:val="2"/>
      <w:sz w:val="22"/>
      <w:lang w:val="en-US" w:eastAsia="zh-CN" w:bidi="ar-SA"/>
    </w:rPr>
  </w:style>
  <w:style w:type="character" w:customStyle="1" w:styleId="233">
    <w:name w:val="No Spacing Char"/>
    <w:link w:val="232"/>
    <w:qFormat/>
    <w:locked/>
    <w:uiPriority w:val="0"/>
    <w:rPr>
      <w:color w:val="000000"/>
      <w:kern w:val="2"/>
      <w:sz w:val="22"/>
    </w:rPr>
  </w:style>
  <w:style w:type="paragraph" w:customStyle="1" w:styleId="234">
    <w:name w:val="表格"/>
    <w:basedOn w:val="1"/>
    <w:qFormat/>
    <w:uiPriority w:val="0"/>
    <w:pPr>
      <w:spacing w:line="320" w:lineRule="exact"/>
      <w:ind w:firstLine="0" w:firstLineChars="0"/>
      <w:jc w:val="center"/>
    </w:pPr>
    <w:rPr>
      <w:rFonts w:ascii="宋体"/>
      <w:sz w:val="21"/>
      <w:szCs w:val="22"/>
    </w:rPr>
  </w:style>
  <w:style w:type="table" w:customStyle="1" w:styleId="235">
    <w:name w:val="网格型2"/>
    <w:basedOn w:val="44"/>
    <w:qFormat/>
    <w:uiPriority w:val="0"/>
    <w:pPr>
      <w:widowControl w:val="0"/>
      <w:spacing w:line="40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
    <w:name w:val="网格型（pxg）1"/>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7">
    <w:name w:val="正文（首行缩进） Char1"/>
    <w:link w:val="238"/>
    <w:qFormat/>
    <w:locked/>
    <w:uiPriority w:val="0"/>
    <w:rPr>
      <w:bCs/>
      <w:snapToGrid w:val="0"/>
      <w:kern w:val="2"/>
      <w:sz w:val="24"/>
      <w:szCs w:val="24"/>
    </w:rPr>
  </w:style>
  <w:style w:type="paragraph" w:customStyle="1" w:styleId="238">
    <w:name w:val="正文（首行缩进）"/>
    <w:basedOn w:val="1"/>
    <w:link w:val="237"/>
    <w:qFormat/>
    <w:uiPriority w:val="0"/>
    <w:pPr>
      <w:widowControl/>
      <w:overflowPunct w:val="0"/>
      <w:topLinePunct/>
      <w:autoSpaceDE w:val="0"/>
      <w:autoSpaceDN w:val="0"/>
      <w:adjustRightInd w:val="0"/>
      <w:snapToGrid w:val="0"/>
      <w:spacing w:line="360" w:lineRule="auto"/>
    </w:pPr>
    <w:rPr>
      <w:bCs/>
      <w:snapToGrid w:val="0"/>
    </w:rPr>
  </w:style>
  <w:style w:type="paragraph" w:customStyle="1" w:styleId="239">
    <w:name w:val="li 2"/>
    <w:basedOn w:val="2"/>
    <w:next w:val="2"/>
    <w:qFormat/>
    <w:uiPriority w:val="0"/>
    <w:pPr>
      <w:spacing w:before="60" w:after="60" w:line="240" w:lineRule="auto"/>
      <w:ind w:firstLine="0" w:firstLineChars="0"/>
      <w:jc w:val="both"/>
      <w:outlineLvl w:val="1"/>
    </w:pPr>
    <w:rPr>
      <w:rFonts w:eastAsia="黑体"/>
      <w:sz w:val="30"/>
      <w:szCs w:val="30"/>
      <w:lang w:val="en-US"/>
    </w:rPr>
  </w:style>
  <w:style w:type="paragraph" w:customStyle="1" w:styleId="240">
    <w:name w:val="表格文字-五号"/>
    <w:basedOn w:val="1"/>
    <w:next w:val="1"/>
    <w:link w:val="241"/>
    <w:qFormat/>
    <w:uiPriority w:val="0"/>
    <w:pPr>
      <w:snapToGrid w:val="0"/>
      <w:spacing w:line="240" w:lineRule="auto"/>
      <w:ind w:firstLine="0" w:firstLineChars="0"/>
      <w:jc w:val="center"/>
    </w:pPr>
    <w:rPr>
      <w:kern w:val="0"/>
      <w:sz w:val="21"/>
    </w:rPr>
  </w:style>
  <w:style w:type="character" w:customStyle="1" w:styleId="241">
    <w:name w:val="表格文字-五号 Char Char"/>
    <w:link w:val="240"/>
    <w:qFormat/>
    <w:uiPriority w:val="0"/>
    <w:rPr>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customXml" Target="../customXml/item1.xml"/><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png"/><Relationship Id="rId7" Type="http://schemas.openxmlformats.org/officeDocument/2006/relationships/header" Target="header3.xml"/><Relationship Id="rId69" Type="http://schemas.openxmlformats.org/officeDocument/2006/relationships/image" Target="media/image38.png"/><Relationship Id="rId68" Type="http://schemas.openxmlformats.org/officeDocument/2006/relationships/image" Target="media/image37.png"/><Relationship Id="rId67" Type="http://schemas.openxmlformats.org/officeDocument/2006/relationships/image" Target="media/image36.jpeg"/><Relationship Id="rId66" Type="http://schemas.openxmlformats.org/officeDocument/2006/relationships/image" Target="media/image35.jpeg"/><Relationship Id="rId65" Type="http://schemas.openxmlformats.org/officeDocument/2006/relationships/image" Target="media/image34.jpeg"/><Relationship Id="rId64" Type="http://schemas.openxmlformats.org/officeDocument/2006/relationships/image" Target="media/image33.jpeg"/><Relationship Id="rId63" Type="http://schemas.openxmlformats.org/officeDocument/2006/relationships/image" Target="media/image32.jpeg"/><Relationship Id="rId62" Type="http://schemas.openxmlformats.org/officeDocument/2006/relationships/image" Target="media/image31.jpeg"/><Relationship Id="rId61" Type="http://schemas.openxmlformats.org/officeDocument/2006/relationships/image" Target="media/image30.jpeg"/><Relationship Id="rId60" Type="http://schemas.openxmlformats.org/officeDocument/2006/relationships/image" Target="media/image29.wmf"/><Relationship Id="rId6" Type="http://schemas.openxmlformats.org/officeDocument/2006/relationships/header" Target="header2.xml"/><Relationship Id="rId59" Type="http://schemas.openxmlformats.org/officeDocument/2006/relationships/image" Target="media/image28.wmf"/><Relationship Id="rId58" Type="http://schemas.openxmlformats.org/officeDocument/2006/relationships/image" Target="media/image27.jpeg"/><Relationship Id="rId57" Type="http://schemas.openxmlformats.org/officeDocument/2006/relationships/image" Target="media/image26.png"/><Relationship Id="rId56" Type="http://schemas.openxmlformats.org/officeDocument/2006/relationships/image" Target="media/image25.wmf"/><Relationship Id="rId55" Type="http://schemas.openxmlformats.org/officeDocument/2006/relationships/image" Target="media/image24.wmf"/><Relationship Id="rId54" Type="http://schemas.openxmlformats.org/officeDocument/2006/relationships/image" Target="media/image23.png"/><Relationship Id="rId53" Type="http://schemas.openxmlformats.org/officeDocument/2006/relationships/image" Target="media/image22.jpe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wmf"/><Relationship Id="rId46" Type="http://schemas.openxmlformats.org/officeDocument/2006/relationships/oleObject" Target="embeddings/oleObject3.bin"/><Relationship Id="rId45" Type="http://schemas.openxmlformats.org/officeDocument/2006/relationships/image" Target="media/image15.wmf"/><Relationship Id="rId44" Type="http://schemas.openxmlformats.org/officeDocument/2006/relationships/oleObject" Target="embeddings/oleObject2.bin"/><Relationship Id="rId43" Type="http://schemas.openxmlformats.org/officeDocument/2006/relationships/image" Target="media/image14.wmf"/><Relationship Id="rId42" Type="http://schemas.openxmlformats.org/officeDocument/2006/relationships/oleObject" Target="embeddings/oleObject1.bin"/><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jpeg"/><Relationship Id="rId34" Type="http://schemas.openxmlformats.org/officeDocument/2006/relationships/image" Target="media/image6.pn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DC9E58-F1AF-4338-A05E-A4563B12E87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197</Pages>
  <Words>111649</Words>
  <Characters>134872</Characters>
  <Lines>1149</Lines>
  <Paragraphs>323</Paragraphs>
  <TotalTime>7</TotalTime>
  <ScaleCrop>false</ScaleCrop>
  <LinksUpToDate>false</LinksUpToDate>
  <CharactersWithSpaces>135918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2021-12-06T01:11:00Z</dcterms:created>
  <dc:creator>Administrator</dc:creator>
  <cp:lastModifiedBy>Administrator</cp:lastModifiedBy>
  <cp:lastPrinted>2021-09-04T11:30:00Z</cp:lastPrinted>
  <dcterms:modified xsi:type="dcterms:W3CDTF">2022-07-22T02:48:55Z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15001D651C544EB19152BEFFAA5FAC4C</vt:lpwstr>
  </property>
</Properties>
</file>