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adjustRightInd w:val="0"/>
        <w:snapToGrid w:val="0"/>
        <w:jc w:val="center"/>
        <w:rPr>
          <w:rFonts w:ascii="方正小标宋_GBK" w:hAnsi="方正小标宋_GBK"/>
          <w:b/>
          <w:color w:val="auto"/>
          <w:sz w:val="72"/>
          <w:szCs w:val="72"/>
        </w:rPr>
      </w:pPr>
      <w:r>
        <w:rPr>
          <w:rFonts w:ascii="方正小标宋_GBK" w:hAnsi="方正小标宋_GBK"/>
          <w:b/>
          <w:color w:val="auto"/>
          <w:sz w:val="72"/>
          <w:szCs w:val="72"/>
        </w:rPr>
        <w:t>建设项目环境影响报告表</w:t>
      </w:r>
    </w:p>
    <w:p>
      <w:pPr>
        <w:adjustRightInd w:val="0"/>
        <w:snapToGrid w:val="0"/>
        <w:spacing w:before="156" w:beforeLines="50"/>
        <w:jc w:val="center"/>
        <w:rPr>
          <w:rFonts w:ascii="楷体_GB2312" w:hAnsi="楷体_GB2312"/>
          <w:b/>
          <w:color w:val="auto"/>
          <w:sz w:val="48"/>
          <w:szCs w:val="48"/>
        </w:rPr>
      </w:pPr>
      <w:r>
        <w:rPr>
          <w:rFonts w:ascii="楷体_GB2312" w:hAnsi="楷体_GB2312"/>
          <w:b/>
          <w:color w:val="auto"/>
          <w:sz w:val="48"/>
          <w:szCs w:val="48"/>
        </w:rPr>
        <w:t>（</w:t>
      </w:r>
      <w:r>
        <w:rPr>
          <w:rFonts w:hint="eastAsia" w:ascii="楷体_GB2312" w:hAnsi="楷体_GB2312"/>
          <w:b/>
          <w:bCs/>
          <w:color w:val="auto"/>
          <w:sz w:val="48"/>
          <w:szCs w:val="48"/>
        </w:rPr>
        <w:t>污染影响类</w:t>
      </w:r>
      <w:r>
        <w:rPr>
          <w:rFonts w:ascii="楷体_GB2312" w:hAnsi="楷体_GB2312"/>
          <w:b/>
          <w:color w:val="auto"/>
          <w:sz w:val="48"/>
          <w:szCs w:val="48"/>
        </w:rPr>
        <w:t>）</w:t>
      </w: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ind w:firstLine="643" w:firstLineChars="200"/>
        <w:rPr>
          <w:rFonts w:ascii="楷体_GB2312" w:hAnsi="楷体_GB2312"/>
          <w:b/>
          <w:color w:val="auto"/>
          <w:sz w:val="32"/>
          <w:szCs w:val="32"/>
          <w:u w:val="single"/>
        </w:rPr>
      </w:pPr>
      <w:r>
        <w:rPr>
          <w:rFonts w:hint="eastAsia" w:ascii="楷体_GB2312" w:hAnsi="楷体_GB2312"/>
          <w:b/>
          <w:color w:val="auto"/>
          <w:sz w:val="32"/>
          <w:szCs w:val="32"/>
        </w:rPr>
        <w:t>项目名称：</w:t>
      </w:r>
      <w:r>
        <w:rPr>
          <w:rFonts w:hint="eastAsia" w:ascii="楷体_GB2312" w:hAnsi="楷体_GB2312"/>
          <w:b/>
          <w:color w:val="auto"/>
          <w:sz w:val="32"/>
          <w:szCs w:val="32"/>
          <w:u w:val="single"/>
        </w:rPr>
        <w:t xml:space="preserve">       </w:t>
      </w:r>
      <w:r>
        <w:rPr>
          <w:rFonts w:hint="eastAsia" w:ascii="楷体_GB2312" w:hAnsi="楷体_GB2312"/>
          <w:b/>
          <w:bCs/>
          <w:color w:val="auto"/>
          <w:sz w:val="32"/>
          <w:szCs w:val="32"/>
          <w:u w:val="single"/>
        </w:rPr>
        <w:t>智能化储煤基地建设</w:t>
      </w:r>
      <w:r>
        <w:rPr>
          <w:rFonts w:ascii="楷体_GB2312" w:hAnsi="楷体_GB2312"/>
          <w:b/>
          <w:bCs/>
          <w:color w:val="auto"/>
          <w:sz w:val="32"/>
          <w:szCs w:val="32"/>
          <w:u w:val="single"/>
        </w:rPr>
        <w:t>项目</w:t>
      </w:r>
      <w:r>
        <w:rPr>
          <w:rFonts w:hint="eastAsia" w:ascii="楷体_GB2312" w:hAnsi="楷体_GB2312"/>
          <w:b/>
          <w:bCs/>
          <w:color w:val="auto"/>
          <w:sz w:val="32"/>
          <w:szCs w:val="32"/>
          <w:u w:val="single"/>
        </w:rPr>
        <w:t xml:space="preserve">      </w:t>
      </w:r>
    </w:p>
    <w:p>
      <w:pPr>
        <w:adjustRightInd w:val="0"/>
        <w:snapToGrid w:val="0"/>
        <w:spacing w:before="156" w:beforeLines="50"/>
        <w:ind w:firstLine="643" w:firstLineChars="200"/>
        <w:rPr>
          <w:rFonts w:ascii="楷体_GB2312" w:hAnsi="楷体_GB2312"/>
          <w:b/>
          <w:color w:val="auto"/>
          <w:sz w:val="32"/>
          <w:szCs w:val="32"/>
          <w:u w:val="single"/>
        </w:rPr>
      </w:pPr>
      <w:r>
        <w:rPr>
          <w:rFonts w:hint="eastAsia" w:ascii="楷体_GB2312" w:hAnsi="楷体_GB2312"/>
          <w:b/>
          <w:color w:val="auto"/>
          <w:sz w:val="32"/>
          <w:szCs w:val="32"/>
        </w:rPr>
        <w:t>建设单位</w:t>
      </w:r>
      <w:r>
        <w:rPr>
          <w:rFonts w:ascii="仿宋_GB2312" w:hAnsi="仿宋_GB2312"/>
          <w:b/>
          <w:color w:val="auto"/>
          <w:sz w:val="32"/>
          <w:szCs w:val="32"/>
        </w:rPr>
        <w:t>（盖章）</w:t>
      </w:r>
      <w:r>
        <w:rPr>
          <w:rFonts w:hint="eastAsia" w:ascii="楷体_GB2312" w:hAnsi="楷体_GB2312"/>
          <w:b/>
          <w:color w:val="auto"/>
          <w:sz w:val="32"/>
          <w:szCs w:val="32"/>
        </w:rPr>
        <w:t>：</w:t>
      </w:r>
      <w:r>
        <w:rPr>
          <w:rFonts w:hint="eastAsia" w:ascii="楷体_GB2312" w:hAnsi="楷体_GB2312"/>
          <w:b/>
          <w:bCs/>
          <w:color w:val="auto"/>
          <w:sz w:val="32"/>
          <w:szCs w:val="32"/>
          <w:u w:val="single"/>
        </w:rPr>
        <w:t>繁峙县繁云富煤炭经销有限公司</w:t>
      </w:r>
    </w:p>
    <w:p>
      <w:pPr>
        <w:adjustRightInd w:val="0"/>
        <w:snapToGrid w:val="0"/>
        <w:spacing w:before="156" w:beforeLines="50"/>
        <w:ind w:firstLine="643" w:firstLineChars="200"/>
        <w:rPr>
          <w:rFonts w:ascii="楷体_GB2312" w:hAnsi="楷体_GB2312"/>
          <w:b/>
          <w:color w:val="auto"/>
          <w:sz w:val="32"/>
          <w:szCs w:val="32"/>
        </w:rPr>
      </w:pPr>
      <w:r>
        <w:rPr>
          <w:rFonts w:hint="eastAsia" w:ascii="楷体_GB2312" w:hAnsi="楷体_GB2312"/>
          <w:b/>
          <w:color w:val="auto"/>
          <w:sz w:val="32"/>
          <w:szCs w:val="32"/>
        </w:rPr>
        <w:t>编制日期：</w:t>
      </w:r>
      <w:r>
        <w:rPr>
          <w:rFonts w:hint="eastAsia" w:ascii="楷体_GB2312" w:hAnsi="楷体_GB2312"/>
          <w:b/>
          <w:color w:val="auto"/>
          <w:sz w:val="32"/>
          <w:szCs w:val="32"/>
          <w:u w:val="single"/>
        </w:rPr>
        <w:t xml:space="preserve"> </w:t>
      </w:r>
      <w:r>
        <w:rPr>
          <w:rFonts w:ascii="楷体_GB2312" w:hAnsi="楷体_GB2312"/>
          <w:b/>
          <w:color w:val="auto"/>
          <w:sz w:val="32"/>
          <w:szCs w:val="32"/>
          <w:u w:val="single"/>
        </w:rPr>
        <w:t xml:space="preserve">    </w:t>
      </w:r>
      <w:r>
        <w:rPr>
          <w:rFonts w:hint="eastAsia" w:ascii="楷体_GB2312" w:hAnsi="楷体_GB2312"/>
          <w:b/>
          <w:color w:val="auto"/>
          <w:sz w:val="32"/>
          <w:szCs w:val="32"/>
          <w:u w:val="single"/>
        </w:rPr>
        <w:t xml:space="preserve"> </w:t>
      </w:r>
      <w:r>
        <w:rPr>
          <w:rFonts w:ascii="楷体_GB2312" w:hAnsi="楷体_GB2312"/>
          <w:b/>
          <w:color w:val="auto"/>
          <w:sz w:val="32"/>
          <w:szCs w:val="32"/>
          <w:u w:val="single"/>
        </w:rPr>
        <w:t xml:space="preserve"> </w:t>
      </w:r>
      <w:r>
        <w:rPr>
          <w:rFonts w:hint="eastAsia" w:ascii="楷体_GB2312" w:hAnsi="楷体_GB2312"/>
          <w:b/>
          <w:color w:val="auto"/>
          <w:sz w:val="32"/>
          <w:szCs w:val="32"/>
          <w:u w:val="single"/>
        </w:rPr>
        <w:t xml:space="preserve">二〇二二年六月              </w:t>
      </w:r>
    </w:p>
    <w:p>
      <w:pPr>
        <w:jc w:val="center"/>
        <w:rPr>
          <w:rFonts w:ascii="楷体_GB2312" w:hAnsi="楷体_GB2312"/>
          <w:color w:val="auto"/>
          <w:sz w:val="32"/>
          <w:szCs w:val="32"/>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b/>
          <w:bCs/>
          <w:color w:val="auto"/>
          <w:sz w:val="36"/>
          <w:szCs w:val="36"/>
        </w:rPr>
      </w:pPr>
      <w:r>
        <w:rPr>
          <w:rFonts w:ascii="楷体_GB2312" w:hAnsi="楷体_GB2312"/>
          <w:b/>
          <w:bCs/>
          <w:color w:val="auto"/>
          <w:sz w:val="32"/>
          <w:szCs w:val="32"/>
        </w:rPr>
        <w:t>中华人民共和国生态环境部制</w:t>
      </w:r>
    </w:p>
    <w:p>
      <w:pPr>
        <w:jc w:val="center"/>
        <w:rPr>
          <w:color w:val="auto"/>
        </w:rPr>
        <w:sectPr>
          <w:footerReference r:id="rId3" w:type="default"/>
          <w:pgSz w:w="11906" w:h="16838"/>
          <w:pgMar w:top="1440" w:right="1800" w:bottom="1440" w:left="1800" w:header="851" w:footer="992" w:gutter="0"/>
          <w:cols w:space="425" w:num="1"/>
          <w:docGrid w:type="lines" w:linePitch="312" w:charSpace="0"/>
        </w:sectPr>
      </w:pP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96"/>
        <w:gridCol w:w="6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6" w:type="dxa"/>
          </w:tcPr>
          <w:p>
            <w:pPr>
              <w:jc w:val="center"/>
              <w:rPr>
                <w:color w:val="auto"/>
              </w:rPr>
            </w:pPr>
            <w:r>
              <w:rPr>
                <w:rFonts w:hint="eastAsia"/>
                <w:color w:val="auto"/>
              </w:rPr>
              <w:drawing>
                <wp:inline distT="0" distB="0" distL="114300" distR="114300">
                  <wp:extent cx="3358515" cy="2519680"/>
                  <wp:effectExtent l="0" t="0" r="13335" b="13970"/>
                  <wp:docPr id="2" name="图片 2" descr="厂内道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厂内道路2"/>
                          <pic:cNvPicPr>
                            <a:picLocks noChangeAspect="1"/>
                          </pic:cNvPicPr>
                        </pic:nvPicPr>
                        <pic:blipFill>
                          <a:blip r:embed="rId8"/>
                          <a:stretch>
                            <a:fillRect/>
                          </a:stretch>
                        </pic:blipFill>
                        <pic:spPr>
                          <a:xfrm>
                            <a:off x="0" y="0"/>
                            <a:ext cx="3358515" cy="2519680"/>
                          </a:xfrm>
                          <a:prstGeom prst="rect">
                            <a:avLst/>
                          </a:prstGeom>
                        </pic:spPr>
                      </pic:pic>
                    </a:graphicData>
                  </a:graphic>
                </wp:inline>
              </w:drawing>
            </w:r>
          </w:p>
        </w:tc>
        <w:tc>
          <w:tcPr>
            <w:tcW w:w="6996" w:type="dxa"/>
          </w:tcPr>
          <w:p>
            <w:pPr>
              <w:jc w:val="center"/>
              <w:rPr>
                <w:color w:val="auto"/>
              </w:rPr>
            </w:pPr>
            <w:r>
              <w:rPr>
                <w:rFonts w:hint="eastAsia"/>
                <w:color w:val="auto"/>
              </w:rPr>
              <w:drawing>
                <wp:inline distT="0" distB="0" distL="114300" distR="114300">
                  <wp:extent cx="3358515" cy="2519680"/>
                  <wp:effectExtent l="0" t="0" r="13335" b="13970"/>
                  <wp:docPr id="5" name="图片 5" descr="场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场地1"/>
                          <pic:cNvPicPr>
                            <a:picLocks noChangeAspect="1"/>
                          </pic:cNvPicPr>
                        </pic:nvPicPr>
                        <pic:blipFill>
                          <a:blip r:embed="rId9"/>
                          <a:stretch>
                            <a:fillRect/>
                          </a:stretch>
                        </pic:blipFill>
                        <pic:spPr>
                          <a:xfrm>
                            <a:off x="0" y="0"/>
                            <a:ext cx="3358515" cy="25196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6" w:type="dxa"/>
          </w:tcPr>
          <w:p>
            <w:pPr>
              <w:jc w:val="center"/>
              <w:rPr>
                <w:rFonts w:ascii="黑体" w:hAnsi="黑体" w:eastAsia="黑体"/>
                <w:color w:val="auto"/>
              </w:rPr>
            </w:pPr>
            <w:r>
              <w:rPr>
                <w:rFonts w:hint="eastAsia" w:ascii="黑体" w:hAnsi="黑体" w:eastAsia="黑体"/>
                <w:color w:val="auto"/>
                <w:sz w:val="24"/>
                <w:szCs w:val="24"/>
              </w:rPr>
              <w:t>拟建厂区</w:t>
            </w:r>
          </w:p>
        </w:tc>
        <w:tc>
          <w:tcPr>
            <w:tcW w:w="6996" w:type="dxa"/>
          </w:tcPr>
          <w:p>
            <w:pPr>
              <w:jc w:val="center"/>
              <w:rPr>
                <w:color w:val="auto"/>
              </w:rPr>
            </w:pPr>
            <w:r>
              <w:rPr>
                <w:rFonts w:hint="eastAsia" w:ascii="黑体" w:hAnsi="黑体" w:eastAsia="黑体"/>
                <w:color w:val="auto"/>
                <w:sz w:val="24"/>
                <w:szCs w:val="24"/>
              </w:rPr>
              <w:t>拟建厂区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6" w:type="dxa"/>
          </w:tcPr>
          <w:p>
            <w:pPr>
              <w:jc w:val="center"/>
              <w:rPr>
                <w:color w:val="auto"/>
              </w:rPr>
            </w:pPr>
            <w:r>
              <w:rPr>
                <w:rFonts w:hint="eastAsia"/>
                <w:color w:val="auto"/>
              </w:rPr>
              <w:drawing>
                <wp:inline distT="0" distB="0" distL="114300" distR="114300">
                  <wp:extent cx="3358515" cy="2519680"/>
                  <wp:effectExtent l="0" t="0" r="13335" b="13970"/>
                  <wp:docPr id="6" name="图片 6" descr="场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场地3"/>
                          <pic:cNvPicPr>
                            <a:picLocks noChangeAspect="1"/>
                          </pic:cNvPicPr>
                        </pic:nvPicPr>
                        <pic:blipFill>
                          <a:blip r:embed="rId10"/>
                          <a:stretch>
                            <a:fillRect/>
                          </a:stretch>
                        </pic:blipFill>
                        <pic:spPr>
                          <a:xfrm>
                            <a:off x="0" y="0"/>
                            <a:ext cx="3358515" cy="2519680"/>
                          </a:xfrm>
                          <a:prstGeom prst="rect">
                            <a:avLst/>
                          </a:prstGeom>
                        </pic:spPr>
                      </pic:pic>
                    </a:graphicData>
                  </a:graphic>
                </wp:inline>
              </w:drawing>
            </w:r>
          </w:p>
        </w:tc>
        <w:tc>
          <w:tcPr>
            <w:tcW w:w="6996" w:type="dxa"/>
          </w:tcPr>
          <w:p>
            <w:pPr>
              <w:jc w:val="center"/>
              <w:rPr>
                <w:color w:val="auto"/>
              </w:rPr>
            </w:pPr>
            <w:r>
              <w:rPr>
                <w:rFonts w:hint="eastAsia"/>
                <w:color w:val="auto"/>
              </w:rPr>
              <w:drawing>
                <wp:inline distT="0" distB="0" distL="114300" distR="114300">
                  <wp:extent cx="3358515" cy="2519680"/>
                  <wp:effectExtent l="0" t="0" r="13335" b="13970"/>
                  <wp:docPr id="7" name="图片 7" descr="进场道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进场道路1"/>
                          <pic:cNvPicPr>
                            <a:picLocks noChangeAspect="1"/>
                          </pic:cNvPicPr>
                        </pic:nvPicPr>
                        <pic:blipFill>
                          <a:blip r:embed="rId11"/>
                          <a:stretch>
                            <a:fillRect/>
                          </a:stretch>
                        </pic:blipFill>
                        <pic:spPr>
                          <a:xfrm>
                            <a:off x="0" y="0"/>
                            <a:ext cx="3358515" cy="25196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6" w:type="dxa"/>
          </w:tcPr>
          <w:p>
            <w:pPr>
              <w:jc w:val="center"/>
              <w:rPr>
                <w:color w:val="auto"/>
              </w:rPr>
            </w:pPr>
            <w:r>
              <w:rPr>
                <w:rFonts w:hint="eastAsia" w:ascii="黑体" w:hAnsi="黑体" w:eastAsia="黑体"/>
                <w:color w:val="auto"/>
                <w:sz w:val="24"/>
                <w:szCs w:val="24"/>
              </w:rPr>
              <w:t>拟建厂区</w:t>
            </w:r>
          </w:p>
        </w:tc>
        <w:tc>
          <w:tcPr>
            <w:tcW w:w="6996" w:type="dxa"/>
          </w:tcPr>
          <w:p>
            <w:pPr>
              <w:jc w:val="center"/>
              <w:rPr>
                <w:color w:val="auto"/>
              </w:rPr>
            </w:pPr>
            <w:r>
              <w:rPr>
                <w:rFonts w:hint="eastAsia" w:ascii="黑体" w:hAnsi="黑体" w:eastAsia="黑体"/>
                <w:color w:val="auto"/>
                <w:sz w:val="24"/>
                <w:szCs w:val="24"/>
              </w:rPr>
              <w:t>拟建厂区北侧108国道</w:t>
            </w:r>
          </w:p>
        </w:tc>
      </w:tr>
    </w:tbl>
    <w:p>
      <w:pPr>
        <w:spacing w:line="100" w:lineRule="exact"/>
        <w:jc w:val="center"/>
        <w:rPr>
          <w:color w:val="auto"/>
        </w:rPr>
        <w:sectPr>
          <w:pgSz w:w="16838" w:h="11906" w:orient="landscape"/>
          <w:pgMar w:top="1531" w:right="1418" w:bottom="1418" w:left="1418" w:header="851" w:footer="851"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eastAsia="宋体"/>
          <w:color w:val="auto"/>
          <w:lang w:eastAsia="zh-CN"/>
        </w:rPr>
        <w:drawing>
          <wp:inline distT="0" distB="0" distL="114300" distR="114300">
            <wp:extent cx="8839200" cy="5574030"/>
            <wp:effectExtent l="0" t="0" r="0" b="7620"/>
            <wp:docPr id="63" name="图片 63" descr="繁云富  修改说明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繁云富  修改说明_页面_1"/>
                    <pic:cNvPicPr>
                      <a:picLocks noChangeAspect="1"/>
                    </pic:cNvPicPr>
                  </pic:nvPicPr>
                  <pic:blipFill>
                    <a:blip r:embed="rId12"/>
                    <a:srcRect l="6520" t="10898" r="8298" b="13133"/>
                    <a:stretch>
                      <a:fillRect/>
                    </a:stretch>
                  </pic:blipFill>
                  <pic:spPr>
                    <a:xfrm>
                      <a:off x="0" y="0"/>
                      <a:ext cx="8839200" cy="5574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eastAsia="宋体"/>
          <w:color w:val="auto"/>
          <w:lang w:eastAsia="zh-CN"/>
        </w:rPr>
        <w:drawing>
          <wp:inline distT="0" distB="0" distL="114300" distR="114300">
            <wp:extent cx="8886825" cy="4636770"/>
            <wp:effectExtent l="0" t="0" r="9525" b="11430"/>
            <wp:docPr id="27" name="图片 27" descr="繁云富  修改说明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繁云富  修改说明_页面_2"/>
                    <pic:cNvPicPr>
                      <a:picLocks noChangeAspect="1"/>
                    </pic:cNvPicPr>
                  </pic:nvPicPr>
                  <pic:blipFill>
                    <a:blip r:embed="rId13"/>
                    <a:srcRect l="6813" t="10473" r="8204" b="26825"/>
                    <a:stretch>
                      <a:fillRect/>
                    </a:stretch>
                  </pic:blipFill>
                  <pic:spPr>
                    <a:xfrm>
                      <a:off x="0" y="0"/>
                      <a:ext cx="8886825" cy="4636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sectPr>
          <w:pgSz w:w="16838" w:h="11906" w:orient="landscape"/>
          <w:pgMar w:top="1531" w:right="1418" w:bottom="1418" w:left="1418" w:header="851" w:footer="851" w:gutter="0"/>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一、建设项目基本情况</w:t>
      </w:r>
    </w:p>
    <w:tbl>
      <w:tblPr>
        <w:tblStyle w:val="20"/>
        <w:tblW w:w="52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789"/>
        <w:gridCol w:w="1335"/>
        <w:gridCol w:w="1859"/>
        <w:gridCol w:w="2066"/>
        <w:gridCol w:w="27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建设项目名称</w:t>
            </w:r>
          </w:p>
        </w:tc>
        <w:tc>
          <w:tcPr>
            <w:tcW w:w="3618" w:type="pct"/>
            <w:gridSpan w:val="3"/>
            <w:vAlign w:val="center"/>
          </w:tcPr>
          <w:p>
            <w:pPr>
              <w:adjustRightInd w:val="0"/>
              <w:snapToGrid w:val="0"/>
              <w:jc w:val="center"/>
              <w:rPr>
                <w:color w:val="auto"/>
                <w:sz w:val="24"/>
                <w:szCs w:val="24"/>
              </w:rPr>
            </w:pPr>
            <w:r>
              <w:rPr>
                <w:rFonts w:hint="eastAsia"/>
                <w:color w:val="auto"/>
                <w:sz w:val="24"/>
                <w:szCs w:val="24"/>
              </w:rPr>
              <w:t>繁峙县繁云富煤炭经销有限公司</w:t>
            </w:r>
          </w:p>
          <w:p>
            <w:pPr>
              <w:adjustRightInd w:val="0"/>
              <w:snapToGrid w:val="0"/>
              <w:jc w:val="center"/>
              <w:rPr>
                <w:color w:val="auto"/>
                <w:sz w:val="24"/>
                <w:szCs w:val="24"/>
              </w:rPr>
            </w:pPr>
            <w:r>
              <w:rPr>
                <w:rFonts w:hint="eastAsia"/>
                <w:color w:val="auto"/>
                <w:sz w:val="24"/>
                <w:szCs w:val="24"/>
              </w:rPr>
              <w:t>智能化储煤基地建设项目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项目代码</w:t>
            </w:r>
          </w:p>
        </w:tc>
        <w:tc>
          <w:tcPr>
            <w:tcW w:w="3618" w:type="pct"/>
            <w:gridSpan w:val="3"/>
            <w:vAlign w:val="center"/>
          </w:tcPr>
          <w:p>
            <w:pPr>
              <w:adjustRightInd w:val="0"/>
              <w:snapToGrid w:val="0"/>
              <w:jc w:val="center"/>
              <w:rPr>
                <w:color w:val="auto"/>
                <w:sz w:val="24"/>
                <w:szCs w:val="24"/>
              </w:rPr>
            </w:pPr>
            <w:r>
              <w:rPr>
                <w:rFonts w:hint="eastAsia"/>
                <w:bCs/>
                <w:color w:val="auto"/>
                <w:sz w:val="24"/>
              </w:rPr>
              <w:t>2204-140924-89-01-285138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建设单位联系人</w:t>
            </w:r>
          </w:p>
        </w:tc>
        <w:tc>
          <w:tcPr>
            <w:tcW w:w="1012" w:type="pct"/>
            <w:vAlign w:val="center"/>
          </w:tcPr>
          <w:p>
            <w:pPr>
              <w:adjustRightInd w:val="0"/>
              <w:snapToGrid w:val="0"/>
              <w:jc w:val="center"/>
              <w:rPr>
                <w:color w:val="auto"/>
                <w:sz w:val="24"/>
                <w:szCs w:val="24"/>
              </w:rPr>
            </w:pPr>
            <w:r>
              <w:rPr>
                <w:color w:val="auto"/>
                <w:sz w:val="24"/>
                <w:szCs w:val="24"/>
              </w:rPr>
              <w:t>杨三寿</w:t>
            </w:r>
          </w:p>
        </w:tc>
        <w:tc>
          <w:tcPr>
            <w:tcW w:w="1124" w:type="pct"/>
            <w:vAlign w:val="center"/>
          </w:tcPr>
          <w:p>
            <w:pPr>
              <w:adjustRightInd w:val="0"/>
              <w:snapToGrid w:val="0"/>
              <w:jc w:val="center"/>
              <w:rPr>
                <w:color w:val="auto"/>
                <w:sz w:val="24"/>
                <w:szCs w:val="24"/>
              </w:rPr>
            </w:pPr>
            <w:r>
              <w:rPr>
                <w:rFonts w:hint="eastAsia"/>
                <w:color w:val="auto"/>
                <w:sz w:val="24"/>
                <w:szCs w:val="24"/>
              </w:rPr>
              <w:t>联系方式</w:t>
            </w:r>
          </w:p>
        </w:tc>
        <w:tc>
          <w:tcPr>
            <w:tcW w:w="1482" w:type="pct"/>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建设地点</w:t>
            </w:r>
          </w:p>
        </w:tc>
        <w:tc>
          <w:tcPr>
            <w:tcW w:w="3618" w:type="pct"/>
            <w:gridSpan w:val="3"/>
            <w:vAlign w:val="center"/>
          </w:tcPr>
          <w:p>
            <w:pPr>
              <w:adjustRightInd w:val="0"/>
              <w:snapToGrid w:val="0"/>
              <w:jc w:val="center"/>
              <w:rPr>
                <w:color w:val="auto"/>
                <w:sz w:val="24"/>
                <w:szCs w:val="24"/>
              </w:rPr>
            </w:pPr>
            <w:r>
              <w:rPr>
                <w:rFonts w:hint="eastAsia"/>
                <w:color w:val="auto"/>
                <w:sz w:val="24"/>
                <w:szCs w:val="24"/>
                <w:u w:val="single"/>
              </w:rPr>
              <w:t>山西</w:t>
            </w:r>
            <w:r>
              <w:rPr>
                <w:rFonts w:hint="eastAsia"/>
                <w:color w:val="auto"/>
                <w:sz w:val="24"/>
                <w:szCs w:val="24"/>
              </w:rPr>
              <w:t>省</w:t>
            </w:r>
            <w:r>
              <w:rPr>
                <w:rFonts w:hint="eastAsia"/>
                <w:color w:val="auto"/>
                <w:sz w:val="24"/>
                <w:szCs w:val="24"/>
                <w:u w:val="single"/>
              </w:rPr>
              <w:t>忻州</w:t>
            </w:r>
            <w:r>
              <w:rPr>
                <w:rFonts w:hint="eastAsia"/>
                <w:color w:val="auto"/>
                <w:sz w:val="24"/>
                <w:szCs w:val="24"/>
              </w:rPr>
              <w:t>市</w:t>
            </w:r>
            <w:r>
              <w:rPr>
                <w:rFonts w:hint="eastAsia"/>
                <w:color w:val="auto"/>
                <w:sz w:val="24"/>
                <w:szCs w:val="24"/>
                <w:u w:val="single"/>
              </w:rPr>
              <w:t>繁峙</w:t>
            </w:r>
            <w:r>
              <w:rPr>
                <w:rFonts w:hint="eastAsia"/>
                <w:color w:val="auto"/>
                <w:sz w:val="24"/>
                <w:szCs w:val="24"/>
              </w:rPr>
              <w:t>县</w:t>
            </w:r>
            <w:r>
              <w:rPr>
                <w:rFonts w:hint="eastAsia"/>
                <w:color w:val="auto"/>
                <w:sz w:val="24"/>
                <w:szCs w:val="24"/>
                <w:u w:val="single"/>
              </w:rPr>
              <w:t>平型关镇云雾峪村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地理坐标</w:t>
            </w:r>
          </w:p>
        </w:tc>
        <w:tc>
          <w:tcPr>
            <w:tcW w:w="3618" w:type="pct"/>
            <w:gridSpan w:val="3"/>
            <w:vAlign w:val="center"/>
          </w:tcPr>
          <w:p>
            <w:pPr>
              <w:jc w:val="center"/>
              <w:rPr>
                <w:color w:val="auto"/>
                <w:sz w:val="24"/>
                <w:szCs w:val="24"/>
              </w:rPr>
            </w:pPr>
            <w:r>
              <w:rPr>
                <w:rFonts w:hint="eastAsia"/>
                <w:color w:val="auto"/>
                <w:sz w:val="24"/>
                <w:szCs w:val="24"/>
              </w:rPr>
              <w:t>（</w:t>
            </w:r>
            <w:r>
              <w:rPr>
                <w:rFonts w:hint="eastAsia"/>
                <w:color w:val="auto"/>
                <w:sz w:val="24"/>
                <w:szCs w:val="24"/>
                <w:u w:val="single"/>
              </w:rPr>
              <w:t>113</w:t>
            </w:r>
            <w:r>
              <w:rPr>
                <w:rFonts w:hint="eastAsia"/>
                <w:color w:val="auto"/>
                <w:sz w:val="24"/>
                <w:szCs w:val="24"/>
              </w:rPr>
              <w:t>度</w:t>
            </w:r>
            <w:r>
              <w:rPr>
                <w:rFonts w:hint="eastAsia"/>
                <w:color w:val="auto"/>
                <w:sz w:val="24"/>
                <w:szCs w:val="24"/>
                <w:u w:val="single"/>
              </w:rPr>
              <w:t>49</w:t>
            </w:r>
            <w:r>
              <w:rPr>
                <w:rFonts w:hint="eastAsia"/>
                <w:color w:val="auto"/>
                <w:sz w:val="24"/>
                <w:szCs w:val="24"/>
              </w:rPr>
              <w:t>分</w:t>
            </w:r>
            <w:r>
              <w:rPr>
                <w:rFonts w:hint="eastAsia"/>
                <w:color w:val="auto"/>
                <w:sz w:val="24"/>
                <w:szCs w:val="24"/>
                <w:u w:val="single"/>
              </w:rPr>
              <w:t>38.578</w:t>
            </w:r>
            <w:r>
              <w:rPr>
                <w:rFonts w:hint="eastAsia"/>
                <w:color w:val="auto"/>
                <w:sz w:val="24"/>
                <w:szCs w:val="24"/>
              </w:rPr>
              <w:t>秒，</w:t>
            </w:r>
            <w:r>
              <w:rPr>
                <w:rFonts w:hint="eastAsia"/>
                <w:color w:val="auto"/>
                <w:sz w:val="24"/>
                <w:szCs w:val="24"/>
                <w:u w:val="single"/>
              </w:rPr>
              <w:t>39</w:t>
            </w:r>
            <w:r>
              <w:rPr>
                <w:rFonts w:hint="eastAsia"/>
                <w:color w:val="auto"/>
                <w:sz w:val="24"/>
                <w:szCs w:val="24"/>
              </w:rPr>
              <w:t>度</w:t>
            </w:r>
            <w:r>
              <w:rPr>
                <w:rFonts w:hint="eastAsia"/>
                <w:color w:val="auto"/>
                <w:sz w:val="24"/>
                <w:szCs w:val="24"/>
                <w:u w:val="single"/>
              </w:rPr>
              <w:t>13</w:t>
            </w:r>
            <w:r>
              <w:rPr>
                <w:rFonts w:hint="eastAsia"/>
                <w:color w:val="auto"/>
                <w:sz w:val="24"/>
                <w:szCs w:val="24"/>
              </w:rPr>
              <w:t>分</w:t>
            </w:r>
            <w:r>
              <w:rPr>
                <w:rFonts w:hint="eastAsia"/>
                <w:color w:val="auto"/>
                <w:sz w:val="24"/>
                <w:szCs w:val="24"/>
                <w:u w:val="single"/>
              </w:rPr>
              <w:t>44.446</w:t>
            </w:r>
            <w:r>
              <w:rPr>
                <w:rFonts w:hint="eastAsia"/>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国民经济</w:t>
            </w:r>
          </w:p>
          <w:p>
            <w:pPr>
              <w:adjustRightInd w:val="0"/>
              <w:snapToGrid w:val="0"/>
              <w:jc w:val="center"/>
              <w:rPr>
                <w:color w:val="auto"/>
                <w:sz w:val="24"/>
                <w:szCs w:val="24"/>
              </w:rPr>
            </w:pPr>
            <w:r>
              <w:rPr>
                <w:rFonts w:hint="eastAsia"/>
                <w:color w:val="auto"/>
                <w:sz w:val="24"/>
                <w:szCs w:val="24"/>
              </w:rPr>
              <w:t>行业类别</w:t>
            </w:r>
          </w:p>
        </w:tc>
        <w:tc>
          <w:tcPr>
            <w:tcW w:w="1012" w:type="pct"/>
            <w:vAlign w:val="center"/>
          </w:tcPr>
          <w:p>
            <w:pPr>
              <w:adjustRightInd w:val="0"/>
              <w:snapToGrid w:val="0"/>
              <w:jc w:val="center"/>
              <w:rPr>
                <w:color w:val="auto"/>
                <w:sz w:val="24"/>
                <w:szCs w:val="24"/>
              </w:rPr>
            </w:pPr>
            <w:r>
              <w:rPr>
                <w:rFonts w:hint="eastAsia"/>
                <w:color w:val="auto"/>
                <w:sz w:val="24"/>
                <w:szCs w:val="24"/>
              </w:rPr>
              <w:t>0690其他煤炭采选；5990其他仓储业；5161煤炭及制品批发</w:t>
            </w:r>
          </w:p>
        </w:tc>
        <w:tc>
          <w:tcPr>
            <w:tcW w:w="1124" w:type="pct"/>
            <w:vAlign w:val="center"/>
          </w:tcPr>
          <w:p>
            <w:pPr>
              <w:adjustRightInd w:val="0"/>
              <w:snapToGrid w:val="0"/>
              <w:jc w:val="center"/>
              <w:rPr>
                <w:color w:val="auto"/>
                <w:sz w:val="24"/>
                <w:szCs w:val="24"/>
              </w:rPr>
            </w:pPr>
            <w:bookmarkStart w:id="0" w:name="_Hlk49843745"/>
            <w:r>
              <w:rPr>
                <w:rFonts w:hint="eastAsia"/>
                <w:color w:val="auto"/>
                <w:sz w:val="24"/>
                <w:szCs w:val="24"/>
              </w:rPr>
              <w:t>建设项目</w:t>
            </w:r>
          </w:p>
          <w:p>
            <w:pPr>
              <w:adjustRightInd w:val="0"/>
              <w:snapToGrid w:val="0"/>
              <w:jc w:val="center"/>
              <w:rPr>
                <w:color w:val="auto"/>
                <w:sz w:val="24"/>
                <w:szCs w:val="24"/>
              </w:rPr>
            </w:pPr>
            <w:r>
              <w:rPr>
                <w:rFonts w:hint="eastAsia"/>
                <w:color w:val="auto"/>
                <w:sz w:val="24"/>
                <w:szCs w:val="24"/>
              </w:rPr>
              <w:t>行业类别</w:t>
            </w:r>
            <w:bookmarkEnd w:id="0"/>
          </w:p>
        </w:tc>
        <w:tc>
          <w:tcPr>
            <w:tcW w:w="1482" w:type="pct"/>
            <w:vAlign w:val="center"/>
          </w:tcPr>
          <w:p>
            <w:pPr>
              <w:adjustRightInd w:val="0"/>
              <w:snapToGrid w:val="0"/>
              <w:rPr>
                <w:color w:val="auto"/>
                <w:sz w:val="24"/>
                <w:szCs w:val="24"/>
              </w:rPr>
            </w:pPr>
            <w:r>
              <w:rPr>
                <w:rFonts w:hint="eastAsia" w:ascii="宋体" w:hAnsi="宋体" w:cs="宋体"/>
                <w:bCs/>
                <w:color w:val="auto"/>
                <w:sz w:val="24"/>
                <w:szCs w:val="28"/>
                <w:lang w:bidi="ar"/>
              </w:rPr>
              <w:t>四、煤炭开采和洗选业-6其他煤炭采选069-煤炭储存、集运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建设性质</w:t>
            </w:r>
          </w:p>
        </w:tc>
        <w:tc>
          <w:tcPr>
            <w:tcW w:w="1012" w:type="pct"/>
            <w:vAlign w:val="center"/>
          </w:tcPr>
          <w:p>
            <w:pPr>
              <w:jc w:val="left"/>
              <w:rPr>
                <w:color w:val="auto"/>
                <w:sz w:val="24"/>
                <w:szCs w:val="24"/>
              </w:rPr>
            </w:pPr>
            <w:r>
              <w:rPr>
                <w:rFonts w:hint="eastAsia" w:ascii="Wingdings 2" w:hAnsi="Wingdings 2"/>
                <w:color w:val="auto"/>
                <w:sz w:val="24"/>
                <w:szCs w:val="24"/>
              </w:rPr>
              <w:t>R</w:t>
            </w:r>
            <w:r>
              <w:rPr>
                <w:rFonts w:hint="eastAsia"/>
                <w:color w:val="auto"/>
                <w:sz w:val="24"/>
                <w:szCs w:val="24"/>
              </w:rPr>
              <w:t>新建（迁建）</w:t>
            </w:r>
          </w:p>
          <w:p>
            <w:pPr>
              <w:jc w:val="left"/>
              <w:rPr>
                <w:color w:val="auto"/>
                <w:sz w:val="24"/>
                <w:szCs w:val="24"/>
              </w:rPr>
            </w:pPr>
            <w:r>
              <w:rPr>
                <w:rFonts w:hint="eastAsia"/>
                <w:color w:val="auto"/>
                <w:sz w:val="24"/>
                <w:szCs w:val="24"/>
              </w:rPr>
              <w:sym w:font="Wingdings 2" w:char="00A3"/>
            </w:r>
            <w:r>
              <w:rPr>
                <w:rFonts w:hint="eastAsia"/>
                <w:color w:val="auto"/>
                <w:sz w:val="24"/>
                <w:szCs w:val="24"/>
              </w:rPr>
              <w:t>改建</w:t>
            </w:r>
          </w:p>
          <w:p>
            <w:pPr>
              <w:jc w:val="left"/>
              <w:rPr>
                <w:color w:val="auto"/>
                <w:sz w:val="24"/>
                <w:szCs w:val="24"/>
              </w:rPr>
            </w:pPr>
            <w:r>
              <w:rPr>
                <w:rFonts w:hint="eastAsia"/>
                <w:color w:val="auto"/>
                <w:sz w:val="24"/>
                <w:szCs w:val="24"/>
              </w:rPr>
              <w:sym w:font="Wingdings 2" w:char="00A3"/>
            </w:r>
            <w:r>
              <w:rPr>
                <w:rFonts w:hint="eastAsia"/>
                <w:color w:val="auto"/>
                <w:sz w:val="24"/>
                <w:szCs w:val="24"/>
              </w:rPr>
              <w:t>扩建</w:t>
            </w:r>
          </w:p>
          <w:p>
            <w:pPr>
              <w:jc w:val="left"/>
              <w:rPr>
                <w:color w:val="auto"/>
                <w:sz w:val="24"/>
                <w:szCs w:val="24"/>
              </w:rPr>
            </w:pPr>
            <w:r>
              <w:rPr>
                <w:rFonts w:hint="eastAsia"/>
                <w:color w:val="auto"/>
                <w:sz w:val="24"/>
                <w:szCs w:val="24"/>
              </w:rPr>
              <w:sym w:font="Wingdings 2" w:char="00A3"/>
            </w:r>
            <w:r>
              <w:rPr>
                <w:rFonts w:hint="eastAsia"/>
                <w:color w:val="auto"/>
                <w:sz w:val="24"/>
                <w:szCs w:val="24"/>
              </w:rPr>
              <w:t>技术改造</w:t>
            </w:r>
          </w:p>
        </w:tc>
        <w:tc>
          <w:tcPr>
            <w:tcW w:w="1124" w:type="pct"/>
            <w:vAlign w:val="center"/>
          </w:tcPr>
          <w:p>
            <w:pPr>
              <w:adjustRightInd w:val="0"/>
              <w:snapToGrid w:val="0"/>
              <w:jc w:val="center"/>
              <w:rPr>
                <w:color w:val="auto"/>
                <w:sz w:val="24"/>
                <w:szCs w:val="24"/>
              </w:rPr>
            </w:pPr>
            <w:r>
              <w:rPr>
                <w:rFonts w:hint="eastAsia"/>
                <w:color w:val="auto"/>
                <w:sz w:val="24"/>
                <w:szCs w:val="24"/>
              </w:rPr>
              <w:t>建设项目</w:t>
            </w:r>
          </w:p>
          <w:p>
            <w:pPr>
              <w:adjustRightInd w:val="0"/>
              <w:snapToGrid w:val="0"/>
              <w:jc w:val="center"/>
              <w:rPr>
                <w:color w:val="auto"/>
                <w:sz w:val="24"/>
                <w:szCs w:val="24"/>
              </w:rPr>
            </w:pPr>
            <w:r>
              <w:rPr>
                <w:rFonts w:hint="eastAsia"/>
                <w:color w:val="auto"/>
                <w:sz w:val="24"/>
                <w:szCs w:val="24"/>
              </w:rPr>
              <w:t>申报情形</w:t>
            </w:r>
          </w:p>
        </w:tc>
        <w:tc>
          <w:tcPr>
            <w:tcW w:w="1482" w:type="pct"/>
            <w:vAlign w:val="center"/>
          </w:tcPr>
          <w:p>
            <w:pPr>
              <w:jc w:val="left"/>
              <w:rPr>
                <w:color w:val="auto"/>
                <w:sz w:val="24"/>
                <w:szCs w:val="24"/>
              </w:rPr>
            </w:pPr>
            <w:r>
              <w:rPr>
                <w:rFonts w:hint="eastAsia" w:ascii="Wingdings 2" w:hAnsi="Wingdings 2"/>
                <w:color w:val="auto"/>
                <w:sz w:val="24"/>
                <w:szCs w:val="24"/>
              </w:rPr>
              <w:t>R</w:t>
            </w:r>
            <w:r>
              <w:rPr>
                <w:rFonts w:hint="eastAsia"/>
                <w:color w:val="auto"/>
                <w:sz w:val="24"/>
                <w:szCs w:val="24"/>
              </w:rPr>
              <w:t xml:space="preserve">首次申报项目             </w:t>
            </w:r>
          </w:p>
          <w:p>
            <w:pPr>
              <w:jc w:val="left"/>
              <w:rPr>
                <w:color w:val="auto"/>
                <w:sz w:val="24"/>
                <w:szCs w:val="24"/>
              </w:rPr>
            </w:pPr>
            <w:r>
              <w:rPr>
                <w:rFonts w:hint="eastAsia"/>
                <w:color w:val="auto"/>
                <w:sz w:val="24"/>
                <w:szCs w:val="24"/>
              </w:rPr>
              <w:sym w:font="Wingdings 2" w:char="00A3"/>
            </w:r>
            <w:r>
              <w:rPr>
                <w:rFonts w:hint="eastAsia"/>
                <w:color w:val="auto"/>
                <w:sz w:val="24"/>
                <w:szCs w:val="24"/>
              </w:rPr>
              <w:t>不予批准后再次申报项目</w:t>
            </w:r>
          </w:p>
          <w:p>
            <w:pPr>
              <w:jc w:val="left"/>
              <w:rPr>
                <w:color w:val="auto"/>
                <w:sz w:val="24"/>
                <w:szCs w:val="24"/>
              </w:rPr>
            </w:pPr>
            <w:r>
              <w:rPr>
                <w:rFonts w:hint="eastAsia"/>
                <w:color w:val="auto"/>
                <w:sz w:val="24"/>
                <w:szCs w:val="24"/>
              </w:rPr>
              <w:sym w:font="Wingdings 2" w:char="00A3"/>
            </w:r>
            <w:r>
              <w:rPr>
                <w:rFonts w:hint="eastAsia"/>
                <w:color w:val="auto"/>
                <w:sz w:val="24"/>
                <w:szCs w:val="24"/>
              </w:rPr>
              <w:t xml:space="preserve">超五年重新审核项目     </w:t>
            </w:r>
          </w:p>
          <w:p>
            <w:pPr>
              <w:jc w:val="left"/>
              <w:rPr>
                <w:color w:val="auto"/>
                <w:sz w:val="24"/>
                <w:szCs w:val="24"/>
              </w:rPr>
            </w:pPr>
            <w:r>
              <w:rPr>
                <w:rFonts w:hint="eastAsia"/>
                <w:color w:val="auto"/>
                <w:sz w:val="24"/>
                <w:szCs w:val="24"/>
              </w:rPr>
              <w:sym w:font="Wingdings 2" w:char="00A3"/>
            </w:r>
            <w:r>
              <w:rPr>
                <w:rFonts w:hint="eastAsia"/>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项目审批（核准/备案）部门（选填）</w:t>
            </w:r>
          </w:p>
        </w:tc>
        <w:tc>
          <w:tcPr>
            <w:tcW w:w="1012" w:type="pct"/>
            <w:vAlign w:val="center"/>
          </w:tcPr>
          <w:p>
            <w:pPr>
              <w:adjustRightInd w:val="0"/>
              <w:snapToGrid w:val="0"/>
              <w:jc w:val="center"/>
              <w:rPr>
                <w:color w:val="auto"/>
                <w:sz w:val="24"/>
                <w:szCs w:val="24"/>
              </w:rPr>
            </w:pPr>
            <w:r>
              <w:rPr>
                <w:rFonts w:hint="eastAsia"/>
                <w:color w:val="auto"/>
                <w:sz w:val="24"/>
                <w:szCs w:val="24"/>
              </w:rPr>
              <w:t>繁峙县行政审批服务管理局</w:t>
            </w:r>
          </w:p>
        </w:tc>
        <w:tc>
          <w:tcPr>
            <w:tcW w:w="1124" w:type="pct"/>
            <w:vAlign w:val="center"/>
          </w:tcPr>
          <w:p>
            <w:pPr>
              <w:adjustRightInd w:val="0"/>
              <w:snapToGrid w:val="0"/>
              <w:jc w:val="center"/>
              <w:rPr>
                <w:color w:val="auto"/>
                <w:sz w:val="24"/>
                <w:szCs w:val="24"/>
              </w:rPr>
            </w:pPr>
            <w:r>
              <w:rPr>
                <w:rFonts w:hint="eastAsia"/>
                <w:color w:val="auto"/>
                <w:sz w:val="24"/>
                <w:szCs w:val="24"/>
              </w:rPr>
              <w:t>项目审批（核准/备案）文号（选填）</w:t>
            </w:r>
          </w:p>
        </w:tc>
        <w:tc>
          <w:tcPr>
            <w:tcW w:w="1482" w:type="pct"/>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总投资（万元）</w:t>
            </w:r>
          </w:p>
        </w:tc>
        <w:tc>
          <w:tcPr>
            <w:tcW w:w="1012" w:type="pct"/>
            <w:vAlign w:val="center"/>
          </w:tcPr>
          <w:p>
            <w:pPr>
              <w:adjustRightInd w:val="0"/>
              <w:snapToGrid w:val="0"/>
              <w:jc w:val="center"/>
              <w:rPr>
                <w:color w:val="auto"/>
                <w:sz w:val="24"/>
                <w:szCs w:val="24"/>
              </w:rPr>
            </w:pPr>
            <w:r>
              <w:rPr>
                <w:rFonts w:hint="eastAsia"/>
                <w:color w:val="auto"/>
                <w:sz w:val="24"/>
                <w:szCs w:val="24"/>
              </w:rPr>
              <w:t>12000</w:t>
            </w:r>
          </w:p>
        </w:tc>
        <w:tc>
          <w:tcPr>
            <w:tcW w:w="1124" w:type="pct"/>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环保投资（万元）</w:t>
            </w:r>
          </w:p>
        </w:tc>
        <w:tc>
          <w:tcPr>
            <w:tcW w:w="1482" w:type="pct"/>
            <w:vAlign w:val="center"/>
          </w:tcPr>
          <w:p>
            <w:pPr>
              <w:adjustRightInd w:val="0"/>
              <w:snapToGrid w:val="0"/>
              <w:jc w:val="center"/>
              <w:rPr>
                <w:color w:val="auto"/>
                <w:sz w:val="24"/>
                <w:szCs w:val="24"/>
              </w:rPr>
            </w:pPr>
            <w:r>
              <w:rPr>
                <w:rFonts w:hint="eastAsia"/>
                <w:color w:val="auto"/>
                <w:sz w:val="24"/>
                <w:szCs w:val="24"/>
              </w:rPr>
              <w:t>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环保投资占比（%）</w:t>
            </w:r>
          </w:p>
        </w:tc>
        <w:tc>
          <w:tcPr>
            <w:tcW w:w="1012" w:type="pct"/>
            <w:vAlign w:val="center"/>
          </w:tcPr>
          <w:p>
            <w:pPr>
              <w:adjustRightInd w:val="0"/>
              <w:snapToGrid w:val="0"/>
              <w:jc w:val="center"/>
              <w:rPr>
                <w:color w:val="auto"/>
                <w:sz w:val="24"/>
                <w:szCs w:val="24"/>
              </w:rPr>
            </w:pPr>
            <w:r>
              <w:rPr>
                <w:rFonts w:hint="eastAsia"/>
                <w:color w:val="auto"/>
                <w:sz w:val="24"/>
                <w:szCs w:val="24"/>
              </w:rPr>
              <w:t>2.04</w:t>
            </w:r>
          </w:p>
        </w:tc>
        <w:tc>
          <w:tcPr>
            <w:tcW w:w="1124" w:type="pct"/>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施工工期</w:t>
            </w:r>
          </w:p>
        </w:tc>
        <w:tc>
          <w:tcPr>
            <w:tcW w:w="1482" w:type="pct"/>
            <w:vAlign w:val="center"/>
          </w:tcPr>
          <w:p>
            <w:pPr>
              <w:adjustRightInd w:val="0"/>
              <w:snapToGrid w:val="0"/>
              <w:jc w:val="center"/>
              <w:rPr>
                <w:color w:val="auto"/>
                <w:sz w:val="24"/>
                <w:szCs w:val="24"/>
              </w:rPr>
            </w:pPr>
            <w:r>
              <w:rPr>
                <w:rFonts w:hint="eastAsia"/>
                <w:color w:val="auto"/>
                <w:sz w:val="24"/>
                <w:szCs w:val="24"/>
              </w:rPr>
              <w:t>18个月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1" w:type="pct"/>
            <w:gridSpan w:val="3"/>
            <w:tcMar>
              <w:top w:w="16" w:type="dxa"/>
              <w:left w:w="16" w:type="dxa"/>
              <w:right w:w="16" w:type="dxa"/>
            </w:tcMar>
            <w:vAlign w:val="center"/>
          </w:tcPr>
          <w:p>
            <w:pPr>
              <w:adjustRightInd w:val="0"/>
              <w:snapToGrid w:val="0"/>
              <w:jc w:val="center"/>
              <w:rPr>
                <w:color w:val="auto"/>
                <w:sz w:val="24"/>
                <w:szCs w:val="24"/>
              </w:rPr>
            </w:pPr>
            <w:r>
              <w:rPr>
                <w:rFonts w:hint="eastAsia"/>
                <w:color w:val="auto"/>
                <w:sz w:val="24"/>
                <w:szCs w:val="24"/>
              </w:rPr>
              <w:t>是否开工建设</w:t>
            </w:r>
          </w:p>
        </w:tc>
        <w:tc>
          <w:tcPr>
            <w:tcW w:w="1012" w:type="pct"/>
            <w:vAlign w:val="center"/>
          </w:tcPr>
          <w:p>
            <w:pPr>
              <w:adjustRightInd w:val="0"/>
              <w:snapToGrid w:val="0"/>
              <w:rPr>
                <w:color w:val="auto"/>
                <w:sz w:val="24"/>
                <w:szCs w:val="24"/>
              </w:rPr>
            </w:pPr>
            <w:r>
              <w:rPr>
                <w:rFonts w:hint="eastAsia" w:ascii="Wingdings 2" w:hAnsi="Wingdings 2"/>
                <w:color w:val="auto"/>
                <w:sz w:val="24"/>
                <w:szCs w:val="24"/>
              </w:rPr>
              <w:t>R</w:t>
            </w:r>
            <w:r>
              <w:rPr>
                <w:rFonts w:hint="eastAsia"/>
                <w:color w:val="auto"/>
                <w:sz w:val="24"/>
                <w:szCs w:val="24"/>
              </w:rPr>
              <w:t>否</w:t>
            </w:r>
          </w:p>
          <w:p>
            <w:pPr>
              <w:adjustRightInd w:val="0"/>
              <w:snapToGrid w:val="0"/>
              <w:rPr>
                <w:color w:val="auto"/>
                <w:sz w:val="24"/>
                <w:szCs w:val="24"/>
              </w:rPr>
            </w:pPr>
            <w:r>
              <w:rPr>
                <w:rFonts w:hint="eastAsia"/>
                <w:color w:val="auto"/>
                <w:sz w:val="24"/>
                <w:szCs w:val="24"/>
              </w:rPr>
              <w:sym w:font="Wingdings 2" w:char="00A3"/>
            </w:r>
            <w:r>
              <w:rPr>
                <w:rFonts w:hint="eastAsia"/>
                <w:color w:val="auto"/>
                <w:sz w:val="24"/>
                <w:szCs w:val="24"/>
              </w:rPr>
              <w:t>是：</w:t>
            </w:r>
            <w:r>
              <w:rPr>
                <w:rFonts w:hint="eastAsia"/>
                <w:color w:val="auto"/>
                <w:sz w:val="24"/>
                <w:szCs w:val="24"/>
                <w:u w:val="single"/>
              </w:rPr>
              <w:t xml:space="preserve">             </w:t>
            </w:r>
          </w:p>
        </w:tc>
        <w:tc>
          <w:tcPr>
            <w:tcW w:w="1124" w:type="pct"/>
            <w:tcMar>
              <w:top w:w="16" w:type="dxa"/>
              <w:left w:w="16" w:type="dxa"/>
              <w:right w:w="16" w:type="dxa"/>
            </w:tcMar>
            <w:vAlign w:val="center"/>
          </w:tcPr>
          <w:p>
            <w:pPr>
              <w:adjustRightInd w:val="0"/>
              <w:snapToGrid w:val="0"/>
              <w:jc w:val="center"/>
              <w:rPr>
                <w:color w:val="auto"/>
                <w:spacing w:val="-6"/>
                <w:sz w:val="24"/>
                <w:szCs w:val="24"/>
              </w:rPr>
            </w:pPr>
            <w:r>
              <w:rPr>
                <w:rFonts w:hint="eastAsia"/>
                <w:color w:val="auto"/>
                <w:spacing w:val="-6"/>
                <w:sz w:val="24"/>
                <w:szCs w:val="24"/>
              </w:rPr>
              <w:t>用地（用海）</w:t>
            </w:r>
          </w:p>
          <w:p>
            <w:pPr>
              <w:adjustRightInd w:val="0"/>
              <w:snapToGrid w:val="0"/>
              <w:jc w:val="center"/>
              <w:rPr>
                <w:color w:val="auto"/>
                <w:sz w:val="24"/>
                <w:szCs w:val="24"/>
              </w:rPr>
            </w:pPr>
            <w:r>
              <w:rPr>
                <w:rFonts w:hint="eastAsia"/>
                <w:color w:val="auto"/>
                <w:spacing w:val="-6"/>
                <w:sz w:val="24"/>
                <w:szCs w:val="24"/>
              </w:rPr>
              <w:t>面积（m</w:t>
            </w:r>
            <w:r>
              <w:rPr>
                <w:rFonts w:hint="eastAsia"/>
                <w:color w:val="auto"/>
                <w:spacing w:val="-6"/>
                <w:sz w:val="24"/>
                <w:szCs w:val="24"/>
                <w:vertAlign w:val="superscript"/>
              </w:rPr>
              <w:t>2</w:t>
            </w:r>
            <w:r>
              <w:rPr>
                <w:rFonts w:hint="eastAsia"/>
                <w:color w:val="auto"/>
                <w:spacing w:val="-6"/>
                <w:sz w:val="24"/>
                <w:szCs w:val="24"/>
              </w:rPr>
              <w:t>）</w:t>
            </w:r>
          </w:p>
        </w:tc>
        <w:tc>
          <w:tcPr>
            <w:tcW w:w="1482" w:type="pct"/>
            <w:vAlign w:val="center"/>
          </w:tcPr>
          <w:p>
            <w:pPr>
              <w:adjustRightInd w:val="0"/>
              <w:snapToGrid w:val="0"/>
              <w:jc w:val="center"/>
              <w:rPr>
                <w:color w:val="auto"/>
                <w:sz w:val="24"/>
                <w:szCs w:val="24"/>
              </w:rPr>
            </w:pPr>
            <w:r>
              <w:rPr>
                <w:rFonts w:hint="eastAsia"/>
                <w:color w:val="auto"/>
                <w:sz w:val="24"/>
                <w:szCs w:val="24"/>
              </w:rPr>
              <w:t>213344（合320亩）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52" w:type="pct"/>
            <w:gridSpan w:val="2"/>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专项评价设置情况</w:t>
            </w:r>
          </w:p>
        </w:tc>
        <w:tc>
          <w:tcPr>
            <w:tcW w:w="4347" w:type="pct"/>
            <w:gridSpan w:val="4"/>
            <w:vAlign w:val="center"/>
          </w:tcPr>
          <w:p>
            <w:pPr>
              <w:autoSpaceDE w:val="0"/>
              <w:autoSpaceDN w:val="0"/>
              <w:adjustRightInd w:val="0"/>
              <w:snapToGrid w:val="0"/>
              <w:spacing w:line="480" w:lineRule="exact"/>
              <w:ind w:firstLine="482" w:firstLineChars="200"/>
              <w:rPr>
                <w:color w:val="auto"/>
                <w:kern w:val="0"/>
                <w:sz w:val="24"/>
                <w:szCs w:val="24"/>
              </w:rPr>
            </w:pPr>
            <w:r>
              <w:rPr>
                <w:b/>
                <w:bCs/>
                <w:color w:val="auto"/>
                <w:kern w:val="0"/>
                <w:sz w:val="24"/>
                <w:szCs w:val="24"/>
              </w:rPr>
              <w:t>大气：</w:t>
            </w:r>
            <w:r>
              <w:rPr>
                <w:color w:val="auto"/>
                <w:kern w:val="0"/>
                <w:sz w:val="24"/>
                <w:szCs w:val="24"/>
              </w:rPr>
              <w:t>本项目</w:t>
            </w:r>
            <w:r>
              <w:rPr>
                <w:rFonts w:hint="eastAsia"/>
                <w:color w:val="auto"/>
                <w:kern w:val="0"/>
                <w:sz w:val="24"/>
                <w:szCs w:val="24"/>
              </w:rPr>
              <w:t>为煤炭</w:t>
            </w:r>
            <w:r>
              <w:rPr>
                <w:rFonts w:hint="eastAsia"/>
                <w:color w:val="auto"/>
                <w:kern w:val="0"/>
                <w:sz w:val="24"/>
                <w:szCs w:val="24"/>
                <w:lang w:val="en-US" w:eastAsia="zh-CN"/>
              </w:rPr>
              <w:t>存</w:t>
            </w:r>
            <w:r>
              <w:rPr>
                <w:rFonts w:hint="eastAsia"/>
                <w:color w:val="auto"/>
                <w:kern w:val="0"/>
                <w:sz w:val="24"/>
                <w:szCs w:val="24"/>
              </w:rPr>
              <w:t>储集运项目，大气污染物为颗粒物，排放废气中不含有有毒有害污染物，无需设置大气专项评价。</w:t>
            </w:r>
          </w:p>
          <w:p>
            <w:pPr>
              <w:autoSpaceDE w:val="0"/>
              <w:autoSpaceDN w:val="0"/>
              <w:adjustRightInd w:val="0"/>
              <w:snapToGrid w:val="0"/>
              <w:spacing w:line="480" w:lineRule="exact"/>
              <w:ind w:firstLine="482" w:firstLineChars="200"/>
              <w:rPr>
                <w:color w:val="auto"/>
                <w:kern w:val="0"/>
                <w:sz w:val="24"/>
                <w:szCs w:val="24"/>
              </w:rPr>
            </w:pPr>
            <w:r>
              <w:rPr>
                <w:rFonts w:hint="eastAsia"/>
                <w:b/>
                <w:bCs/>
                <w:color w:val="auto"/>
                <w:kern w:val="0"/>
                <w:sz w:val="24"/>
                <w:szCs w:val="24"/>
              </w:rPr>
              <w:t>地表水：</w:t>
            </w:r>
            <w:r>
              <w:rPr>
                <w:rFonts w:hint="eastAsia"/>
                <w:color w:val="auto"/>
                <w:kern w:val="0"/>
                <w:sz w:val="24"/>
                <w:szCs w:val="24"/>
              </w:rPr>
              <w:t>本项目产生的废水主要为储煤场淋控废水、洗车废水、生活污水以及初期雨水；其中</w:t>
            </w:r>
            <w:r>
              <w:rPr>
                <w:rFonts w:hint="eastAsia"/>
                <w:bCs/>
                <w:color w:val="auto"/>
                <w:sz w:val="24"/>
              </w:rPr>
              <w:t>储煤场淋控废水经淋控废水收集池收集沉淀处理后返回清水池回用；</w:t>
            </w:r>
            <w:r>
              <w:rPr>
                <w:rFonts w:hint="eastAsia"/>
                <w:color w:val="auto"/>
                <w:kern w:val="0"/>
                <w:sz w:val="24"/>
                <w:szCs w:val="24"/>
              </w:rPr>
              <w:t>洗车废水经沉淀处理后全部回用；本项目使用旱厕，定期清掏用于农田施肥；生活盥洗废水于厂区泼洒抑尘；初期雨水经初期雨水收集池收集沉淀后回用于厂区道路浇洒抑尘；本项目无废水排放，无需设置地表水专项评价。</w:t>
            </w:r>
          </w:p>
          <w:p>
            <w:pPr>
              <w:autoSpaceDE w:val="0"/>
              <w:autoSpaceDN w:val="0"/>
              <w:adjustRightInd w:val="0"/>
              <w:snapToGrid w:val="0"/>
              <w:spacing w:line="480" w:lineRule="exact"/>
              <w:ind w:firstLine="482" w:firstLineChars="200"/>
              <w:rPr>
                <w:color w:val="auto"/>
                <w:kern w:val="0"/>
                <w:sz w:val="24"/>
                <w:szCs w:val="24"/>
              </w:rPr>
            </w:pPr>
            <w:r>
              <w:rPr>
                <w:rFonts w:hint="eastAsia"/>
                <w:b/>
                <w:bCs/>
                <w:color w:val="auto"/>
                <w:kern w:val="0"/>
                <w:sz w:val="24"/>
                <w:szCs w:val="24"/>
              </w:rPr>
              <w:t>环境风险：</w:t>
            </w:r>
            <w:r>
              <w:rPr>
                <w:rFonts w:hint="eastAsia"/>
                <w:color w:val="auto"/>
                <w:kern w:val="0"/>
                <w:sz w:val="24"/>
                <w:szCs w:val="24"/>
              </w:rPr>
              <w:t>本项目为煤炭</w:t>
            </w:r>
            <w:r>
              <w:rPr>
                <w:rFonts w:hint="eastAsia"/>
                <w:color w:val="auto"/>
                <w:kern w:val="0"/>
                <w:sz w:val="24"/>
                <w:szCs w:val="24"/>
                <w:lang w:val="en-US" w:eastAsia="zh-CN"/>
              </w:rPr>
              <w:t>存</w:t>
            </w:r>
            <w:r>
              <w:rPr>
                <w:rFonts w:hint="eastAsia"/>
                <w:color w:val="auto"/>
                <w:kern w:val="0"/>
                <w:sz w:val="24"/>
                <w:szCs w:val="24"/>
              </w:rPr>
              <w:t>储集运项目，厂区内存放的废矿物油等危废量较少，本项目涉及的危险物质存储量未超过临界量，无需设置环境风险专项评价。</w:t>
            </w:r>
          </w:p>
          <w:p>
            <w:pPr>
              <w:autoSpaceDE w:val="0"/>
              <w:autoSpaceDN w:val="0"/>
              <w:adjustRightInd w:val="0"/>
              <w:snapToGrid w:val="0"/>
              <w:spacing w:line="480" w:lineRule="exact"/>
              <w:ind w:firstLine="482" w:firstLineChars="200"/>
              <w:rPr>
                <w:color w:val="auto"/>
                <w:kern w:val="0"/>
                <w:sz w:val="24"/>
                <w:szCs w:val="24"/>
              </w:rPr>
            </w:pPr>
            <w:r>
              <w:rPr>
                <w:rFonts w:hint="eastAsia"/>
                <w:b/>
                <w:bCs/>
                <w:color w:val="auto"/>
                <w:kern w:val="0"/>
                <w:sz w:val="24"/>
                <w:szCs w:val="24"/>
              </w:rPr>
              <w:t>生态：</w:t>
            </w:r>
            <w:r>
              <w:rPr>
                <w:rFonts w:hint="eastAsia"/>
                <w:color w:val="auto"/>
                <w:kern w:val="0"/>
                <w:sz w:val="24"/>
                <w:szCs w:val="24"/>
              </w:rPr>
              <w:t>本项目无取水口，不属于取水口下游500米范围内有重要水生生物的自然产卵场、索饵场、越冬场和洄游通道的新增河道取水的污染类建设项目；无需设置生态专题。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52" w:type="pct"/>
            <w:gridSpan w:val="2"/>
            <w:vAlign w:val="center"/>
          </w:tcPr>
          <w:p>
            <w:pPr>
              <w:autoSpaceDE w:val="0"/>
              <w:autoSpaceDN w:val="0"/>
              <w:adjustRightInd w:val="0"/>
              <w:snapToGrid w:val="0"/>
              <w:jc w:val="center"/>
              <w:rPr>
                <w:color w:val="auto"/>
                <w:kern w:val="0"/>
                <w:sz w:val="24"/>
                <w:szCs w:val="24"/>
              </w:rPr>
            </w:pPr>
            <w:r>
              <w:rPr>
                <w:rFonts w:hint="eastAsia"/>
                <w:color w:val="auto"/>
                <w:sz w:val="24"/>
                <w:szCs w:val="24"/>
              </w:rPr>
              <w:t>规划情况</w:t>
            </w:r>
          </w:p>
        </w:tc>
        <w:tc>
          <w:tcPr>
            <w:tcW w:w="4347" w:type="pct"/>
            <w:gridSpan w:val="4"/>
            <w:vAlign w:val="center"/>
          </w:tcPr>
          <w:p>
            <w:pPr>
              <w:autoSpaceDE w:val="0"/>
              <w:autoSpaceDN w:val="0"/>
              <w:adjustRightInd w:val="0"/>
              <w:snapToGrid w:val="0"/>
              <w:spacing w:line="480" w:lineRule="exact"/>
              <w:ind w:firstLine="480" w:firstLineChars="200"/>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52" w:type="pct"/>
            <w:gridSpan w:val="2"/>
            <w:vAlign w:val="center"/>
          </w:tcPr>
          <w:p>
            <w:pPr>
              <w:adjustRightInd w:val="0"/>
              <w:snapToGrid w:val="0"/>
              <w:jc w:val="center"/>
              <w:rPr>
                <w:color w:val="auto"/>
                <w:kern w:val="0"/>
                <w:sz w:val="24"/>
                <w:szCs w:val="24"/>
              </w:rPr>
            </w:pPr>
            <w:r>
              <w:rPr>
                <w:rFonts w:hint="eastAsia"/>
                <w:color w:val="auto"/>
                <w:sz w:val="24"/>
                <w:szCs w:val="24"/>
              </w:rPr>
              <w:t>规划环境影响评价情况</w:t>
            </w:r>
          </w:p>
        </w:tc>
        <w:tc>
          <w:tcPr>
            <w:tcW w:w="4347" w:type="pct"/>
            <w:gridSpan w:val="4"/>
            <w:vAlign w:val="center"/>
          </w:tcPr>
          <w:p>
            <w:pPr>
              <w:autoSpaceDE w:val="0"/>
              <w:autoSpaceDN w:val="0"/>
              <w:adjustRightInd w:val="0"/>
              <w:snapToGrid w:val="0"/>
              <w:spacing w:line="480" w:lineRule="exact"/>
              <w:ind w:firstLine="480" w:firstLineChars="200"/>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52" w:type="pct"/>
            <w:gridSpan w:val="2"/>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规划及规划环境影响评价符合性分析</w:t>
            </w:r>
          </w:p>
        </w:tc>
        <w:tc>
          <w:tcPr>
            <w:tcW w:w="4347" w:type="pct"/>
            <w:gridSpan w:val="4"/>
            <w:vAlign w:val="center"/>
          </w:tcPr>
          <w:p>
            <w:pPr>
              <w:autoSpaceDE w:val="0"/>
              <w:autoSpaceDN w:val="0"/>
              <w:adjustRightInd w:val="0"/>
              <w:snapToGrid w:val="0"/>
              <w:spacing w:line="480" w:lineRule="exact"/>
              <w:ind w:firstLine="480" w:firstLineChars="200"/>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9" w:type="pct"/>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其他符合性分析</w:t>
            </w:r>
          </w:p>
        </w:tc>
        <w:tc>
          <w:tcPr>
            <w:tcW w:w="4780" w:type="pct"/>
            <w:gridSpan w:val="5"/>
            <w:vAlign w:val="center"/>
          </w:tcPr>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1、“三线一单”符合性分析</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（1）与生态保护红线的符合性分析</w:t>
            </w:r>
          </w:p>
          <w:p>
            <w:pPr>
              <w:autoSpaceDE w:val="0"/>
              <w:autoSpaceDN w:val="0"/>
              <w:adjustRightInd w:val="0"/>
              <w:snapToGrid w:val="0"/>
              <w:spacing w:line="480" w:lineRule="exact"/>
              <w:ind w:firstLine="480" w:firstLineChars="200"/>
              <w:rPr>
                <w:color w:val="auto"/>
                <w:kern w:val="0"/>
                <w:sz w:val="24"/>
              </w:rPr>
            </w:pPr>
            <w:r>
              <w:rPr>
                <w:rFonts w:hint="eastAsia" w:cs="宋体"/>
                <w:color w:val="auto"/>
                <w:kern w:val="0"/>
                <w:sz w:val="24"/>
              </w:rPr>
              <w:t>根据《生态保护红线划定技术指南》，山西省生态保护红线可能涉及的区域主要包括水源涵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pPr>
              <w:autoSpaceDE w:val="0"/>
              <w:autoSpaceDN w:val="0"/>
              <w:adjustRightInd w:val="0"/>
              <w:snapToGrid w:val="0"/>
              <w:spacing w:line="480" w:lineRule="exact"/>
              <w:ind w:firstLine="480" w:firstLineChars="200"/>
              <w:rPr>
                <w:color w:val="auto"/>
                <w:sz w:val="24"/>
              </w:rPr>
            </w:pPr>
            <w:r>
              <w:rPr>
                <w:rFonts w:hint="eastAsia"/>
                <w:color w:val="auto"/>
                <w:sz w:val="24"/>
              </w:rPr>
              <w:t>山西省忻州市繁峙县平型关镇云雾峪村，根据山西省“三线一单”图集中的忻州市繁峙县综合管控单元图，本项目位于一般管控单元中的滹沱河下茹越控制单元。忻州市繁峙县综合管控单元图见附图4。</w:t>
            </w:r>
          </w:p>
          <w:p>
            <w:pPr>
              <w:autoSpaceDE w:val="0"/>
              <w:autoSpaceDN w:val="0"/>
              <w:adjustRightInd w:val="0"/>
              <w:snapToGrid w:val="0"/>
              <w:spacing w:line="480" w:lineRule="exact"/>
              <w:ind w:firstLine="480" w:firstLineChars="200"/>
              <w:rPr>
                <w:color w:val="auto"/>
                <w:sz w:val="24"/>
              </w:rPr>
            </w:pPr>
            <w:r>
              <w:rPr>
                <w:rFonts w:hint="eastAsia"/>
                <w:color w:val="auto"/>
                <w:sz w:val="24"/>
              </w:rPr>
              <w:t>根据《山西省人民政府关于实施“三线一单”生态环境分区管控的意见》（晋政发</w:t>
            </w:r>
            <w:r>
              <w:rPr>
                <w:rFonts w:hint="eastAsia"/>
                <w:color w:val="auto"/>
                <w:sz w:val="24"/>
                <w:lang w:eastAsia="zh-CN"/>
              </w:rPr>
              <w:t>〔</w:t>
            </w:r>
            <w:r>
              <w:rPr>
                <w:rFonts w:hint="eastAsia"/>
                <w:color w:val="auto"/>
                <w:sz w:val="24"/>
              </w:rPr>
              <w:t>2020</w:t>
            </w:r>
            <w:r>
              <w:rPr>
                <w:rFonts w:hint="eastAsia"/>
                <w:color w:val="auto"/>
                <w:sz w:val="24"/>
                <w:lang w:eastAsia="zh-CN"/>
              </w:rPr>
              <w:t>〕</w:t>
            </w:r>
            <w:r>
              <w:rPr>
                <w:rFonts w:hint="eastAsia"/>
                <w:color w:val="auto"/>
                <w:sz w:val="24"/>
              </w:rPr>
              <w:t>26号）以及《忻州市人民政府关于印发忻州市“三线一单”生态环境分区管控实施方案的通知》（忻政发</w:t>
            </w:r>
            <w:r>
              <w:rPr>
                <w:rFonts w:hint="eastAsia"/>
                <w:color w:val="auto"/>
                <w:sz w:val="24"/>
                <w:lang w:eastAsia="zh-CN"/>
              </w:rPr>
              <w:t>〔</w:t>
            </w:r>
            <w:r>
              <w:rPr>
                <w:rFonts w:hint="eastAsia"/>
                <w:color w:val="auto"/>
                <w:sz w:val="24"/>
              </w:rPr>
              <w:t>2021</w:t>
            </w:r>
            <w:r>
              <w:rPr>
                <w:rFonts w:hint="eastAsia"/>
                <w:color w:val="auto"/>
                <w:sz w:val="24"/>
                <w:lang w:eastAsia="zh-CN"/>
              </w:rPr>
              <w:t>〕</w:t>
            </w:r>
            <w:r>
              <w:rPr>
                <w:rFonts w:hint="eastAsia"/>
                <w:color w:val="auto"/>
                <w:sz w:val="24"/>
              </w:rPr>
              <w:t>12号），本项目与一般管控单元管控要求的符合性分析见下表。</w:t>
            </w:r>
          </w:p>
          <w:p>
            <w:pPr>
              <w:autoSpaceDE w:val="0"/>
              <w:autoSpaceDN w:val="0"/>
              <w:adjustRightInd w:val="0"/>
              <w:snapToGrid w:val="0"/>
              <w:spacing w:line="480" w:lineRule="exact"/>
              <w:jc w:val="center"/>
              <w:rPr>
                <w:rFonts w:ascii="黑体" w:hAnsi="黑体" w:eastAsia="黑体" w:cs="宋体"/>
                <w:color w:val="auto"/>
                <w:kern w:val="0"/>
                <w:sz w:val="24"/>
              </w:rPr>
            </w:pPr>
          </w:p>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表1-1  与《山西省人民政府关于实施“三线一单”生态环境分区管控的意见》中一般管控单元管控要求的符合性分析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3"/>
              <w:gridCol w:w="5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14" w:type="pct"/>
                  <w:shd w:val="clear" w:color="auto" w:fill="auto"/>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一般管控单元在空间布局约束、污染物排放管控、环境风险防控和资源利用效率方面的要求</w:t>
                  </w:r>
                </w:p>
              </w:tc>
              <w:tc>
                <w:tcPr>
                  <w:tcW w:w="3085" w:type="pct"/>
                  <w:shd w:val="clear" w:color="auto" w:fill="auto"/>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14" w:type="pct"/>
                  <w:shd w:val="clear" w:color="auto" w:fill="auto"/>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一般管控单元主要落实生态环境保护基本要求，执行国家及我省相关产业准入、总量控制、排放标准等管理规定，推动区域生态环境质量持续改善。</w:t>
                  </w:r>
                </w:p>
              </w:tc>
              <w:tc>
                <w:tcPr>
                  <w:tcW w:w="3085" w:type="pct"/>
                  <w:shd w:val="clear" w:color="auto" w:fill="auto"/>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本项目为储煤项目，对增强区域煤炭稳定供应和应急保障能力，落实《关于印发2022年山西省煤炭储备能力建设工作实施方案》（晋能源信监发</w:t>
                  </w:r>
                  <w:r>
                    <w:rPr>
                      <w:rFonts w:hint="eastAsia" w:cs="宋体"/>
                      <w:color w:val="auto"/>
                      <w:kern w:val="0"/>
                      <w:lang w:eastAsia="zh-CN"/>
                    </w:rPr>
                    <w:t>〔</w:t>
                  </w:r>
                  <w:r>
                    <w:rPr>
                      <w:rFonts w:hint="eastAsia" w:cs="宋体"/>
                      <w:color w:val="auto"/>
                      <w:kern w:val="0"/>
                    </w:rPr>
                    <w:t>2022</w:t>
                  </w:r>
                  <w:r>
                    <w:rPr>
                      <w:rFonts w:hint="eastAsia" w:cs="宋体"/>
                      <w:color w:val="auto"/>
                      <w:kern w:val="0"/>
                      <w:lang w:eastAsia="zh-CN"/>
                    </w:rPr>
                    <w:t>〕</w:t>
                  </w:r>
                  <w:r>
                    <w:rPr>
                      <w:rFonts w:hint="eastAsia" w:cs="宋体"/>
                      <w:color w:val="auto"/>
                      <w:kern w:val="0"/>
                    </w:rPr>
                    <w:t>204号）的要求具有重要意义。</w:t>
                  </w:r>
                </w:p>
                <w:p>
                  <w:pPr>
                    <w:autoSpaceDE w:val="0"/>
                    <w:autoSpaceDN w:val="0"/>
                    <w:adjustRightInd w:val="0"/>
                    <w:snapToGrid w:val="0"/>
                    <w:spacing w:line="360" w:lineRule="exact"/>
                    <w:rPr>
                      <w:rFonts w:cs="宋体"/>
                      <w:color w:val="auto"/>
                      <w:kern w:val="0"/>
                    </w:rPr>
                  </w:pPr>
                  <w:r>
                    <w:rPr>
                      <w:rFonts w:hint="eastAsia" w:cs="宋体"/>
                      <w:color w:val="auto"/>
                      <w:kern w:val="0"/>
                    </w:rPr>
                    <w:t>本项目采用全封闭储煤棚，全厂及道路进行了硬化处理，设置有覆盖全储煤棚的喷雾抑尘设施、洗车平台、初期雨水池等环保设施；项目落实了生态环境保护基本要求，执行国家及我省相关产业准入、总量控制、排放标准等管理规定。</w:t>
                  </w:r>
                </w:p>
                <w:p>
                  <w:pPr>
                    <w:autoSpaceDE w:val="0"/>
                    <w:autoSpaceDN w:val="0"/>
                    <w:adjustRightInd w:val="0"/>
                    <w:snapToGrid w:val="0"/>
                    <w:spacing w:line="360" w:lineRule="exact"/>
                    <w:rPr>
                      <w:color w:val="auto"/>
                      <w:kern w:val="0"/>
                    </w:rPr>
                  </w:pPr>
                  <w:r>
                    <w:rPr>
                      <w:rFonts w:hint="eastAsia" w:cs="宋体"/>
                      <w:color w:val="auto"/>
                      <w:kern w:val="0"/>
                    </w:rPr>
                    <w:t>综上所述，本项目基本符合《山西省人民政府关于实施“三线一单”生态环境分区管控的意见》中一般管控单元管控要求。</w:t>
                  </w:r>
                </w:p>
              </w:tc>
            </w:tr>
          </w:tbl>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表1-2  与《忻州市“三线一单”生态环境分区管控实施方案》中一般管控单元管控要求的符合性分析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5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21" w:type="pct"/>
                  <w:shd w:val="clear" w:color="auto" w:fill="auto"/>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一般管控单元在空间布局约束、污染物排放管控、环境风险防控和资源利用效率方面的要求</w:t>
                  </w:r>
                </w:p>
              </w:tc>
              <w:tc>
                <w:tcPr>
                  <w:tcW w:w="3078" w:type="pct"/>
                  <w:shd w:val="clear" w:color="auto" w:fill="auto"/>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21" w:type="pct"/>
                  <w:shd w:val="clear" w:color="auto" w:fill="auto"/>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以生态环境保护为主与适度开发相结合为主，主要落实生态环境保护基本要求，执行国家、省、市相关产业准入、总量控制、排放标准等管理规定，推动区域生态环境质量持续改善。</w:t>
                  </w:r>
                </w:p>
              </w:tc>
              <w:tc>
                <w:tcPr>
                  <w:tcW w:w="3078" w:type="pct"/>
                  <w:shd w:val="clear" w:color="auto" w:fill="auto"/>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本项目为储煤项目，对增强区域煤炭稳定供应和应急保障能力，落实《关于印发2022年山西省煤炭储备能力建设工作实施方案》（晋能源信监发</w:t>
                  </w:r>
                  <w:r>
                    <w:rPr>
                      <w:rFonts w:hint="eastAsia" w:cs="宋体"/>
                      <w:color w:val="auto"/>
                      <w:kern w:val="0"/>
                      <w:lang w:eastAsia="zh-CN"/>
                    </w:rPr>
                    <w:t>〔</w:t>
                  </w:r>
                  <w:r>
                    <w:rPr>
                      <w:rFonts w:hint="eastAsia" w:cs="宋体"/>
                      <w:color w:val="auto"/>
                      <w:kern w:val="0"/>
                    </w:rPr>
                    <w:t>2022</w:t>
                  </w:r>
                  <w:r>
                    <w:rPr>
                      <w:rFonts w:hint="eastAsia" w:cs="宋体"/>
                      <w:color w:val="auto"/>
                      <w:kern w:val="0"/>
                      <w:lang w:eastAsia="zh-CN"/>
                    </w:rPr>
                    <w:t>〕</w:t>
                  </w:r>
                  <w:r>
                    <w:rPr>
                      <w:rFonts w:hint="eastAsia" w:cs="宋体"/>
                      <w:color w:val="auto"/>
                      <w:kern w:val="0"/>
                    </w:rPr>
                    <w:t>204号）的要求具有重要意义。</w:t>
                  </w:r>
                </w:p>
                <w:p>
                  <w:pPr>
                    <w:autoSpaceDE w:val="0"/>
                    <w:autoSpaceDN w:val="0"/>
                    <w:adjustRightInd w:val="0"/>
                    <w:snapToGrid w:val="0"/>
                    <w:spacing w:line="360" w:lineRule="exact"/>
                    <w:rPr>
                      <w:rFonts w:cs="宋体"/>
                      <w:color w:val="auto"/>
                      <w:kern w:val="0"/>
                    </w:rPr>
                  </w:pPr>
                  <w:r>
                    <w:rPr>
                      <w:rFonts w:hint="eastAsia" w:cs="宋体"/>
                      <w:color w:val="auto"/>
                      <w:kern w:val="0"/>
                    </w:rPr>
                    <w:t>本项目采用全封闭储煤棚，全厂及道路进行了硬化处理，设置有覆盖全储煤棚的喷雾抑尘设施、洗车平台、初期雨水池等环保设施；项目落实了生态环境保护基本要求，执行国家及我省相关产业准入、总量控制、排放标准等管理规定。</w:t>
                  </w:r>
                </w:p>
                <w:p>
                  <w:pPr>
                    <w:autoSpaceDE w:val="0"/>
                    <w:autoSpaceDN w:val="0"/>
                    <w:adjustRightInd w:val="0"/>
                    <w:snapToGrid w:val="0"/>
                    <w:spacing w:line="360" w:lineRule="exact"/>
                    <w:rPr>
                      <w:rFonts w:cs="宋体"/>
                      <w:color w:val="auto"/>
                      <w:kern w:val="0"/>
                    </w:rPr>
                  </w:pPr>
                  <w:r>
                    <w:rPr>
                      <w:rFonts w:hint="eastAsia" w:cs="宋体"/>
                      <w:color w:val="auto"/>
                      <w:kern w:val="0"/>
                    </w:rPr>
                    <w:t>综上所述，本项目基本符合《忻州市“三线一单”生态环境分区管控实施方案》中一般管控单元的管控要求。</w:t>
                  </w:r>
                </w:p>
              </w:tc>
            </w:tr>
          </w:tbl>
          <w:p>
            <w:pPr>
              <w:autoSpaceDE w:val="0"/>
              <w:autoSpaceDN w:val="0"/>
              <w:adjustRightInd w:val="0"/>
              <w:snapToGrid w:val="0"/>
              <w:spacing w:line="480" w:lineRule="exact"/>
              <w:ind w:firstLine="480" w:firstLineChars="200"/>
              <w:rPr>
                <w:b/>
                <w:bCs/>
                <w:color w:val="auto"/>
                <w:kern w:val="0"/>
                <w:sz w:val="24"/>
              </w:rPr>
            </w:pPr>
            <w:r>
              <w:rPr>
                <w:rFonts w:hint="eastAsia" w:cs="宋体"/>
                <w:color w:val="auto"/>
                <w:kern w:val="0"/>
                <w:sz w:val="24"/>
              </w:rPr>
              <w:t>由表1-1~2可知，本项目基本符合《山西省人民政府关于实施“三线一单”生态环境分区管控的意见》、《忻州市“三线一单”生态环境分区管控实施方案》中一般管控单元的管控要求。</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本项目与《忻州市“三线一单”生态环境分区管控实施方案》中生态环境总体准入清单的符合性分析见下表。</w:t>
            </w:r>
          </w:p>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表1-3  与《忻州市“三线一单”生态环境分区管控实施方案》中生态环境总体准入清单的符合性分析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970"/>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管控类别</w:t>
                  </w:r>
                </w:p>
              </w:tc>
              <w:tc>
                <w:tcPr>
                  <w:tcW w:w="2322"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生态环境总体准入清单的管控要求</w:t>
                  </w:r>
                </w:p>
              </w:tc>
              <w:tc>
                <w:tcPr>
                  <w:tcW w:w="2259"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空间布局约束</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1.各县（市、区）人民政府应当按照国民经济和社会发展规划、国土空间规划和环境保护要求，制定规划，统筹安排，依法逐步对不符合产业政策和布局不合理的重污染企业实施关停搬迁。</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本项目为储煤项目，对增强区域煤炭稳定供应和应急保障能力，落实《关于印发2022年山西省煤炭储备能力建设工作实施方案》（晋能源信监发</w:t>
                  </w:r>
                  <w:r>
                    <w:rPr>
                      <w:rFonts w:hint="eastAsia" w:cs="宋体"/>
                      <w:color w:val="auto"/>
                      <w:kern w:val="0"/>
                      <w:lang w:eastAsia="zh-CN"/>
                    </w:rPr>
                    <w:t>〔</w:t>
                  </w:r>
                  <w:r>
                    <w:rPr>
                      <w:rFonts w:hint="eastAsia" w:cs="宋体"/>
                      <w:color w:val="auto"/>
                      <w:kern w:val="0"/>
                    </w:rPr>
                    <w:t>2022</w:t>
                  </w:r>
                  <w:r>
                    <w:rPr>
                      <w:rFonts w:hint="eastAsia" w:cs="宋体"/>
                      <w:color w:val="auto"/>
                      <w:kern w:val="0"/>
                      <w:lang w:eastAsia="zh-CN"/>
                    </w:rPr>
                    <w:t>〕</w:t>
                  </w:r>
                  <w:r>
                    <w:rPr>
                      <w:rFonts w:hint="eastAsia" w:cs="宋体"/>
                      <w:color w:val="auto"/>
                      <w:kern w:val="0"/>
                    </w:rPr>
                    <w:t>204号）的要求具有重要意义。不属于实施关停的重污染企业。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2.对纳入生态保护红线的，其管控规则应以自然资源部最终出台的《生态保护红线管理办法》为准。</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位于一般管控单元中的滹沱河下茹越控制单元，由表1-1~2可知，本项目基本符合《山西省人民政府关于实施“三线一单”生态环境分区管控的意见》、《忻州市“三线一单”生态环境分区管控实施方案》中一般管控单元的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3.新建、改建、扩建“两高”项目须符合生态环境保护法律法规和相关法定规划要求。</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4.石化、现代煤化工项目应纳入国家产业规划。新建、扩建石化、化工、焦化、有色金属冶炼、平板玻璃项目应布设在依法合规设立的产业园区。</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w:t>
                  </w:r>
                  <w:r>
                    <w:rPr>
                      <w:rFonts w:hint="eastAsia"/>
                      <w:color w:val="auto"/>
                    </w:rPr>
                    <w:t>石化、化工、焦化、有色金属冶炼、平板玻璃等</w:t>
                  </w:r>
                  <w:r>
                    <w:rPr>
                      <w:rFonts w:hint="eastAsia" w:cs="宋体"/>
                      <w:color w:val="auto"/>
                      <w:kern w:val="0"/>
                    </w:rPr>
                    <w:t>“两高”项目。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5.禁止在居民区、学校、医疗和养老机构等周边规定范围内新建、扩建有色金属冶炼、焦化等行业企业。</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w:t>
                  </w:r>
                  <w:r>
                    <w:rPr>
                      <w:rFonts w:hint="eastAsia"/>
                      <w:color w:val="auto"/>
                    </w:rPr>
                    <w:t>有色金属冶炼、焦化行业。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6.加强矿山生态环境监管，禁止在自然保护区、水源地保护区域等重要生态保护地禁采区域内开矿。</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本项目不属于采矿项目，且不位于</w:t>
                  </w:r>
                  <w:r>
                    <w:rPr>
                      <w:rFonts w:hint="eastAsia"/>
                      <w:color w:val="auto"/>
                    </w:rPr>
                    <w:t>自然保护区、水源地保护区域。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restart"/>
                  <w:vAlign w:val="center"/>
                </w:tcPr>
                <w:p>
                  <w:pPr>
                    <w:autoSpaceDE w:val="0"/>
                    <w:autoSpaceDN w:val="0"/>
                    <w:adjustRightInd w:val="0"/>
                    <w:snapToGrid w:val="0"/>
                    <w:spacing w:line="360" w:lineRule="exact"/>
                    <w:jc w:val="center"/>
                    <w:rPr>
                      <w:color w:val="auto"/>
                    </w:rPr>
                  </w:pPr>
                  <w:r>
                    <w:rPr>
                      <w:rFonts w:hint="eastAsia"/>
                      <w:color w:val="auto"/>
                    </w:rPr>
                    <w:t>污染物排放管控</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1.污染物排放总量严格落实“</w:t>
                  </w:r>
                  <w:r>
                    <w:rPr>
                      <w:rFonts w:hint="eastAsia" w:hAnsi="宋体"/>
                      <w:color w:val="auto"/>
                    </w:rPr>
                    <w:t>十四五</w:t>
                  </w:r>
                  <w:r>
                    <w:rPr>
                      <w:rFonts w:hint="eastAsia"/>
                      <w:color w:val="auto"/>
                    </w:rPr>
                    <w:t>”</w:t>
                  </w:r>
                  <w:r>
                    <w:rPr>
                      <w:rFonts w:hint="eastAsia" w:hAnsi="宋体"/>
                      <w:color w:val="auto"/>
                    </w:rPr>
                    <w:t>相关目标指标。</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本项目无有组织排放源，不需申请总量控制指标。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2.“1+30”</w:t>
                  </w:r>
                  <w:r>
                    <w:rPr>
                      <w:rFonts w:hint="eastAsia" w:hAnsi="宋体"/>
                      <w:color w:val="auto"/>
                    </w:rPr>
                    <w:t>区域重点行业二氧化硫、氮氧化物、颗粒物和挥发性有机物全面执行大气污染物特别排放限值。</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本项目所在繁峙县不属于</w:t>
                  </w:r>
                  <w:r>
                    <w:rPr>
                      <w:rFonts w:hint="eastAsia"/>
                      <w:color w:val="auto"/>
                    </w:rPr>
                    <w:t>“1+30”</w:t>
                  </w:r>
                  <w:r>
                    <w:rPr>
                      <w:rFonts w:hint="eastAsia" w:hAnsi="宋体"/>
                      <w:color w:val="auto"/>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3.产业集聚区、工业园区要逐步取消自备燃煤锅炉，积极推进“</w:t>
                  </w:r>
                  <w:r>
                    <w:rPr>
                      <w:rFonts w:hint="eastAsia" w:hAnsi="宋体"/>
                      <w:color w:val="auto"/>
                    </w:rPr>
                    <w:t>煤改气</w:t>
                  </w:r>
                  <w:r>
                    <w:rPr>
                      <w:rFonts w:hint="eastAsia"/>
                      <w:color w:val="auto"/>
                    </w:rPr>
                    <w:t>”、“</w:t>
                  </w:r>
                  <w:r>
                    <w:rPr>
                      <w:rFonts w:hint="eastAsia" w:hAnsi="宋体"/>
                      <w:color w:val="auto"/>
                    </w:rPr>
                    <w:t>煤改电</w:t>
                  </w:r>
                  <w:r>
                    <w:rPr>
                      <w:rFonts w:hint="eastAsia"/>
                      <w:color w:val="auto"/>
                    </w:rPr>
                    <w:t>”</w:t>
                  </w:r>
                  <w:r>
                    <w:rPr>
                      <w:rFonts w:hint="eastAsia" w:hAnsi="宋体"/>
                      <w:color w:val="auto"/>
                    </w:rPr>
                    <w:t>工程。</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本项目无</w:t>
                  </w:r>
                  <w:r>
                    <w:rPr>
                      <w:rFonts w:hint="eastAsia"/>
                      <w:color w:val="auto"/>
                    </w:rPr>
                    <w:t>自备燃煤锅炉。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4.新建“</w:t>
                  </w:r>
                  <w:r>
                    <w:rPr>
                      <w:rFonts w:hint="eastAsia" w:hAnsi="宋体"/>
                      <w:color w:val="auto"/>
                    </w:rPr>
                    <w:t>两高</w:t>
                  </w:r>
                  <w:r>
                    <w:rPr>
                      <w:rFonts w:hint="eastAsia"/>
                      <w:color w:val="auto"/>
                    </w:rPr>
                    <w:t>”</w:t>
                  </w:r>
                  <w:r>
                    <w:rPr>
                      <w:rFonts w:hint="eastAsia" w:hAnsi="宋体"/>
                      <w:color w:val="auto"/>
                    </w:rPr>
                    <w:t>项目应按照《关于加强重点行业建设项目区域削减措施监督管理的通知》要求，依据区域环境质量改善目标，制定配套区域污染物削减方案，采取有效的污染物区域削减措施，腾出足够的环境容量。</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本项目不属于“两高”项目。本项目无有组织排放源，不需申请总量控制指标。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5.国家或地方已出台超低排放要求的“</w:t>
                  </w:r>
                  <w:r>
                    <w:rPr>
                      <w:rFonts w:hint="eastAsia" w:hAnsi="宋体"/>
                      <w:color w:val="auto"/>
                    </w:rPr>
                    <w:t>两高</w:t>
                  </w:r>
                  <w:r>
                    <w:rPr>
                      <w:rFonts w:hint="eastAsia"/>
                      <w:color w:val="auto"/>
                    </w:rPr>
                    <w:t>”</w:t>
                  </w:r>
                  <w:r>
                    <w:rPr>
                      <w:rFonts w:hint="eastAsia" w:hAnsi="宋体"/>
                      <w:color w:val="auto"/>
                    </w:rPr>
                    <w:t>行业建设项目应满足超低排放要求。</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本项目为储煤项目，无超低排放要求。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6.</w:t>
                  </w:r>
                  <w:r>
                    <w:rPr>
                      <w:rFonts w:hint="eastAsia" w:hAnsi="宋体"/>
                      <w:color w:val="auto"/>
                    </w:rPr>
                    <w:t>鼓励企业使用新技术、新工艺、新设备、新产品、新材料，改造和提升传统产业，开展废弃物处理及再生资源综合利用，发展循环经济。</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本项目产生的</w:t>
                  </w:r>
                  <w:r>
                    <w:rPr>
                      <w:rFonts w:hint="eastAsia"/>
                      <w:color w:val="auto"/>
                    </w:rPr>
                    <w:t>洗车废水池、初期雨水池沉淀的底泥均</w:t>
                  </w:r>
                  <w:r>
                    <w:rPr>
                      <w:rFonts w:hint="eastAsia"/>
                      <w:bCs/>
                      <w:color w:val="auto"/>
                      <w:lang w:bidi="ar"/>
                    </w:rPr>
                    <w:t>作为产品外售，对产生的固废进行了综合利用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7.</w:t>
                  </w:r>
                  <w:r>
                    <w:rPr>
                      <w:rFonts w:hint="eastAsia" w:hAnsi="宋体"/>
                      <w:color w:val="auto"/>
                    </w:rPr>
                    <w:t>煤炭企业应当按照综合利用和处置煤矸石技术规范要求综合利用和处置煤矸石。</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本项目无煤矸石产生。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restart"/>
                  <w:vAlign w:val="center"/>
                </w:tcPr>
                <w:p>
                  <w:pPr>
                    <w:autoSpaceDE w:val="0"/>
                    <w:autoSpaceDN w:val="0"/>
                    <w:adjustRightInd w:val="0"/>
                    <w:snapToGrid w:val="0"/>
                    <w:spacing w:line="360" w:lineRule="exact"/>
                    <w:jc w:val="center"/>
                    <w:rPr>
                      <w:color w:val="auto"/>
                    </w:rPr>
                  </w:pPr>
                  <w:r>
                    <w:rPr>
                      <w:rFonts w:hint="eastAsia"/>
                      <w:color w:val="auto"/>
                    </w:rPr>
                    <w:t>环境风险防控</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w:t>
                  </w:r>
                  <w:r>
                    <w:rPr>
                      <w:rFonts w:hint="eastAsia" w:hAnsi="宋体"/>
                      <w:color w:val="auto"/>
                    </w:rPr>
                    <w:t>建立健全突发环境事件应对工作机制，提高预防、预警、应对能力。</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本项目运营期将建立</w:t>
                  </w:r>
                  <w:r>
                    <w:rPr>
                      <w:rFonts w:hint="eastAsia" w:hAnsi="宋体"/>
                      <w:color w:val="auto"/>
                    </w:rPr>
                    <w:t>健全突发环境事件应对工作机制，提高预防、预警、应对能力。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w:t>
                  </w:r>
                  <w:r>
                    <w:rPr>
                      <w:rFonts w:hint="eastAsia" w:hAnsi="宋体"/>
                      <w:color w:val="auto"/>
                    </w:rPr>
                    <w:t>危险废物按规范收集、贮存、转运、利用、处置。</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hAnsi="宋体"/>
                      <w:color w:val="auto"/>
                    </w:rPr>
                    <w:t>本项目产生的危险废物收集后在厂区内新建的危险废物暂存间进行暂存，最后由有资质的单位进行收集处置；本项目设置1座20m</w:t>
                  </w:r>
                  <w:r>
                    <w:rPr>
                      <w:rFonts w:hint="eastAsia" w:hAnsi="宋体"/>
                      <w:color w:val="auto"/>
                      <w:vertAlign w:val="superscript"/>
                    </w:rPr>
                    <w:t>2</w:t>
                  </w:r>
                  <w:r>
                    <w:rPr>
                      <w:rFonts w:hint="eastAsia" w:hAnsi="宋体"/>
                      <w:color w:val="auto"/>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资源利用效率</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w:t>
                  </w:r>
                  <w:r>
                    <w:rPr>
                      <w:rFonts w:hint="eastAsia" w:hAnsi="宋体"/>
                      <w:color w:val="auto"/>
                    </w:rPr>
                    <w:t>水资源、土地资源及能源利用上线严格落实</w:t>
                  </w:r>
                  <w:r>
                    <w:rPr>
                      <w:rFonts w:hint="eastAsia"/>
                      <w:color w:val="auto"/>
                    </w:rPr>
                    <w:t>“</w:t>
                  </w:r>
                  <w:r>
                    <w:rPr>
                      <w:rFonts w:hint="eastAsia" w:hAnsi="宋体"/>
                      <w:color w:val="auto"/>
                    </w:rPr>
                    <w:t>十四五</w:t>
                  </w:r>
                  <w:r>
                    <w:rPr>
                      <w:rFonts w:hint="eastAsia"/>
                      <w:color w:val="auto"/>
                    </w:rPr>
                    <w:t>”</w:t>
                  </w:r>
                  <w:r>
                    <w:rPr>
                      <w:rFonts w:hint="eastAsia" w:hAnsi="宋体"/>
                      <w:color w:val="auto"/>
                    </w:rPr>
                    <w:t>相关目标指标。能源利用上线严格落实碳达峰、碳中和相关要求。</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本项目水资源利用量较少，不会突破区域资源利用上线。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w:t>
                  </w:r>
                  <w:r>
                    <w:rPr>
                      <w:rFonts w:hint="eastAsia" w:hAnsi="宋体"/>
                      <w:color w:val="auto"/>
                    </w:rPr>
                    <w:t>加快推进岩溶大泉泉源和重点保护区的保护和生态修复。</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本项目不在泉域范围内。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3.</w:t>
                  </w:r>
                  <w:r>
                    <w:rPr>
                      <w:rFonts w:hint="eastAsia" w:hAnsi="宋体"/>
                      <w:color w:val="auto"/>
                    </w:rPr>
                    <w:t>到</w:t>
                  </w:r>
                  <w:r>
                    <w:rPr>
                      <w:rFonts w:hint="eastAsia"/>
                      <w:color w:val="auto"/>
                    </w:rPr>
                    <w:t>2022</w:t>
                  </w:r>
                  <w:r>
                    <w:rPr>
                      <w:rFonts w:hint="eastAsia" w:hAnsi="宋体"/>
                      <w:color w:val="auto"/>
                    </w:rPr>
                    <w:t>年，全市用水总量控制目标为</w:t>
                  </w:r>
                  <w:r>
                    <w:rPr>
                      <w:rFonts w:hint="eastAsia"/>
                      <w:color w:val="auto"/>
                    </w:rPr>
                    <w:t>7.9</w:t>
                  </w:r>
                  <w:r>
                    <w:rPr>
                      <w:rFonts w:hint="eastAsia" w:hAnsi="宋体"/>
                      <w:color w:val="auto"/>
                    </w:rPr>
                    <w:t>亿立方米。</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本项目新鲜水用水量为48594m</w:t>
                  </w:r>
                  <w:r>
                    <w:rPr>
                      <w:rFonts w:hint="eastAsia" w:cs="宋体"/>
                      <w:color w:val="auto"/>
                      <w:kern w:val="0"/>
                      <w:vertAlign w:val="superscript"/>
                    </w:rPr>
                    <w:t>3</w:t>
                  </w:r>
                  <w:r>
                    <w:rPr>
                      <w:rFonts w:hint="eastAsia" w:cs="宋体"/>
                      <w:color w:val="auto"/>
                      <w:kern w:val="0"/>
                    </w:rPr>
                    <w:t>/a，占全市用水总量控制目标的0.000615%。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w:t>
                  </w:r>
                  <w:r>
                    <w:rPr>
                      <w:rFonts w:hint="eastAsia" w:hAnsi="宋体"/>
                      <w:color w:val="auto"/>
                    </w:rPr>
                    <w:t>忻州市忻府区、原平市、定襄县实现平原地区散煤清零。</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本项目产品煤主要销往当地及外省市电厂，不售于民用。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color w:val="auto"/>
                    </w:rPr>
                  </w:pPr>
                  <w:r>
                    <w:rPr>
                      <w:rFonts w:hint="eastAsia"/>
                      <w:color w:val="auto"/>
                    </w:rPr>
                    <w:t>5.</w:t>
                  </w:r>
                  <w:r>
                    <w:rPr>
                      <w:rFonts w:hint="eastAsia" w:hAnsi="宋体"/>
                      <w:color w:val="auto"/>
                    </w:rPr>
                    <w:t>全市城市建成区绿化覆盖率</w:t>
                  </w:r>
                  <w:r>
                    <w:rPr>
                      <w:rFonts w:hint="eastAsia"/>
                      <w:color w:val="auto"/>
                    </w:rPr>
                    <w:t>2022</w:t>
                  </w:r>
                  <w:r>
                    <w:rPr>
                      <w:rFonts w:hint="eastAsia" w:hAnsi="宋体"/>
                      <w:color w:val="auto"/>
                    </w:rPr>
                    <w:t>年达到</w:t>
                  </w:r>
                  <w:r>
                    <w:rPr>
                      <w:rFonts w:hint="eastAsia"/>
                      <w:color w:val="auto"/>
                    </w:rPr>
                    <w:t>42%</w:t>
                  </w:r>
                  <w:r>
                    <w:rPr>
                      <w:rFonts w:hint="eastAsia" w:hAnsi="宋体"/>
                      <w:color w:val="auto"/>
                    </w:rPr>
                    <w:t>以上，城市国土绿化品质有效提升。</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本项目拟建厂址位于繁峙县县城建成区东南侧约46km，不在城市建成区范围内。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color w:val="auto"/>
                    </w:rPr>
                  </w:pPr>
                  <w:r>
                    <w:rPr>
                      <w:rFonts w:hint="eastAsia"/>
                      <w:color w:val="auto"/>
                    </w:rPr>
                    <w:t>6.</w:t>
                  </w:r>
                  <w:r>
                    <w:rPr>
                      <w:rFonts w:hint="eastAsia" w:hAnsi="宋体"/>
                      <w:color w:val="auto"/>
                    </w:rPr>
                    <w:t>新建矿山必须按照绿色矿山标准建设，到</w:t>
                  </w:r>
                  <w:r>
                    <w:rPr>
                      <w:rFonts w:hint="eastAsia"/>
                      <w:color w:val="auto"/>
                    </w:rPr>
                    <w:t>2025</w:t>
                  </w:r>
                  <w:r>
                    <w:rPr>
                      <w:rFonts w:hint="eastAsia" w:hAnsi="宋体"/>
                      <w:color w:val="auto"/>
                    </w:rPr>
                    <w:t>年基本完成历史遗留矿山地质环境问题恢复治理工作，实现全市矿山地质环境根本好转。</w:t>
                  </w:r>
                </w:p>
              </w:tc>
              <w:tc>
                <w:tcPr>
                  <w:tcW w:w="2259"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本项目不属于矿山企业。</w:t>
                  </w:r>
                </w:p>
              </w:tc>
            </w:tr>
          </w:tbl>
          <w:p>
            <w:pPr>
              <w:autoSpaceDE w:val="0"/>
              <w:autoSpaceDN w:val="0"/>
              <w:adjustRightInd w:val="0"/>
              <w:snapToGrid w:val="0"/>
              <w:spacing w:line="480" w:lineRule="exact"/>
              <w:ind w:firstLine="480" w:firstLineChars="200"/>
              <w:rPr>
                <w:rFonts w:cs="宋体"/>
                <w:color w:val="auto"/>
                <w:kern w:val="0"/>
                <w:sz w:val="24"/>
              </w:rPr>
            </w:pPr>
            <w:r>
              <w:rPr>
                <w:rFonts w:hint="eastAsia" w:cs="宋体"/>
                <w:color w:val="auto"/>
                <w:kern w:val="0"/>
                <w:sz w:val="24"/>
              </w:rPr>
              <w:t>由表1-3可知，本项目基本符合《忻州市“三线一单”生态环境分区管控实施方案》中生态环境总体准入清单的要求。</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本项目与《忻州市“三线一单”生态环境分区管控实施方案》中忻州市重点流域普适性生态环境准入清单的符合性分析见下表。</w:t>
            </w:r>
          </w:p>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表1-4  与《忻州市“三线一单”生态环境分区管控实施方案》中忻州市重点流域普适性生态环境准入清单的符合性分析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984"/>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管控类别</w:t>
                  </w:r>
                </w:p>
              </w:tc>
              <w:tc>
                <w:tcPr>
                  <w:tcW w:w="2330"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管控要求</w:t>
                  </w:r>
                </w:p>
              </w:tc>
              <w:tc>
                <w:tcPr>
                  <w:tcW w:w="2252"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空间布局约束</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1.严格执行《山西省黄河流域生态保护和高质量发展规划》相关要求。</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本项目所在区域地表水系为海河流域-滹沱河山区-滹沱河水系-滹沱河河流（源头至下茹越水库出口河段），</w:t>
                  </w:r>
                  <w:r>
                    <w:rPr>
                      <w:rFonts w:hint="eastAsia" w:cs="宋体"/>
                      <w:color w:val="auto"/>
                      <w:kern w:val="0"/>
                    </w:rPr>
                    <w:t>不属于黄河流域。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2.汾河流域、滹沱河流域划定河源、泉域重点保护区，完成保护区的生态措施，完成流域生态修复的土地资源优化配置，基本建成水资源合理配置和高效利用体系。</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本项目所在区域地表水系为海河流域-滹沱河山区-滹沱河水系-滹沱河河流（源头至下茹越水库出口河段）</w:t>
                  </w:r>
                  <w:r>
                    <w:rPr>
                      <w:rFonts w:hint="eastAsia" w:cs="宋体"/>
                      <w:color w:val="auto"/>
                      <w:kern w:val="0"/>
                    </w:rPr>
                    <w:t>；本项目采用全封闭储煤棚，全厂及道路进行了硬化处理，设置有覆盖全储煤棚的喷雾抑尘设施、洗车平台、初期雨水池等环保设施；项目落实了生态环境保护基本要求，对区域生态环境影响较小。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3.汾河、滹沱河干流及主要支流沿岸禁止新建焦化、化工、农药、有色冶炼、造纸、电镀等高风险项目和危险化学品仓储设施。</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本项目拟建厂址位于滹沱河南侧约3.8km处，</w:t>
                  </w:r>
                  <w:r>
                    <w:rPr>
                      <w:rFonts w:hint="eastAsia" w:cs="宋体"/>
                      <w:color w:val="auto"/>
                      <w:kern w:val="0"/>
                    </w:rPr>
                    <w:t>本项目为储煤场项目，不属于焦化、化工、农药、有色冶炼、造纸、电镀等高风险项目和危险化学品仓储设施。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4.汾河干流河道水岸线以外原则上不小于100米、支流原则上不小于50米，划定生态功能保护线，建设缓冲隔离防护林带和水源涵养林带，改变农防段种植结构，提高汾河流域河流自净能力。</w:t>
                  </w:r>
                </w:p>
              </w:tc>
              <w:tc>
                <w:tcPr>
                  <w:tcW w:w="2252" w:type="pct"/>
                  <w:vMerge w:val="restart"/>
                  <w:vAlign w:val="center"/>
                </w:tcPr>
                <w:p>
                  <w:pPr>
                    <w:autoSpaceDE w:val="0"/>
                    <w:autoSpaceDN w:val="0"/>
                    <w:adjustRightInd w:val="0"/>
                    <w:snapToGrid w:val="0"/>
                    <w:spacing w:line="360" w:lineRule="exact"/>
                    <w:rPr>
                      <w:rFonts w:cs="宋体"/>
                      <w:color w:val="auto"/>
                      <w:kern w:val="0"/>
                    </w:rPr>
                  </w:pPr>
                  <w:r>
                    <w:rPr>
                      <w:rFonts w:cs="宋体"/>
                      <w:color w:val="auto"/>
                      <w:kern w:val="0"/>
                    </w:rPr>
                    <w:t>本项目所在区域地表水系为海河流域-滹沱河山区-滹沱河水系</w:t>
                  </w:r>
                  <w:r>
                    <w:rPr>
                      <w:rFonts w:hint="eastAsia" w:cs="宋体"/>
                      <w:color w:val="auto"/>
                      <w:kern w:val="0"/>
                    </w:rPr>
                    <w:t>，</w:t>
                  </w:r>
                  <w:r>
                    <w:rPr>
                      <w:rFonts w:cs="宋体"/>
                      <w:color w:val="auto"/>
                      <w:kern w:val="0"/>
                    </w:rPr>
                    <w:t>本项目拟建厂址位于滹沱河南侧约3.8km处</w:t>
                  </w:r>
                  <w:r>
                    <w:rPr>
                      <w:rFonts w:hint="eastAsia" w:cs="宋体"/>
                      <w:color w:val="auto"/>
                      <w:kern w:val="0"/>
                    </w:rPr>
                    <w:t>；不属于汾河流域，不违背汾河流域水岸线一定距离内的保护要求。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5.汾河干流河岸两侧各2公里范围禁止新建炼焦、冶炼、洗煤、选矿、造纸、化工、电镀等严重污染水环境的企业；已建成的严重污染水环境的企业，应当限期改造或者搬迁。</w:t>
                  </w:r>
                </w:p>
              </w:tc>
              <w:tc>
                <w:tcPr>
                  <w:tcW w:w="2252" w:type="pct"/>
                  <w:vMerge w:val="continue"/>
                  <w:vAlign w:val="center"/>
                </w:tcPr>
                <w:p>
                  <w:pPr>
                    <w:autoSpaceDE w:val="0"/>
                    <w:autoSpaceDN w:val="0"/>
                    <w:adjustRightInd w:val="0"/>
                    <w:snapToGrid w:val="0"/>
                    <w:spacing w:line="360" w:lineRule="exact"/>
                    <w:rPr>
                      <w:rFonts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6.滹沱河流域内的建设项目选址应当避让生态保护区、河流源头和岩溶泉域重点保护区，无法避让的，应当采取保护措施，提高防治标准，防止造成生态破坏。</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本项目所在区域地表水系为海河流域-滹沱河山区-滹沱河水系-滹沱河河流（源头至下茹越水库出口河段），</w:t>
                  </w:r>
                  <w:r>
                    <w:rPr>
                      <w:rFonts w:hint="eastAsia" w:cs="宋体"/>
                      <w:color w:val="auto"/>
                      <w:kern w:val="0"/>
                    </w:rPr>
                    <w:t>拟建厂址位于一般管控单元中的滹沱河下茹越控制单元，不属于生态保护区、河流源头和岩溶泉域重点保护区等区域。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7.严格限制地下水开采，未经有关部门批准，任何单位和个人不得凿井取水。</w:t>
                  </w:r>
                </w:p>
              </w:tc>
              <w:tc>
                <w:tcPr>
                  <w:tcW w:w="2252" w:type="pct"/>
                  <w:vMerge w:val="restar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本项目用水由自备水井供应，建设单位应进行水资源论证并依法取得取水证，并应符合忻州市重点流域普适性生态环境准入清单中地下水开采的相关要求。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8.地下水开采按照省人民政府划定的禁采区和限采区实行水量、水位双控制管理。在禁止开采区内，不得新开凿深井；在限制开采区内，不得增加地下水取水总量，并逐年削减地下水取水量；地下水开采区内地下水实际开采量不得超过地下水可开采量，开采强度不得超过地下水补给量。</w:t>
                  </w:r>
                </w:p>
              </w:tc>
              <w:tc>
                <w:tcPr>
                  <w:tcW w:w="2252" w:type="pct"/>
                  <w:vMerge w:val="continue"/>
                  <w:vAlign w:val="center"/>
                </w:tcPr>
                <w:p>
                  <w:pPr>
                    <w:autoSpaceDE w:val="0"/>
                    <w:autoSpaceDN w:val="0"/>
                    <w:adjustRightInd w:val="0"/>
                    <w:snapToGrid w:val="0"/>
                    <w:spacing w:line="360" w:lineRule="exact"/>
                    <w:rPr>
                      <w:rFonts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9.禁止在河源、河道保护范围内堆放、倾倒砂、石、土、矸石、尾矿、废渣等废弃物。任何单位和个人不得在滹沱河流域饮用水水源保护区建设与水环境保护无关的项目，不得从事影响饮用水水源水质的活动。</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本项目拟建厂址位于滹沱河南侧约3.8km处</w:t>
                  </w:r>
                  <w:r>
                    <w:rPr>
                      <w:rFonts w:hint="eastAsia" w:cs="宋体"/>
                      <w:color w:val="auto"/>
                      <w:kern w:val="0"/>
                    </w:rPr>
                    <w:t>，不在河源、河道保护范围内，不在滹沱河流域饮用水水源保护区范围内；本项目采用全封闭储煤棚，全厂及道路进行了硬化处理，设置有覆盖全储煤棚的喷雾抑尘设施、洗车平台、初期雨水池等环保设施。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color w:val="auto"/>
                    </w:rPr>
                  </w:pPr>
                  <w:r>
                    <w:rPr>
                      <w:rFonts w:hint="eastAsia"/>
                      <w:color w:val="auto"/>
                    </w:rPr>
                    <w:t>污染物排放管控</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1.强化黄河流域及重点区域水环境保护和水污染防治。</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本项目采用全封闭储煤棚，全厂及道路进行了硬化处理，设置有覆盖全储煤棚的喷雾抑尘设施、洗车平台、初期雨水池等环保设施；项目无废水外排，符合区域水环境保护和水污染防治的相关要求。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2.禁止将含有汞、镉、砷、铬、铅、氰化物、黄磷等的可溶性剧毒废渣向水体排放、倾倒或者直接埋入地下。</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本项目不产生汞、镉、砷、铬、铅、氰化物、黄磷等的可溶性剧毒废渣，不会有上述禁止的情形产生。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3.禁止城乡生活污水、垃圾直接进入河道。新建集中处理污水设施，应当符合脱氮除磷达标排放要求。禁止农田灌溉退水直接排入水体。</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本项目使用旱厕，定期清掏用于农田施肥；生活盥洗废水于厂区泼洒抑尘不外排。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4.汾河流域内所有县界城镇入河排污口水质应当达到地表水环境质量Ⅴ类及以上标准。</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5.禁止向汾河流域干流、支流及河滩、岸坡、坑塘、溶洞倾倒垃圾、废渣等固体废物或者堆放其他污染物。</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本项目所在区域属于滹沱河流域，本项目产生的一般固废主要成分为煤泥，可混入产品中外售；产生的废机油等危险废物暂存于危废库，送有相关资质的单位外协处置。本项目不会产生上述禁止行为的情况。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6.在汾河流域内从事农副产品加工、规模化畜禽养殖等生产活动的，应当采取有效措施，防止水污染。</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所在区域属于滹沱河流域，且本项目不属于农副产品加工、规模化畜禽养殖企业。本项目为储煤项目，采用全封闭储煤棚，全厂及道路进行了硬化处理，设置有覆盖全储煤棚的喷雾抑尘设施、洗车平台、初期雨水池等环保设施；项目无废水外排，符合区域水环境保护和水污染防治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7.在汾河流域农田灌溉水体中，禁止倾倒垃圾、废渣等固体废物；禁止浸泡、清洗、丢弃装贮过油类、有毒污染物的车辆与器具；禁止排放油类。</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本项目所在区域属于滹沱河流域，本项目产生的一般固废主要成分为煤泥，可混入产品中外售；产生的废机油等危险废物暂存于危废库，送有相关资质的单位外协处置。本项目不会产生上述禁止行为的情况。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8.将节水、节能、资源综合利用、清洁和可再生能源等项目列为滹沱河流域重点发展领域。</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本项目为储煤项目，项目采取了节水、节能、资源综合利用方案。项目产生的初期雨水、洗车废水均经沉淀后回用，节约了水资源。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9.到2030水平年滹沱河全部功能区水质达标，并进一步向优良发展。</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为储煤项目，采用全封闭储煤棚，全厂及道路进行了硬化处理，设置有覆盖全储煤棚的喷雾抑尘设施、洗车平台、初期雨水池等环保设施；项目无废水外排，符合区域水环境保护和水污染防治的相关要求；对区域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autoSpaceDE w:val="0"/>
                    <w:autoSpaceDN w:val="0"/>
                    <w:adjustRightInd w:val="0"/>
                    <w:snapToGrid w:val="0"/>
                    <w:spacing w:line="360" w:lineRule="exact"/>
                    <w:jc w:val="center"/>
                    <w:rPr>
                      <w:color w:val="auto"/>
                    </w:rPr>
                  </w:pPr>
                  <w:r>
                    <w:rPr>
                      <w:rFonts w:hint="eastAsia"/>
                      <w:color w:val="auto"/>
                    </w:rPr>
                    <w:t>环境风险防控</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1.在流域内输送、存贮废水和污水的管道、沟渠、坑塘等，应当采取防渗漏措施。</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本项目旱厕采用玻璃钢化粪池，洗车废水沉淀池、初期雨水池均采用硬化防渗漏措施。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资源利用效率</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恢复汾河流域水域和湿地，在确保防洪安全的前提下，增强河道及其两侧调蓄水功能，科学利用洪水资源。通过对滹沱河干、支流重点县城河段蓄水以及滹沱河干流大堤外侧低洼滩涂、鱼塘、沙坑等进行整修，修建一批能调蓄径流的“珍珠串”状水域，蓄滞洪水。</w:t>
                  </w:r>
                </w:p>
              </w:tc>
              <w:tc>
                <w:tcPr>
                  <w:tcW w:w="2252" w:type="pct"/>
                  <w:vAlign w:val="center"/>
                </w:tcPr>
                <w:p>
                  <w:pPr>
                    <w:autoSpaceDE w:val="0"/>
                    <w:autoSpaceDN w:val="0"/>
                    <w:adjustRightInd w:val="0"/>
                    <w:snapToGrid w:val="0"/>
                    <w:spacing w:line="360" w:lineRule="exact"/>
                    <w:rPr>
                      <w:rFonts w:cs="宋体"/>
                      <w:color w:val="auto"/>
                      <w:kern w:val="0"/>
                    </w:rPr>
                  </w:pPr>
                  <w:r>
                    <w:rPr>
                      <w:rFonts w:cs="宋体"/>
                      <w:color w:val="auto"/>
                      <w:kern w:val="0"/>
                    </w:rPr>
                    <w:t>本项目拟建厂址位于滹沱河南侧约3.8km处</w:t>
                  </w:r>
                  <w:r>
                    <w:rPr>
                      <w:rFonts w:hint="eastAsia" w:cs="宋体"/>
                      <w:color w:val="auto"/>
                      <w:kern w:val="0"/>
                    </w:rPr>
                    <w:t>，采用全封闭储煤棚，全厂及道路进行了硬化处理，设置有覆盖全储煤棚的喷雾抑尘设施、洗车平台、初期雨水池等环保设施；项目无废水外排，符合区域水环境保护和水污染防治的相关要求。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rFonts w:cs="宋体"/>
                      <w:color w:val="auto"/>
                      <w:kern w:val="0"/>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滹沱河流域水资源配置应当统筹兼顾上下游、左右岸和有关地区之间的利益，推进流域内河湖连通，实现多源互补，恢复流域生态功能。水资源应当严格限制使用地下水，合理使用地表水，优先使用中水和再生水，有效涵养和保护地下水。</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本项目用水由自备水井供应，建设单位应进行水资源论证并依法取得取水证，并应符合忻州市重点流域普适性生态环境准入清单中地下水开采的相关要求。</w:t>
                  </w:r>
                </w:p>
              </w:tc>
            </w:tr>
          </w:tbl>
          <w:p>
            <w:pPr>
              <w:autoSpaceDE w:val="0"/>
              <w:autoSpaceDN w:val="0"/>
              <w:adjustRightInd w:val="0"/>
              <w:snapToGrid w:val="0"/>
              <w:spacing w:line="480" w:lineRule="exact"/>
              <w:ind w:firstLine="480" w:firstLineChars="200"/>
              <w:rPr>
                <w:rFonts w:cs="宋体"/>
                <w:color w:val="auto"/>
                <w:kern w:val="0"/>
                <w:sz w:val="24"/>
              </w:rPr>
            </w:pPr>
            <w:r>
              <w:rPr>
                <w:rFonts w:hint="eastAsia" w:cs="宋体"/>
                <w:color w:val="auto"/>
                <w:kern w:val="0"/>
                <w:sz w:val="24"/>
              </w:rPr>
              <w:t>由表1-4可知，本项目基本符合《忻州市“三线一单”生态环境分区管控实施方案》中</w:t>
            </w:r>
            <w:r>
              <w:rPr>
                <w:rFonts w:hint="eastAsia"/>
                <w:color w:val="auto"/>
                <w:kern w:val="0"/>
                <w:sz w:val="24"/>
              </w:rPr>
              <w:t>忻州市重点流域普适性生态环境准入清单的</w:t>
            </w:r>
            <w:r>
              <w:rPr>
                <w:rFonts w:hint="eastAsia" w:cs="宋体"/>
                <w:color w:val="auto"/>
                <w:kern w:val="0"/>
                <w:sz w:val="24"/>
              </w:rPr>
              <w:t>要求。</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①环境空气：</w:t>
            </w:r>
          </w:p>
          <w:p>
            <w:pPr>
              <w:autoSpaceDE w:val="0"/>
              <w:autoSpaceDN w:val="0"/>
              <w:adjustRightInd w:val="0"/>
              <w:snapToGrid w:val="0"/>
              <w:spacing w:line="480" w:lineRule="exact"/>
              <w:ind w:firstLine="480" w:firstLineChars="200"/>
              <w:rPr>
                <w:color w:val="auto"/>
                <w:kern w:val="0"/>
                <w:sz w:val="24"/>
              </w:rPr>
            </w:pPr>
            <w:r>
              <w:rPr>
                <w:rFonts w:hint="eastAsia"/>
                <w:bCs/>
                <w:color w:val="auto"/>
                <w:sz w:val="24"/>
              </w:rPr>
              <w:t>本次评价收集到了繁峙县2021年环境空气质量例行监测资料，</w:t>
            </w:r>
            <w:r>
              <w:rPr>
                <w:rFonts w:hint="eastAsia"/>
                <w:bCs/>
                <w:snapToGrid w:val="0"/>
                <w:color w:val="auto"/>
                <w:kern w:val="0"/>
                <w:sz w:val="24"/>
                <w:szCs w:val="24"/>
              </w:rPr>
              <w:t>根据例行监测数据统计结果，2021年</w:t>
            </w:r>
            <w:r>
              <w:rPr>
                <w:rFonts w:hint="eastAsia"/>
                <w:bCs/>
                <w:color w:val="auto"/>
                <w:sz w:val="24"/>
                <w:szCs w:val="24"/>
              </w:rPr>
              <w:t>繁峙县</w:t>
            </w:r>
            <w:r>
              <w:rPr>
                <w:rFonts w:hint="eastAsia"/>
                <w:color w:val="auto"/>
                <w:sz w:val="24"/>
                <w:szCs w:val="24"/>
              </w:rPr>
              <w:t>SO</w:t>
            </w:r>
            <w:r>
              <w:rPr>
                <w:rFonts w:hint="eastAsia"/>
                <w:color w:val="auto"/>
                <w:sz w:val="24"/>
                <w:szCs w:val="24"/>
                <w:vertAlign w:val="subscript"/>
              </w:rPr>
              <w:t>2</w:t>
            </w:r>
            <w:r>
              <w:rPr>
                <w:rFonts w:hint="eastAsia"/>
                <w:color w:val="auto"/>
                <w:sz w:val="24"/>
                <w:szCs w:val="24"/>
              </w:rPr>
              <w:t>年均浓度占标率为38.33%，NO</w:t>
            </w:r>
            <w:r>
              <w:rPr>
                <w:rFonts w:hint="eastAsia"/>
                <w:color w:val="auto"/>
                <w:sz w:val="24"/>
                <w:szCs w:val="24"/>
                <w:vertAlign w:val="subscript"/>
              </w:rPr>
              <w:t>2</w:t>
            </w:r>
            <w:r>
              <w:rPr>
                <w:rFonts w:hint="eastAsia"/>
                <w:color w:val="auto"/>
                <w:sz w:val="24"/>
                <w:szCs w:val="24"/>
              </w:rPr>
              <w:t>年均浓度占标率为67.50%，PM</w:t>
            </w:r>
            <w:r>
              <w:rPr>
                <w:rFonts w:hint="eastAsia"/>
                <w:color w:val="auto"/>
                <w:sz w:val="24"/>
                <w:szCs w:val="24"/>
                <w:vertAlign w:val="subscript"/>
              </w:rPr>
              <w:t>10</w:t>
            </w:r>
            <w:r>
              <w:rPr>
                <w:rFonts w:hint="eastAsia"/>
                <w:color w:val="auto"/>
                <w:sz w:val="24"/>
                <w:szCs w:val="24"/>
              </w:rPr>
              <w:t>年均浓度占标率为111.43%，PM</w:t>
            </w:r>
            <w:r>
              <w:rPr>
                <w:rFonts w:hint="eastAsia"/>
                <w:color w:val="auto"/>
                <w:sz w:val="24"/>
                <w:szCs w:val="24"/>
                <w:vertAlign w:val="subscript"/>
              </w:rPr>
              <w:t>2.5</w:t>
            </w:r>
            <w:r>
              <w:rPr>
                <w:rFonts w:hint="eastAsia"/>
                <w:color w:val="auto"/>
                <w:sz w:val="24"/>
                <w:szCs w:val="24"/>
              </w:rPr>
              <w:t>年均浓度占标率为82.86%，CO的24小时平均第95百分位数占标率为35.00%，O</w:t>
            </w:r>
            <w:r>
              <w:rPr>
                <w:rFonts w:hint="eastAsia"/>
                <w:color w:val="auto"/>
                <w:sz w:val="24"/>
                <w:szCs w:val="24"/>
                <w:vertAlign w:val="subscript"/>
              </w:rPr>
              <w:t>3</w:t>
            </w:r>
            <w:r>
              <w:rPr>
                <w:rFonts w:hint="eastAsia"/>
                <w:color w:val="auto"/>
                <w:sz w:val="24"/>
                <w:szCs w:val="24"/>
              </w:rPr>
              <w:t>的日最大8小时滑动平均值的第90百分位数浓度占标率为93.72%，六项基本污染物</w:t>
            </w:r>
            <w:r>
              <w:rPr>
                <w:rFonts w:hint="eastAsia"/>
                <w:bCs/>
                <w:snapToGrid w:val="0"/>
                <w:color w:val="auto"/>
                <w:kern w:val="0"/>
                <w:sz w:val="24"/>
                <w:szCs w:val="24"/>
              </w:rPr>
              <w:t>中</w:t>
            </w:r>
            <w:r>
              <w:rPr>
                <w:rFonts w:hint="eastAsia"/>
                <w:color w:val="auto"/>
                <w:sz w:val="24"/>
                <w:szCs w:val="24"/>
              </w:rPr>
              <w:t>PM</w:t>
            </w:r>
            <w:r>
              <w:rPr>
                <w:rFonts w:hint="eastAsia"/>
                <w:color w:val="auto"/>
                <w:sz w:val="24"/>
                <w:szCs w:val="24"/>
                <w:vertAlign w:val="subscript"/>
              </w:rPr>
              <w:t>10</w:t>
            </w:r>
            <w:r>
              <w:rPr>
                <w:rFonts w:hint="eastAsia"/>
                <w:color w:val="auto"/>
                <w:sz w:val="24"/>
                <w:szCs w:val="24"/>
              </w:rPr>
              <w:t>年平均浓度</w:t>
            </w:r>
            <w:r>
              <w:rPr>
                <w:rFonts w:hint="eastAsia"/>
                <w:bCs/>
                <w:snapToGrid w:val="0"/>
                <w:color w:val="auto"/>
                <w:kern w:val="0"/>
                <w:sz w:val="24"/>
                <w:szCs w:val="24"/>
              </w:rPr>
              <w:t>超标；</w:t>
            </w:r>
            <w:r>
              <w:rPr>
                <w:rFonts w:hint="eastAsia"/>
                <w:color w:val="auto"/>
                <w:sz w:val="24"/>
                <w:szCs w:val="24"/>
              </w:rPr>
              <w:t>因此，</w:t>
            </w:r>
            <w:r>
              <w:rPr>
                <w:rFonts w:hint="eastAsia"/>
                <w:bCs/>
                <w:color w:val="auto"/>
                <w:sz w:val="24"/>
                <w:szCs w:val="24"/>
              </w:rPr>
              <w:t>繁峙县</w:t>
            </w:r>
            <w:r>
              <w:rPr>
                <w:rFonts w:hint="eastAsia"/>
                <w:color w:val="auto"/>
                <w:sz w:val="24"/>
                <w:szCs w:val="24"/>
              </w:rPr>
              <w:t>为不达标区。</w:t>
            </w:r>
          </w:p>
          <w:p>
            <w:pPr>
              <w:autoSpaceDE w:val="0"/>
              <w:autoSpaceDN w:val="0"/>
              <w:adjustRightInd w:val="0"/>
              <w:snapToGrid w:val="0"/>
              <w:spacing w:line="480" w:lineRule="exact"/>
              <w:ind w:firstLine="480" w:firstLineChars="200"/>
              <w:rPr>
                <w:color w:val="auto"/>
                <w:sz w:val="24"/>
                <w:szCs w:val="32"/>
              </w:rPr>
            </w:pPr>
            <w:r>
              <w:rPr>
                <w:rFonts w:hint="eastAsia"/>
                <w:color w:val="auto"/>
                <w:sz w:val="24"/>
                <w:szCs w:val="32"/>
              </w:rPr>
              <w:t>根据补充监测数据统计，云雾峪村环境空气中TSP日均浓度范围在176-217</w:t>
            </w:r>
            <w:r>
              <w:rPr>
                <w:color w:val="auto"/>
                <w:sz w:val="24"/>
                <w:szCs w:val="32"/>
              </w:rPr>
              <w:t>μg /m</w:t>
            </w:r>
            <w:r>
              <w:rPr>
                <w:color w:val="auto"/>
                <w:sz w:val="24"/>
                <w:szCs w:val="32"/>
                <w:vertAlign w:val="superscript"/>
              </w:rPr>
              <w:t>3</w:t>
            </w:r>
            <w:r>
              <w:rPr>
                <w:color w:val="auto"/>
                <w:sz w:val="24"/>
                <w:szCs w:val="32"/>
              </w:rPr>
              <w:t>之间，满足《环境空气质量标准》（GB3095-2012）及其修改单中TSP二级标准限值（300 μg/m</w:t>
            </w:r>
            <w:r>
              <w:rPr>
                <w:color w:val="auto"/>
                <w:sz w:val="24"/>
                <w:szCs w:val="32"/>
                <w:vertAlign w:val="superscript"/>
              </w:rPr>
              <w:t>3</w:t>
            </w:r>
            <w:r>
              <w:rPr>
                <w:color w:val="auto"/>
                <w:sz w:val="24"/>
                <w:szCs w:val="32"/>
              </w:rPr>
              <w:t>）要求；区域大气污染物现状质量浓度达标。</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本项目采用全封闭储煤棚，全厂及道路进行了硬化处理，设置有覆盖全储煤棚的喷雾抑尘设施、洗车平台、初期雨水池等环保设施；项目落实了生态环境保护基本要求，执行国家及我省相关产业准入、总量控制、排放标准等管理规定。</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②地表水环境：</w:t>
            </w:r>
          </w:p>
          <w:p>
            <w:pPr>
              <w:spacing w:line="480" w:lineRule="exact"/>
              <w:ind w:firstLine="480" w:firstLineChars="200"/>
              <w:rPr>
                <w:bCs/>
                <w:color w:val="auto"/>
                <w:sz w:val="24"/>
              </w:rPr>
            </w:pPr>
            <w:r>
              <w:rPr>
                <w:rFonts w:hint="eastAsia"/>
                <w:bCs/>
                <w:color w:val="auto"/>
                <w:sz w:val="24"/>
              </w:rPr>
              <w:t>根据《山西省地表水环境功能区划》（DB14/67-2019），本项目所在区域地表水系为海河流域-滹沱河山区-滹沱河水系-滹沱河河流（源头至下茹越水库出口河段），水环境功能为一般源头水、地表水饮用水源补给区水源保护，执行《地表水环境质量标准》（GB）Ⅲ类标准。</w:t>
            </w:r>
          </w:p>
          <w:p>
            <w:pPr>
              <w:autoSpaceDE w:val="0"/>
              <w:autoSpaceDN w:val="0"/>
              <w:adjustRightInd w:val="0"/>
              <w:snapToGrid w:val="0"/>
              <w:spacing w:line="480" w:lineRule="exact"/>
              <w:ind w:firstLine="480" w:firstLineChars="200"/>
              <w:rPr>
                <w:bCs/>
                <w:color w:val="auto"/>
                <w:sz w:val="24"/>
              </w:rPr>
            </w:pPr>
            <w:r>
              <w:rPr>
                <w:rFonts w:hint="eastAsia"/>
                <w:bCs/>
                <w:color w:val="auto"/>
                <w:sz w:val="24"/>
              </w:rPr>
              <w:t>本项目拟建厂址位于滹沱河南侧约3.8km处，位于下茹越水库出口断面（国考）上游区域；根据忻州市生态文明建设和污染防治攻坚战领导小组办公室发布的“关于忻州市2021年12月及全年地表水环境质量的通报”（忻污防办发</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1号），下茹越断面1月-12月为Ⅴ类水质，不满足Ⅲ类水质考核标准要求。</w:t>
            </w:r>
          </w:p>
          <w:p>
            <w:pPr>
              <w:autoSpaceDE w:val="0"/>
              <w:autoSpaceDN w:val="0"/>
              <w:adjustRightInd w:val="0"/>
              <w:snapToGrid w:val="0"/>
              <w:spacing w:line="480" w:lineRule="exact"/>
              <w:ind w:firstLine="480" w:firstLineChars="200"/>
              <w:rPr>
                <w:bCs/>
                <w:color w:val="auto"/>
                <w:sz w:val="24"/>
              </w:rPr>
            </w:pPr>
            <w:r>
              <w:rPr>
                <w:rFonts w:hint="eastAsia"/>
                <w:color w:val="auto"/>
                <w:kern w:val="0"/>
                <w:sz w:val="24"/>
                <w:szCs w:val="24"/>
              </w:rPr>
              <w:t>本项目产生的废水主要为储煤场淋控废水、洗车废水、生活污水以及初期雨水；其中</w:t>
            </w:r>
            <w:r>
              <w:rPr>
                <w:rFonts w:hint="eastAsia"/>
                <w:bCs/>
                <w:color w:val="auto"/>
                <w:sz w:val="24"/>
              </w:rPr>
              <w:t>储煤场淋控废水经淋控废水收集池收集沉淀处理后返回清水池回用；</w:t>
            </w:r>
            <w:r>
              <w:rPr>
                <w:rFonts w:hint="eastAsia"/>
                <w:color w:val="auto"/>
                <w:kern w:val="0"/>
                <w:sz w:val="24"/>
                <w:szCs w:val="24"/>
              </w:rPr>
              <w:t>洗车废水经沉淀处理后全部回用；本项目使用旱厕，定期清掏用于农田施肥；生活盥洗废水于厂区泼洒抑尘；初期雨水经初期雨水收集池收集沉淀后回用于厂区道路浇洒抑尘；本项目无废水排放，</w:t>
            </w:r>
            <w:r>
              <w:rPr>
                <w:rFonts w:hint="eastAsia"/>
                <w:bCs/>
                <w:color w:val="auto"/>
                <w:sz w:val="24"/>
              </w:rPr>
              <w:t>对区域水环境基本无影响。</w:t>
            </w:r>
          </w:p>
          <w:p>
            <w:pPr>
              <w:autoSpaceDE w:val="0"/>
              <w:autoSpaceDN w:val="0"/>
              <w:adjustRightInd w:val="0"/>
              <w:snapToGrid w:val="0"/>
              <w:spacing w:line="480" w:lineRule="exact"/>
              <w:ind w:firstLine="480" w:firstLineChars="200"/>
              <w:rPr>
                <w:color w:val="auto"/>
                <w:kern w:val="0"/>
                <w:sz w:val="24"/>
              </w:rPr>
            </w:pPr>
            <w:r>
              <w:rPr>
                <w:rFonts w:hint="eastAsia"/>
                <w:bCs/>
                <w:color w:val="auto"/>
                <w:sz w:val="24"/>
              </w:rPr>
              <w:t>本项目所在区域地表水系图见附图5。</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③声环境：</w:t>
            </w:r>
          </w:p>
          <w:p>
            <w:pPr>
              <w:autoSpaceDE w:val="0"/>
              <w:autoSpaceDN w:val="0"/>
              <w:adjustRightInd w:val="0"/>
              <w:snapToGrid w:val="0"/>
              <w:spacing w:line="480" w:lineRule="exact"/>
              <w:ind w:firstLine="480" w:firstLineChars="200"/>
              <w:rPr>
                <w:bCs/>
                <w:color w:val="auto"/>
                <w:sz w:val="24"/>
                <w:szCs w:val="20"/>
              </w:rPr>
            </w:pPr>
            <w:r>
              <w:rPr>
                <w:rFonts w:hint="eastAsia"/>
                <w:bCs/>
                <w:color w:val="auto"/>
                <w:sz w:val="24"/>
              </w:rPr>
              <w:t>本次评价由建设单位委托山西绿澈环保科技有限公司于2022年5月2日对</w:t>
            </w:r>
            <w:r>
              <w:rPr>
                <w:rFonts w:hint="eastAsia"/>
                <w:color w:val="auto"/>
                <w:sz w:val="24"/>
                <w:szCs w:val="32"/>
              </w:rPr>
              <w:t>厂界及敏感点声环境质量现状进行了监测，</w:t>
            </w:r>
            <w:r>
              <w:rPr>
                <w:rFonts w:hint="eastAsia"/>
                <w:color w:val="auto"/>
                <w:sz w:val="24"/>
                <w:szCs w:val="20"/>
              </w:rPr>
              <w:t>监测期间项目厂界昼间噪声值在51.1-53.6dB(A)，夜间噪声值在42.1-43.9dB(A)；敏感点云雾峪村昼间噪声值为53.9dB(A)，夜间噪声值在43.8dB(A)；均满足《声环境质量标准》(GB3096-2008)2类标准限值要求。项目运营期通过采取</w:t>
            </w:r>
            <w:r>
              <w:rPr>
                <w:rFonts w:hint="eastAsia"/>
                <w:bCs/>
                <w:color w:val="auto"/>
                <w:sz w:val="24"/>
                <w:szCs w:val="20"/>
              </w:rPr>
              <w:t>选用低噪声设备，隔声、基础减振，定期维护，加强管理等措施，经预测厂界噪声可达标排放，对区域声环境影响较小。</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综上所述，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（3）与资源利用上线的符合性分析</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项目建设过程中所利用的资源主要为水、电，均为清洁能源，项目通过内部管理、设备选择的选用管理等措施，以“节能、降耗、减污”为目标，有效控制资源利用。项目的水、电等资源利用不会突破区域的资源利用上线。</w:t>
            </w:r>
          </w:p>
          <w:p>
            <w:pPr>
              <w:autoSpaceDE w:val="0"/>
              <w:autoSpaceDN w:val="0"/>
              <w:adjustRightInd w:val="0"/>
              <w:snapToGrid w:val="0"/>
              <w:spacing w:line="480" w:lineRule="exact"/>
              <w:ind w:firstLine="482" w:firstLineChars="200"/>
              <w:rPr>
                <w:b/>
                <w:bCs/>
                <w:color w:val="auto"/>
                <w:kern w:val="0"/>
                <w:sz w:val="24"/>
              </w:rPr>
            </w:pPr>
            <w:r>
              <w:rPr>
                <w:rFonts w:hint="eastAsia"/>
                <w:b/>
                <w:bCs/>
                <w:color w:val="auto"/>
                <w:kern w:val="0"/>
                <w:sz w:val="24"/>
              </w:rPr>
              <w:t>（4）与环境准入负面清单符合性分析</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根据《产业结构调整指导目录(2019年本)》，本项目未被列入淘汰类或限制类项目，属于允许类项目，符合国家产业政策。</w:t>
            </w:r>
          </w:p>
          <w:p>
            <w:pPr>
              <w:autoSpaceDE w:val="0"/>
              <w:autoSpaceDN w:val="0"/>
              <w:adjustRightInd w:val="0"/>
              <w:snapToGrid w:val="0"/>
              <w:spacing w:line="480" w:lineRule="exact"/>
              <w:ind w:firstLine="480" w:firstLineChars="200"/>
              <w:rPr>
                <w:color w:val="auto"/>
                <w:kern w:val="0"/>
                <w:sz w:val="24"/>
                <w:szCs w:val="24"/>
              </w:rPr>
            </w:pPr>
            <w:r>
              <w:rPr>
                <w:rFonts w:hint="eastAsia" w:cs="宋体"/>
                <w:color w:val="auto"/>
                <w:kern w:val="0"/>
                <w:sz w:val="24"/>
              </w:rPr>
              <w:t>综上所述，</w:t>
            </w:r>
            <w:r>
              <w:rPr>
                <w:rFonts w:hint="eastAsia"/>
                <w:color w:val="auto"/>
                <w:kern w:val="0"/>
                <w:sz w:val="24"/>
              </w:rPr>
              <w:t>通过与《忻州市“三线一单”生态环境分区管控实施方案》中生态环境总体准入清单、忻州市重点流域普适性生态环境准入清单的符合性分析可知，项目</w:t>
            </w:r>
            <w:r>
              <w:rPr>
                <w:rFonts w:hint="eastAsia" w:cs="宋体"/>
                <w:color w:val="auto"/>
                <w:kern w:val="0"/>
                <w:sz w:val="24"/>
              </w:rPr>
              <w:t>基本符合《忻州市“三线一单”生态环境分区管控实施方案》中生态环境总体准入清单、忻州市重点流域普适性生态环境准入清单的管控要求。</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综上，本项目的建设符合“三线一单”的管控原则要求</w:t>
            </w:r>
            <w:r>
              <w:rPr>
                <w:rFonts w:hint="eastAsia" w:ascii="宋体" w:hAnsi="宋体" w:cs="宋体"/>
                <w:color w:val="auto"/>
                <w:kern w:val="0"/>
                <w:sz w:val="24"/>
              </w:rPr>
              <w:t>。</w:t>
            </w:r>
          </w:p>
          <w:p>
            <w:pPr>
              <w:spacing w:line="480" w:lineRule="exact"/>
              <w:ind w:firstLine="482" w:firstLineChars="200"/>
              <w:rPr>
                <w:b/>
                <w:color w:val="auto"/>
                <w:sz w:val="24"/>
              </w:rPr>
            </w:pPr>
            <w:r>
              <w:rPr>
                <w:rFonts w:hint="eastAsia"/>
                <w:b/>
                <w:bCs/>
                <w:color w:val="auto"/>
                <w:sz w:val="24"/>
              </w:rPr>
              <w:t>2、</w:t>
            </w:r>
            <w:r>
              <w:rPr>
                <w:rFonts w:hint="eastAsia"/>
                <w:b/>
                <w:color w:val="auto"/>
                <w:sz w:val="24"/>
              </w:rPr>
              <w:t>繁峙县乡镇水源地</w:t>
            </w:r>
          </w:p>
          <w:p>
            <w:pPr>
              <w:spacing w:line="480" w:lineRule="exact"/>
              <w:ind w:firstLine="480" w:firstLineChars="200"/>
              <w:rPr>
                <w:color w:val="auto"/>
                <w:sz w:val="24"/>
              </w:rPr>
            </w:pPr>
            <w:r>
              <w:rPr>
                <w:rFonts w:hint="eastAsia"/>
                <w:color w:val="auto"/>
                <w:sz w:val="24"/>
              </w:rPr>
              <w:t>根据《山西省繁峙县饮用水水源保护区划分技术报告》，繁峙县县城集中供水水源地为圣水头水源地，位于城区外东北部的农田里，水文地质单元属于山前冲洪积倾斜平原孔隙水区的前缘，水源地孔隙承压含水层厚度大，地下水补给充足；水源地有4眼水井；其一级保护区为4个水井连接为不规则的四边形边界向外扩一定距离围成的多边形，面积为0.95km</w:t>
            </w:r>
            <w:r>
              <w:rPr>
                <w:rFonts w:hint="eastAsia"/>
                <w:color w:val="auto"/>
                <w:sz w:val="24"/>
                <w:vertAlign w:val="superscript"/>
              </w:rPr>
              <w:t>2</w:t>
            </w:r>
            <w:r>
              <w:rPr>
                <w:rFonts w:hint="eastAsia"/>
                <w:color w:val="auto"/>
                <w:sz w:val="24"/>
              </w:rPr>
              <w:t>，保护区周长为4010m；该水源地不划分二级保护区。本项目拟建厂址距圣水头水源地一级保护区边界约为44.7km，不在其保护区范围内。</w:t>
            </w:r>
          </w:p>
          <w:p>
            <w:pPr>
              <w:spacing w:line="480" w:lineRule="exact"/>
              <w:ind w:firstLine="480" w:firstLineChars="200"/>
              <w:rPr>
                <w:color w:val="auto"/>
                <w:sz w:val="24"/>
              </w:rPr>
            </w:pPr>
            <w:r>
              <w:rPr>
                <w:rFonts w:hint="eastAsia"/>
                <w:color w:val="auto"/>
                <w:sz w:val="24"/>
              </w:rPr>
              <w:t>根据《忻州市繁峙县乡镇集中式饮用水源保护区划分报告》，全县下辖3镇10乡，均已完成水源保护区划分工作，均为地下水型水源。由繁峙县乡镇集中式饮用水源地分布图可知，距离本项目最近的乡镇集中式水源地为项目东北侧约6.8km处的横涧乡（现名平型关镇）集中供水水源地，该水源地位于横涧村北，开采65m以下中更新统孔隙水，一级保护区半径为150m，不设二级保护区。本项目拟建厂址距横涧乡（现名平型关镇）集中供水水源地一级保护区边界约为6.8km，不在其保护区范围内。</w:t>
            </w:r>
          </w:p>
          <w:p>
            <w:pPr>
              <w:autoSpaceDE w:val="0"/>
              <w:autoSpaceDN w:val="0"/>
              <w:adjustRightInd w:val="0"/>
              <w:snapToGrid w:val="0"/>
              <w:spacing w:line="480" w:lineRule="exact"/>
              <w:ind w:firstLine="480" w:firstLineChars="200"/>
              <w:rPr>
                <w:color w:val="auto"/>
                <w:sz w:val="24"/>
              </w:rPr>
            </w:pPr>
            <w:r>
              <w:rPr>
                <w:rFonts w:hint="eastAsia"/>
                <w:color w:val="auto"/>
                <w:sz w:val="24"/>
              </w:rPr>
              <w:t>本项目与繁峙县集中供水水源地相对位置见附图6，横涧乡（现名平型关镇）集中供水水源地保护区划分图见附图7。</w:t>
            </w:r>
          </w:p>
          <w:p>
            <w:pPr>
              <w:spacing w:line="480" w:lineRule="exact"/>
              <w:ind w:firstLine="482" w:firstLineChars="200"/>
              <w:rPr>
                <w:b/>
                <w:color w:val="auto"/>
                <w:sz w:val="24"/>
              </w:rPr>
            </w:pPr>
            <w:r>
              <w:rPr>
                <w:rFonts w:hint="eastAsia"/>
                <w:b/>
                <w:bCs/>
                <w:color w:val="auto"/>
                <w:sz w:val="24"/>
              </w:rPr>
              <w:t>3、</w:t>
            </w:r>
            <w:r>
              <w:rPr>
                <w:rFonts w:hint="eastAsia" w:ascii="宋体" w:hAnsi="宋体" w:cs="宋体"/>
                <w:b/>
                <w:bCs/>
                <w:color w:val="auto"/>
                <w:kern w:val="0"/>
                <w:sz w:val="24"/>
              </w:rPr>
              <w:t>繁峙县生态功能区划</w:t>
            </w:r>
          </w:p>
          <w:p>
            <w:pPr>
              <w:autoSpaceDE w:val="0"/>
              <w:autoSpaceDN w:val="0"/>
              <w:adjustRightInd w:val="0"/>
              <w:snapToGrid w:val="0"/>
              <w:spacing w:line="480" w:lineRule="exact"/>
              <w:ind w:firstLine="480" w:firstLineChars="200"/>
              <w:rPr>
                <w:color w:val="auto"/>
                <w:sz w:val="24"/>
              </w:rPr>
            </w:pPr>
            <w:r>
              <w:rPr>
                <w:rFonts w:hint="eastAsia"/>
                <w:color w:val="auto"/>
                <w:kern w:val="0"/>
                <w:sz w:val="24"/>
              </w:rPr>
              <w:t>根据《繁峙县生态功能区划》，项目区位于Ⅲ4繁峙县东南部水源涵养与生物多样性保护生态功能小区；该区包括东山乡的东部、金山铺的南部、神堂堡乡大部分区域，总面积26.98km</w:t>
            </w:r>
            <w:r>
              <w:rPr>
                <w:rFonts w:hint="eastAsia"/>
                <w:color w:val="auto"/>
                <w:kern w:val="0"/>
                <w:sz w:val="24"/>
                <w:vertAlign w:val="superscript"/>
              </w:rPr>
              <w:t>2</w:t>
            </w:r>
            <w:r>
              <w:rPr>
                <w:rFonts w:hint="eastAsia"/>
                <w:color w:val="auto"/>
                <w:kern w:val="0"/>
                <w:sz w:val="24"/>
              </w:rPr>
              <w:t>。</w:t>
            </w:r>
          </w:p>
          <w:p>
            <w:pPr>
              <w:autoSpaceDE w:val="0"/>
              <w:autoSpaceDN w:val="0"/>
              <w:adjustRightInd w:val="0"/>
              <w:snapToGrid w:val="0"/>
              <w:spacing w:line="480" w:lineRule="exact"/>
              <w:ind w:firstLine="480" w:firstLineChars="200"/>
              <w:rPr>
                <w:color w:val="auto"/>
                <w:sz w:val="24"/>
              </w:rPr>
            </w:pPr>
            <w:r>
              <w:rPr>
                <w:rFonts w:hint="eastAsia"/>
                <w:color w:val="auto"/>
                <w:sz w:val="24"/>
              </w:rPr>
              <w:t>本项目与</w:t>
            </w:r>
            <w:r>
              <w:rPr>
                <w:rFonts w:hint="eastAsia"/>
                <w:color w:val="auto"/>
                <w:kern w:val="0"/>
                <w:sz w:val="24"/>
              </w:rPr>
              <w:t>Ⅲ4繁峙县东南部水源涵养与生物多样性保护生态功能小区的保护措施符合性分析见下表。本项目与繁峙县生态功能区划相对位置见附图8。</w:t>
            </w:r>
          </w:p>
          <w:p>
            <w:pPr>
              <w:autoSpaceDE w:val="0"/>
              <w:autoSpaceDN w:val="0"/>
              <w:adjustRightInd w:val="0"/>
              <w:snapToGrid w:val="0"/>
              <w:spacing w:line="480" w:lineRule="exact"/>
              <w:jc w:val="center"/>
              <w:rPr>
                <w:rFonts w:ascii="黑体" w:hAnsi="黑体" w:eastAsia="黑体" w:cs="宋体"/>
                <w:bCs/>
                <w:color w:val="auto"/>
                <w:kern w:val="0"/>
                <w:sz w:val="32"/>
                <w:szCs w:val="32"/>
              </w:rPr>
            </w:pPr>
            <w:r>
              <w:rPr>
                <w:rFonts w:hint="eastAsia" w:ascii="黑体" w:hAnsi="黑体" w:eastAsia="黑体"/>
                <w:bCs/>
                <w:color w:val="auto"/>
                <w:sz w:val="24"/>
              </w:rPr>
              <w:t>表1-5  与繁峙县Ⅲ4生态功能小区保护措施的符合性分析一览表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4170"/>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Align w:val="center"/>
                </w:tcPr>
                <w:p>
                  <w:pPr>
                    <w:autoSpaceDE w:val="0"/>
                    <w:autoSpaceDN w:val="0"/>
                    <w:adjustRightInd w:val="0"/>
                    <w:snapToGrid w:val="0"/>
                    <w:spacing w:line="360" w:lineRule="exact"/>
                    <w:jc w:val="center"/>
                    <w:rPr>
                      <w:color w:val="auto"/>
                    </w:rPr>
                  </w:pPr>
                  <w:r>
                    <w:rPr>
                      <w:rFonts w:hint="eastAsia"/>
                      <w:color w:val="auto"/>
                    </w:rPr>
                    <w:t>序号</w:t>
                  </w:r>
                </w:p>
              </w:tc>
              <w:tc>
                <w:tcPr>
                  <w:tcW w:w="2438" w:type="pct"/>
                  <w:vAlign w:val="center"/>
                </w:tcPr>
                <w:p>
                  <w:pPr>
                    <w:autoSpaceDE w:val="0"/>
                    <w:autoSpaceDN w:val="0"/>
                    <w:adjustRightInd w:val="0"/>
                    <w:snapToGrid w:val="0"/>
                    <w:spacing w:line="360" w:lineRule="exact"/>
                    <w:jc w:val="center"/>
                    <w:rPr>
                      <w:color w:val="auto"/>
                    </w:rPr>
                  </w:pPr>
                  <w:r>
                    <w:rPr>
                      <w:rFonts w:hint="eastAsia"/>
                      <w:color w:val="auto"/>
                    </w:rPr>
                    <w:t>Ⅲ4繁峙县东南部水源涵养与生物多样性保护生态功能小区保护措施</w:t>
                  </w:r>
                </w:p>
              </w:tc>
              <w:tc>
                <w:tcPr>
                  <w:tcW w:w="2309" w:type="pct"/>
                  <w:vAlign w:val="center"/>
                </w:tcPr>
                <w:p>
                  <w:pPr>
                    <w:autoSpaceDE w:val="0"/>
                    <w:autoSpaceDN w:val="0"/>
                    <w:adjustRightInd w:val="0"/>
                    <w:snapToGrid w:val="0"/>
                    <w:spacing w:line="360" w:lineRule="exact"/>
                    <w:jc w:val="center"/>
                    <w:rPr>
                      <w:color w:val="auto"/>
                    </w:rPr>
                  </w:pPr>
                  <w:r>
                    <w:rPr>
                      <w:rFonts w:hint="eastAsia"/>
                      <w:color w:val="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Align w:val="center"/>
                </w:tcPr>
                <w:p>
                  <w:pPr>
                    <w:autoSpaceDE w:val="0"/>
                    <w:autoSpaceDN w:val="0"/>
                    <w:adjustRightInd w:val="0"/>
                    <w:snapToGrid w:val="0"/>
                    <w:spacing w:line="360" w:lineRule="exact"/>
                    <w:jc w:val="center"/>
                    <w:rPr>
                      <w:color w:val="auto"/>
                    </w:rPr>
                  </w:pPr>
                  <w:r>
                    <w:rPr>
                      <w:rFonts w:hint="eastAsia"/>
                      <w:color w:val="auto"/>
                    </w:rPr>
                    <w:t>1</w:t>
                  </w:r>
                </w:p>
              </w:tc>
              <w:tc>
                <w:tcPr>
                  <w:tcW w:w="2438" w:type="pct"/>
                  <w:vAlign w:val="center"/>
                </w:tcPr>
                <w:p>
                  <w:pPr>
                    <w:autoSpaceDE w:val="0"/>
                    <w:autoSpaceDN w:val="0"/>
                    <w:adjustRightInd w:val="0"/>
                    <w:snapToGrid w:val="0"/>
                    <w:spacing w:line="360" w:lineRule="exact"/>
                    <w:rPr>
                      <w:color w:val="auto"/>
                    </w:rPr>
                  </w:pPr>
                  <w:r>
                    <w:rPr>
                      <w:rFonts w:hint="eastAsia"/>
                      <w:color w:val="auto"/>
                    </w:rPr>
                    <w:t>对现有林地和草地进行补植补造，并加强管护进行合理的采伐和放牧。</w:t>
                  </w:r>
                </w:p>
              </w:tc>
              <w:tc>
                <w:tcPr>
                  <w:tcW w:w="2309" w:type="pct"/>
                  <w:vAlign w:val="center"/>
                </w:tcPr>
                <w:p>
                  <w:pPr>
                    <w:autoSpaceDE w:val="0"/>
                    <w:autoSpaceDN w:val="0"/>
                    <w:adjustRightInd w:val="0"/>
                    <w:snapToGrid w:val="0"/>
                    <w:spacing w:line="360" w:lineRule="exact"/>
                    <w:rPr>
                      <w:color w:val="auto"/>
                    </w:rPr>
                  </w:pPr>
                  <w:r>
                    <w:rPr>
                      <w:rFonts w:hint="eastAsia"/>
                      <w:color w:val="auto"/>
                    </w:rPr>
                    <w:t>本项目选址范围内为未利用地（其他草地和内陆滩涂），项目通过厂区及道路硬化、绿化措施，可减少区域内水土流失。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2" w:type="pct"/>
                  <w:vAlign w:val="center"/>
                </w:tcPr>
                <w:p>
                  <w:pPr>
                    <w:autoSpaceDE w:val="0"/>
                    <w:autoSpaceDN w:val="0"/>
                    <w:adjustRightInd w:val="0"/>
                    <w:snapToGrid w:val="0"/>
                    <w:spacing w:line="360" w:lineRule="exact"/>
                    <w:jc w:val="center"/>
                    <w:rPr>
                      <w:color w:val="auto"/>
                    </w:rPr>
                  </w:pPr>
                  <w:r>
                    <w:rPr>
                      <w:rFonts w:hint="eastAsia"/>
                      <w:color w:val="auto"/>
                    </w:rPr>
                    <w:t>2</w:t>
                  </w:r>
                </w:p>
              </w:tc>
              <w:tc>
                <w:tcPr>
                  <w:tcW w:w="2438" w:type="pct"/>
                  <w:vAlign w:val="center"/>
                </w:tcPr>
                <w:p>
                  <w:pPr>
                    <w:autoSpaceDE w:val="0"/>
                    <w:autoSpaceDN w:val="0"/>
                    <w:adjustRightInd w:val="0"/>
                    <w:snapToGrid w:val="0"/>
                    <w:spacing w:line="360" w:lineRule="exact"/>
                    <w:rPr>
                      <w:color w:val="auto"/>
                    </w:rPr>
                  </w:pPr>
                  <w:r>
                    <w:rPr>
                      <w:rFonts w:hint="eastAsia"/>
                      <w:color w:val="auto"/>
                    </w:rPr>
                    <w:t>围绕农村建设内容，推动农业循环经济，科学实施种植养殖业，发展沼气、太阳能等清洁能源产业逐步解决区块内农村中生产、生活过程产生的污染问题。</w:t>
                  </w:r>
                </w:p>
              </w:tc>
              <w:tc>
                <w:tcPr>
                  <w:tcW w:w="2309" w:type="pct"/>
                  <w:vAlign w:val="center"/>
                </w:tcPr>
                <w:p>
                  <w:pPr>
                    <w:autoSpaceDE w:val="0"/>
                    <w:autoSpaceDN w:val="0"/>
                    <w:adjustRightInd w:val="0"/>
                    <w:snapToGrid w:val="0"/>
                    <w:spacing w:line="360" w:lineRule="exact"/>
                    <w:rPr>
                      <w:color w:val="auto"/>
                    </w:rPr>
                  </w:pPr>
                  <w:r>
                    <w:rPr>
                      <w:rFonts w:hint="eastAsia" w:cs="宋体"/>
                      <w:color w:val="auto"/>
                      <w:kern w:val="0"/>
                    </w:rPr>
                    <w:t>本项目采用全封闭储煤棚，全厂及道路进行了硬化处理，设置有覆盖全储煤棚的喷雾抑尘设施、洗车平台、初期雨水池等环保设施；项目落实了生态环境保护基本要求，执行国家及我省相关产业准入、总量控制、排放标准等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Align w:val="center"/>
                </w:tcPr>
                <w:p>
                  <w:pPr>
                    <w:autoSpaceDE w:val="0"/>
                    <w:autoSpaceDN w:val="0"/>
                    <w:adjustRightInd w:val="0"/>
                    <w:snapToGrid w:val="0"/>
                    <w:spacing w:line="360" w:lineRule="exact"/>
                    <w:jc w:val="center"/>
                    <w:rPr>
                      <w:color w:val="auto"/>
                    </w:rPr>
                  </w:pPr>
                  <w:r>
                    <w:rPr>
                      <w:rFonts w:hint="eastAsia"/>
                      <w:color w:val="auto"/>
                    </w:rPr>
                    <w:t>3</w:t>
                  </w:r>
                </w:p>
              </w:tc>
              <w:tc>
                <w:tcPr>
                  <w:tcW w:w="2438" w:type="pct"/>
                  <w:vAlign w:val="center"/>
                </w:tcPr>
                <w:p>
                  <w:pPr>
                    <w:autoSpaceDE w:val="0"/>
                    <w:autoSpaceDN w:val="0"/>
                    <w:adjustRightInd w:val="0"/>
                    <w:snapToGrid w:val="0"/>
                    <w:spacing w:line="360" w:lineRule="exact"/>
                    <w:rPr>
                      <w:color w:val="auto"/>
                    </w:rPr>
                  </w:pPr>
                  <w:r>
                    <w:rPr>
                      <w:rFonts w:hint="eastAsia"/>
                      <w:color w:val="auto"/>
                    </w:rPr>
                    <w:t>对区内蕴藏的矿产资源，要引进先进的开采技术和管理经验，实施绿色开采和积极开展矿山的生态恢复。</w:t>
                  </w:r>
                </w:p>
              </w:tc>
              <w:tc>
                <w:tcPr>
                  <w:tcW w:w="2309" w:type="pct"/>
                  <w:vAlign w:val="center"/>
                </w:tcPr>
                <w:p>
                  <w:pPr>
                    <w:autoSpaceDE w:val="0"/>
                    <w:autoSpaceDN w:val="0"/>
                    <w:adjustRightInd w:val="0"/>
                    <w:snapToGrid w:val="0"/>
                    <w:spacing w:line="360" w:lineRule="exact"/>
                    <w:rPr>
                      <w:color w:val="auto"/>
                    </w:rPr>
                  </w:pPr>
                  <w:r>
                    <w:rPr>
                      <w:rFonts w:hint="eastAsia"/>
                      <w:color w:val="auto"/>
                    </w:rPr>
                    <w:t>本项目不属于矿山开采项目。</w:t>
                  </w:r>
                </w:p>
              </w:tc>
            </w:tr>
          </w:tbl>
          <w:p>
            <w:pPr>
              <w:autoSpaceDE w:val="0"/>
              <w:autoSpaceDN w:val="0"/>
              <w:adjustRightInd w:val="0"/>
              <w:snapToGrid w:val="0"/>
              <w:spacing w:line="480" w:lineRule="exact"/>
              <w:ind w:firstLine="480" w:firstLineChars="200"/>
              <w:rPr>
                <w:color w:val="auto"/>
                <w:kern w:val="0"/>
                <w:sz w:val="24"/>
              </w:rPr>
            </w:pPr>
            <w:r>
              <w:rPr>
                <w:rFonts w:hint="eastAsia"/>
                <w:color w:val="auto"/>
                <w:sz w:val="24"/>
              </w:rPr>
              <w:t>综上所述，本项目</w:t>
            </w:r>
            <w:r>
              <w:rPr>
                <w:rFonts w:hint="eastAsia"/>
                <w:bCs/>
                <w:color w:val="auto"/>
                <w:sz w:val="24"/>
              </w:rPr>
              <w:t>不违背</w:t>
            </w:r>
            <w:r>
              <w:rPr>
                <w:rFonts w:hint="eastAsia"/>
                <w:color w:val="auto"/>
                <w:kern w:val="0"/>
                <w:sz w:val="24"/>
              </w:rPr>
              <w:t>于Ⅲ4繁峙县东南部水源涵养与生物多样性保护生态功能小区保护措施的要求。</w:t>
            </w:r>
          </w:p>
          <w:p>
            <w:pPr>
              <w:spacing w:line="480" w:lineRule="exact"/>
              <w:ind w:firstLine="482" w:firstLineChars="200"/>
              <w:rPr>
                <w:b/>
                <w:color w:val="auto"/>
                <w:sz w:val="24"/>
              </w:rPr>
            </w:pPr>
            <w:r>
              <w:rPr>
                <w:rFonts w:hint="eastAsia"/>
                <w:b/>
                <w:bCs/>
                <w:color w:val="auto"/>
                <w:sz w:val="24"/>
              </w:rPr>
              <w:t>4、</w:t>
            </w:r>
            <w:r>
              <w:rPr>
                <w:rFonts w:hint="eastAsia" w:ascii="宋体" w:hAnsi="宋体" w:cs="宋体"/>
                <w:b/>
                <w:bCs/>
                <w:color w:val="auto"/>
                <w:kern w:val="0"/>
                <w:sz w:val="24"/>
              </w:rPr>
              <w:t>繁峙县生态经济区划</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根据《繁峙县生态经济区划》，项目区位于Ⅲ重点开发区中Ⅲ2繁峙县东南部生态工业经济区；该区位于繁峙县的东部，包括神堂堡乡、横涧乡、大营镇、柏家庄乡的东南角总面积约714.5km</w:t>
            </w:r>
            <w:r>
              <w:rPr>
                <w:rFonts w:hint="eastAsia"/>
                <w:color w:val="auto"/>
                <w:kern w:val="0"/>
                <w:sz w:val="24"/>
                <w:vertAlign w:val="superscript"/>
              </w:rPr>
              <w:t>2</w:t>
            </w:r>
            <w:r>
              <w:rPr>
                <w:rFonts w:hint="eastAsia"/>
                <w:color w:val="auto"/>
                <w:kern w:val="0"/>
                <w:sz w:val="24"/>
              </w:rPr>
              <w:t>。</w:t>
            </w:r>
          </w:p>
          <w:p>
            <w:pPr>
              <w:autoSpaceDE w:val="0"/>
              <w:autoSpaceDN w:val="0"/>
              <w:adjustRightInd w:val="0"/>
              <w:snapToGrid w:val="0"/>
              <w:spacing w:line="480" w:lineRule="exact"/>
              <w:ind w:firstLine="480" w:firstLineChars="200"/>
              <w:rPr>
                <w:color w:val="auto"/>
                <w:sz w:val="24"/>
              </w:rPr>
            </w:pPr>
            <w:r>
              <w:rPr>
                <w:rFonts w:hint="eastAsia"/>
                <w:color w:val="auto"/>
                <w:sz w:val="24"/>
              </w:rPr>
              <w:t>本项目与</w:t>
            </w:r>
            <w:r>
              <w:rPr>
                <w:rFonts w:hint="eastAsia"/>
                <w:color w:val="auto"/>
                <w:kern w:val="0"/>
                <w:sz w:val="24"/>
              </w:rPr>
              <w:t>Ⅲ2繁峙县东南部生态工业经济区的发展方向和生态环境保护要求的符合性分析见下表。本项目与繁峙县生态经济区划相对位置见附图9。</w:t>
            </w:r>
          </w:p>
          <w:p>
            <w:pPr>
              <w:autoSpaceDE w:val="0"/>
              <w:autoSpaceDN w:val="0"/>
              <w:adjustRightInd w:val="0"/>
              <w:snapToGrid w:val="0"/>
              <w:spacing w:line="480" w:lineRule="exact"/>
              <w:jc w:val="center"/>
              <w:rPr>
                <w:rFonts w:ascii="黑体" w:hAnsi="黑体" w:eastAsia="黑体" w:cs="宋体"/>
                <w:bCs/>
                <w:color w:val="auto"/>
                <w:kern w:val="0"/>
                <w:sz w:val="32"/>
                <w:szCs w:val="32"/>
              </w:rPr>
            </w:pPr>
            <w:r>
              <w:rPr>
                <w:rFonts w:hint="eastAsia" w:ascii="黑体" w:hAnsi="黑体" w:eastAsia="黑体"/>
                <w:bCs/>
                <w:color w:val="auto"/>
                <w:sz w:val="24"/>
              </w:rPr>
              <w:t>表1-6  与繁峙县Ⅲ2经济小区发展方向和保护措施的符合性分析一览表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155"/>
              <w:gridCol w:w="3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pPr>
                    <w:autoSpaceDE w:val="0"/>
                    <w:autoSpaceDN w:val="0"/>
                    <w:adjustRightInd w:val="0"/>
                    <w:snapToGrid w:val="0"/>
                    <w:spacing w:line="360" w:lineRule="exact"/>
                    <w:jc w:val="center"/>
                    <w:rPr>
                      <w:color w:val="auto"/>
                    </w:rPr>
                  </w:pPr>
                  <w:r>
                    <w:rPr>
                      <w:rFonts w:hint="eastAsia"/>
                      <w:color w:val="auto"/>
                    </w:rPr>
                    <w:t>序号</w:t>
                  </w:r>
                </w:p>
              </w:tc>
              <w:tc>
                <w:tcPr>
                  <w:tcW w:w="2429" w:type="pct"/>
                  <w:vAlign w:val="center"/>
                </w:tcPr>
                <w:p>
                  <w:pPr>
                    <w:autoSpaceDE w:val="0"/>
                    <w:autoSpaceDN w:val="0"/>
                    <w:adjustRightInd w:val="0"/>
                    <w:snapToGrid w:val="0"/>
                    <w:spacing w:line="360" w:lineRule="exact"/>
                    <w:jc w:val="center"/>
                    <w:rPr>
                      <w:color w:val="auto"/>
                    </w:rPr>
                  </w:pPr>
                  <w:r>
                    <w:rPr>
                      <w:rFonts w:hint="eastAsia"/>
                      <w:color w:val="auto"/>
                    </w:rPr>
                    <w:t>Ⅲ2繁峙县东南部生态工业经济区的发展方向和生态环境保护要求</w:t>
                  </w:r>
                </w:p>
              </w:tc>
              <w:tc>
                <w:tcPr>
                  <w:tcW w:w="2316" w:type="pct"/>
                  <w:vAlign w:val="center"/>
                </w:tcPr>
                <w:p>
                  <w:pPr>
                    <w:autoSpaceDE w:val="0"/>
                    <w:autoSpaceDN w:val="0"/>
                    <w:adjustRightInd w:val="0"/>
                    <w:snapToGrid w:val="0"/>
                    <w:spacing w:line="360" w:lineRule="exact"/>
                    <w:jc w:val="center"/>
                    <w:rPr>
                      <w:color w:val="auto"/>
                    </w:rPr>
                  </w:pPr>
                  <w:r>
                    <w:rPr>
                      <w:rFonts w:hint="eastAsia"/>
                      <w:color w:val="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vAlign w:val="center"/>
                </w:tcPr>
                <w:p>
                  <w:pPr>
                    <w:autoSpaceDE w:val="0"/>
                    <w:autoSpaceDN w:val="0"/>
                    <w:adjustRightInd w:val="0"/>
                    <w:snapToGrid w:val="0"/>
                    <w:spacing w:line="360" w:lineRule="exact"/>
                    <w:jc w:val="center"/>
                    <w:rPr>
                      <w:color w:val="auto"/>
                    </w:rPr>
                  </w:pPr>
                  <w:r>
                    <w:rPr>
                      <w:rFonts w:hint="eastAsia"/>
                      <w:color w:val="auto"/>
                    </w:rPr>
                    <w:t>发展方向</w:t>
                  </w:r>
                </w:p>
              </w:tc>
              <w:tc>
                <w:tcPr>
                  <w:tcW w:w="2429" w:type="pct"/>
                  <w:vAlign w:val="center"/>
                </w:tcPr>
                <w:p>
                  <w:pPr>
                    <w:autoSpaceDE w:val="0"/>
                    <w:autoSpaceDN w:val="0"/>
                    <w:adjustRightInd w:val="0"/>
                    <w:snapToGrid w:val="0"/>
                    <w:spacing w:line="360" w:lineRule="exact"/>
                    <w:rPr>
                      <w:color w:val="auto"/>
                    </w:rPr>
                  </w:pPr>
                  <w:r>
                    <w:rPr>
                      <w:rFonts w:hint="eastAsia"/>
                      <w:color w:val="auto"/>
                    </w:rPr>
                    <w:t>鼓励：发展生态型、清洁型铁矿资源的开采以及选矿业。</w:t>
                  </w:r>
                </w:p>
              </w:tc>
              <w:tc>
                <w:tcPr>
                  <w:tcW w:w="2316" w:type="pct"/>
                  <w:vMerge w:val="restar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本项目不属于铁矿开采及选矿业；不属于区域</w:t>
                  </w:r>
                  <w:r>
                    <w:rPr>
                      <w:rFonts w:hint="eastAsia" w:cs="宋体"/>
                      <w:color w:val="auto"/>
                      <w:kern w:val="0"/>
                      <w:lang w:eastAsia="zh-CN"/>
                    </w:rPr>
                    <w:t>限制</w:t>
                  </w:r>
                  <w:r>
                    <w:rPr>
                      <w:rFonts w:hint="eastAsia" w:cs="宋体"/>
                      <w:color w:val="auto"/>
                      <w:kern w:val="0"/>
                    </w:rPr>
                    <w:t>及禁止的行业。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pPr>
                    <w:autoSpaceDE w:val="0"/>
                    <w:autoSpaceDN w:val="0"/>
                    <w:adjustRightInd w:val="0"/>
                    <w:snapToGrid w:val="0"/>
                    <w:spacing w:line="360" w:lineRule="exact"/>
                    <w:jc w:val="center"/>
                    <w:rPr>
                      <w:color w:val="auto"/>
                    </w:rPr>
                  </w:pPr>
                </w:p>
              </w:tc>
              <w:tc>
                <w:tcPr>
                  <w:tcW w:w="2429" w:type="pct"/>
                  <w:vAlign w:val="center"/>
                </w:tcPr>
                <w:p>
                  <w:pPr>
                    <w:autoSpaceDE w:val="0"/>
                    <w:autoSpaceDN w:val="0"/>
                    <w:adjustRightInd w:val="0"/>
                    <w:snapToGrid w:val="0"/>
                    <w:spacing w:line="360" w:lineRule="exact"/>
                    <w:rPr>
                      <w:color w:val="auto"/>
                    </w:rPr>
                  </w:pPr>
                  <w:r>
                    <w:rPr>
                      <w:rFonts w:hint="eastAsia"/>
                      <w:color w:val="auto"/>
                    </w:rPr>
                    <w:t>限制：/</w:t>
                  </w:r>
                </w:p>
                <w:p>
                  <w:pPr>
                    <w:autoSpaceDE w:val="0"/>
                    <w:autoSpaceDN w:val="0"/>
                    <w:adjustRightInd w:val="0"/>
                    <w:snapToGrid w:val="0"/>
                    <w:spacing w:line="360" w:lineRule="exact"/>
                    <w:rPr>
                      <w:color w:val="auto"/>
                    </w:rPr>
                  </w:pPr>
                  <w:r>
                    <w:rPr>
                      <w:rFonts w:hint="eastAsia"/>
                      <w:color w:val="auto"/>
                    </w:rPr>
                    <w:t>禁止：/</w:t>
                  </w:r>
                </w:p>
              </w:tc>
              <w:tc>
                <w:tcPr>
                  <w:tcW w:w="2316" w:type="pct"/>
                  <w:vMerge w:val="continue"/>
                  <w:vAlign w:val="center"/>
                </w:tcPr>
                <w:p>
                  <w:pPr>
                    <w:autoSpaceDE w:val="0"/>
                    <w:autoSpaceDN w:val="0"/>
                    <w:adjustRightInd w:val="0"/>
                    <w:snapToGrid w:val="0"/>
                    <w:spacing w:line="360" w:lineRule="exac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pPr>
                    <w:autoSpaceDE w:val="0"/>
                    <w:autoSpaceDN w:val="0"/>
                    <w:adjustRightInd w:val="0"/>
                    <w:snapToGrid w:val="0"/>
                    <w:spacing w:line="360" w:lineRule="exact"/>
                    <w:jc w:val="center"/>
                    <w:rPr>
                      <w:color w:val="auto"/>
                    </w:rPr>
                  </w:pPr>
                  <w:r>
                    <w:rPr>
                      <w:rFonts w:hint="eastAsia"/>
                      <w:color w:val="auto"/>
                    </w:rPr>
                    <w:t>生态环境保护要求</w:t>
                  </w:r>
                </w:p>
              </w:tc>
              <w:tc>
                <w:tcPr>
                  <w:tcW w:w="2429" w:type="pct"/>
                  <w:vAlign w:val="center"/>
                </w:tcPr>
                <w:p>
                  <w:pPr>
                    <w:autoSpaceDE w:val="0"/>
                    <w:autoSpaceDN w:val="0"/>
                    <w:adjustRightInd w:val="0"/>
                    <w:snapToGrid w:val="0"/>
                    <w:spacing w:line="360" w:lineRule="exact"/>
                    <w:rPr>
                      <w:color w:val="auto"/>
                    </w:rPr>
                  </w:pPr>
                  <w:r>
                    <w:rPr>
                      <w:rFonts w:hint="eastAsia"/>
                      <w:color w:val="auto"/>
                    </w:rPr>
                    <w:t>对小区内蕴藏的矿产资源的开发要制定开发与保护规划，指导区域矿业可持续开发；引进先进的开采技术和管理经验，实施绿色开采和管理经验，实施绿色开采和积极开展矿山的生态恢复；铁矿加工业应完善环保设施的建设与监管，控制废气、废水、固废等对周围环境的影响。</w:t>
                  </w:r>
                </w:p>
              </w:tc>
              <w:tc>
                <w:tcPr>
                  <w:tcW w:w="2316" w:type="pct"/>
                  <w:vAlign w:val="center"/>
                </w:tcPr>
                <w:p>
                  <w:pPr>
                    <w:autoSpaceDE w:val="0"/>
                    <w:autoSpaceDN w:val="0"/>
                    <w:adjustRightInd w:val="0"/>
                    <w:snapToGrid w:val="0"/>
                    <w:spacing w:line="360" w:lineRule="exact"/>
                    <w:rPr>
                      <w:color w:val="auto"/>
                    </w:rPr>
                  </w:pPr>
                  <w:r>
                    <w:rPr>
                      <w:rFonts w:hint="eastAsia" w:cs="宋体"/>
                      <w:color w:val="auto"/>
                      <w:kern w:val="0"/>
                    </w:rPr>
                    <w:t>本项目不属于铁矿开采及选矿业；本项目采用全封闭储煤棚，全厂及道路进行了硬化处理，设置有覆盖全储煤棚的喷雾抑尘设施、洗车平台、初期雨水池等环保设施；项目落实了生态环境保护基本要求，执行国家及我省相关产业准入、总量控制、排放标准等管理规定。</w:t>
                  </w:r>
                </w:p>
              </w:tc>
            </w:tr>
          </w:tbl>
          <w:p>
            <w:pPr>
              <w:autoSpaceDE w:val="0"/>
              <w:autoSpaceDN w:val="0"/>
              <w:adjustRightInd w:val="0"/>
              <w:snapToGrid w:val="0"/>
              <w:spacing w:line="480" w:lineRule="exact"/>
              <w:ind w:firstLine="480" w:firstLineChars="200"/>
              <w:rPr>
                <w:color w:val="auto"/>
                <w:kern w:val="0"/>
                <w:sz w:val="24"/>
              </w:rPr>
            </w:pPr>
            <w:r>
              <w:rPr>
                <w:rFonts w:hint="eastAsia"/>
                <w:color w:val="auto"/>
                <w:sz w:val="24"/>
              </w:rPr>
              <w:t>综上所述，本项目</w:t>
            </w:r>
            <w:r>
              <w:rPr>
                <w:rFonts w:hint="eastAsia"/>
                <w:bCs/>
                <w:color w:val="auto"/>
                <w:sz w:val="24"/>
              </w:rPr>
              <w:t>不违背</w:t>
            </w:r>
            <w:r>
              <w:rPr>
                <w:rFonts w:hint="eastAsia"/>
                <w:color w:val="auto"/>
                <w:kern w:val="0"/>
                <w:sz w:val="24"/>
              </w:rPr>
              <w:t>Ⅲ2繁峙县东南部生态工业经济区</w:t>
            </w:r>
            <w:r>
              <w:rPr>
                <w:rFonts w:hint="eastAsia"/>
                <w:bCs/>
                <w:color w:val="auto"/>
                <w:sz w:val="24"/>
              </w:rPr>
              <w:t>的发展方向和生态环境保护要求</w:t>
            </w:r>
            <w:r>
              <w:rPr>
                <w:rFonts w:hint="eastAsia"/>
                <w:color w:val="auto"/>
                <w:kern w:val="0"/>
                <w:sz w:val="24"/>
              </w:rPr>
              <w:t>。</w:t>
            </w:r>
          </w:p>
          <w:p>
            <w:pPr>
              <w:spacing w:line="480" w:lineRule="exact"/>
              <w:ind w:firstLine="482" w:firstLineChars="200"/>
              <w:rPr>
                <w:b/>
                <w:color w:val="auto"/>
                <w:sz w:val="24"/>
              </w:rPr>
            </w:pPr>
            <w:r>
              <w:rPr>
                <w:rFonts w:hint="eastAsia"/>
                <w:b/>
                <w:bCs/>
                <w:color w:val="auto"/>
                <w:sz w:val="24"/>
              </w:rPr>
              <w:t>5、与《山西省推进运输结构调整实施方案》的符合性分析</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山西省人民政府办公厅于2019年5月7日印发了《山西省推进运输结构调整实施方案》（晋政办发</w:t>
            </w:r>
            <w:r>
              <w:rPr>
                <w:rFonts w:hint="eastAsia"/>
                <w:color w:val="auto"/>
                <w:kern w:val="0"/>
                <w:sz w:val="24"/>
                <w:lang w:eastAsia="zh-CN"/>
              </w:rPr>
              <w:t>〔</w:t>
            </w:r>
            <w:r>
              <w:rPr>
                <w:rFonts w:hint="eastAsia"/>
                <w:color w:val="auto"/>
                <w:kern w:val="0"/>
                <w:sz w:val="24"/>
              </w:rPr>
              <w:t>2019</w:t>
            </w:r>
            <w:r>
              <w:rPr>
                <w:rFonts w:hint="eastAsia"/>
                <w:color w:val="auto"/>
                <w:kern w:val="0"/>
                <w:sz w:val="24"/>
                <w:lang w:eastAsia="zh-CN"/>
              </w:rPr>
              <w:t>〕</w:t>
            </w:r>
            <w:r>
              <w:rPr>
                <w:rFonts w:hint="eastAsia"/>
                <w:color w:val="auto"/>
                <w:kern w:val="0"/>
                <w:sz w:val="24"/>
              </w:rPr>
              <w:t>30号），本次环评对该文件中与本项目的相关要求符合性分析如下：</w:t>
            </w:r>
          </w:p>
          <w:p>
            <w:pPr>
              <w:autoSpaceDE w:val="0"/>
              <w:autoSpaceDN w:val="0"/>
              <w:adjustRightInd w:val="0"/>
              <w:snapToGrid w:val="0"/>
              <w:spacing w:line="480" w:lineRule="exact"/>
              <w:jc w:val="center"/>
              <w:rPr>
                <w:rFonts w:ascii="黑体" w:hAnsi="黑体" w:eastAsia="黑体" w:cs="宋体"/>
                <w:bCs/>
                <w:color w:val="auto"/>
                <w:kern w:val="0"/>
                <w:sz w:val="32"/>
                <w:szCs w:val="32"/>
              </w:rPr>
            </w:pPr>
            <w:r>
              <w:rPr>
                <w:rFonts w:hint="eastAsia" w:ascii="黑体" w:hAnsi="黑体" w:eastAsia="黑体"/>
                <w:bCs/>
                <w:color w:val="auto"/>
                <w:sz w:val="24"/>
              </w:rPr>
              <w:t>表1-7  与《山西省推进运输结构调整实施方案》相关要求符合性分析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984"/>
              <w:gridCol w:w="3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autoSpaceDE w:val="0"/>
                    <w:autoSpaceDN w:val="0"/>
                    <w:adjustRightInd w:val="0"/>
                    <w:snapToGrid w:val="0"/>
                    <w:spacing w:line="360" w:lineRule="exact"/>
                    <w:jc w:val="center"/>
                    <w:rPr>
                      <w:color w:val="auto"/>
                    </w:rPr>
                  </w:pPr>
                  <w:r>
                    <w:rPr>
                      <w:rFonts w:hint="eastAsia"/>
                      <w:color w:val="auto"/>
                    </w:rPr>
                    <w:t>序号</w:t>
                  </w:r>
                </w:p>
              </w:tc>
              <w:tc>
                <w:tcPr>
                  <w:tcW w:w="2329" w:type="pct"/>
                  <w:vAlign w:val="center"/>
                </w:tcPr>
                <w:p>
                  <w:pPr>
                    <w:autoSpaceDE w:val="0"/>
                    <w:autoSpaceDN w:val="0"/>
                    <w:adjustRightInd w:val="0"/>
                    <w:snapToGrid w:val="0"/>
                    <w:spacing w:line="360" w:lineRule="exact"/>
                    <w:jc w:val="center"/>
                    <w:rPr>
                      <w:color w:val="auto"/>
                    </w:rPr>
                  </w:pPr>
                  <w:r>
                    <w:rPr>
                      <w:rFonts w:hint="eastAsia"/>
                      <w:color w:val="auto"/>
                    </w:rPr>
                    <w:t>《山西省推进运输结构调整实施方案》</w:t>
                  </w:r>
                </w:p>
              </w:tc>
              <w:tc>
                <w:tcPr>
                  <w:tcW w:w="2230" w:type="pct"/>
                  <w:vAlign w:val="center"/>
                </w:tcPr>
                <w:p>
                  <w:pPr>
                    <w:autoSpaceDE w:val="0"/>
                    <w:autoSpaceDN w:val="0"/>
                    <w:adjustRightInd w:val="0"/>
                    <w:snapToGrid w:val="0"/>
                    <w:spacing w:line="360" w:lineRule="exact"/>
                    <w:jc w:val="center"/>
                    <w:rPr>
                      <w:color w:val="auto"/>
                    </w:rPr>
                  </w:pPr>
                  <w:r>
                    <w:rPr>
                      <w:rFonts w:hint="eastAsia"/>
                      <w:color w:val="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autoSpaceDE w:val="0"/>
                    <w:autoSpaceDN w:val="0"/>
                    <w:adjustRightInd w:val="0"/>
                    <w:snapToGrid w:val="0"/>
                    <w:spacing w:line="360" w:lineRule="exact"/>
                    <w:jc w:val="center"/>
                    <w:rPr>
                      <w:color w:val="auto"/>
                    </w:rPr>
                  </w:pPr>
                  <w:r>
                    <w:rPr>
                      <w:rFonts w:hint="eastAsia"/>
                      <w:color w:val="auto"/>
                    </w:rPr>
                    <w:t>工作目标</w:t>
                  </w:r>
                </w:p>
              </w:tc>
              <w:tc>
                <w:tcPr>
                  <w:tcW w:w="2329" w:type="pct"/>
                  <w:vAlign w:val="center"/>
                </w:tcPr>
                <w:p>
                  <w:pPr>
                    <w:autoSpaceDE w:val="0"/>
                    <w:autoSpaceDN w:val="0"/>
                    <w:adjustRightInd w:val="0"/>
                    <w:snapToGrid w:val="0"/>
                    <w:spacing w:line="360" w:lineRule="exact"/>
                    <w:rPr>
                      <w:color w:val="auto"/>
                    </w:rPr>
                  </w:pPr>
                  <w:r>
                    <w:rPr>
                      <w:color w:val="auto"/>
                    </w:rPr>
                    <w:t>全省重点煤矿企业全部接入铁路专用线</w:t>
                  </w:r>
                  <w:r>
                    <w:rPr>
                      <w:rFonts w:hint="eastAsia"/>
                      <w:color w:val="auto"/>
                    </w:rPr>
                    <w:t>，</w:t>
                  </w:r>
                  <w:r>
                    <w:rPr>
                      <w:color w:val="auto"/>
                    </w:rPr>
                    <w:t>煤炭、焦炭铁路运输比例达到80%以上</w:t>
                  </w:r>
                  <w:r>
                    <w:rPr>
                      <w:rFonts w:hint="eastAsia"/>
                      <w:color w:val="auto"/>
                    </w:rPr>
                    <w:t>，</w:t>
                  </w:r>
                  <w:r>
                    <w:rPr>
                      <w:color w:val="auto"/>
                    </w:rPr>
                    <w:t>出省煤炭、焦炭基本上全部采用铁路运输。钢铁、电解铝、电力、焦化等重点工业企业铁路专用线接入比例达到80%以上</w:t>
                  </w:r>
                  <w:r>
                    <w:rPr>
                      <w:rFonts w:hint="eastAsia"/>
                      <w:color w:val="auto"/>
                    </w:rPr>
                    <w:t>；</w:t>
                  </w:r>
                  <w:r>
                    <w:rPr>
                      <w:color w:val="auto"/>
                    </w:rPr>
                    <w:t>重点区域具有铁路专用线的大型工矿企业和新建物流园区</w:t>
                  </w:r>
                  <w:r>
                    <w:rPr>
                      <w:rFonts w:hint="eastAsia"/>
                      <w:color w:val="auto"/>
                    </w:rPr>
                    <w:t>，</w:t>
                  </w:r>
                  <w:r>
                    <w:rPr>
                      <w:color w:val="auto"/>
                    </w:rPr>
                    <w:t>大宗货物铁路运输比例达到80%以上。</w:t>
                  </w:r>
                </w:p>
              </w:tc>
              <w:tc>
                <w:tcPr>
                  <w:tcW w:w="2230" w:type="pct"/>
                  <w:vMerge w:val="restart"/>
                  <w:vAlign w:val="center"/>
                </w:tcPr>
                <w:p>
                  <w:pPr>
                    <w:autoSpaceDE w:val="0"/>
                    <w:autoSpaceDN w:val="0"/>
                    <w:adjustRightInd w:val="0"/>
                    <w:snapToGrid w:val="0"/>
                    <w:spacing w:line="360" w:lineRule="exact"/>
                    <w:rPr>
                      <w:color w:val="auto"/>
                      <w:spacing w:val="6"/>
                    </w:rPr>
                  </w:pPr>
                  <w:r>
                    <w:rPr>
                      <w:rFonts w:hint="eastAsia"/>
                      <w:color w:val="auto"/>
                      <w:spacing w:val="6"/>
                    </w:rPr>
                    <w:t>本项目不属于</w:t>
                  </w:r>
                  <w:r>
                    <w:rPr>
                      <w:color w:val="auto"/>
                    </w:rPr>
                    <w:t>全省重点煤矿企业</w:t>
                  </w:r>
                  <w:r>
                    <w:rPr>
                      <w:rFonts w:hint="eastAsia"/>
                      <w:color w:val="auto"/>
                    </w:rPr>
                    <w:t>，不属于</w:t>
                  </w:r>
                  <w:r>
                    <w:rPr>
                      <w:color w:val="auto"/>
                    </w:rPr>
                    <w:t>钢铁、电解铝、电力、焦化等重点工业企业</w:t>
                  </w:r>
                  <w:r>
                    <w:rPr>
                      <w:rFonts w:hint="eastAsia"/>
                      <w:color w:val="auto"/>
                    </w:rPr>
                    <w:t>，且繁峙县不属于京津冀及周边地区4市、汾渭平原4市和太原及周边“1+30”重点区域。</w:t>
                  </w:r>
                </w:p>
                <w:p>
                  <w:pPr>
                    <w:autoSpaceDE w:val="0"/>
                    <w:autoSpaceDN w:val="0"/>
                    <w:adjustRightInd w:val="0"/>
                    <w:snapToGrid w:val="0"/>
                    <w:spacing w:line="360" w:lineRule="exact"/>
                    <w:rPr>
                      <w:color w:val="auto"/>
                    </w:rPr>
                  </w:pPr>
                  <w:r>
                    <w:rPr>
                      <w:color w:val="auto"/>
                    </w:rPr>
                    <w:t>本项目来煤和售煤采用汽车及铁路运输；其中铁路运输依托忻州华茂钢铁股份有限公司铁路专用线，该铁路专用线距本项目约为13km；环评要求涉及公路运输车辆必须达到国六标准或采用新能源车辆</w:t>
                  </w:r>
                  <w:r>
                    <w:rPr>
                      <w:rFonts w:hint="eastAsia"/>
                      <w:color w:val="auto"/>
                    </w:rPr>
                    <w:t>；厂内非道路移动机械全部达到国三及以上排放标准或使用新能源机械。</w:t>
                  </w:r>
                </w:p>
                <w:p>
                  <w:pPr>
                    <w:autoSpaceDE w:val="0"/>
                    <w:autoSpaceDN w:val="0"/>
                    <w:adjustRightInd w:val="0"/>
                    <w:snapToGrid w:val="0"/>
                    <w:spacing w:line="360" w:lineRule="exact"/>
                    <w:rPr>
                      <w:color w:val="auto"/>
                    </w:rPr>
                  </w:pPr>
                  <w:r>
                    <w:rPr>
                      <w:color w:val="auto"/>
                    </w:rPr>
                    <w:t>繁峙县繁云富煤炭经销有限公司已与山西煤炭进出口集团河曲旧县露天煤业有限公司签订了煤炭购销合同，</w:t>
                  </w:r>
                  <w:r>
                    <w:rPr>
                      <w:rFonts w:hint="eastAsia"/>
                      <w:color w:val="auto"/>
                    </w:rPr>
                    <w:t>原煤经公路运输进入</w:t>
                  </w:r>
                  <w:r>
                    <w:rPr>
                      <w:rFonts w:hint="eastAsia"/>
                      <w:color w:val="auto"/>
                      <w:lang w:eastAsia="zh-CN"/>
                    </w:rPr>
                    <w:t>本项目</w:t>
                  </w:r>
                  <w:r>
                    <w:rPr>
                      <w:rFonts w:hint="eastAsia"/>
                      <w:color w:val="auto"/>
                    </w:rPr>
                    <w:t>厂区，在本厂区中转后再经铁路及公路销往外省市电厂。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autoSpaceDE w:val="0"/>
                    <w:autoSpaceDN w:val="0"/>
                    <w:adjustRightInd w:val="0"/>
                    <w:snapToGrid w:val="0"/>
                    <w:spacing w:line="360" w:lineRule="exact"/>
                    <w:jc w:val="center"/>
                    <w:rPr>
                      <w:color w:val="auto"/>
                    </w:rPr>
                  </w:pPr>
                  <w:r>
                    <w:rPr>
                      <w:color w:val="auto"/>
                    </w:rPr>
                    <w:t>重点任务</w:t>
                  </w:r>
                </w:p>
              </w:tc>
              <w:tc>
                <w:tcPr>
                  <w:tcW w:w="2329" w:type="pct"/>
                  <w:vAlign w:val="center"/>
                </w:tcPr>
                <w:p>
                  <w:pPr>
                    <w:autoSpaceDE w:val="0"/>
                    <w:autoSpaceDN w:val="0"/>
                    <w:adjustRightInd w:val="0"/>
                    <w:snapToGrid w:val="0"/>
                    <w:spacing w:line="360" w:lineRule="exact"/>
                    <w:rPr>
                      <w:color w:val="auto"/>
                    </w:rPr>
                  </w:pPr>
                  <w:r>
                    <w:rPr>
                      <w:color w:val="auto"/>
                    </w:rPr>
                    <w:t>全面推进煤炭(焦炭)、钢铁、电力、水泥、煤化工等大型工矿区企业以及大型物流园区、交易集散基地新建或改扩建铁路专用线</w:t>
                  </w:r>
                  <w:r>
                    <w:rPr>
                      <w:rFonts w:hint="eastAsia"/>
                      <w:color w:val="auto"/>
                    </w:rPr>
                    <w:t>，</w:t>
                  </w:r>
                  <w:r>
                    <w:rPr>
                      <w:color w:val="auto"/>
                    </w:rPr>
                    <w:t>进一步强化与铁路干线路网的衔接。全省大宗货物年货运量150万吨以上的大型工矿企业和新建物流园区</w:t>
                  </w:r>
                  <w:r>
                    <w:rPr>
                      <w:rFonts w:hint="eastAsia"/>
                      <w:color w:val="auto"/>
                    </w:rPr>
                    <w:t>，</w:t>
                  </w:r>
                  <w:r>
                    <w:rPr>
                      <w:color w:val="auto"/>
                    </w:rPr>
                    <w:t>原则上全部修建铁路专用线。新、改、扩建涉及大宗物料运输的建设项目</w:t>
                  </w:r>
                  <w:r>
                    <w:rPr>
                      <w:rFonts w:hint="eastAsia"/>
                      <w:color w:val="auto"/>
                    </w:rPr>
                    <w:t>，</w:t>
                  </w:r>
                  <w:r>
                    <w:rPr>
                      <w:color w:val="auto"/>
                    </w:rPr>
                    <w:t>原则上不得采用公路运输。具有铁路专用线的大型工矿企业和新建物流园区</w:t>
                  </w:r>
                  <w:r>
                    <w:rPr>
                      <w:rFonts w:hint="eastAsia"/>
                      <w:color w:val="auto"/>
                    </w:rPr>
                    <w:t>，</w:t>
                  </w:r>
                  <w:r>
                    <w:rPr>
                      <w:color w:val="auto"/>
                    </w:rPr>
                    <w:t>大宗货物铁路运输比例达到80%以上。</w:t>
                  </w:r>
                </w:p>
              </w:tc>
              <w:tc>
                <w:tcPr>
                  <w:tcW w:w="2230" w:type="pct"/>
                  <w:vMerge w:val="continue"/>
                  <w:vAlign w:val="center"/>
                </w:tcPr>
                <w:p>
                  <w:pPr>
                    <w:autoSpaceDE w:val="0"/>
                    <w:autoSpaceDN w:val="0"/>
                    <w:adjustRightInd w:val="0"/>
                    <w:snapToGrid w:val="0"/>
                    <w:spacing w:line="360" w:lineRule="exact"/>
                    <w:rPr>
                      <w:color w:val="auto"/>
                    </w:rPr>
                  </w:pPr>
                </w:p>
              </w:tc>
            </w:tr>
          </w:tbl>
          <w:p>
            <w:pPr>
              <w:autoSpaceDE w:val="0"/>
              <w:autoSpaceDN w:val="0"/>
              <w:adjustRightInd w:val="0"/>
              <w:snapToGrid w:val="0"/>
              <w:spacing w:line="480" w:lineRule="exact"/>
              <w:ind w:firstLine="480" w:firstLineChars="200"/>
              <w:rPr>
                <w:color w:val="auto"/>
                <w:kern w:val="0"/>
                <w:sz w:val="24"/>
              </w:rPr>
            </w:pPr>
            <w:r>
              <w:rPr>
                <w:rFonts w:hint="eastAsia"/>
                <w:color w:val="auto"/>
                <w:sz w:val="24"/>
              </w:rPr>
              <w:t>综上所述，本项目基本符合《山西省推进运输结构调整实施方案》中的相关要求。</w:t>
            </w:r>
          </w:p>
          <w:p>
            <w:pPr>
              <w:spacing w:line="480" w:lineRule="exact"/>
              <w:ind w:firstLine="482" w:firstLineChars="200"/>
              <w:rPr>
                <w:b/>
                <w:color w:val="auto"/>
                <w:sz w:val="24"/>
              </w:rPr>
            </w:pPr>
            <w:r>
              <w:rPr>
                <w:rFonts w:hint="eastAsia"/>
                <w:b/>
                <w:bCs/>
                <w:color w:val="auto"/>
                <w:sz w:val="24"/>
              </w:rPr>
              <w:t>6、与《忻州市空气质量巩固提升2021年行动计划》的符合性分析</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忻州市人民政府办公室于2021年5月27日印发了《忻州市空气质量巩固提升2021年行动计划》（忻政办发</w:t>
            </w:r>
            <w:r>
              <w:rPr>
                <w:rFonts w:hint="eastAsia"/>
                <w:color w:val="auto"/>
                <w:kern w:val="0"/>
                <w:sz w:val="24"/>
                <w:lang w:eastAsia="zh-CN"/>
              </w:rPr>
              <w:t>〔</w:t>
            </w:r>
            <w:r>
              <w:rPr>
                <w:rFonts w:hint="eastAsia"/>
                <w:color w:val="auto"/>
                <w:kern w:val="0"/>
                <w:sz w:val="24"/>
              </w:rPr>
              <w:t>2021</w:t>
            </w:r>
            <w:r>
              <w:rPr>
                <w:rFonts w:hint="eastAsia"/>
                <w:color w:val="auto"/>
                <w:kern w:val="0"/>
                <w:sz w:val="24"/>
                <w:lang w:eastAsia="zh-CN"/>
              </w:rPr>
              <w:t>〕</w:t>
            </w:r>
            <w:r>
              <w:rPr>
                <w:rFonts w:hint="eastAsia"/>
                <w:color w:val="auto"/>
                <w:kern w:val="0"/>
                <w:sz w:val="24"/>
              </w:rPr>
              <w:t>50号），本次环评对该文件中与本项目的相关要求符合性分析如下：</w:t>
            </w:r>
          </w:p>
          <w:p>
            <w:pPr>
              <w:autoSpaceDE w:val="0"/>
              <w:autoSpaceDN w:val="0"/>
              <w:adjustRightInd w:val="0"/>
              <w:snapToGrid w:val="0"/>
              <w:spacing w:line="480" w:lineRule="exact"/>
              <w:jc w:val="center"/>
              <w:rPr>
                <w:rFonts w:ascii="黑体" w:hAnsi="黑体" w:eastAsia="黑体" w:cs="宋体"/>
                <w:bCs/>
                <w:color w:val="auto"/>
                <w:kern w:val="0"/>
                <w:sz w:val="32"/>
                <w:szCs w:val="32"/>
              </w:rPr>
            </w:pPr>
            <w:r>
              <w:rPr>
                <w:rFonts w:hint="eastAsia" w:ascii="黑体" w:hAnsi="黑体" w:eastAsia="黑体"/>
                <w:bCs/>
                <w:color w:val="auto"/>
                <w:sz w:val="24"/>
              </w:rPr>
              <w:t>表1-8  与《忻州市空气质量巩固提升2021年行动计划》相关要求符合性分析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5021"/>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autoSpaceDE w:val="0"/>
                    <w:autoSpaceDN w:val="0"/>
                    <w:adjustRightInd w:val="0"/>
                    <w:snapToGrid w:val="0"/>
                    <w:spacing w:line="360" w:lineRule="exact"/>
                    <w:jc w:val="center"/>
                    <w:rPr>
                      <w:color w:val="auto"/>
                    </w:rPr>
                  </w:pPr>
                  <w:r>
                    <w:rPr>
                      <w:rFonts w:hint="eastAsia"/>
                      <w:color w:val="auto"/>
                    </w:rPr>
                    <w:t>序号</w:t>
                  </w:r>
                </w:p>
              </w:tc>
              <w:tc>
                <w:tcPr>
                  <w:tcW w:w="2935" w:type="pct"/>
                  <w:vAlign w:val="center"/>
                </w:tcPr>
                <w:p>
                  <w:pPr>
                    <w:autoSpaceDE w:val="0"/>
                    <w:autoSpaceDN w:val="0"/>
                    <w:adjustRightInd w:val="0"/>
                    <w:snapToGrid w:val="0"/>
                    <w:spacing w:line="360" w:lineRule="exact"/>
                    <w:jc w:val="center"/>
                    <w:rPr>
                      <w:color w:val="auto"/>
                    </w:rPr>
                  </w:pPr>
                  <w:r>
                    <w:rPr>
                      <w:rFonts w:hint="eastAsia"/>
                      <w:color w:val="auto"/>
                    </w:rPr>
                    <w:t>《忻州市空气质量巩固提升2021年行动计划》</w:t>
                  </w:r>
                </w:p>
              </w:tc>
              <w:tc>
                <w:tcPr>
                  <w:tcW w:w="1623" w:type="pct"/>
                  <w:vAlign w:val="center"/>
                </w:tcPr>
                <w:p>
                  <w:pPr>
                    <w:autoSpaceDE w:val="0"/>
                    <w:autoSpaceDN w:val="0"/>
                    <w:adjustRightInd w:val="0"/>
                    <w:snapToGrid w:val="0"/>
                    <w:spacing w:line="360" w:lineRule="exact"/>
                    <w:jc w:val="center"/>
                    <w:rPr>
                      <w:color w:val="auto"/>
                    </w:rPr>
                  </w:pPr>
                  <w:r>
                    <w:rPr>
                      <w:rFonts w:hint="eastAsia"/>
                      <w:color w:val="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autoSpaceDE w:val="0"/>
                    <w:autoSpaceDN w:val="0"/>
                    <w:adjustRightInd w:val="0"/>
                    <w:snapToGrid w:val="0"/>
                    <w:spacing w:line="360" w:lineRule="exact"/>
                    <w:jc w:val="center"/>
                    <w:rPr>
                      <w:color w:val="auto"/>
                    </w:rPr>
                  </w:pPr>
                  <w:r>
                    <w:rPr>
                      <w:color w:val="auto"/>
                    </w:rPr>
                    <w:t>加快推进散煤清洁替代</w:t>
                  </w:r>
                </w:p>
              </w:tc>
              <w:tc>
                <w:tcPr>
                  <w:tcW w:w="2935" w:type="pct"/>
                  <w:vAlign w:val="center"/>
                </w:tcPr>
                <w:p>
                  <w:pPr>
                    <w:autoSpaceDE w:val="0"/>
                    <w:autoSpaceDN w:val="0"/>
                    <w:adjustRightInd w:val="0"/>
                    <w:snapToGrid w:val="0"/>
                    <w:spacing w:line="360" w:lineRule="exact"/>
                    <w:rPr>
                      <w:color w:val="auto"/>
                    </w:rPr>
                  </w:pPr>
                  <w:r>
                    <w:rPr>
                      <w:color w:val="auto"/>
                    </w:rPr>
                    <w:t>继续扩大全市清洁取暖的覆盖面。各县（市、区）平原地区、川区谷地力争散煤基本清零，农村地区清洁覆盖率力争达60%以上，全力保障2022年北京冬奥会空气质量。各县（市、区）要对标目标任务，查遗补漏，尽快安排确村确户工作，制定2021年清洁取暖改造计划，并报市清洁取暖工作领导小组。各县（市、区）要早安排、早动工、早建成，确保采暖季如期取暖，解决采暖期散煤取暖污染问题。</w:t>
                  </w:r>
                </w:p>
              </w:tc>
              <w:tc>
                <w:tcPr>
                  <w:tcW w:w="1623"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本项目产品煤主要销往当地及外省市电厂，不售于民用。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restart"/>
                  <w:vAlign w:val="center"/>
                </w:tcPr>
                <w:p>
                  <w:pPr>
                    <w:autoSpaceDE w:val="0"/>
                    <w:autoSpaceDN w:val="0"/>
                    <w:adjustRightInd w:val="0"/>
                    <w:snapToGrid w:val="0"/>
                    <w:spacing w:line="360" w:lineRule="exact"/>
                    <w:jc w:val="center"/>
                    <w:rPr>
                      <w:color w:val="auto"/>
                    </w:rPr>
                  </w:pPr>
                  <w:r>
                    <w:rPr>
                      <w:color w:val="auto"/>
                    </w:rPr>
                    <w:t>全面推动运输结构调整</w:t>
                  </w:r>
                </w:p>
              </w:tc>
              <w:tc>
                <w:tcPr>
                  <w:tcW w:w="2935" w:type="pct"/>
                  <w:vAlign w:val="center"/>
                </w:tcPr>
                <w:p>
                  <w:pPr>
                    <w:autoSpaceDE w:val="0"/>
                    <w:autoSpaceDN w:val="0"/>
                    <w:adjustRightInd w:val="0"/>
                    <w:snapToGrid w:val="0"/>
                    <w:spacing w:line="360" w:lineRule="exact"/>
                    <w:rPr>
                      <w:color w:val="auto"/>
                    </w:rPr>
                  </w:pPr>
                  <w:r>
                    <w:rPr>
                      <w:color w:val="auto"/>
                    </w:rPr>
                    <w:t>大力推进“公转铁”。进一步扩大干线铁路运能供给，全面推进煤炭（焦炭）、钢铁、电力、水泥等大型工矿区企业以及大型物流园区、交易集散基地新建或改扩建铁路专用线。优化铁路运输组织，优先保障煤炭、焦炭、矿石、钢铁等大宗货物运力供给，完善铁路专用线共建共用机制。大力推广新能源车辆，开展城市绿色货运配送示范工程建设。</w:t>
                  </w:r>
                </w:p>
              </w:tc>
              <w:tc>
                <w:tcPr>
                  <w:tcW w:w="1623" w:type="pct"/>
                  <w:vMerge w:val="restart"/>
                  <w:vAlign w:val="center"/>
                </w:tcPr>
                <w:p>
                  <w:pPr>
                    <w:autoSpaceDE w:val="0"/>
                    <w:autoSpaceDN w:val="0"/>
                    <w:adjustRightInd w:val="0"/>
                    <w:snapToGrid w:val="0"/>
                    <w:spacing w:line="360" w:lineRule="exact"/>
                    <w:rPr>
                      <w:color w:val="auto"/>
                    </w:rPr>
                  </w:pPr>
                  <w:r>
                    <w:rPr>
                      <w:color w:val="auto"/>
                    </w:rPr>
                    <w:t>本项目来煤和售煤采用汽车及铁路运输；其中铁路运输依托忻州华茂钢铁股份有限公司铁路专用线，该铁路专用线距本项目约为13km；环评要求涉及公路运输车辆必须达到国六标准或采用新能源车辆</w:t>
                  </w:r>
                  <w:r>
                    <w:rPr>
                      <w:rFonts w:hint="eastAsia"/>
                      <w:color w:val="auto"/>
                    </w:rPr>
                    <w:t>；厂内非道路移动机械全部达到国三及以上排放标准或使用新能源机械。</w:t>
                  </w:r>
                </w:p>
                <w:p>
                  <w:pPr>
                    <w:autoSpaceDE w:val="0"/>
                    <w:autoSpaceDN w:val="0"/>
                    <w:adjustRightInd w:val="0"/>
                    <w:snapToGrid w:val="0"/>
                    <w:spacing w:line="360" w:lineRule="exact"/>
                    <w:rPr>
                      <w:color w:val="auto"/>
                    </w:rPr>
                  </w:pPr>
                  <w:r>
                    <w:rPr>
                      <w:color w:val="auto"/>
                    </w:rPr>
                    <w:t>繁峙县繁云富煤炭经销有限公司已与山西煤炭进出口集团河曲旧县露天煤业有限公司签订了煤炭购销合同，</w:t>
                  </w:r>
                  <w:r>
                    <w:rPr>
                      <w:rFonts w:hint="eastAsia"/>
                      <w:color w:val="auto"/>
                    </w:rPr>
                    <w:t>原煤经公路运输进入</w:t>
                  </w:r>
                  <w:r>
                    <w:rPr>
                      <w:rFonts w:hint="eastAsia"/>
                      <w:color w:val="auto"/>
                      <w:lang w:eastAsia="zh-CN"/>
                    </w:rPr>
                    <w:t>本项目</w:t>
                  </w:r>
                  <w:r>
                    <w:rPr>
                      <w:rFonts w:hint="eastAsia"/>
                      <w:color w:val="auto"/>
                    </w:rPr>
                    <w:t>厂区，在本厂区中转后再经铁路及公路销往外省市电厂。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autoSpaceDE w:val="0"/>
                    <w:autoSpaceDN w:val="0"/>
                    <w:adjustRightInd w:val="0"/>
                    <w:snapToGrid w:val="0"/>
                    <w:spacing w:line="360" w:lineRule="exact"/>
                    <w:jc w:val="center"/>
                    <w:rPr>
                      <w:color w:val="auto"/>
                    </w:rPr>
                  </w:pPr>
                </w:p>
              </w:tc>
              <w:tc>
                <w:tcPr>
                  <w:tcW w:w="2935" w:type="pct"/>
                  <w:vAlign w:val="center"/>
                </w:tcPr>
                <w:p>
                  <w:pPr>
                    <w:autoSpaceDE w:val="0"/>
                    <w:autoSpaceDN w:val="0"/>
                    <w:adjustRightInd w:val="0"/>
                    <w:snapToGrid w:val="0"/>
                    <w:spacing w:line="360" w:lineRule="exact"/>
                    <w:rPr>
                      <w:color w:val="auto"/>
                    </w:rPr>
                  </w:pPr>
                  <w:r>
                    <w:rPr>
                      <w:color w:val="auto"/>
                    </w:rPr>
                    <w:t>持续开展公路清洁运输。年货运量150万吨以上工业企业在完成铁路专用线建设前，涉及公路运输车辆2021年必须达到国五及以上标准，2022年起达到国六标准。其中，位于忻州市规划区的电力、焦化等行业企业，2021年10月1日起进出厂区大宗物料原则上全部采用铁路或管道、管状带式输送机等清洁方式运输，公路运输采用国六排放标准车辆或新能源车辆。不满足上述清洁运输要求的，重污染天气应急执行相应的错峰运输要求。初步建成“天地车人”一体化机动车排放监控系统建设，重点用车单位要规范建设视频门禁系统，并与市生态环境部门联网。</w:t>
                  </w:r>
                </w:p>
              </w:tc>
              <w:tc>
                <w:tcPr>
                  <w:tcW w:w="1623" w:type="pct"/>
                  <w:vMerge w:val="continue"/>
                  <w:vAlign w:val="center"/>
                </w:tcPr>
                <w:p>
                  <w:pPr>
                    <w:autoSpaceDE w:val="0"/>
                    <w:autoSpaceDN w:val="0"/>
                    <w:adjustRightInd w:val="0"/>
                    <w:snapToGrid w:val="0"/>
                    <w:spacing w:line="360" w:lineRule="exact"/>
                    <w:rPr>
                      <w:rFonts w:cs="宋体"/>
                      <w:color w:val="auto"/>
                      <w:kern w:val="0"/>
                    </w:rPr>
                  </w:pPr>
                </w:p>
              </w:tc>
            </w:tr>
          </w:tbl>
          <w:p>
            <w:pPr>
              <w:autoSpaceDE w:val="0"/>
              <w:autoSpaceDN w:val="0"/>
              <w:adjustRightInd w:val="0"/>
              <w:snapToGrid w:val="0"/>
              <w:spacing w:line="480" w:lineRule="exact"/>
              <w:ind w:firstLine="480" w:firstLineChars="200"/>
              <w:rPr>
                <w:color w:val="auto"/>
                <w:sz w:val="24"/>
              </w:rPr>
            </w:pPr>
            <w:r>
              <w:rPr>
                <w:rFonts w:hint="eastAsia"/>
                <w:color w:val="auto"/>
                <w:sz w:val="24"/>
              </w:rPr>
              <w:t>综上所述，本项目基本符合《忻州市空气质量巩固提升2021年行动计划》中的相关要求。</w:t>
            </w:r>
          </w:p>
          <w:p>
            <w:pPr>
              <w:spacing w:line="480" w:lineRule="exact"/>
              <w:ind w:firstLine="482" w:firstLineChars="200"/>
              <w:rPr>
                <w:b/>
                <w:color w:val="auto"/>
                <w:sz w:val="24"/>
              </w:rPr>
            </w:pPr>
            <w:r>
              <w:rPr>
                <w:rFonts w:hint="eastAsia"/>
                <w:b/>
                <w:bCs/>
                <w:color w:val="auto"/>
                <w:sz w:val="24"/>
              </w:rPr>
              <w:t>7、与忻州市、繁峙县禁煤区管控要求的符合性分析</w:t>
            </w:r>
          </w:p>
          <w:p>
            <w:pPr>
              <w:autoSpaceDE w:val="0"/>
              <w:autoSpaceDN w:val="0"/>
              <w:adjustRightInd w:val="0"/>
              <w:snapToGrid w:val="0"/>
              <w:spacing w:line="480" w:lineRule="exact"/>
              <w:ind w:firstLine="482" w:firstLineChars="200"/>
              <w:rPr>
                <w:b/>
                <w:bCs/>
                <w:color w:val="auto"/>
                <w:sz w:val="24"/>
              </w:rPr>
            </w:pPr>
            <w:r>
              <w:rPr>
                <w:rFonts w:hint="eastAsia"/>
                <w:b/>
                <w:bCs/>
                <w:color w:val="auto"/>
                <w:sz w:val="24"/>
              </w:rPr>
              <w:t>（1）忻州市禁煤区管控要求</w:t>
            </w:r>
          </w:p>
          <w:p>
            <w:pPr>
              <w:autoSpaceDE w:val="0"/>
              <w:autoSpaceDN w:val="0"/>
              <w:adjustRightInd w:val="0"/>
              <w:snapToGrid w:val="0"/>
              <w:spacing w:line="480" w:lineRule="exact"/>
              <w:ind w:firstLine="480" w:firstLineChars="200"/>
              <w:rPr>
                <w:color w:val="auto"/>
                <w:sz w:val="24"/>
              </w:rPr>
            </w:pPr>
            <w:r>
              <w:rPr>
                <w:rFonts w:hint="eastAsia"/>
                <w:color w:val="auto"/>
                <w:sz w:val="24"/>
              </w:rPr>
              <w:t>忻州市人民政府办公室于2020年4月3日发布了《忻州市打赢蓝天保卫战2020年决战计划》（忻政办发</w:t>
            </w:r>
            <w:r>
              <w:rPr>
                <w:rFonts w:hint="eastAsia"/>
                <w:color w:val="auto"/>
                <w:sz w:val="24"/>
                <w:lang w:eastAsia="zh-CN"/>
              </w:rPr>
              <w:t>〔</w:t>
            </w:r>
            <w:r>
              <w:rPr>
                <w:rFonts w:hint="eastAsia"/>
                <w:color w:val="auto"/>
                <w:sz w:val="24"/>
              </w:rPr>
              <w:t>2020</w:t>
            </w:r>
            <w:r>
              <w:rPr>
                <w:rFonts w:hint="eastAsia"/>
                <w:color w:val="auto"/>
                <w:sz w:val="24"/>
                <w:lang w:eastAsia="zh-CN"/>
              </w:rPr>
              <w:t>〕</w:t>
            </w:r>
            <w:r>
              <w:rPr>
                <w:rFonts w:hint="eastAsia"/>
                <w:color w:val="auto"/>
                <w:sz w:val="24"/>
              </w:rPr>
              <w:t>36号），该文件中要求：2020年10月底前，各县（市、区）建成区（包括城中村）全部划定为“禁煤区”，忻府区要进一步扩大“禁煤区”、“禁燃区”范围；严格落实“禁煤区”散煤禁烧规定，严厉查处“禁煤区”内散煤销售，依法清理“禁煤区”散煤及燃煤设施，防止散煤复烧。</w:t>
            </w:r>
          </w:p>
          <w:p>
            <w:pPr>
              <w:autoSpaceDE w:val="0"/>
              <w:autoSpaceDN w:val="0"/>
              <w:adjustRightInd w:val="0"/>
              <w:snapToGrid w:val="0"/>
              <w:spacing w:line="480" w:lineRule="exact"/>
              <w:ind w:firstLine="480" w:firstLineChars="200"/>
              <w:rPr>
                <w:color w:val="auto"/>
                <w:sz w:val="24"/>
              </w:rPr>
            </w:pPr>
            <w:r>
              <w:rPr>
                <w:rFonts w:hint="eastAsia"/>
                <w:color w:val="auto"/>
                <w:kern w:val="0"/>
                <w:sz w:val="24"/>
              </w:rPr>
              <w:t>忻州市人民政府办公室于2021年5月27日印发了《忻州市空气质量巩固提升2021年行动计划》（忻政办发</w:t>
            </w:r>
            <w:r>
              <w:rPr>
                <w:rFonts w:hint="eastAsia"/>
                <w:color w:val="auto"/>
                <w:kern w:val="0"/>
                <w:sz w:val="24"/>
                <w:lang w:eastAsia="zh-CN"/>
              </w:rPr>
              <w:t>〔</w:t>
            </w:r>
            <w:r>
              <w:rPr>
                <w:rFonts w:hint="eastAsia"/>
                <w:color w:val="auto"/>
                <w:kern w:val="0"/>
                <w:sz w:val="24"/>
              </w:rPr>
              <w:t>2021</w:t>
            </w:r>
            <w:r>
              <w:rPr>
                <w:rFonts w:hint="eastAsia"/>
                <w:color w:val="auto"/>
                <w:kern w:val="0"/>
                <w:sz w:val="24"/>
                <w:lang w:eastAsia="zh-CN"/>
              </w:rPr>
              <w:t>〕</w:t>
            </w:r>
            <w:r>
              <w:rPr>
                <w:rFonts w:hint="eastAsia"/>
                <w:color w:val="auto"/>
                <w:kern w:val="0"/>
                <w:sz w:val="24"/>
              </w:rPr>
              <w:t>50号），</w:t>
            </w:r>
            <w:r>
              <w:rPr>
                <w:rFonts w:hint="eastAsia"/>
                <w:color w:val="auto"/>
                <w:sz w:val="24"/>
              </w:rPr>
              <w:t>该文件中要求：清洁取暖改造已完成的区域，全部划定为“禁煤区”，并严格散煤禁烧管控。</w:t>
            </w:r>
          </w:p>
          <w:p>
            <w:pPr>
              <w:spacing w:line="480" w:lineRule="exact"/>
              <w:ind w:firstLine="482" w:firstLineChars="200"/>
              <w:rPr>
                <w:b/>
                <w:color w:val="auto"/>
                <w:sz w:val="24"/>
              </w:rPr>
            </w:pPr>
            <w:r>
              <w:rPr>
                <w:rFonts w:hint="eastAsia"/>
                <w:b/>
                <w:bCs/>
                <w:color w:val="auto"/>
                <w:sz w:val="24"/>
              </w:rPr>
              <w:t>（2）繁峙县禁煤区管控要求</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繁峙县人民政府于2021年10月9日发布了《关于进一步加强“禁煤区”管控的通告》（繁政通告字</w:t>
            </w:r>
            <w:r>
              <w:rPr>
                <w:rFonts w:hint="eastAsia"/>
                <w:color w:val="auto"/>
                <w:kern w:val="0"/>
                <w:sz w:val="24"/>
                <w:lang w:eastAsia="zh-CN"/>
              </w:rPr>
              <w:t>〔</w:t>
            </w:r>
            <w:r>
              <w:rPr>
                <w:rFonts w:hint="eastAsia"/>
                <w:color w:val="auto"/>
                <w:kern w:val="0"/>
                <w:sz w:val="24"/>
              </w:rPr>
              <w:t>2021</w:t>
            </w:r>
            <w:r>
              <w:rPr>
                <w:rFonts w:hint="eastAsia"/>
                <w:color w:val="auto"/>
                <w:kern w:val="0"/>
                <w:sz w:val="24"/>
                <w:lang w:eastAsia="zh-CN"/>
              </w:rPr>
              <w:t>〕</w:t>
            </w:r>
            <w:r>
              <w:rPr>
                <w:rFonts w:hint="eastAsia"/>
                <w:color w:val="auto"/>
                <w:kern w:val="0"/>
                <w:sz w:val="24"/>
              </w:rPr>
              <w:t>18号），根据该通告。</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繁峙县禁煤区范围包括：</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①县城建成区：北至108国道（不含108国道），南至滨河北大道，东至东环路，西至笔峰村村西。</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②各乡镇已实施清洁能源替代的行政村。</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“禁煤区”内实施禁燃、禁售、禁储、禁运的规定：</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①禁燃。禁煤区内所有企业、个体经营户和居民住户在日常生产经营、生活活动中禁止使用燃煤。凡集中供热未覆盖的行政事业单位、工商企业、居民住户、城中村住户，统筹实施天然气、电能、空气能、生物质、太阳能等清洁采暖方式。</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②禁售。全面取缔县域内所有非县政府规划的煤及煤制品经营摊点，严禁任何单位和个人违规采购、经营销售煤及煤制品。</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③禁储。禁止任何单位和个人违规储存、囤积煤及煤制品。</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④禁运。禁止任何单位和个人违规向“禁煤区”运输煤及煤制品。</w:t>
            </w:r>
          </w:p>
          <w:p>
            <w:pPr>
              <w:autoSpaceDE w:val="0"/>
              <w:autoSpaceDN w:val="0"/>
              <w:adjustRightInd w:val="0"/>
              <w:snapToGrid w:val="0"/>
              <w:spacing w:line="480" w:lineRule="exact"/>
              <w:ind w:firstLine="482" w:firstLineChars="200"/>
              <w:rPr>
                <w:rFonts w:ascii="宋体" w:hAnsi="宋体" w:cs="宋体"/>
                <w:color w:val="auto"/>
                <w:sz w:val="24"/>
                <w:szCs w:val="24"/>
                <w:lang w:bidi="ar"/>
              </w:rPr>
            </w:pPr>
            <w:r>
              <w:rPr>
                <w:b/>
                <w:bCs/>
                <w:color w:val="auto"/>
                <w:sz w:val="24"/>
                <w:szCs w:val="24"/>
                <w:lang w:bidi="ar"/>
              </w:rPr>
              <w:t>（3）</w:t>
            </w:r>
            <w:r>
              <w:rPr>
                <w:b/>
                <w:bCs/>
                <w:color w:val="auto"/>
                <w:sz w:val="24"/>
              </w:rPr>
              <w:t>与</w:t>
            </w:r>
            <w:r>
              <w:rPr>
                <w:rFonts w:hint="eastAsia"/>
                <w:b/>
                <w:bCs/>
                <w:color w:val="auto"/>
                <w:sz w:val="24"/>
              </w:rPr>
              <w:t>忻州市、繁峙县禁煤区管控要求的符合性分析</w:t>
            </w:r>
          </w:p>
          <w:p>
            <w:pPr>
              <w:autoSpaceDE w:val="0"/>
              <w:autoSpaceDN w:val="0"/>
              <w:adjustRightInd w:val="0"/>
              <w:snapToGrid w:val="0"/>
              <w:spacing w:line="480" w:lineRule="exact"/>
              <w:ind w:firstLine="480" w:firstLineChars="200"/>
              <w:rPr>
                <w:color w:val="auto"/>
                <w:sz w:val="24"/>
              </w:rPr>
            </w:pPr>
            <w:r>
              <w:rPr>
                <w:rFonts w:hint="eastAsia" w:ascii="宋体" w:hAnsi="宋体" w:cs="宋体"/>
                <w:color w:val="auto"/>
                <w:sz w:val="24"/>
                <w:szCs w:val="24"/>
                <w:lang w:bidi="ar"/>
              </w:rPr>
              <w:t>本项目选址不位于禁煤区内，</w:t>
            </w:r>
            <w:r>
              <w:rPr>
                <w:rFonts w:hint="eastAsia"/>
                <w:color w:val="auto"/>
                <w:kern w:val="0"/>
                <w:sz w:val="24"/>
              </w:rPr>
              <w:t>本项目产品煤主要销往当地及外省市电厂，不售于民用；本项目为储煤项目，对增强区域煤炭稳定供应和应急保障能力，落实《关于印发2022年山西省煤炭储备能力建设工作实施方案》（晋能源信监发</w:t>
            </w:r>
            <w:r>
              <w:rPr>
                <w:rFonts w:hint="eastAsia"/>
                <w:color w:val="auto"/>
                <w:kern w:val="0"/>
                <w:sz w:val="24"/>
                <w:lang w:eastAsia="zh-CN"/>
              </w:rPr>
              <w:t>〔</w:t>
            </w:r>
            <w:r>
              <w:rPr>
                <w:rFonts w:hint="eastAsia"/>
                <w:color w:val="auto"/>
                <w:kern w:val="0"/>
                <w:sz w:val="24"/>
              </w:rPr>
              <w:t>2022</w:t>
            </w:r>
            <w:r>
              <w:rPr>
                <w:rFonts w:hint="eastAsia"/>
                <w:color w:val="auto"/>
                <w:kern w:val="0"/>
                <w:sz w:val="24"/>
                <w:lang w:eastAsia="zh-CN"/>
              </w:rPr>
              <w:t>〕</w:t>
            </w:r>
            <w:r>
              <w:rPr>
                <w:rFonts w:hint="eastAsia"/>
                <w:color w:val="auto"/>
                <w:kern w:val="0"/>
                <w:sz w:val="24"/>
              </w:rPr>
              <w:t>204号）的要求具有重要意义；</w:t>
            </w:r>
            <w:r>
              <w:rPr>
                <w:rFonts w:hint="eastAsia"/>
                <w:bCs/>
                <w:color w:val="auto"/>
                <w:sz w:val="24"/>
              </w:rPr>
              <w:t>繁峙县行政审批服务管理局于2022年4月13日对本项目予以备案，项目代码：2204-140924-89-01-285138；繁峙县能源局于2022年4月14日以繁能源</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7号文对本项目申请煤炭储备能力建设原则同意上报；本项目不违背忻州市、繁峙县“禁煤区”管控的相关要求。</w:t>
            </w:r>
          </w:p>
          <w:p>
            <w:pPr>
              <w:spacing w:line="480" w:lineRule="exact"/>
              <w:ind w:firstLine="482" w:firstLineChars="200"/>
              <w:rPr>
                <w:b/>
                <w:color w:val="auto"/>
                <w:sz w:val="24"/>
              </w:rPr>
            </w:pPr>
            <w:r>
              <w:rPr>
                <w:rFonts w:hint="eastAsia"/>
                <w:b/>
                <w:bCs/>
                <w:color w:val="auto"/>
                <w:sz w:val="24"/>
              </w:rPr>
              <w:t>8、</w:t>
            </w:r>
            <w:r>
              <w:rPr>
                <w:rFonts w:hint="eastAsia" w:ascii="宋体" w:hAnsi="宋体" w:cs="宋体"/>
                <w:b/>
                <w:bCs/>
                <w:color w:val="auto"/>
                <w:kern w:val="0"/>
                <w:sz w:val="24"/>
              </w:rPr>
              <w:t>选址可行性分析</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color w:val="auto"/>
                <w:sz w:val="24"/>
                <w:szCs w:val="24"/>
                <w:lang w:bidi="ar"/>
              </w:rPr>
              <w:t>本项目位于</w:t>
            </w:r>
            <w:r>
              <w:rPr>
                <w:color w:val="auto"/>
                <w:kern w:val="0"/>
                <w:sz w:val="24"/>
              </w:rPr>
              <w:t>山西省忻州市繁峙县平型关镇云雾峪村，根据繁峙县土地利用现状图，本项目</w:t>
            </w:r>
            <w:r>
              <w:rPr>
                <w:color w:val="auto"/>
                <w:sz w:val="24"/>
                <w:szCs w:val="24"/>
                <w:lang w:bidi="ar"/>
              </w:rPr>
              <w:t>占地现状主要为其他草地、灌木林地、建设用地。繁峙县土地利用现状图见附图10。</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color w:val="auto"/>
                <w:sz w:val="24"/>
              </w:rPr>
              <w:t>根据山西省“三线一单”图集中的忻州市繁峙县综合管控单元图，本项目位于一般管控单元中的滹沱河下茹越控制单元，</w:t>
            </w:r>
            <w:r>
              <w:rPr>
                <w:rFonts w:hint="eastAsia"/>
                <w:color w:val="auto"/>
                <w:kern w:val="0"/>
                <w:sz w:val="24"/>
              </w:rPr>
              <w:t>通过与《忻州市“三线一单”生态环境分区管控实施方案》中生态环境总体准入清单、忻州市重点流域普适性生态环境准入清单的符合性分析可知，项目</w:t>
            </w:r>
            <w:r>
              <w:rPr>
                <w:rFonts w:hint="eastAsia" w:cs="宋体"/>
                <w:color w:val="auto"/>
                <w:kern w:val="0"/>
                <w:sz w:val="24"/>
              </w:rPr>
              <w:t>基本符合《忻州市“三线一单”生态环境分区管控实施方案》中生态环境总体准入清单、忻州市重点流域普适性生态环境准入清单的管控要求。</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color w:val="auto"/>
                <w:sz w:val="24"/>
              </w:rPr>
              <w:t>本项目拟建厂址距繁峙县县城集中供水水源地（圣水头水源地）一级保护区边界约为44.7km，不在其保护区范围内。距离本项目最近的乡镇集中式水源地为项目东北侧约6.8km处的横涧乡（现名平型关镇）集中供水水源地，其一级保护区半径为150m，不设二级保护区；本项目拟建不在其保护区范围内。</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ascii="宋体" w:hAnsi="宋体" w:cs="宋体"/>
                <w:color w:val="auto"/>
                <w:sz w:val="24"/>
                <w:szCs w:val="24"/>
                <w:lang w:bidi="ar"/>
              </w:rPr>
              <w:t>本项目选址不位于禁煤区内，</w:t>
            </w:r>
            <w:r>
              <w:rPr>
                <w:rFonts w:hint="eastAsia"/>
                <w:color w:val="auto"/>
                <w:kern w:val="0"/>
                <w:sz w:val="24"/>
              </w:rPr>
              <w:t>本项目产品煤主要销往外省市电厂，不售于民用；本项目为储煤项目，对增强区域煤炭稳定供应和应急保障能力，落实《关于印发2022年山西省煤炭储备能力建设工作实施方案》（晋能源信监发</w:t>
            </w:r>
            <w:r>
              <w:rPr>
                <w:rFonts w:hint="eastAsia"/>
                <w:color w:val="auto"/>
                <w:kern w:val="0"/>
                <w:sz w:val="24"/>
                <w:lang w:eastAsia="zh-CN"/>
              </w:rPr>
              <w:t>〔</w:t>
            </w:r>
            <w:r>
              <w:rPr>
                <w:rFonts w:hint="eastAsia"/>
                <w:color w:val="auto"/>
                <w:kern w:val="0"/>
                <w:sz w:val="24"/>
              </w:rPr>
              <w:t>2022</w:t>
            </w:r>
            <w:r>
              <w:rPr>
                <w:rFonts w:hint="eastAsia"/>
                <w:color w:val="auto"/>
                <w:kern w:val="0"/>
                <w:sz w:val="24"/>
                <w:lang w:eastAsia="zh-CN"/>
              </w:rPr>
              <w:t>〕</w:t>
            </w:r>
            <w:r>
              <w:rPr>
                <w:rFonts w:hint="eastAsia"/>
                <w:color w:val="auto"/>
                <w:kern w:val="0"/>
                <w:sz w:val="24"/>
              </w:rPr>
              <w:t>204号）的要求具有重要意义；</w:t>
            </w:r>
            <w:r>
              <w:rPr>
                <w:rFonts w:hint="eastAsia"/>
                <w:bCs/>
                <w:color w:val="auto"/>
                <w:sz w:val="24"/>
              </w:rPr>
              <w:t>繁峙县行政审批服务管理局于2022年4月13日对本项目予以备案，项目代码：2204-140924-89-01-285138；繁峙县能源局于2022年4月14日以繁能源</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7号文对本项目申请煤炭储备能力建设原则同意上报；本项目不违背忻州市、繁峙县“禁煤区”管控的相关要求。</w:t>
            </w:r>
          </w:p>
          <w:p>
            <w:pPr>
              <w:autoSpaceDE w:val="0"/>
              <w:autoSpaceDN w:val="0"/>
              <w:adjustRightInd w:val="0"/>
              <w:snapToGrid w:val="0"/>
              <w:spacing w:line="480" w:lineRule="exact"/>
              <w:ind w:firstLine="480" w:firstLineChars="200"/>
              <w:rPr>
                <w:color w:val="auto"/>
                <w:sz w:val="24"/>
                <w:szCs w:val="24"/>
              </w:rPr>
            </w:pPr>
            <w:r>
              <w:rPr>
                <w:rFonts w:hint="eastAsia"/>
                <w:color w:val="auto"/>
                <w:sz w:val="24"/>
                <w:szCs w:val="24"/>
              </w:rPr>
              <w:t>本项目煤炭来源主要为山西本地煤矿，项目煤炭</w:t>
            </w:r>
            <w:r>
              <w:rPr>
                <w:color w:val="auto"/>
                <w:sz w:val="24"/>
                <w:szCs w:val="24"/>
              </w:rPr>
              <w:t>主要销往</w:t>
            </w:r>
            <w:r>
              <w:rPr>
                <w:rFonts w:hint="eastAsia"/>
                <w:color w:val="auto"/>
                <w:sz w:val="24"/>
                <w:szCs w:val="24"/>
              </w:rPr>
              <w:t>外省市</w:t>
            </w:r>
            <w:r>
              <w:rPr>
                <w:color w:val="auto"/>
                <w:sz w:val="24"/>
                <w:szCs w:val="24"/>
              </w:rPr>
              <w:t>电厂，不售于民用。</w:t>
            </w:r>
            <w:r>
              <w:rPr>
                <w:rFonts w:hint="eastAsia"/>
                <w:color w:val="auto"/>
                <w:sz w:val="24"/>
                <w:szCs w:val="24"/>
              </w:rPr>
              <w:t>目前，繁峙县繁云富煤炭经销有限公司已与山西煤炭进出口集团河曲旧县露天煤业有限公司签订了煤炭购销合同，山西煤炭进出口集团河曲旧县露天煤业有限公司核定开采煤种为8#-14#煤，生产规模为300万吨/年，本项目煤炭来源有保证。原煤经公路运输进入</w:t>
            </w:r>
            <w:r>
              <w:rPr>
                <w:rFonts w:hint="eastAsia"/>
                <w:color w:val="auto"/>
                <w:sz w:val="24"/>
                <w:szCs w:val="24"/>
                <w:lang w:eastAsia="zh-CN"/>
              </w:rPr>
              <w:t>本项目</w:t>
            </w:r>
            <w:r>
              <w:rPr>
                <w:rFonts w:hint="eastAsia"/>
                <w:color w:val="auto"/>
                <w:sz w:val="24"/>
                <w:szCs w:val="24"/>
              </w:rPr>
              <w:t>厂区，在本厂区中转后再经铁路及公路销往外省市电厂，包括河北、山东等地。</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color w:val="auto"/>
                <w:sz w:val="24"/>
                <w:szCs w:val="24"/>
              </w:rPr>
              <w:t>繁峙县平型关镇，处于晋煤外运、中转的集散中枢，本项目选址于繁峙县平型关镇云雾峪村，拟建场址紧邻108国道，与</w:t>
            </w:r>
            <w:r>
              <w:rPr>
                <w:rFonts w:hint="eastAsia" w:ascii="宋体" w:hAnsi="宋体" w:cs="宋体"/>
                <w:color w:val="auto"/>
                <w:sz w:val="24"/>
                <w:szCs w:val="24"/>
                <w:lang w:bidi="ar"/>
              </w:rPr>
              <w:t>忻州华茂钢铁股份有限公司铁路专用线</w:t>
            </w:r>
            <w:r>
              <w:rPr>
                <w:rFonts w:hint="eastAsia"/>
                <w:color w:val="auto"/>
                <w:sz w:val="24"/>
                <w:szCs w:val="24"/>
              </w:rPr>
              <w:t>相距约13km，交通便利。</w:t>
            </w:r>
          </w:p>
          <w:p>
            <w:pPr>
              <w:autoSpaceDE w:val="0"/>
              <w:autoSpaceDN w:val="0"/>
              <w:adjustRightInd w:val="0"/>
              <w:snapToGrid w:val="0"/>
              <w:spacing w:line="480" w:lineRule="exact"/>
              <w:ind w:firstLine="480" w:firstLineChars="200"/>
              <w:rPr>
                <w:color w:val="auto"/>
                <w:sz w:val="24"/>
                <w:szCs w:val="24"/>
                <w:lang w:bidi="ar"/>
              </w:rPr>
            </w:pPr>
            <w:r>
              <w:rPr>
                <w:color w:val="auto"/>
                <w:sz w:val="24"/>
                <w:szCs w:val="24"/>
                <w:lang w:bidi="ar"/>
              </w:rPr>
              <w:t>本项目来煤和售煤采用汽车及铁路运输；其中铁路运输依托忻州华茂钢铁股份有限公司铁路专用线，该铁路专用线距本项目约为13km；环评要求涉及公路运输车辆必须达到国六标准或采用新能源车辆；厂内非道路移动机械全部达到国三及以上排放标准或使用新能源机械。</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ascii="宋体" w:hAnsi="宋体" w:cs="宋体"/>
                <w:color w:val="auto"/>
                <w:sz w:val="24"/>
                <w:szCs w:val="24"/>
                <w:lang w:bidi="ar"/>
              </w:rPr>
              <w:t>本项目采用全封闭储煤棚，全厂及道路进行了硬化处理，设置有覆盖全储煤棚的喷雾抑尘设施，厂区进出口以及每座煤棚出口处设1座车辆清洗平台对车身及轮胎进行冲洗，厂区北侧设置有1座初期雨水池收集场地内的初期雨水，每座煤棚配套淋控废水收集池；通过采取以上环保设施，无组织粉尘排放量大幅下降，且项目无废水外排，对区域生态环境影响较小。</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r>
              <w:rPr>
                <w:rFonts w:hint="eastAsia" w:ascii="宋体" w:hAnsi="宋体" w:cs="宋体"/>
                <w:color w:val="auto"/>
                <w:sz w:val="24"/>
                <w:szCs w:val="24"/>
                <w:lang w:bidi="ar"/>
              </w:rPr>
              <w:t>综上所述，本项目选址于</w:t>
            </w:r>
            <w:r>
              <w:rPr>
                <w:rFonts w:hint="eastAsia"/>
                <w:color w:val="auto"/>
                <w:sz w:val="24"/>
                <w:szCs w:val="24"/>
              </w:rPr>
              <w:t>繁峙县平型关镇云雾峪村，处于晋煤外运、中转的集散中枢地区；</w:t>
            </w:r>
            <w:r>
              <w:rPr>
                <w:rFonts w:hint="eastAsia" w:ascii="宋体" w:hAnsi="宋体" w:cs="宋体"/>
                <w:color w:val="auto"/>
                <w:sz w:val="24"/>
                <w:szCs w:val="24"/>
                <w:lang w:bidi="ar"/>
              </w:rPr>
              <w:t>周边无自然保护区、风景名胜区、文化遗产保护区、水源保护地等特别需要保护的区域，无重大环境制约因素，且本项目不位于繁峙县禁煤区域内；项目采取了清洁运输方案，对区域生态环境影响较小，因此项目选址从环保角度来说是可行的。</w:t>
            </w: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p>
            <w:pPr>
              <w:autoSpaceDE w:val="0"/>
              <w:autoSpaceDN w:val="0"/>
              <w:adjustRightInd w:val="0"/>
              <w:snapToGrid w:val="0"/>
              <w:spacing w:line="480" w:lineRule="exact"/>
              <w:ind w:firstLine="480" w:firstLineChars="200"/>
              <w:rPr>
                <w:rFonts w:ascii="宋体" w:hAnsi="宋体" w:cs="宋体"/>
                <w:color w:val="auto"/>
                <w:sz w:val="24"/>
                <w:szCs w:val="24"/>
                <w:lang w:bidi="ar"/>
              </w:rPr>
            </w:pPr>
          </w:p>
        </w:tc>
      </w:tr>
    </w:tbl>
    <w:p>
      <w:pPr>
        <w:rPr>
          <w:color w:val="auto"/>
        </w:rPr>
      </w:pPr>
    </w:p>
    <w:p>
      <w:pPr>
        <w:rPr>
          <w:color w:val="auto"/>
        </w:rPr>
        <w:sectPr>
          <w:headerReference r:id="rId4" w:type="default"/>
          <w:footerReference r:id="rId5" w:type="default"/>
          <w:pgSz w:w="11906" w:h="16838"/>
          <w:pgMar w:top="1701" w:right="1531" w:bottom="1701" w:left="1531" w:header="1134" w:footer="992" w:gutter="0"/>
          <w:pgNumType w:start="1"/>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二、建设项目工程分析</w:t>
      </w:r>
    </w:p>
    <w:tbl>
      <w:tblPr>
        <w:tblStyle w:val="20"/>
        <w:tblW w:w="52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Align w:val="center"/>
          </w:tcPr>
          <w:p>
            <w:pPr>
              <w:pStyle w:val="16"/>
              <w:adjustRightInd w:val="0"/>
              <w:snapToGrid w:val="0"/>
              <w:spacing w:before="0" w:beforeAutospacing="0" w:after="0" w:afterAutospacing="0"/>
              <w:jc w:val="center"/>
              <w:rPr>
                <w:color w:val="auto"/>
                <w:sz w:val="21"/>
                <w:szCs w:val="21"/>
              </w:rPr>
            </w:pPr>
            <w:r>
              <w:rPr>
                <w:rFonts w:hint="eastAsia"/>
                <w:color w:val="auto"/>
                <w:sz w:val="21"/>
                <w:szCs w:val="21"/>
              </w:rPr>
              <w:t>建设内容</w:t>
            </w:r>
          </w:p>
        </w:tc>
        <w:tc>
          <w:tcPr>
            <w:tcW w:w="4841" w:type="pct"/>
          </w:tcPr>
          <w:p>
            <w:pPr>
              <w:adjustRightInd w:val="0"/>
              <w:snapToGrid w:val="0"/>
              <w:spacing w:line="480" w:lineRule="exact"/>
              <w:ind w:firstLine="482" w:firstLineChars="200"/>
              <w:rPr>
                <w:b/>
                <w:color w:val="auto"/>
                <w:sz w:val="24"/>
              </w:rPr>
            </w:pPr>
            <w:r>
              <w:rPr>
                <w:rFonts w:hint="eastAsia"/>
                <w:b/>
                <w:color w:val="auto"/>
                <w:sz w:val="24"/>
              </w:rPr>
              <w:t>1、项目建设背景</w:t>
            </w:r>
          </w:p>
          <w:p>
            <w:pPr>
              <w:adjustRightInd w:val="0"/>
              <w:snapToGrid w:val="0"/>
              <w:spacing w:line="480" w:lineRule="exact"/>
              <w:ind w:firstLine="480" w:firstLineChars="200"/>
              <w:rPr>
                <w:bCs/>
                <w:color w:val="auto"/>
                <w:sz w:val="24"/>
              </w:rPr>
            </w:pPr>
            <w:r>
              <w:rPr>
                <w:rFonts w:hint="eastAsia"/>
                <w:bCs/>
                <w:color w:val="auto"/>
                <w:sz w:val="24"/>
              </w:rPr>
              <w:t>国家发展改革委《关于进一步完善煤炭市场价格形成机制的通知》（发改价格</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303号）提出提升煤炭市场供需调节能力。进一步完善煤炭产供储销体系，保障煤炭产能合理充裕，完善煤炭中长期合同制度，进一步增强政府可调度储煤能力，完善储备调节机制，适时收储投放，促进煤炭价格在合理区间运行；增强铁路煤炭集输运配套能力。</w:t>
            </w:r>
          </w:p>
          <w:p>
            <w:pPr>
              <w:adjustRightInd w:val="0"/>
              <w:snapToGrid w:val="0"/>
              <w:spacing w:line="480" w:lineRule="exact"/>
              <w:ind w:firstLine="480" w:firstLineChars="200"/>
              <w:rPr>
                <w:bCs/>
                <w:color w:val="auto"/>
                <w:sz w:val="24"/>
              </w:rPr>
            </w:pPr>
            <w:r>
              <w:rPr>
                <w:rFonts w:hint="eastAsia"/>
                <w:bCs/>
                <w:color w:val="auto"/>
                <w:sz w:val="24"/>
              </w:rPr>
              <w:t>为加快全省煤炭储备体系建设，提高煤炭供给质量和效率，增强煤炭稳定供应、市场调节和应急保障能力，促进煤炭产业健康有序发展，山西省能源局下发《关于印发2022年山西省煤炭储备能力建设工作实施方案》的通知，提出“十四五”期间，全省需形成政府可调度储备规模为1000万吨，2022年，全省需形成政府可调度储备规模为470万吨。</w:t>
            </w:r>
          </w:p>
          <w:p>
            <w:pPr>
              <w:adjustRightInd w:val="0"/>
              <w:snapToGrid w:val="0"/>
              <w:spacing w:line="480" w:lineRule="exact"/>
              <w:ind w:firstLine="480" w:firstLineChars="200"/>
              <w:rPr>
                <w:bCs/>
                <w:color w:val="auto"/>
                <w:sz w:val="24"/>
              </w:rPr>
            </w:pPr>
            <w:r>
              <w:rPr>
                <w:rFonts w:hint="eastAsia"/>
                <w:bCs/>
                <w:color w:val="auto"/>
                <w:sz w:val="24"/>
              </w:rPr>
              <w:t>因此，加强储煤设施建设，增强煤炭储备能力，对增强煤炭稳定供应和应急保障能力、促进市场调节具有重要的意义。在此背景下，繁峙县繁云富煤炭经销有限公司提出“智能化储煤基地建设项目”，本项目位于繁峙县平型关镇，处于晋煤外运、中转的集散中枢。繁峙县行政审批服务管理局于2022年4月13日对本项目予以备案，项目代码：2204-140924-89-01-285138；繁峙县能源局于2022年4月14日以繁能源</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7号文对本项目申请煤炭储备能力建设原则同意上报。</w:t>
            </w:r>
          </w:p>
          <w:p>
            <w:pPr>
              <w:adjustRightInd w:val="0"/>
              <w:snapToGrid w:val="0"/>
              <w:spacing w:line="480" w:lineRule="exact"/>
              <w:ind w:firstLine="482" w:firstLineChars="200"/>
              <w:rPr>
                <w:b/>
                <w:color w:val="auto"/>
                <w:sz w:val="24"/>
              </w:rPr>
            </w:pPr>
            <w:r>
              <w:rPr>
                <w:rFonts w:hint="eastAsia"/>
                <w:b/>
                <w:color w:val="auto"/>
                <w:sz w:val="24"/>
              </w:rPr>
              <w:t>2、项目概况</w:t>
            </w:r>
          </w:p>
          <w:p>
            <w:pPr>
              <w:adjustRightInd w:val="0"/>
              <w:snapToGrid w:val="0"/>
              <w:spacing w:line="480" w:lineRule="exact"/>
              <w:ind w:firstLine="482" w:firstLineChars="200"/>
              <w:rPr>
                <w:bCs/>
                <w:color w:val="auto"/>
                <w:sz w:val="24"/>
              </w:rPr>
            </w:pPr>
            <w:r>
              <w:rPr>
                <w:rFonts w:hint="eastAsia"/>
                <w:b/>
                <w:color w:val="auto"/>
                <w:sz w:val="24"/>
              </w:rPr>
              <w:t>项目名称：</w:t>
            </w:r>
            <w:r>
              <w:rPr>
                <w:rFonts w:hint="eastAsia"/>
                <w:bCs/>
                <w:color w:val="auto"/>
                <w:sz w:val="24"/>
              </w:rPr>
              <w:t>智能化储煤基地建设项目；</w:t>
            </w:r>
          </w:p>
          <w:p>
            <w:pPr>
              <w:adjustRightInd w:val="0"/>
              <w:snapToGrid w:val="0"/>
              <w:spacing w:line="480" w:lineRule="exact"/>
              <w:ind w:firstLine="482" w:firstLineChars="200"/>
              <w:rPr>
                <w:bCs/>
                <w:color w:val="auto"/>
                <w:sz w:val="24"/>
              </w:rPr>
            </w:pPr>
            <w:r>
              <w:rPr>
                <w:rFonts w:hint="eastAsia"/>
                <w:b/>
                <w:color w:val="auto"/>
                <w:sz w:val="24"/>
              </w:rPr>
              <w:t>项目代码：</w:t>
            </w:r>
            <w:r>
              <w:rPr>
                <w:rFonts w:hint="eastAsia"/>
                <w:bCs/>
                <w:color w:val="auto"/>
                <w:sz w:val="24"/>
              </w:rPr>
              <w:t>2204-140924-89-01-285138；</w:t>
            </w:r>
          </w:p>
          <w:p>
            <w:pPr>
              <w:adjustRightInd w:val="0"/>
              <w:snapToGrid w:val="0"/>
              <w:spacing w:line="480" w:lineRule="exact"/>
              <w:ind w:firstLine="482" w:firstLineChars="200"/>
              <w:rPr>
                <w:bCs/>
                <w:color w:val="auto"/>
                <w:sz w:val="24"/>
              </w:rPr>
            </w:pPr>
            <w:r>
              <w:rPr>
                <w:rFonts w:hint="eastAsia"/>
                <w:b/>
                <w:color w:val="auto"/>
                <w:sz w:val="24"/>
              </w:rPr>
              <w:t>建设单位：</w:t>
            </w:r>
            <w:r>
              <w:rPr>
                <w:rFonts w:hint="eastAsia"/>
                <w:bCs/>
                <w:color w:val="auto"/>
                <w:sz w:val="24"/>
              </w:rPr>
              <w:t>繁峙县繁云富煤炭经销有限公司；</w:t>
            </w:r>
          </w:p>
          <w:p>
            <w:pPr>
              <w:adjustRightInd w:val="0"/>
              <w:snapToGrid w:val="0"/>
              <w:spacing w:line="480" w:lineRule="exact"/>
              <w:ind w:firstLine="482" w:firstLineChars="200"/>
              <w:rPr>
                <w:bCs/>
                <w:color w:val="auto"/>
                <w:sz w:val="24"/>
              </w:rPr>
            </w:pPr>
            <w:r>
              <w:rPr>
                <w:rFonts w:hint="eastAsia"/>
                <w:b/>
                <w:color w:val="auto"/>
                <w:sz w:val="24"/>
              </w:rPr>
              <w:t>建设性质：</w:t>
            </w:r>
            <w:r>
              <w:rPr>
                <w:rFonts w:hint="eastAsia"/>
                <w:bCs/>
                <w:color w:val="auto"/>
                <w:sz w:val="24"/>
              </w:rPr>
              <w:t>新建；</w:t>
            </w:r>
          </w:p>
          <w:p>
            <w:pPr>
              <w:adjustRightInd w:val="0"/>
              <w:snapToGrid w:val="0"/>
              <w:spacing w:line="480" w:lineRule="exact"/>
              <w:ind w:firstLine="482" w:firstLineChars="200"/>
              <w:rPr>
                <w:color w:val="auto"/>
                <w:sz w:val="24"/>
              </w:rPr>
            </w:pPr>
            <w:r>
              <w:rPr>
                <w:rFonts w:hint="eastAsia"/>
                <w:b/>
                <w:color w:val="auto"/>
                <w:sz w:val="24"/>
              </w:rPr>
              <w:t>建设地点：</w:t>
            </w:r>
            <w:r>
              <w:rPr>
                <w:rFonts w:hint="eastAsia"/>
                <w:color w:val="auto"/>
                <w:kern w:val="0"/>
                <w:sz w:val="24"/>
              </w:rPr>
              <w:t>“</w:t>
            </w:r>
            <w:r>
              <w:rPr>
                <w:rFonts w:hint="eastAsia"/>
                <w:bCs/>
                <w:color w:val="auto"/>
                <w:sz w:val="24"/>
              </w:rPr>
              <w:t>繁峙县繁云富煤炭经销有限公司智能化储煤基地建设项目</w:t>
            </w:r>
            <w:r>
              <w:rPr>
                <w:rFonts w:hint="eastAsia"/>
                <w:color w:val="auto"/>
                <w:kern w:val="0"/>
                <w:sz w:val="24"/>
              </w:rPr>
              <w:t>”拟建厂址位于山西省忻州市繁峙县平型关镇云雾峪村，占地面积为320亩（约213333m</w:t>
            </w:r>
            <w:r>
              <w:rPr>
                <w:rFonts w:hint="eastAsia"/>
                <w:color w:val="auto"/>
                <w:kern w:val="0"/>
                <w:sz w:val="24"/>
                <w:vertAlign w:val="superscript"/>
              </w:rPr>
              <w:t>2</w:t>
            </w:r>
            <w:r>
              <w:rPr>
                <w:rFonts w:hint="eastAsia"/>
                <w:color w:val="auto"/>
                <w:kern w:val="0"/>
                <w:sz w:val="24"/>
              </w:rPr>
              <w:t>），为不相连的4个地块；</w:t>
            </w:r>
            <w:r>
              <w:rPr>
                <w:rFonts w:hint="eastAsia"/>
                <w:bCs/>
                <w:color w:val="auto"/>
                <w:sz w:val="24"/>
              </w:rPr>
              <w:t>厂址中心点坐标为E113°49′13.505″，N39°13′22.056″；距拟建厂址最近的村庄为厂址西北侧50m的</w:t>
            </w:r>
            <w:r>
              <w:rPr>
                <w:rFonts w:hint="eastAsia"/>
                <w:color w:val="auto"/>
                <w:kern w:val="0"/>
                <w:sz w:val="24"/>
              </w:rPr>
              <w:t>云雾峪</w:t>
            </w:r>
            <w:r>
              <w:rPr>
                <w:rFonts w:hint="eastAsia"/>
                <w:bCs/>
                <w:color w:val="auto"/>
                <w:sz w:val="24"/>
              </w:rPr>
              <w:t>村；最近的交通干线为厂址北侧约200m的国道108。</w:t>
            </w:r>
            <w:r>
              <w:rPr>
                <w:rFonts w:hint="eastAsia"/>
                <w:color w:val="auto"/>
                <w:kern w:val="0"/>
                <w:sz w:val="24"/>
              </w:rPr>
              <w:t>本项目</w:t>
            </w:r>
            <w:r>
              <w:rPr>
                <w:rFonts w:hint="eastAsia" w:ascii="宋体" w:hAnsi="宋体" w:cs="宋体"/>
                <w:color w:val="auto"/>
                <w:sz w:val="24"/>
                <w:szCs w:val="24"/>
                <w:lang w:bidi="ar"/>
              </w:rPr>
              <w:t>占地现状主要为其他草地、灌木林地、建设用地</w:t>
            </w:r>
            <w:r>
              <w:rPr>
                <w:rFonts w:hint="eastAsia"/>
                <w:bCs/>
                <w:color w:val="auto"/>
                <w:sz w:val="24"/>
              </w:rPr>
              <w:t>，并与云雾峪村委会签订了用地承包合同。</w:t>
            </w:r>
          </w:p>
          <w:p>
            <w:pPr>
              <w:adjustRightInd w:val="0"/>
              <w:snapToGrid w:val="0"/>
              <w:spacing w:line="480" w:lineRule="exact"/>
              <w:ind w:firstLine="480" w:firstLineChars="200"/>
              <w:rPr>
                <w:color w:val="auto"/>
                <w:sz w:val="24"/>
              </w:rPr>
            </w:pPr>
            <w:r>
              <w:rPr>
                <w:rFonts w:hint="eastAsia"/>
                <w:color w:val="auto"/>
                <w:sz w:val="24"/>
              </w:rPr>
              <w:t>项目地理位置及交通线路见附图1，四邻关系见附图2。</w:t>
            </w:r>
          </w:p>
          <w:p>
            <w:pPr>
              <w:adjustRightInd w:val="0"/>
              <w:snapToGrid w:val="0"/>
              <w:spacing w:line="480" w:lineRule="exact"/>
              <w:ind w:firstLine="482" w:firstLineChars="200"/>
              <w:rPr>
                <w:bCs/>
                <w:color w:val="auto"/>
                <w:sz w:val="24"/>
              </w:rPr>
            </w:pPr>
            <w:r>
              <w:rPr>
                <w:rFonts w:hint="eastAsia"/>
                <w:b/>
                <w:bCs/>
                <w:color w:val="auto"/>
                <w:sz w:val="24"/>
              </w:rPr>
              <w:t>建设规模及产品方案：</w:t>
            </w:r>
            <w:r>
              <w:rPr>
                <w:bCs/>
                <w:color w:val="auto"/>
                <w:sz w:val="24"/>
              </w:rPr>
              <w:t>本项目</w:t>
            </w:r>
            <w:r>
              <w:rPr>
                <w:rFonts w:hint="eastAsia"/>
                <w:bCs/>
                <w:color w:val="auto"/>
                <w:sz w:val="24"/>
              </w:rPr>
              <w:t>建设4座总计约130600m</w:t>
            </w:r>
            <w:r>
              <w:rPr>
                <w:rFonts w:hint="eastAsia"/>
                <w:bCs/>
                <w:color w:val="auto"/>
                <w:sz w:val="24"/>
                <w:vertAlign w:val="superscript"/>
              </w:rPr>
              <w:t>2</w:t>
            </w:r>
            <w:r>
              <w:rPr>
                <w:rFonts w:hint="eastAsia"/>
                <w:bCs/>
                <w:color w:val="auto"/>
                <w:sz w:val="24"/>
              </w:rPr>
              <w:t>的全封闭储煤棚，以及配套相关储煤等设施，静态储煤能力80万吨，规划年运输煤炭200万吨</w:t>
            </w:r>
            <w:r>
              <w:rPr>
                <w:color w:val="auto"/>
                <w:sz w:val="24"/>
                <w:szCs w:val="24"/>
              </w:rPr>
              <w:t>。</w:t>
            </w:r>
          </w:p>
          <w:p>
            <w:pPr>
              <w:adjustRightInd w:val="0"/>
              <w:snapToGrid w:val="0"/>
              <w:spacing w:line="480" w:lineRule="exact"/>
              <w:ind w:firstLine="482" w:firstLineChars="200"/>
              <w:rPr>
                <w:color w:val="auto"/>
                <w:sz w:val="24"/>
              </w:rPr>
            </w:pPr>
            <w:r>
              <w:rPr>
                <w:rFonts w:hint="eastAsia"/>
                <w:b/>
                <w:bCs/>
                <w:color w:val="auto"/>
                <w:sz w:val="24"/>
              </w:rPr>
              <w:t>工作制度及劳动定员：</w:t>
            </w:r>
            <w:r>
              <w:rPr>
                <w:rFonts w:hint="eastAsia"/>
                <w:color w:val="auto"/>
                <w:sz w:val="24"/>
              </w:rPr>
              <w:t>本项目劳动定员50人，全年运行300d，16h/d，2班制。</w:t>
            </w:r>
          </w:p>
          <w:p>
            <w:pPr>
              <w:adjustRightInd w:val="0"/>
              <w:snapToGrid w:val="0"/>
              <w:spacing w:line="480" w:lineRule="exact"/>
              <w:ind w:firstLine="482" w:firstLineChars="200"/>
              <w:rPr>
                <w:color w:val="auto"/>
                <w:sz w:val="24"/>
              </w:rPr>
            </w:pPr>
            <w:r>
              <w:rPr>
                <w:rFonts w:hint="eastAsia"/>
                <w:b/>
                <w:bCs/>
                <w:color w:val="auto"/>
                <w:sz w:val="24"/>
              </w:rPr>
              <w:t>项目投资：</w:t>
            </w:r>
            <w:r>
              <w:rPr>
                <w:rFonts w:hint="eastAsia"/>
                <w:color w:val="auto"/>
                <w:sz w:val="24"/>
              </w:rPr>
              <w:t>本项目总投资12000万元，其中建设投资11000万元，铺底流动资金1000万元；全部为企业自有资金。</w:t>
            </w:r>
          </w:p>
          <w:p>
            <w:pPr>
              <w:adjustRightInd w:val="0"/>
              <w:snapToGrid w:val="0"/>
              <w:spacing w:line="480" w:lineRule="exact"/>
              <w:ind w:firstLine="482" w:firstLineChars="200"/>
              <w:rPr>
                <w:b/>
                <w:color w:val="auto"/>
                <w:sz w:val="24"/>
              </w:rPr>
            </w:pPr>
            <w:r>
              <w:rPr>
                <w:rFonts w:hint="eastAsia"/>
                <w:b/>
                <w:color w:val="auto"/>
                <w:sz w:val="24"/>
              </w:rPr>
              <w:t>3、建设内容</w:t>
            </w:r>
          </w:p>
          <w:p>
            <w:pPr>
              <w:adjustRightInd w:val="0"/>
              <w:snapToGrid w:val="0"/>
              <w:spacing w:line="480" w:lineRule="exact"/>
              <w:ind w:firstLine="480" w:firstLineChars="200"/>
              <w:rPr>
                <w:color w:val="auto"/>
                <w:sz w:val="24"/>
              </w:rPr>
            </w:pPr>
            <w:r>
              <w:rPr>
                <w:rFonts w:hint="eastAsia"/>
                <w:color w:val="auto"/>
                <w:sz w:val="24"/>
              </w:rPr>
              <w:t>本项目建设内容主要包括：</w:t>
            </w:r>
            <w:r>
              <w:rPr>
                <w:rFonts w:hint="eastAsia"/>
                <w:bCs/>
                <w:color w:val="auto"/>
                <w:sz w:val="24"/>
              </w:rPr>
              <w:t>4座总计约130600m</w:t>
            </w:r>
            <w:r>
              <w:rPr>
                <w:rFonts w:hint="eastAsia"/>
                <w:bCs/>
                <w:color w:val="auto"/>
                <w:sz w:val="24"/>
                <w:vertAlign w:val="superscript"/>
              </w:rPr>
              <w:t>2</w:t>
            </w:r>
            <w:r>
              <w:rPr>
                <w:rFonts w:hint="eastAsia"/>
                <w:bCs/>
                <w:color w:val="auto"/>
                <w:sz w:val="24"/>
              </w:rPr>
              <w:t>的全封闭储煤棚，配套相关储煤、智能化控制及调度系统等设施，以及供电、供水、消防、环保工程等公辅设施。项目建成后可实现静态储煤能力80万吨，规划运输煤炭200万吨/年</w:t>
            </w:r>
            <w:r>
              <w:rPr>
                <w:color w:val="auto"/>
                <w:sz w:val="24"/>
                <w:szCs w:val="24"/>
              </w:rPr>
              <w:t>。</w:t>
            </w:r>
          </w:p>
          <w:p>
            <w:pPr>
              <w:adjustRightInd w:val="0"/>
              <w:snapToGrid w:val="0"/>
              <w:spacing w:line="480" w:lineRule="exact"/>
              <w:ind w:firstLine="480" w:firstLineChars="200"/>
              <w:rPr>
                <w:color w:val="auto"/>
                <w:sz w:val="24"/>
              </w:rPr>
            </w:pPr>
            <w:r>
              <w:rPr>
                <w:rFonts w:hint="eastAsia"/>
                <w:color w:val="auto"/>
                <w:sz w:val="24"/>
              </w:rPr>
              <w:t>项目主要建设内容见表2-1。</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表2-1  项目主要建设内容一览表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51"/>
              <w:gridCol w:w="1181"/>
              <w:gridCol w:w="607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97" w:type="pct"/>
                  <w:gridSpan w:val="2"/>
                  <w:vAlign w:val="center"/>
                </w:tcPr>
                <w:p>
                  <w:pPr>
                    <w:spacing w:line="360" w:lineRule="exact"/>
                    <w:jc w:val="center"/>
                    <w:rPr>
                      <w:color w:val="auto"/>
                    </w:rPr>
                  </w:pPr>
                  <w:r>
                    <w:rPr>
                      <w:color w:val="auto"/>
                    </w:rPr>
                    <w:t>类别</w:t>
                  </w:r>
                </w:p>
              </w:tc>
              <w:tc>
                <w:tcPr>
                  <w:tcW w:w="670" w:type="pct"/>
                  <w:vAlign w:val="center"/>
                </w:tcPr>
                <w:p>
                  <w:pPr>
                    <w:spacing w:line="360" w:lineRule="exact"/>
                    <w:jc w:val="center"/>
                    <w:rPr>
                      <w:color w:val="auto"/>
                    </w:rPr>
                  </w:pPr>
                  <w:r>
                    <w:rPr>
                      <w:color w:val="auto"/>
                    </w:rPr>
                    <w:t>名称</w:t>
                  </w:r>
                </w:p>
              </w:tc>
              <w:tc>
                <w:tcPr>
                  <w:tcW w:w="3441" w:type="pct"/>
                  <w:vAlign w:val="center"/>
                </w:tcPr>
                <w:p>
                  <w:pPr>
                    <w:spacing w:line="360" w:lineRule="exact"/>
                    <w:jc w:val="center"/>
                    <w:rPr>
                      <w:color w:val="auto"/>
                    </w:rPr>
                  </w:pPr>
                  <w:r>
                    <w:rPr>
                      <w:color w:val="auto"/>
                    </w:rPr>
                    <w:t>建设内容</w:t>
                  </w:r>
                </w:p>
              </w:tc>
              <w:tc>
                <w:tcPr>
                  <w:tcW w:w="391" w:type="pct"/>
                  <w:vAlign w:val="center"/>
                </w:tcPr>
                <w:p>
                  <w:pPr>
                    <w:spacing w:line="360" w:lineRule="exact"/>
                    <w:jc w:val="center"/>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restart"/>
                  <w:vAlign w:val="center"/>
                </w:tcPr>
                <w:p>
                  <w:pPr>
                    <w:spacing w:line="360" w:lineRule="exact"/>
                    <w:jc w:val="center"/>
                    <w:rPr>
                      <w:color w:val="auto"/>
                    </w:rPr>
                  </w:pPr>
                  <w:r>
                    <w:rPr>
                      <w:color w:val="auto"/>
                    </w:rPr>
                    <w:t>主体</w:t>
                  </w:r>
                </w:p>
                <w:p>
                  <w:pPr>
                    <w:spacing w:line="360" w:lineRule="exact"/>
                    <w:jc w:val="center"/>
                    <w:rPr>
                      <w:color w:val="auto"/>
                    </w:rPr>
                  </w:pPr>
                  <w:r>
                    <w:rPr>
                      <w:color w:val="auto"/>
                    </w:rPr>
                    <w:t>工程</w:t>
                  </w:r>
                </w:p>
              </w:tc>
              <w:tc>
                <w:tcPr>
                  <w:tcW w:w="670" w:type="pct"/>
                  <w:vAlign w:val="center"/>
                </w:tcPr>
                <w:p>
                  <w:pPr>
                    <w:spacing w:line="360" w:lineRule="exact"/>
                    <w:jc w:val="center"/>
                    <w:rPr>
                      <w:color w:val="auto"/>
                    </w:rPr>
                  </w:pPr>
                  <w:r>
                    <w:rPr>
                      <w:color w:val="auto"/>
                    </w:rPr>
                    <w:t>1#储煤棚</w:t>
                  </w:r>
                </w:p>
              </w:tc>
              <w:tc>
                <w:tcPr>
                  <w:tcW w:w="3441" w:type="pct"/>
                  <w:vAlign w:val="center"/>
                </w:tcPr>
                <w:p>
                  <w:pPr>
                    <w:spacing w:line="360" w:lineRule="exact"/>
                    <w:rPr>
                      <w:bCs/>
                      <w:color w:val="auto"/>
                    </w:rPr>
                  </w:pPr>
                  <w:r>
                    <w:rPr>
                      <w:bCs/>
                      <w:color w:val="auto"/>
                    </w:rPr>
                    <w:t>建筑面积：32400.00m</w:t>
                  </w:r>
                  <w:r>
                    <w:rPr>
                      <w:bCs/>
                      <w:color w:val="auto"/>
                      <w:vertAlign w:val="superscript"/>
                    </w:rPr>
                    <w:t>2</w:t>
                  </w:r>
                  <w:r>
                    <w:rPr>
                      <w:bCs/>
                      <w:color w:val="auto"/>
                    </w:rPr>
                    <w:t>；建筑尺寸：180×180×26.66m；采用平板网架结构，四周采用钢管柱加支撑结构，中间设置四组四连柱支撑，间距均为50m。四周均设5m高钢筋混凝土挡墙，基础采用柱下独立基础及墙下混凝体条基。</w:t>
                  </w:r>
                </w:p>
                <w:p>
                  <w:pPr>
                    <w:spacing w:line="360" w:lineRule="exact"/>
                    <w:rPr>
                      <w:bCs/>
                      <w:color w:val="auto"/>
                    </w:rPr>
                  </w:pPr>
                  <w:r>
                    <w:rPr>
                      <w:color w:val="auto"/>
                    </w:rPr>
                    <w:t>1#储煤棚</w:t>
                  </w:r>
                  <w:r>
                    <w:rPr>
                      <w:rFonts w:hint="eastAsia"/>
                      <w:color w:val="auto"/>
                    </w:rPr>
                    <w:t>出口处设置1座洗车平台。</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2#储煤棚</w:t>
                  </w:r>
                </w:p>
              </w:tc>
              <w:tc>
                <w:tcPr>
                  <w:tcW w:w="3441" w:type="pct"/>
                  <w:vAlign w:val="center"/>
                </w:tcPr>
                <w:p>
                  <w:pPr>
                    <w:spacing w:line="360" w:lineRule="exact"/>
                    <w:rPr>
                      <w:bCs/>
                      <w:color w:val="auto"/>
                    </w:rPr>
                  </w:pPr>
                  <w:r>
                    <w:rPr>
                      <w:bCs/>
                      <w:color w:val="auto"/>
                    </w:rPr>
                    <w:t>建筑面积：32200.00m</w:t>
                  </w:r>
                  <w:r>
                    <w:rPr>
                      <w:bCs/>
                      <w:color w:val="auto"/>
                      <w:vertAlign w:val="superscript"/>
                    </w:rPr>
                    <w:t>2</w:t>
                  </w:r>
                  <w:r>
                    <w:rPr>
                      <w:bCs/>
                      <w:color w:val="auto"/>
                    </w:rPr>
                    <w:t>；建筑尺寸：140×230×25.5m；采用平板网架结构，四周采用钢管柱加支撑结构，中间设置三组四连柱支撑，间距均为47.5、60m。四周均设5m高钢筋混凝土挡墙，基础采用柱下独立基础及墙下混凝体条基。</w:t>
                  </w:r>
                </w:p>
                <w:p>
                  <w:pPr>
                    <w:spacing w:line="360" w:lineRule="exact"/>
                    <w:rPr>
                      <w:bCs/>
                      <w:color w:val="auto"/>
                    </w:rPr>
                  </w:pPr>
                  <w:r>
                    <w:rPr>
                      <w:rFonts w:hint="eastAsia"/>
                      <w:color w:val="auto"/>
                    </w:rPr>
                    <w:t>2</w:t>
                  </w:r>
                  <w:r>
                    <w:rPr>
                      <w:color w:val="auto"/>
                    </w:rPr>
                    <w:t>#储煤棚</w:t>
                  </w:r>
                  <w:r>
                    <w:rPr>
                      <w:rFonts w:hint="eastAsia"/>
                      <w:color w:val="auto"/>
                    </w:rPr>
                    <w:t>出口处设置1座洗车平台。</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3#储煤棚</w:t>
                  </w:r>
                </w:p>
              </w:tc>
              <w:tc>
                <w:tcPr>
                  <w:tcW w:w="3441" w:type="pct"/>
                  <w:vAlign w:val="center"/>
                </w:tcPr>
                <w:p>
                  <w:pPr>
                    <w:spacing w:line="360" w:lineRule="exact"/>
                    <w:rPr>
                      <w:bCs/>
                      <w:color w:val="auto"/>
                    </w:rPr>
                  </w:pPr>
                  <w:r>
                    <w:rPr>
                      <w:bCs/>
                      <w:color w:val="auto"/>
                    </w:rPr>
                    <w:t>建筑面积：33000.00m</w:t>
                  </w:r>
                  <w:r>
                    <w:rPr>
                      <w:bCs/>
                      <w:color w:val="auto"/>
                      <w:vertAlign w:val="superscript"/>
                    </w:rPr>
                    <w:t>2</w:t>
                  </w:r>
                  <w:r>
                    <w:rPr>
                      <w:bCs/>
                      <w:color w:val="auto"/>
                    </w:rPr>
                    <w:t>；建筑尺寸：120×275×40.57m；采用网壳结构，四周均设5m高钢筋混凝土挡墙，基础采用柱下独立基础及墙下混凝体条基。</w:t>
                  </w:r>
                </w:p>
                <w:p>
                  <w:pPr>
                    <w:spacing w:line="360" w:lineRule="exact"/>
                    <w:rPr>
                      <w:bCs/>
                      <w:color w:val="auto"/>
                    </w:rPr>
                  </w:pPr>
                  <w:r>
                    <w:rPr>
                      <w:rFonts w:hint="eastAsia"/>
                      <w:color w:val="auto"/>
                    </w:rPr>
                    <w:t>3</w:t>
                  </w:r>
                  <w:r>
                    <w:rPr>
                      <w:color w:val="auto"/>
                    </w:rPr>
                    <w:t>#储煤棚</w:t>
                  </w:r>
                  <w:r>
                    <w:rPr>
                      <w:rFonts w:hint="eastAsia"/>
                      <w:color w:val="auto"/>
                    </w:rPr>
                    <w:t>出口处设置1座洗车平台。</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4#储煤棚</w:t>
                  </w:r>
                </w:p>
              </w:tc>
              <w:tc>
                <w:tcPr>
                  <w:tcW w:w="3441" w:type="pct"/>
                  <w:vAlign w:val="center"/>
                </w:tcPr>
                <w:p>
                  <w:pPr>
                    <w:spacing w:line="360" w:lineRule="exact"/>
                    <w:rPr>
                      <w:bCs/>
                      <w:color w:val="auto"/>
                    </w:rPr>
                  </w:pPr>
                  <w:r>
                    <w:rPr>
                      <w:bCs/>
                      <w:color w:val="auto"/>
                    </w:rPr>
                    <w:t>建筑面积：33000.00m</w:t>
                  </w:r>
                  <w:r>
                    <w:rPr>
                      <w:bCs/>
                      <w:color w:val="auto"/>
                      <w:vertAlign w:val="superscript"/>
                    </w:rPr>
                    <w:t>2</w:t>
                  </w:r>
                  <w:r>
                    <w:rPr>
                      <w:bCs/>
                      <w:color w:val="auto"/>
                    </w:rPr>
                    <w:t>；建筑尺寸：120×275×40.57m；采用网壳结构，四周均设5m高钢筋混凝土挡墙，基础采用柱下独立基础及墙下混凝体条基。</w:t>
                  </w:r>
                </w:p>
                <w:p>
                  <w:pPr>
                    <w:spacing w:line="360" w:lineRule="exact"/>
                    <w:rPr>
                      <w:bCs/>
                      <w:color w:val="auto"/>
                    </w:rPr>
                  </w:pPr>
                  <w:r>
                    <w:rPr>
                      <w:rFonts w:hint="eastAsia"/>
                      <w:bCs/>
                      <w:color w:val="auto"/>
                    </w:rPr>
                    <w:t>4</w:t>
                  </w:r>
                  <w:r>
                    <w:rPr>
                      <w:color w:val="auto"/>
                    </w:rPr>
                    <w:t>#储煤棚</w:t>
                  </w:r>
                  <w:r>
                    <w:rPr>
                      <w:rFonts w:hint="eastAsia"/>
                      <w:color w:val="auto"/>
                    </w:rPr>
                    <w:t>出口处设置1座洗车平台。</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restart"/>
                  <w:vAlign w:val="center"/>
                </w:tcPr>
                <w:p>
                  <w:pPr>
                    <w:spacing w:line="360" w:lineRule="exact"/>
                    <w:jc w:val="center"/>
                    <w:rPr>
                      <w:color w:val="auto"/>
                    </w:rPr>
                  </w:pPr>
                  <w:r>
                    <w:rPr>
                      <w:color w:val="auto"/>
                    </w:rPr>
                    <w:t>储运</w:t>
                  </w:r>
                </w:p>
                <w:p>
                  <w:pPr>
                    <w:spacing w:line="360" w:lineRule="exact"/>
                    <w:jc w:val="center"/>
                    <w:rPr>
                      <w:color w:val="auto"/>
                    </w:rPr>
                  </w:pPr>
                  <w:r>
                    <w:rPr>
                      <w:color w:val="auto"/>
                    </w:rPr>
                    <w:t>工程</w:t>
                  </w:r>
                </w:p>
              </w:tc>
              <w:tc>
                <w:tcPr>
                  <w:tcW w:w="670" w:type="pct"/>
                  <w:vAlign w:val="center"/>
                </w:tcPr>
                <w:p>
                  <w:pPr>
                    <w:widowControl/>
                    <w:spacing w:line="360" w:lineRule="exact"/>
                    <w:jc w:val="center"/>
                    <w:rPr>
                      <w:color w:val="auto"/>
                    </w:rPr>
                  </w:pPr>
                  <w:r>
                    <w:rPr>
                      <w:color w:val="auto"/>
                    </w:rPr>
                    <w:t>运输工程</w:t>
                  </w:r>
                </w:p>
              </w:tc>
              <w:tc>
                <w:tcPr>
                  <w:tcW w:w="3441" w:type="pct"/>
                  <w:vAlign w:val="center"/>
                </w:tcPr>
                <w:p>
                  <w:pPr>
                    <w:spacing w:line="360" w:lineRule="exact"/>
                    <w:rPr>
                      <w:color w:val="auto"/>
                    </w:rPr>
                  </w:pPr>
                  <w:r>
                    <w:rPr>
                      <w:color w:val="auto"/>
                    </w:rPr>
                    <w:t>本项目来煤和售煤采用汽车及铁路运输；其中铁路运输依托忻州华茂钢铁股份有限公司铁路专用线，该铁路专用线距本项目约为13km；环评要求涉及公路运输车辆必须达到国六标准或采用新能源车辆；厂内非道路移动机械全部达到国三及以上排放标准或使用新能源机械。</w:t>
                  </w:r>
                </w:p>
                <w:p>
                  <w:pPr>
                    <w:spacing w:line="360" w:lineRule="exact"/>
                    <w:rPr>
                      <w:rFonts w:hint="default" w:eastAsia="宋体"/>
                      <w:color w:val="auto"/>
                      <w:lang w:val="en-US" w:eastAsia="zh-CN"/>
                    </w:rPr>
                  </w:pPr>
                  <w:r>
                    <w:rPr>
                      <w:color w:val="auto"/>
                    </w:rPr>
                    <w:t>繁峙县繁云富煤炭经销有限公司已与山西煤炭进出口集团河曲旧县露天煤业有限公司签订了煤炭购销合同，原煤经公路运输进入</w:t>
                  </w:r>
                  <w:r>
                    <w:rPr>
                      <w:rFonts w:hint="eastAsia"/>
                      <w:color w:val="auto"/>
                      <w:lang w:eastAsia="zh-CN"/>
                    </w:rPr>
                    <w:t>本项目</w:t>
                  </w:r>
                  <w:r>
                    <w:rPr>
                      <w:color w:val="auto"/>
                    </w:rPr>
                    <w:t>厂区，在本厂区中转后再经铁路及公路销往外省市电厂。</w:t>
                  </w:r>
                  <w:r>
                    <w:rPr>
                      <w:rFonts w:hint="eastAsia"/>
                      <w:color w:val="auto"/>
                      <w:lang w:val="en-US" w:eastAsia="zh-CN"/>
                    </w:rPr>
                    <w:t>铁路运输量暂定3万t/月，后续根据该铁路专用线能力提升再增加运量；现阶段铁路运输量约占全部运输量的9%。</w:t>
                  </w:r>
                </w:p>
              </w:tc>
              <w:tc>
                <w:tcPr>
                  <w:tcW w:w="391" w:type="pct"/>
                  <w:vMerge w:val="restart"/>
                  <w:vAlign w:val="center"/>
                </w:tcPr>
                <w:p>
                  <w:pPr>
                    <w:spacing w:line="360" w:lineRule="exact"/>
                    <w:jc w:val="center"/>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adjustRightInd w:val="0"/>
                    <w:spacing w:line="360" w:lineRule="exact"/>
                    <w:jc w:val="center"/>
                    <w:rPr>
                      <w:color w:val="auto"/>
                    </w:rPr>
                  </w:pPr>
                  <w:r>
                    <w:rPr>
                      <w:rFonts w:hint="eastAsia"/>
                      <w:color w:val="auto"/>
                      <w:lang w:bidi="ar"/>
                    </w:rPr>
                    <w:t>煤炭</w:t>
                  </w:r>
                  <w:r>
                    <w:rPr>
                      <w:color w:val="auto"/>
                      <w:lang w:bidi="ar"/>
                    </w:rPr>
                    <w:t>储存</w:t>
                  </w:r>
                </w:p>
              </w:tc>
              <w:tc>
                <w:tcPr>
                  <w:tcW w:w="3441" w:type="pct"/>
                  <w:vAlign w:val="center"/>
                </w:tcPr>
                <w:p>
                  <w:pPr>
                    <w:spacing w:line="360" w:lineRule="exact"/>
                    <w:rPr>
                      <w:color w:val="auto"/>
                    </w:rPr>
                  </w:pPr>
                  <w:r>
                    <w:rPr>
                      <w:rFonts w:hint="eastAsia"/>
                      <w:color w:val="auto"/>
                    </w:rPr>
                    <w:t>不同煤质的煤炭</w:t>
                  </w:r>
                  <w:r>
                    <w:rPr>
                      <w:color w:val="auto"/>
                    </w:rPr>
                    <w:t>分区储存于4座总计约130</w:t>
                  </w:r>
                  <w:r>
                    <w:rPr>
                      <w:rFonts w:hint="eastAsia"/>
                      <w:color w:val="auto"/>
                    </w:rPr>
                    <w:t>6</w:t>
                  </w:r>
                  <w:r>
                    <w:rPr>
                      <w:color w:val="auto"/>
                    </w:rPr>
                    <w:t>00m</w:t>
                  </w:r>
                  <w:r>
                    <w:rPr>
                      <w:color w:val="auto"/>
                      <w:vertAlign w:val="superscript"/>
                    </w:rPr>
                    <w:t>2</w:t>
                  </w:r>
                  <w:r>
                    <w:rPr>
                      <w:color w:val="auto"/>
                    </w:rPr>
                    <w:t>的全封闭储煤棚。</w:t>
                  </w:r>
                </w:p>
              </w:tc>
              <w:tc>
                <w:tcPr>
                  <w:tcW w:w="391" w:type="pct"/>
                  <w:vMerge w:val="continue"/>
                  <w:vAlign w:val="center"/>
                </w:tcPr>
                <w:p>
                  <w:pPr>
                    <w:spacing w:line="360" w:lineRule="exact"/>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restart"/>
                  <w:vAlign w:val="center"/>
                </w:tcPr>
                <w:p>
                  <w:pPr>
                    <w:spacing w:line="360" w:lineRule="exact"/>
                    <w:jc w:val="center"/>
                    <w:rPr>
                      <w:color w:val="auto"/>
                    </w:rPr>
                  </w:pPr>
                  <w:r>
                    <w:rPr>
                      <w:color w:val="auto"/>
                    </w:rPr>
                    <w:t>辅助</w:t>
                  </w:r>
                </w:p>
                <w:p>
                  <w:pPr>
                    <w:spacing w:line="360" w:lineRule="exact"/>
                    <w:jc w:val="center"/>
                    <w:rPr>
                      <w:color w:val="auto"/>
                    </w:rPr>
                  </w:pPr>
                  <w:r>
                    <w:rPr>
                      <w:color w:val="auto"/>
                    </w:rPr>
                    <w:t>工程</w:t>
                  </w:r>
                </w:p>
              </w:tc>
              <w:tc>
                <w:tcPr>
                  <w:tcW w:w="670" w:type="pct"/>
                  <w:vAlign w:val="center"/>
                </w:tcPr>
                <w:p>
                  <w:pPr>
                    <w:spacing w:line="360" w:lineRule="exact"/>
                    <w:jc w:val="center"/>
                    <w:rPr>
                      <w:color w:val="auto"/>
                    </w:rPr>
                  </w:pPr>
                  <w:r>
                    <w:rPr>
                      <w:color w:val="auto"/>
                    </w:rPr>
                    <w:t>办公用房</w:t>
                  </w:r>
                </w:p>
              </w:tc>
              <w:tc>
                <w:tcPr>
                  <w:tcW w:w="3441" w:type="pct"/>
                  <w:vAlign w:val="center"/>
                </w:tcPr>
                <w:p>
                  <w:pPr>
                    <w:spacing w:line="360" w:lineRule="exact"/>
                    <w:rPr>
                      <w:color w:val="auto"/>
                    </w:rPr>
                  </w:pPr>
                  <w:r>
                    <w:rPr>
                      <w:color w:val="auto"/>
                      <w:lang w:bidi="ar"/>
                    </w:rPr>
                    <w:t>1座1层砖混结构建筑，占地面积500m</w:t>
                  </w:r>
                  <w:r>
                    <w:rPr>
                      <w:color w:val="auto"/>
                      <w:vertAlign w:val="superscript"/>
                      <w:lang w:bidi="ar"/>
                    </w:rPr>
                    <w:t>2</w:t>
                  </w:r>
                  <w:r>
                    <w:rPr>
                      <w:color w:val="auto"/>
                      <w:lang w:bidi="ar"/>
                    </w:rPr>
                    <w:t>，位于厂区北侧。</w:t>
                  </w:r>
                </w:p>
              </w:tc>
              <w:tc>
                <w:tcPr>
                  <w:tcW w:w="391" w:type="pct"/>
                  <w:vAlign w:val="center"/>
                </w:tcPr>
                <w:p>
                  <w:pPr>
                    <w:spacing w:line="360" w:lineRule="exact"/>
                    <w:jc w:val="center"/>
                    <w:rPr>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智能化控制及调度系统</w:t>
                  </w:r>
                </w:p>
              </w:tc>
              <w:tc>
                <w:tcPr>
                  <w:tcW w:w="3441" w:type="pct"/>
                  <w:vAlign w:val="center"/>
                </w:tcPr>
                <w:p>
                  <w:pPr>
                    <w:spacing w:line="360" w:lineRule="exact"/>
                    <w:rPr>
                      <w:color w:val="auto"/>
                      <w:lang w:bidi="ar"/>
                    </w:rPr>
                  </w:pPr>
                  <w:r>
                    <w:rPr>
                      <w:rFonts w:hint="eastAsia"/>
                      <w:color w:val="auto"/>
                      <w:lang w:bidi="ar"/>
                    </w:rPr>
                    <w:t>包括不同煤质煤炭分区储存，车辆卸车引导提示系统，煤炭装车出运引导提示系统，以及智能化办公系统等。</w:t>
                  </w:r>
                </w:p>
              </w:tc>
              <w:tc>
                <w:tcPr>
                  <w:tcW w:w="391" w:type="pct"/>
                  <w:vAlign w:val="center"/>
                </w:tcPr>
                <w:p>
                  <w:pPr>
                    <w:spacing w:line="360" w:lineRule="exact"/>
                    <w:jc w:val="center"/>
                    <w:rPr>
                      <w:bCs/>
                      <w:color w:val="auto"/>
                    </w:rPr>
                  </w:pPr>
                  <w:r>
                    <w:rPr>
                      <w:rFonts w:hint="eastAsia"/>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磅房</w:t>
                  </w:r>
                </w:p>
              </w:tc>
              <w:tc>
                <w:tcPr>
                  <w:tcW w:w="3441" w:type="pct"/>
                  <w:vAlign w:val="center"/>
                </w:tcPr>
                <w:p>
                  <w:pPr>
                    <w:spacing w:line="360" w:lineRule="exact"/>
                    <w:rPr>
                      <w:color w:val="auto"/>
                      <w:lang w:bidi="ar"/>
                    </w:rPr>
                  </w:pPr>
                  <w:r>
                    <w:rPr>
                      <w:color w:val="auto"/>
                      <w:lang w:bidi="ar"/>
                    </w:rPr>
                    <w:t>每座储煤棚配套2座100t地磅及2座磅房，20m</w:t>
                  </w:r>
                  <w:r>
                    <w:rPr>
                      <w:color w:val="auto"/>
                      <w:vertAlign w:val="superscript"/>
                      <w:lang w:bidi="ar"/>
                    </w:rPr>
                    <w:t>2</w:t>
                  </w:r>
                  <w:r>
                    <w:rPr>
                      <w:color w:val="auto"/>
                      <w:lang w:bidi="ar"/>
                    </w:rPr>
                    <w:t>/座。</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配电室</w:t>
                  </w:r>
                </w:p>
              </w:tc>
              <w:tc>
                <w:tcPr>
                  <w:tcW w:w="3441" w:type="pct"/>
                  <w:vAlign w:val="center"/>
                </w:tcPr>
                <w:p>
                  <w:pPr>
                    <w:spacing w:line="360" w:lineRule="exact"/>
                    <w:rPr>
                      <w:color w:val="auto"/>
                      <w:lang w:bidi="ar"/>
                    </w:rPr>
                  </w:pPr>
                  <w:r>
                    <w:rPr>
                      <w:bCs/>
                      <w:color w:val="auto"/>
                    </w:rPr>
                    <w:t>建筑尺寸：18×9m，建筑高度5.0m，围护采用加气混凝土砌块。</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消防泵房</w:t>
                  </w:r>
                </w:p>
              </w:tc>
              <w:tc>
                <w:tcPr>
                  <w:tcW w:w="3441" w:type="pct"/>
                  <w:vAlign w:val="center"/>
                </w:tcPr>
                <w:p>
                  <w:pPr>
                    <w:spacing w:line="360" w:lineRule="exact"/>
                    <w:rPr>
                      <w:bCs/>
                      <w:color w:val="auto"/>
                    </w:rPr>
                  </w:pPr>
                  <w:r>
                    <w:rPr>
                      <w:bCs/>
                      <w:color w:val="auto"/>
                    </w:rPr>
                    <w:t>建筑尺寸：15×8m，高度地上4.8m、地下-4.5m，围护地上采用加气混凝土砌块，地下采用钢筋混凝土。</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生产及消防水池</w:t>
                  </w:r>
                </w:p>
              </w:tc>
              <w:tc>
                <w:tcPr>
                  <w:tcW w:w="3441" w:type="pct"/>
                  <w:vAlign w:val="center"/>
                </w:tcPr>
                <w:p>
                  <w:pPr>
                    <w:spacing w:line="360" w:lineRule="exact"/>
                    <w:rPr>
                      <w:bCs/>
                      <w:color w:val="auto"/>
                    </w:rPr>
                  </w:pPr>
                  <w:r>
                    <w:rPr>
                      <w:bCs/>
                      <w:color w:val="auto"/>
                    </w:rPr>
                    <w:t>在工业场地设置一座有效容积V=750m³清水池作为生产和消防合用水池，并设消防用水不被动用的措施；水池补水管保证48小时内补满。</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初期雨水池</w:t>
                  </w:r>
                </w:p>
              </w:tc>
              <w:tc>
                <w:tcPr>
                  <w:tcW w:w="3441" w:type="pct"/>
                  <w:vAlign w:val="center"/>
                </w:tcPr>
                <w:p>
                  <w:pPr>
                    <w:spacing w:line="360" w:lineRule="exact"/>
                    <w:rPr>
                      <w:bCs/>
                      <w:color w:val="auto"/>
                    </w:rPr>
                  </w:pPr>
                  <w:r>
                    <w:rPr>
                      <w:color w:val="auto"/>
                      <w:spacing w:val="4"/>
                    </w:rPr>
                    <w:t>设导流渠用于收集厂区内初期雨水，厂区地块1内建设1座不小于300m</w:t>
                  </w:r>
                  <w:r>
                    <w:rPr>
                      <w:color w:val="auto"/>
                      <w:spacing w:val="4"/>
                      <w:vertAlign w:val="superscript"/>
                    </w:rPr>
                    <w:t>3</w:t>
                  </w:r>
                  <w:r>
                    <w:rPr>
                      <w:color w:val="auto"/>
                      <w:spacing w:val="4"/>
                    </w:rPr>
                    <w:t>的初期雨水池，收集厂区内产生的初期雨水；收集15min的初期雨水后，经切换装置将雨水由厂区北侧排出厂区；收集的初期雨水经沉淀后回用于厂区道路浇洒抑尘，不外排</w:t>
                  </w:r>
                  <w:r>
                    <w:rPr>
                      <w:color w:val="auto"/>
                    </w:rPr>
                    <w:t>。</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restart"/>
                  <w:vAlign w:val="center"/>
                </w:tcPr>
                <w:p>
                  <w:pPr>
                    <w:widowControl/>
                    <w:spacing w:line="360" w:lineRule="exact"/>
                    <w:jc w:val="center"/>
                    <w:rPr>
                      <w:color w:val="auto"/>
                    </w:rPr>
                  </w:pPr>
                  <w:r>
                    <w:rPr>
                      <w:color w:val="auto"/>
                    </w:rPr>
                    <w:t>公用</w:t>
                  </w:r>
                </w:p>
                <w:p>
                  <w:pPr>
                    <w:widowControl/>
                    <w:spacing w:line="360" w:lineRule="exact"/>
                    <w:jc w:val="center"/>
                    <w:rPr>
                      <w:color w:val="auto"/>
                    </w:rPr>
                  </w:pPr>
                  <w:r>
                    <w:rPr>
                      <w:color w:val="auto"/>
                    </w:rPr>
                    <w:t>工程</w:t>
                  </w:r>
                </w:p>
              </w:tc>
              <w:tc>
                <w:tcPr>
                  <w:tcW w:w="670" w:type="pct"/>
                  <w:vAlign w:val="center"/>
                </w:tcPr>
                <w:p>
                  <w:pPr>
                    <w:spacing w:line="360" w:lineRule="exact"/>
                    <w:jc w:val="center"/>
                    <w:rPr>
                      <w:color w:val="auto"/>
                    </w:rPr>
                  </w:pPr>
                  <w:r>
                    <w:rPr>
                      <w:color w:val="auto"/>
                    </w:rPr>
                    <w:t>给水</w:t>
                  </w:r>
                </w:p>
              </w:tc>
              <w:tc>
                <w:tcPr>
                  <w:tcW w:w="3441" w:type="pct"/>
                  <w:vAlign w:val="center"/>
                </w:tcPr>
                <w:p>
                  <w:pPr>
                    <w:spacing w:line="360" w:lineRule="exact"/>
                    <w:rPr>
                      <w:color w:val="auto"/>
                    </w:rPr>
                  </w:pPr>
                  <w:r>
                    <w:rPr>
                      <w:color w:val="auto"/>
                    </w:rPr>
                    <w:t>项目用水由自备水井供应，能满足项目用水需求。</w:t>
                  </w:r>
                </w:p>
              </w:tc>
              <w:tc>
                <w:tcPr>
                  <w:tcW w:w="391" w:type="pct"/>
                  <w:vAlign w:val="center"/>
                </w:tcPr>
                <w:p>
                  <w:pPr>
                    <w:spacing w:line="360" w:lineRule="exact"/>
                    <w:jc w:val="center"/>
                    <w:rPr>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rPr>
                    <w:t>排水</w:t>
                  </w:r>
                </w:p>
              </w:tc>
              <w:tc>
                <w:tcPr>
                  <w:tcW w:w="3441" w:type="pct"/>
                  <w:vAlign w:val="center"/>
                </w:tcPr>
                <w:p>
                  <w:pPr>
                    <w:spacing w:line="360" w:lineRule="exact"/>
                    <w:rPr>
                      <w:color w:val="auto"/>
                    </w:rPr>
                  </w:pPr>
                  <w:r>
                    <w:rPr>
                      <w:rFonts w:hint="eastAsia" w:cs="宋体"/>
                      <w:color w:val="auto"/>
                      <w:kern w:val="0"/>
                    </w:rPr>
                    <w:t>本项目使用旱厕，定期清掏用于农田施肥；生活盥洗废水于厂区泼洒抑尘不外排。</w:t>
                  </w:r>
                </w:p>
              </w:tc>
              <w:tc>
                <w:tcPr>
                  <w:tcW w:w="391" w:type="pct"/>
                  <w:vAlign w:val="center"/>
                </w:tcPr>
                <w:p>
                  <w:pPr>
                    <w:spacing w:line="360" w:lineRule="exact"/>
                    <w:jc w:val="center"/>
                    <w:rPr>
                      <w:bCs/>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gridSpan w:val="2"/>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rPr>
                    <w:t>供电</w:t>
                  </w:r>
                </w:p>
              </w:tc>
              <w:tc>
                <w:tcPr>
                  <w:tcW w:w="3441" w:type="pct"/>
                  <w:vAlign w:val="center"/>
                </w:tcPr>
                <w:p>
                  <w:pPr>
                    <w:spacing w:line="360" w:lineRule="exact"/>
                    <w:rPr>
                      <w:color w:val="auto"/>
                    </w:rPr>
                  </w:pPr>
                  <w:r>
                    <w:rPr>
                      <w:color w:val="auto"/>
                    </w:rPr>
                    <w:t>本项目用电由市政电网供应，电源引自平型关镇变电站，采用1路10kV进线。</w:t>
                  </w:r>
                </w:p>
              </w:tc>
              <w:tc>
                <w:tcPr>
                  <w:tcW w:w="391" w:type="pct"/>
                  <w:vAlign w:val="center"/>
                </w:tcPr>
                <w:p>
                  <w:pPr>
                    <w:spacing w:line="360" w:lineRule="exact"/>
                    <w:jc w:val="center"/>
                    <w:rPr>
                      <w:color w:val="auto"/>
                    </w:rPr>
                  </w:pPr>
                  <w:r>
                    <w:rPr>
                      <w:bCs/>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97" w:type="pct"/>
                  <w:gridSpan w:val="2"/>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rPr>
                    <w:t>供暖</w:t>
                  </w:r>
                </w:p>
              </w:tc>
              <w:tc>
                <w:tcPr>
                  <w:tcW w:w="3441" w:type="pct"/>
                  <w:vAlign w:val="center"/>
                </w:tcPr>
                <w:p>
                  <w:pPr>
                    <w:spacing w:line="360" w:lineRule="exact"/>
                    <w:rPr>
                      <w:color w:val="auto"/>
                    </w:rPr>
                  </w:pPr>
                  <w:r>
                    <w:rPr>
                      <w:bCs/>
                      <w:color w:val="auto"/>
                    </w:rPr>
                    <w:t>生产车间不供暖，值班办公室采用电暖气及空调。</w:t>
                  </w:r>
                </w:p>
              </w:tc>
              <w:tc>
                <w:tcPr>
                  <w:tcW w:w="391" w:type="pct"/>
                  <w:vAlign w:val="center"/>
                </w:tcPr>
                <w:p>
                  <w:pPr>
                    <w:spacing w:line="360" w:lineRule="exact"/>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restart"/>
                  <w:vAlign w:val="center"/>
                </w:tcPr>
                <w:p>
                  <w:pPr>
                    <w:spacing w:line="360" w:lineRule="exact"/>
                    <w:jc w:val="center"/>
                    <w:rPr>
                      <w:color w:val="auto"/>
                    </w:rPr>
                  </w:pPr>
                  <w:r>
                    <w:rPr>
                      <w:color w:val="auto"/>
                    </w:rPr>
                    <w:t>环保工程</w:t>
                  </w:r>
                </w:p>
              </w:tc>
              <w:tc>
                <w:tcPr>
                  <w:tcW w:w="255" w:type="pct"/>
                  <w:vMerge w:val="restart"/>
                  <w:vAlign w:val="center"/>
                </w:tcPr>
                <w:p>
                  <w:pPr>
                    <w:spacing w:line="360" w:lineRule="exact"/>
                    <w:jc w:val="center"/>
                    <w:rPr>
                      <w:color w:val="auto"/>
                    </w:rPr>
                  </w:pPr>
                  <w:r>
                    <w:rPr>
                      <w:color w:val="auto"/>
                    </w:rPr>
                    <w:t>废气</w:t>
                  </w:r>
                </w:p>
              </w:tc>
              <w:tc>
                <w:tcPr>
                  <w:tcW w:w="670" w:type="pct"/>
                  <w:vAlign w:val="center"/>
                </w:tcPr>
                <w:p>
                  <w:pPr>
                    <w:spacing w:line="360" w:lineRule="exact"/>
                    <w:jc w:val="center"/>
                    <w:rPr>
                      <w:color w:val="auto"/>
                    </w:rPr>
                  </w:pPr>
                  <w:r>
                    <w:rPr>
                      <w:color w:val="auto"/>
                    </w:rPr>
                    <w:t>运输扬尘</w:t>
                  </w:r>
                </w:p>
              </w:tc>
              <w:tc>
                <w:tcPr>
                  <w:tcW w:w="3441" w:type="pct"/>
                  <w:vAlign w:val="center"/>
                </w:tcPr>
                <w:p>
                  <w:pPr>
                    <w:spacing w:line="360" w:lineRule="exact"/>
                    <w:rPr>
                      <w:color w:val="auto"/>
                    </w:rPr>
                  </w:pPr>
                  <w:r>
                    <w:rPr>
                      <w:rFonts w:hint="eastAsia"/>
                      <w:bCs/>
                      <w:color w:val="auto"/>
                    </w:rPr>
                    <w:t>运输车辆</w:t>
                  </w:r>
                  <w:r>
                    <w:rPr>
                      <w:bCs/>
                      <w:color w:val="auto"/>
                    </w:rPr>
                    <w:t>限制超载，采用</w:t>
                  </w:r>
                  <w:r>
                    <w:rPr>
                      <w:rFonts w:hint="eastAsia"/>
                      <w:bCs/>
                      <w:color w:val="auto"/>
                    </w:rPr>
                    <w:t>篷布苫盖</w:t>
                  </w:r>
                  <w:r>
                    <w:rPr>
                      <w:bCs/>
                      <w:color w:val="auto"/>
                    </w:rPr>
                    <w:t>；厂区进出口</w:t>
                  </w:r>
                  <w:r>
                    <w:rPr>
                      <w:rFonts w:hint="eastAsia"/>
                      <w:bCs/>
                      <w:color w:val="auto"/>
                    </w:rPr>
                    <w:t>以及每座煤棚出口处</w:t>
                  </w:r>
                  <w:r>
                    <w:rPr>
                      <w:bCs/>
                      <w:color w:val="auto"/>
                    </w:rPr>
                    <w:t>设</w:t>
                  </w:r>
                  <w:r>
                    <w:rPr>
                      <w:rFonts w:hint="eastAsia"/>
                      <w:bCs/>
                      <w:color w:val="auto"/>
                    </w:rPr>
                    <w:t>1座</w:t>
                  </w:r>
                  <w:r>
                    <w:rPr>
                      <w:bCs/>
                      <w:color w:val="auto"/>
                    </w:rPr>
                    <w:t>车辆清洗平台对车身及轮胎进行冲洗；厂区对地面、道路进行全部硬化和厂界绿化，同时配备移动洒水车</w:t>
                  </w:r>
                  <w:r>
                    <w:rPr>
                      <w:rFonts w:hint="eastAsia"/>
                      <w:bCs/>
                      <w:color w:val="auto"/>
                    </w:rPr>
                    <w:t>进行洒水抑尘</w:t>
                  </w:r>
                  <w:r>
                    <w:rPr>
                      <w:bCs/>
                      <w:color w:val="auto"/>
                    </w:rPr>
                    <w:t>。</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spacing w:line="360" w:lineRule="exact"/>
                    <w:jc w:val="center"/>
                    <w:rPr>
                      <w:color w:val="auto"/>
                    </w:rPr>
                  </w:pPr>
                </w:p>
              </w:tc>
              <w:tc>
                <w:tcPr>
                  <w:tcW w:w="255" w:type="pct"/>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lang w:bidi="ar"/>
                    </w:rPr>
                    <w:t>煤炭储存及装卸扬尘</w:t>
                  </w:r>
                </w:p>
              </w:tc>
              <w:tc>
                <w:tcPr>
                  <w:tcW w:w="3441" w:type="pct"/>
                  <w:vAlign w:val="center"/>
                </w:tcPr>
                <w:p>
                  <w:pPr>
                    <w:spacing w:line="360" w:lineRule="exact"/>
                    <w:rPr>
                      <w:color w:val="auto"/>
                    </w:rPr>
                  </w:pPr>
                  <w:r>
                    <w:rPr>
                      <w:color w:val="auto"/>
                    </w:rPr>
                    <w:t>尽可能缩小装卸时的高差，</w:t>
                  </w:r>
                  <w:r>
                    <w:rPr>
                      <w:color w:val="auto"/>
                      <w:spacing w:val="4"/>
                    </w:rPr>
                    <w:t>建设全封闭储煤棚，并设</w:t>
                  </w:r>
                  <w:r>
                    <w:rPr>
                      <w:rFonts w:hint="eastAsia"/>
                      <w:color w:val="auto"/>
                      <w:spacing w:val="4"/>
                    </w:rPr>
                    <w:t>置</w:t>
                  </w:r>
                  <w:r>
                    <w:rPr>
                      <w:color w:val="auto"/>
                      <w:spacing w:val="4"/>
                    </w:rPr>
                    <w:t>能够覆盖全</w:t>
                  </w:r>
                  <w:r>
                    <w:rPr>
                      <w:rFonts w:hint="eastAsia"/>
                      <w:color w:val="auto"/>
                      <w:spacing w:val="4"/>
                    </w:rPr>
                    <w:t>库</w:t>
                  </w:r>
                  <w:r>
                    <w:rPr>
                      <w:color w:val="auto"/>
                      <w:spacing w:val="4"/>
                    </w:rPr>
                    <w:t>的喷雾洒水装置，</w:t>
                  </w:r>
                  <w:r>
                    <w:rPr>
                      <w:rFonts w:hint="eastAsia"/>
                      <w:color w:val="auto"/>
                      <w:spacing w:val="4"/>
                    </w:rPr>
                    <w:t>每座储库设置1台移动式雾炮，在装卸时采取喷雾抑尘</w:t>
                  </w:r>
                  <w:r>
                    <w:rPr>
                      <w:color w:val="auto"/>
                      <w:spacing w:val="4"/>
                    </w:rPr>
                    <w:t>。</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spacing w:line="360" w:lineRule="exact"/>
                    <w:jc w:val="center"/>
                    <w:rPr>
                      <w:color w:val="auto"/>
                    </w:rPr>
                  </w:pPr>
                </w:p>
              </w:tc>
              <w:tc>
                <w:tcPr>
                  <w:tcW w:w="255" w:type="pct"/>
                  <w:vMerge w:val="restart"/>
                  <w:vAlign w:val="center"/>
                </w:tcPr>
                <w:p>
                  <w:pPr>
                    <w:spacing w:line="360" w:lineRule="exact"/>
                    <w:jc w:val="center"/>
                    <w:rPr>
                      <w:color w:val="auto"/>
                    </w:rPr>
                  </w:pPr>
                  <w:r>
                    <w:rPr>
                      <w:color w:val="auto"/>
                    </w:rPr>
                    <w:t>废水</w:t>
                  </w:r>
                </w:p>
              </w:tc>
              <w:tc>
                <w:tcPr>
                  <w:tcW w:w="670" w:type="pct"/>
                  <w:vAlign w:val="center"/>
                </w:tcPr>
                <w:p>
                  <w:pPr>
                    <w:spacing w:line="360" w:lineRule="exact"/>
                    <w:jc w:val="center"/>
                    <w:rPr>
                      <w:color w:val="auto"/>
                    </w:rPr>
                  </w:pPr>
                  <w:r>
                    <w:rPr>
                      <w:rFonts w:hint="eastAsia"/>
                      <w:color w:val="auto"/>
                    </w:rPr>
                    <w:t>储煤棚淋控废水</w:t>
                  </w:r>
                </w:p>
              </w:tc>
              <w:tc>
                <w:tcPr>
                  <w:tcW w:w="3441" w:type="pct"/>
                  <w:vAlign w:val="center"/>
                </w:tcPr>
                <w:p>
                  <w:pPr>
                    <w:spacing w:line="360" w:lineRule="exact"/>
                    <w:rPr>
                      <w:color w:val="auto"/>
                    </w:rPr>
                  </w:pPr>
                  <w:r>
                    <w:rPr>
                      <w:color w:val="auto"/>
                    </w:rPr>
                    <w:t>每座储煤库外均设置1座100m</w:t>
                  </w:r>
                  <w:r>
                    <w:rPr>
                      <w:color w:val="auto"/>
                      <w:vertAlign w:val="superscript"/>
                    </w:rPr>
                    <w:t>3</w:t>
                  </w:r>
                  <w:r>
                    <w:rPr>
                      <w:color w:val="auto"/>
                    </w:rPr>
                    <w:t>淋控废水收集池、1座100m</w:t>
                  </w:r>
                  <w:r>
                    <w:rPr>
                      <w:color w:val="auto"/>
                      <w:vertAlign w:val="superscript"/>
                    </w:rPr>
                    <w:t>3</w:t>
                  </w:r>
                  <w:r>
                    <w:rPr>
                      <w:color w:val="auto"/>
                    </w:rPr>
                    <w:t>清水池，储煤场淋控废水经淋控废水收集池收集沉淀处理后返回清水池回用，不外排</w:t>
                  </w:r>
                  <w:r>
                    <w:rPr>
                      <w:rFonts w:hint="eastAsia"/>
                      <w:color w:val="auto"/>
                    </w:rPr>
                    <w:t>。</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spacing w:line="360" w:lineRule="exact"/>
                    <w:jc w:val="center"/>
                    <w:rPr>
                      <w:color w:val="auto"/>
                    </w:rPr>
                  </w:pPr>
                </w:p>
              </w:tc>
              <w:tc>
                <w:tcPr>
                  <w:tcW w:w="255" w:type="pct"/>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洗车废水</w:t>
                  </w:r>
                </w:p>
              </w:tc>
              <w:tc>
                <w:tcPr>
                  <w:tcW w:w="3441" w:type="pct"/>
                  <w:vAlign w:val="center"/>
                </w:tcPr>
                <w:p>
                  <w:pPr>
                    <w:spacing w:line="360" w:lineRule="exact"/>
                    <w:rPr>
                      <w:bCs/>
                      <w:color w:val="auto"/>
                    </w:rPr>
                  </w:pPr>
                  <w:r>
                    <w:rPr>
                      <w:bCs/>
                      <w:color w:val="auto"/>
                    </w:rPr>
                    <w:t>厂区进出口</w:t>
                  </w:r>
                  <w:r>
                    <w:rPr>
                      <w:rFonts w:hint="eastAsia"/>
                      <w:bCs/>
                      <w:color w:val="auto"/>
                    </w:rPr>
                    <w:t>以及每座煤棚出口处</w:t>
                  </w:r>
                  <w:r>
                    <w:rPr>
                      <w:bCs/>
                      <w:color w:val="auto"/>
                    </w:rPr>
                    <w:t>设</w:t>
                  </w:r>
                  <w:r>
                    <w:rPr>
                      <w:rFonts w:hint="eastAsia"/>
                      <w:bCs/>
                      <w:color w:val="auto"/>
                    </w:rPr>
                    <w:t>1座</w:t>
                  </w:r>
                  <w:r>
                    <w:rPr>
                      <w:bCs/>
                      <w:color w:val="auto"/>
                    </w:rPr>
                    <w:t>车辆清洗平台对车身及轮胎进行冲洗；</w:t>
                  </w:r>
                  <w:r>
                    <w:rPr>
                      <w:rFonts w:hint="eastAsia"/>
                      <w:bCs/>
                      <w:color w:val="auto"/>
                    </w:rPr>
                    <w:t>每座洗车平台</w:t>
                  </w:r>
                  <w:r>
                    <w:rPr>
                      <w:color w:val="auto"/>
                      <w:lang w:bidi="ar"/>
                    </w:rPr>
                    <w:t>配套</w:t>
                  </w:r>
                  <w:r>
                    <w:rPr>
                      <w:bCs/>
                      <w:color w:val="auto"/>
                    </w:rPr>
                    <w:t>设置收集池、清水池、沉淀池各1座，每个水池</w:t>
                  </w:r>
                  <w:r>
                    <w:rPr>
                      <w:rFonts w:hint="eastAsia"/>
                      <w:bCs/>
                      <w:color w:val="auto"/>
                    </w:rPr>
                    <w:t>10</w:t>
                  </w:r>
                  <w:r>
                    <w:rPr>
                      <w:bCs/>
                      <w:color w:val="auto"/>
                    </w:rPr>
                    <w:t>m</w:t>
                  </w:r>
                  <w:r>
                    <w:rPr>
                      <w:bCs/>
                      <w:color w:val="auto"/>
                      <w:vertAlign w:val="superscript"/>
                    </w:rPr>
                    <w:t>3</w:t>
                  </w:r>
                  <w:r>
                    <w:rPr>
                      <w:bCs/>
                      <w:color w:val="auto"/>
                    </w:rPr>
                    <w:t>，</w:t>
                  </w:r>
                  <w:r>
                    <w:rPr>
                      <w:color w:val="auto"/>
                      <w:lang w:bidi="ar"/>
                    </w:rPr>
                    <w:t>洗车废水经沉淀池沉淀后由水泵泵入清水池循环利用，不外排。</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spacing w:line="360" w:lineRule="exact"/>
                    <w:jc w:val="center"/>
                    <w:rPr>
                      <w:color w:val="auto"/>
                    </w:rPr>
                  </w:pPr>
                </w:p>
              </w:tc>
              <w:tc>
                <w:tcPr>
                  <w:tcW w:w="255" w:type="pct"/>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初期雨水</w:t>
                  </w:r>
                </w:p>
              </w:tc>
              <w:tc>
                <w:tcPr>
                  <w:tcW w:w="3441" w:type="pct"/>
                  <w:vAlign w:val="center"/>
                </w:tcPr>
                <w:p>
                  <w:pPr>
                    <w:spacing w:line="360" w:lineRule="exact"/>
                    <w:rPr>
                      <w:color w:val="auto"/>
                      <w:lang w:bidi="ar"/>
                    </w:rPr>
                  </w:pPr>
                  <w:r>
                    <w:rPr>
                      <w:color w:val="auto"/>
                      <w:spacing w:val="4"/>
                    </w:rPr>
                    <w:t>设导流渠用于收集厂区内初期雨水，厂区地块1内建设1座不小于300m</w:t>
                  </w:r>
                  <w:r>
                    <w:rPr>
                      <w:color w:val="auto"/>
                      <w:spacing w:val="4"/>
                      <w:vertAlign w:val="superscript"/>
                    </w:rPr>
                    <w:t>3</w:t>
                  </w:r>
                  <w:r>
                    <w:rPr>
                      <w:color w:val="auto"/>
                      <w:spacing w:val="4"/>
                    </w:rPr>
                    <w:t>的初期雨水池，收集厂区内产生的初期雨水；收集15min的初期雨水后，经切换装置将雨水由厂区北侧排出厂区；收集的初期雨水经沉淀后回用于厂区道路浇洒抑尘，不外排</w:t>
                  </w:r>
                  <w:r>
                    <w:rPr>
                      <w:color w:val="auto"/>
                    </w:rPr>
                    <w:t>。</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spacing w:line="360" w:lineRule="exact"/>
                    <w:jc w:val="center"/>
                    <w:rPr>
                      <w:color w:val="auto"/>
                    </w:rPr>
                  </w:pPr>
                </w:p>
              </w:tc>
              <w:tc>
                <w:tcPr>
                  <w:tcW w:w="255" w:type="pct"/>
                  <w:vMerge w:val="continue"/>
                  <w:vAlign w:val="center"/>
                </w:tcPr>
                <w:p>
                  <w:pPr>
                    <w:spacing w:line="360" w:lineRule="exact"/>
                    <w:jc w:val="center"/>
                    <w:rPr>
                      <w:color w:val="auto"/>
                    </w:rPr>
                  </w:pPr>
                </w:p>
              </w:tc>
              <w:tc>
                <w:tcPr>
                  <w:tcW w:w="670" w:type="pct"/>
                  <w:vAlign w:val="center"/>
                </w:tcPr>
                <w:p>
                  <w:pPr>
                    <w:spacing w:line="360" w:lineRule="exact"/>
                    <w:jc w:val="center"/>
                    <w:rPr>
                      <w:color w:val="auto"/>
                    </w:rPr>
                  </w:pPr>
                  <w:r>
                    <w:rPr>
                      <w:color w:val="auto"/>
                    </w:rPr>
                    <w:t>生活污水</w:t>
                  </w:r>
                </w:p>
              </w:tc>
              <w:tc>
                <w:tcPr>
                  <w:tcW w:w="3441" w:type="pct"/>
                  <w:vAlign w:val="center"/>
                </w:tcPr>
                <w:p>
                  <w:pPr>
                    <w:spacing w:line="360" w:lineRule="exact"/>
                    <w:rPr>
                      <w:color w:val="auto"/>
                    </w:rPr>
                  </w:pPr>
                  <w:r>
                    <w:rPr>
                      <w:rFonts w:hint="eastAsia" w:cs="宋体"/>
                      <w:color w:val="auto"/>
                      <w:kern w:val="0"/>
                    </w:rPr>
                    <w:t>本项目使用旱厕，定期清掏用于农田施肥；生活盥洗废水于厂区泼洒抑尘不外排。</w:t>
                  </w:r>
                </w:p>
              </w:tc>
              <w:tc>
                <w:tcPr>
                  <w:tcW w:w="391" w:type="pct"/>
                  <w:vAlign w:val="center"/>
                </w:tcPr>
                <w:p>
                  <w:pPr>
                    <w:pStyle w:val="67"/>
                    <w:snapToGrid/>
                    <w:spacing w:before="0" w:after="0" w:line="36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Merge w:val="restart"/>
                  <w:vAlign w:val="center"/>
                </w:tcPr>
                <w:p>
                  <w:pPr>
                    <w:widowControl/>
                    <w:spacing w:line="360" w:lineRule="exact"/>
                    <w:jc w:val="center"/>
                    <w:rPr>
                      <w:color w:val="auto"/>
                    </w:rPr>
                  </w:pPr>
                  <w:r>
                    <w:rPr>
                      <w:color w:val="auto"/>
                    </w:rPr>
                    <w:t>固废</w:t>
                  </w:r>
                </w:p>
              </w:tc>
              <w:tc>
                <w:tcPr>
                  <w:tcW w:w="670" w:type="pct"/>
                  <w:vAlign w:val="center"/>
                </w:tcPr>
                <w:p>
                  <w:pPr>
                    <w:spacing w:line="360" w:lineRule="exact"/>
                    <w:jc w:val="center"/>
                    <w:rPr>
                      <w:color w:val="auto"/>
                    </w:rPr>
                  </w:pPr>
                  <w:r>
                    <w:rPr>
                      <w:color w:val="auto"/>
                    </w:rPr>
                    <w:t>一般固废</w:t>
                  </w:r>
                </w:p>
              </w:tc>
              <w:tc>
                <w:tcPr>
                  <w:tcW w:w="3441" w:type="pct"/>
                  <w:vAlign w:val="center"/>
                </w:tcPr>
                <w:p>
                  <w:pPr>
                    <w:spacing w:line="360" w:lineRule="exact"/>
                    <w:rPr>
                      <w:color w:val="auto"/>
                    </w:rPr>
                  </w:pPr>
                  <w:r>
                    <w:rPr>
                      <w:color w:val="auto"/>
                      <w:lang w:bidi="ar"/>
                    </w:rPr>
                    <w:t>洗车废水沉淀池、初期雨水池底泥</w:t>
                  </w:r>
                  <w:r>
                    <w:rPr>
                      <w:rFonts w:hint="eastAsia"/>
                      <w:color w:val="auto"/>
                    </w:rPr>
                    <w:t>主要成分为煤泥，收集后作为产品外售。</w:t>
                  </w:r>
                </w:p>
              </w:tc>
              <w:tc>
                <w:tcPr>
                  <w:tcW w:w="391" w:type="pct"/>
                  <w:vAlign w:val="center"/>
                </w:tcPr>
                <w:p>
                  <w:pPr>
                    <w:spacing w:line="360" w:lineRule="exact"/>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rPr>
                    <w:t>危险废物</w:t>
                  </w:r>
                </w:p>
              </w:tc>
              <w:tc>
                <w:tcPr>
                  <w:tcW w:w="3441" w:type="pct"/>
                  <w:vAlign w:val="center"/>
                </w:tcPr>
                <w:p>
                  <w:pPr>
                    <w:spacing w:line="360" w:lineRule="exact"/>
                    <w:rPr>
                      <w:color w:val="auto"/>
                    </w:rPr>
                  </w:pPr>
                  <w:r>
                    <w:rPr>
                      <w:color w:val="auto"/>
                    </w:rPr>
                    <w:t>在厂区西北侧设置20m</w:t>
                  </w:r>
                  <w:r>
                    <w:rPr>
                      <w:color w:val="auto"/>
                      <w:vertAlign w:val="superscript"/>
                    </w:rPr>
                    <w:t>2</w:t>
                  </w:r>
                  <w:r>
                    <w:rPr>
                      <w:color w:val="auto"/>
                    </w:rPr>
                    <w:t>的危废暂存间，</w:t>
                  </w:r>
                  <w:r>
                    <w:rPr>
                      <w:color w:val="auto"/>
                      <w:lang w:bidi="ar"/>
                    </w:rPr>
                    <w:t>废机油、废油桶、废棉纱</w:t>
                  </w:r>
                  <w:r>
                    <w:rPr>
                      <w:color w:val="auto"/>
                    </w:rPr>
                    <w:t>等危废暂存于危废暂存间内，及时委托有资质的单位运走处置。</w:t>
                  </w:r>
                </w:p>
              </w:tc>
              <w:tc>
                <w:tcPr>
                  <w:tcW w:w="391" w:type="pct"/>
                  <w:vAlign w:val="center"/>
                </w:tcPr>
                <w:p>
                  <w:pPr>
                    <w:spacing w:line="360" w:lineRule="exact"/>
                    <w:jc w:val="center"/>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rPr>
                    <w:t>生活垃圾</w:t>
                  </w:r>
                </w:p>
              </w:tc>
              <w:tc>
                <w:tcPr>
                  <w:tcW w:w="3441" w:type="pct"/>
                  <w:vAlign w:val="center"/>
                </w:tcPr>
                <w:p>
                  <w:pPr>
                    <w:spacing w:line="360" w:lineRule="exact"/>
                    <w:rPr>
                      <w:color w:val="auto"/>
                    </w:rPr>
                  </w:pPr>
                  <w:r>
                    <w:rPr>
                      <w:color w:val="auto"/>
                      <w:lang w:bidi="ar"/>
                    </w:rPr>
                    <w:t>在厂区内设封闭式垃圾收集箱，收集后送当地环卫部门指定地点统一处理</w:t>
                  </w:r>
                </w:p>
              </w:tc>
              <w:tc>
                <w:tcPr>
                  <w:tcW w:w="391" w:type="pct"/>
                  <w:vAlign w:val="center"/>
                </w:tcPr>
                <w:p>
                  <w:pPr>
                    <w:spacing w:line="360" w:lineRule="exact"/>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Merge w:val="restart"/>
                  <w:vAlign w:val="center"/>
                </w:tcPr>
                <w:p>
                  <w:pPr>
                    <w:widowControl/>
                    <w:spacing w:line="360" w:lineRule="exact"/>
                    <w:jc w:val="center"/>
                    <w:rPr>
                      <w:color w:val="auto"/>
                    </w:rPr>
                  </w:pPr>
                  <w:r>
                    <w:rPr>
                      <w:color w:val="auto"/>
                    </w:rPr>
                    <w:t>噪声</w:t>
                  </w:r>
                </w:p>
              </w:tc>
              <w:tc>
                <w:tcPr>
                  <w:tcW w:w="670" w:type="pct"/>
                  <w:vAlign w:val="center"/>
                </w:tcPr>
                <w:p>
                  <w:pPr>
                    <w:spacing w:line="360" w:lineRule="exact"/>
                    <w:jc w:val="center"/>
                    <w:rPr>
                      <w:color w:val="auto"/>
                    </w:rPr>
                  </w:pPr>
                  <w:r>
                    <w:rPr>
                      <w:bCs/>
                      <w:color w:val="auto"/>
                    </w:rPr>
                    <w:t>设备噪声</w:t>
                  </w:r>
                </w:p>
              </w:tc>
              <w:tc>
                <w:tcPr>
                  <w:tcW w:w="3441" w:type="pct"/>
                  <w:vAlign w:val="center"/>
                </w:tcPr>
                <w:p>
                  <w:pPr>
                    <w:spacing w:line="360" w:lineRule="exact"/>
                    <w:rPr>
                      <w:color w:val="auto"/>
                      <w:lang w:bidi="ar"/>
                    </w:rPr>
                  </w:pPr>
                  <w:r>
                    <w:rPr>
                      <w:bCs/>
                      <w:color w:val="auto"/>
                    </w:rPr>
                    <w:t>选用低噪声设备，隔声、基础减振，定期维护；加强管理。</w:t>
                  </w:r>
                </w:p>
              </w:tc>
              <w:tc>
                <w:tcPr>
                  <w:tcW w:w="391" w:type="pct"/>
                  <w:vAlign w:val="center"/>
                </w:tcPr>
                <w:p>
                  <w:pPr>
                    <w:spacing w:line="360" w:lineRule="exact"/>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Merge w:val="continue"/>
                  <w:vAlign w:val="center"/>
                </w:tcPr>
                <w:p>
                  <w:pPr>
                    <w:widowControl/>
                    <w:spacing w:line="360" w:lineRule="exact"/>
                    <w:jc w:val="center"/>
                    <w:rPr>
                      <w:color w:val="auto"/>
                    </w:rPr>
                  </w:pPr>
                </w:p>
              </w:tc>
              <w:tc>
                <w:tcPr>
                  <w:tcW w:w="670" w:type="pct"/>
                  <w:vAlign w:val="center"/>
                </w:tcPr>
                <w:p>
                  <w:pPr>
                    <w:spacing w:line="360" w:lineRule="exact"/>
                    <w:jc w:val="center"/>
                    <w:rPr>
                      <w:color w:val="auto"/>
                    </w:rPr>
                  </w:pPr>
                  <w:r>
                    <w:rPr>
                      <w:color w:val="auto"/>
                      <w:lang w:bidi="ar"/>
                    </w:rPr>
                    <w:t>运输车辆</w:t>
                  </w:r>
                </w:p>
              </w:tc>
              <w:tc>
                <w:tcPr>
                  <w:tcW w:w="3441" w:type="pct"/>
                  <w:vAlign w:val="center"/>
                </w:tcPr>
                <w:p>
                  <w:pPr>
                    <w:spacing w:line="360" w:lineRule="exact"/>
                    <w:rPr>
                      <w:color w:val="auto"/>
                    </w:rPr>
                  </w:pPr>
                  <w:r>
                    <w:rPr>
                      <w:bCs/>
                      <w:color w:val="auto"/>
                      <w:lang w:bidi="ar"/>
                    </w:rPr>
                    <w:t>运输车辆及时保养，在通过村庄时禁鸣，减速慢行，降低运输噪声。</w:t>
                  </w:r>
                </w:p>
              </w:tc>
              <w:tc>
                <w:tcPr>
                  <w:tcW w:w="391" w:type="pct"/>
                  <w:vAlign w:val="center"/>
                </w:tcPr>
                <w:p>
                  <w:pPr>
                    <w:spacing w:line="360" w:lineRule="exact"/>
                    <w:jc w:val="center"/>
                    <w:rPr>
                      <w:bCs/>
                      <w:color w:val="auto"/>
                      <w:spacing w:val="4"/>
                    </w:rPr>
                  </w:pPr>
                  <w:r>
                    <w:rPr>
                      <w:bCs/>
                      <w:color w:val="auto"/>
                      <w:spacing w:val="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widowControl/>
                    <w:spacing w:line="360" w:lineRule="exact"/>
                    <w:jc w:val="center"/>
                    <w:rPr>
                      <w:color w:val="auto"/>
                    </w:rPr>
                  </w:pPr>
                </w:p>
              </w:tc>
              <w:tc>
                <w:tcPr>
                  <w:tcW w:w="255" w:type="pct"/>
                  <w:vAlign w:val="center"/>
                </w:tcPr>
                <w:p>
                  <w:pPr>
                    <w:widowControl/>
                    <w:spacing w:line="360" w:lineRule="exact"/>
                    <w:jc w:val="center"/>
                    <w:rPr>
                      <w:color w:val="auto"/>
                    </w:rPr>
                  </w:pPr>
                  <w:r>
                    <w:rPr>
                      <w:color w:val="auto"/>
                    </w:rPr>
                    <w:t>其他</w:t>
                  </w:r>
                </w:p>
              </w:tc>
              <w:tc>
                <w:tcPr>
                  <w:tcW w:w="670" w:type="pct"/>
                  <w:vAlign w:val="center"/>
                </w:tcPr>
                <w:p>
                  <w:pPr>
                    <w:spacing w:line="360" w:lineRule="exact"/>
                    <w:jc w:val="center"/>
                    <w:rPr>
                      <w:color w:val="auto"/>
                      <w:lang w:bidi="ar"/>
                    </w:rPr>
                  </w:pPr>
                  <w:r>
                    <w:rPr>
                      <w:color w:val="auto"/>
                      <w:lang w:bidi="ar"/>
                    </w:rPr>
                    <w:t>绿化</w:t>
                  </w:r>
                </w:p>
              </w:tc>
              <w:tc>
                <w:tcPr>
                  <w:tcW w:w="3441" w:type="pct"/>
                  <w:vAlign w:val="center"/>
                </w:tcPr>
                <w:p>
                  <w:pPr>
                    <w:spacing w:line="360" w:lineRule="exact"/>
                    <w:rPr>
                      <w:bCs/>
                      <w:color w:val="auto"/>
                      <w:vertAlign w:val="superscript"/>
                      <w:lang w:bidi="ar"/>
                    </w:rPr>
                  </w:pPr>
                  <w:r>
                    <w:rPr>
                      <w:color w:val="auto"/>
                    </w:rPr>
                    <w:t>厂区空地及道路两侧地面进行绿化，绿化系数10%以上，绿化面积21333.3m</w:t>
                  </w:r>
                  <w:r>
                    <w:rPr>
                      <w:color w:val="auto"/>
                      <w:vertAlign w:val="superscript"/>
                    </w:rPr>
                    <w:t>2</w:t>
                  </w:r>
                </w:p>
              </w:tc>
              <w:tc>
                <w:tcPr>
                  <w:tcW w:w="391" w:type="pct"/>
                  <w:vAlign w:val="center"/>
                </w:tcPr>
                <w:p>
                  <w:pPr>
                    <w:spacing w:line="360" w:lineRule="exact"/>
                    <w:jc w:val="center"/>
                    <w:rPr>
                      <w:bCs/>
                      <w:color w:val="auto"/>
                      <w:spacing w:val="4"/>
                    </w:rPr>
                  </w:pPr>
                  <w:r>
                    <w:rPr>
                      <w:color w:val="auto"/>
                    </w:rPr>
                    <w:t>新建</w:t>
                  </w:r>
                </w:p>
              </w:tc>
            </w:tr>
          </w:tbl>
          <w:p>
            <w:pPr>
              <w:adjustRightInd w:val="0"/>
              <w:snapToGrid w:val="0"/>
              <w:spacing w:line="480" w:lineRule="exact"/>
              <w:ind w:firstLine="482" w:firstLineChars="200"/>
              <w:rPr>
                <w:b/>
                <w:color w:val="auto"/>
                <w:sz w:val="24"/>
              </w:rPr>
            </w:pPr>
            <w:r>
              <w:rPr>
                <w:rFonts w:hint="eastAsia"/>
                <w:b/>
                <w:color w:val="auto"/>
                <w:sz w:val="24"/>
              </w:rPr>
              <w:t>4、平面布置</w:t>
            </w:r>
          </w:p>
          <w:p>
            <w:pPr>
              <w:adjustRightInd w:val="0"/>
              <w:snapToGrid w:val="0"/>
              <w:spacing w:line="480" w:lineRule="exact"/>
              <w:ind w:firstLine="480" w:firstLineChars="200"/>
              <w:rPr>
                <w:color w:val="auto"/>
                <w:sz w:val="24"/>
              </w:rPr>
            </w:pPr>
            <w:r>
              <w:rPr>
                <w:rFonts w:hint="eastAsia"/>
                <w:color w:val="auto"/>
                <w:sz w:val="24"/>
              </w:rPr>
              <w:t>本项目厂区用地面积213333m</w:t>
            </w:r>
            <w:r>
              <w:rPr>
                <w:rFonts w:hint="eastAsia"/>
                <w:color w:val="auto"/>
                <w:sz w:val="24"/>
                <w:vertAlign w:val="superscript"/>
              </w:rPr>
              <w:t>2</w:t>
            </w:r>
            <w:r>
              <w:rPr>
                <w:rFonts w:hint="eastAsia"/>
                <w:color w:val="auto"/>
                <w:sz w:val="24"/>
              </w:rPr>
              <w:t>（约320亩），地块呈不规则多边形状。1#储煤棚位于厂区北部，2#储煤棚位于厂区中部，3#、4#储煤棚位于厂区南部。厂区总体功能分区明确，建构筑物依据生产工艺流程一条龙布置，减少了人流、物流运输距离及能源消耗。场地排雨水方式采用沿地面自然排水和暗管排水相结合，并最终汇入厂区排雨水系统排出厂外。</w:t>
            </w:r>
          </w:p>
          <w:p>
            <w:pPr>
              <w:adjustRightInd w:val="0"/>
              <w:snapToGrid w:val="0"/>
              <w:spacing w:line="480" w:lineRule="exact"/>
              <w:ind w:firstLine="480" w:firstLineChars="200"/>
              <w:rPr>
                <w:color w:val="auto"/>
                <w:sz w:val="24"/>
              </w:rPr>
            </w:pPr>
            <w:r>
              <w:rPr>
                <w:rFonts w:hint="eastAsia"/>
                <w:color w:val="auto"/>
                <w:sz w:val="24"/>
              </w:rPr>
              <w:t>厂内外道路采用城市型道路，路面为混凝土路面。主要道路宽为9m，次要道路宽为6.0m或4.0m，人行道的设置以方便运营操作为主要目的，连接各建、构筑物和工艺设备区。宽度为2m，采用80mm厚混凝土预制砖铺砌，消防道路有效转弯半径不小于12m。工艺设备区采用80mm厚混凝土广场砖铺砌，方便日常操作和设备检修。辅助生产区单体周边空置场地种植草坪绿化，美化环境且能防止雨水冲刷。</w:t>
            </w:r>
          </w:p>
          <w:p>
            <w:pPr>
              <w:adjustRightInd w:val="0"/>
              <w:snapToGrid w:val="0"/>
              <w:spacing w:line="480" w:lineRule="exact"/>
              <w:ind w:firstLine="480" w:firstLineChars="200"/>
              <w:rPr>
                <w:color w:val="auto"/>
                <w:sz w:val="24"/>
              </w:rPr>
            </w:pPr>
            <w:r>
              <w:rPr>
                <w:rFonts w:hint="eastAsia"/>
                <w:color w:val="auto"/>
                <w:sz w:val="24"/>
              </w:rPr>
              <w:t>为美化环境和减少污染，道路两侧地面进行绿化，绿化系数10%以上，特别是在生产区和厂前区应设绿化带，选择易管理、成活率较高的树种，同时采用常绿树与落叶树搭配的方式种植。厂前区、道路两侧空地以常青树、绿地、观赏树种为主，生产区种植防尘树种，以达到减弱噪声、防风固沙、调节气温、保持水土、改良气候的作用。</w:t>
            </w:r>
          </w:p>
          <w:p>
            <w:pPr>
              <w:adjustRightInd w:val="0"/>
              <w:snapToGrid w:val="0"/>
              <w:spacing w:line="480" w:lineRule="exact"/>
              <w:ind w:firstLine="480" w:firstLineChars="200"/>
              <w:rPr>
                <w:color w:val="auto"/>
                <w:sz w:val="24"/>
              </w:rPr>
            </w:pPr>
            <w:r>
              <w:rPr>
                <w:rFonts w:hint="eastAsia"/>
                <w:color w:val="auto"/>
                <w:sz w:val="24"/>
              </w:rPr>
              <w:t>本项目总平面布置图见附图3a，1#~4#储煤棚平面布置见附图3b~3d。</w:t>
            </w:r>
          </w:p>
          <w:p>
            <w:pPr>
              <w:adjustRightInd w:val="0"/>
              <w:snapToGrid w:val="0"/>
              <w:spacing w:line="480" w:lineRule="exact"/>
              <w:ind w:firstLine="482" w:firstLineChars="200"/>
              <w:rPr>
                <w:b/>
                <w:color w:val="auto"/>
                <w:sz w:val="24"/>
              </w:rPr>
            </w:pPr>
            <w:r>
              <w:rPr>
                <w:rFonts w:hint="eastAsia"/>
                <w:b/>
                <w:color w:val="auto"/>
                <w:sz w:val="24"/>
              </w:rPr>
              <w:t>5、主要设备</w:t>
            </w:r>
          </w:p>
          <w:p>
            <w:pPr>
              <w:adjustRightInd w:val="0"/>
              <w:snapToGrid w:val="0"/>
              <w:spacing w:line="480" w:lineRule="exact"/>
              <w:ind w:firstLine="480" w:firstLineChars="200"/>
              <w:rPr>
                <w:color w:val="auto"/>
                <w:sz w:val="24"/>
              </w:rPr>
            </w:pPr>
            <w:r>
              <w:rPr>
                <w:rFonts w:hint="eastAsia"/>
                <w:color w:val="auto"/>
                <w:sz w:val="24"/>
              </w:rPr>
              <w:t>主要设备清单见表2-2。</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表2-2  项目主要生产设备一览表</w:t>
            </w:r>
          </w:p>
          <w:tbl>
            <w:tblPr>
              <w:tblStyle w:val="9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797"/>
              <w:gridCol w:w="2201"/>
              <w:gridCol w:w="1153"/>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序号</w:t>
                  </w:r>
                </w:p>
              </w:tc>
              <w:tc>
                <w:tcPr>
                  <w:tcW w:w="158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名称</w:t>
                  </w:r>
                </w:p>
              </w:tc>
              <w:tc>
                <w:tcPr>
                  <w:tcW w:w="124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型号</w:t>
                  </w:r>
                </w:p>
              </w:tc>
              <w:tc>
                <w:tcPr>
                  <w:tcW w:w="65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单位</w:t>
                  </w:r>
                </w:p>
              </w:tc>
              <w:tc>
                <w:tcPr>
                  <w:tcW w:w="10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1</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装载机</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ZL50</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台</w:t>
                  </w:r>
                </w:p>
              </w:tc>
              <w:tc>
                <w:tcPr>
                  <w:tcW w:w="10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2</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地磅</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100t</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台</w:t>
                  </w:r>
                </w:p>
              </w:tc>
              <w:tc>
                <w:tcPr>
                  <w:tcW w:w="10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3</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洒水车</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台</w:t>
                  </w:r>
                </w:p>
              </w:tc>
              <w:tc>
                <w:tcPr>
                  <w:tcW w:w="10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4</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洗车设备</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套</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5</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化验设备</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套</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ascii="Times New Roman" w:hAnsi="Times New Roman" w:eastAsia="宋体"/>
                      <w:color w:val="auto"/>
                      <w:kern w:val="0"/>
                      <w:szCs w:val="20"/>
                    </w:rPr>
                    <w:t>6</w:t>
                  </w:r>
                </w:p>
              </w:tc>
              <w:tc>
                <w:tcPr>
                  <w:tcW w:w="15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生产集控及调度系统</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套</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5"/>
                    <w:widowControl/>
                    <w:rPr>
                      <w:rFonts w:hint="default" w:ascii="Times New Roman" w:hAnsi="Times New Roman" w:eastAsia="宋体"/>
                      <w:color w:val="auto"/>
                      <w:kern w:val="0"/>
                      <w:szCs w:val="20"/>
                    </w:rPr>
                  </w:pPr>
                  <w:r>
                    <w:rPr>
                      <w:rFonts w:hint="default" w:ascii="Times New Roman" w:hAnsi="Times New Roman" w:eastAsia="宋体"/>
                      <w:color w:val="auto"/>
                      <w:kern w:val="0"/>
                      <w:szCs w:val="20"/>
                    </w:rPr>
                    <w:t>1</w:t>
                  </w:r>
                </w:p>
              </w:tc>
            </w:tr>
          </w:tbl>
          <w:p>
            <w:pPr>
              <w:adjustRightInd w:val="0"/>
              <w:snapToGrid w:val="0"/>
              <w:spacing w:line="480" w:lineRule="exact"/>
              <w:ind w:firstLine="482" w:firstLineChars="200"/>
              <w:rPr>
                <w:b/>
                <w:color w:val="auto"/>
                <w:sz w:val="24"/>
              </w:rPr>
            </w:pPr>
            <w:r>
              <w:rPr>
                <w:rFonts w:hint="eastAsia"/>
                <w:b/>
                <w:color w:val="auto"/>
                <w:sz w:val="24"/>
              </w:rPr>
              <w:t>6、主要原辅材料及能源消耗情况</w:t>
            </w:r>
          </w:p>
          <w:p>
            <w:pPr>
              <w:adjustRightInd w:val="0"/>
              <w:snapToGrid w:val="0"/>
              <w:spacing w:line="480" w:lineRule="exact"/>
              <w:ind w:firstLine="480" w:firstLineChars="200"/>
              <w:rPr>
                <w:rFonts w:ascii="黑体" w:hAnsi="黑体" w:eastAsia="黑体"/>
                <w:bCs/>
                <w:color w:val="auto"/>
                <w:sz w:val="24"/>
              </w:rPr>
            </w:pPr>
            <w:r>
              <w:rPr>
                <w:rFonts w:hint="eastAsia"/>
                <w:color w:val="auto"/>
                <w:sz w:val="24"/>
                <w:szCs w:val="24"/>
              </w:rPr>
              <w:t>本项目煤炭来源主要为山西本地煤矿，项目煤炭</w:t>
            </w:r>
            <w:r>
              <w:rPr>
                <w:color w:val="auto"/>
                <w:sz w:val="24"/>
                <w:szCs w:val="24"/>
              </w:rPr>
              <w:t>主要销往</w:t>
            </w:r>
            <w:r>
              <w:rPr>
                <w:rFonts w:hint="eastAsia"/>
                <w:color w:val="auto"/>
                <w:sz w:val="24"/>
                <w:szCs w:val="24"/>
              </w:rPr>
              <w:t>外省市</w:t>
            </w:r>
            <w:r>
              <w:rPr>
                <w:color w:val="auto"/>
                <w:sz w:val="24"/>
                <w:szCs w:val="24"/>
              </w:rPr>
              <w:t>电厂，不售于民用。</w:t>
            </w:r>
            <w:r>
              <w:rPr>
                <w:rFonts w:hint="eastAsia"/>
                <w:color w:val="auto"/>
                <w:sz w:val="24"/>
                <w:szCs w:val="24"/>
              </w:rPr>
              <w:t>目前，繁峙县繁云富煤炭经销有限公司已与山西煤炭进出口集团河曲旧县露天煤业有限公司签订了煤炭购销合同，山西煤炭进出口集团河曲旧县露天煤业有限公司核定开采煤种为8#-14#煤，生产规模为300万吨/年，其首采区13</w:t>
            </w:r>
            <w:r>
              <w:rPr>
                <w:rFonts w:hint="eastAsia"/>
                <w:color w:val="auto"/>
                <w:sz w:val="24"/>
                <w:szCs w:val="24"/>
                <w:vertAlign w:val="superscript"/>
              </w:rPr>
              <w:t>#</w:t>
            </w:r>
            <w:r>
              <w:rPr>
                <w:rFonts w:hint="eastAsia"/>
                <w:color w:val="auto"/>
                <w:sz w:val="24"/>
                <w:szCs w:val="24"/>
                <w:vertAlign w:val="subscript"/>
              </w:rPr>
              <w:t>上</w:t>
            </w:r>
            <w:r>
              <w:rPr>
                <w:rFonts w:hint="eastAsia"/>
                <w:color w:val="auto"/>
                <w:sz w:val="24"/>
                <w:szCs w:val="24"/>
              </w:rPr>
              <w:t>煤层煤质成分见下表。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表2-3  煤炭煤质成分一览表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012"/>
              <w:gridCol w:w="938"/>
              <w:gridCol w:w="975"/>
              <w:gridCol w:w="1087"/>
              <w:gridCol w:w="1063"/>
              <w:gridCol w:w="837"/>
              <w:gridCol w:w="813"/>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adjustRightInd w:val="0"/>
                    <w:snapToGrid w:val="0"/>
                    <w:spacing w:line="360" w:lineRule="exact"/>
                    <w:jc w:val="center"/>
                    <w:rPr>
                      <w:color w:val="auto"/>
                    </w:rPr>
                  </w:pPr>
                  <w:r>
                    <w:rPr>
                      <w:rFonts w:hint="eastAsia"/>
                      <w:color w:val="auto"/>
                    </w:rPr>
                    <w:t>样品</w:t>
                  </w:r>
                </w:p>
              </w:tc>
              <w:tc>
                <w:tcPr>
                  <w:tcW w:w="8008" w:type="dxa"/>
                  <w:gridSpan w:val="8"/>
                  <w:vAlign w:val="center"/>
                </w:tcPr>
                <w:p>
                  <w:pPr>
                    <w:adjustRightInd w:val="0"/>
                    <w:snapToGrid w:val="0"/>
                    <w:spacing w:line="360" w:lineRule="exact"/>
                    <w:jc w:val="center"/>
                    <w:rPr>
                      <w:color w:val="auto"/>
                    </w:rPr>
                  </w:pPr>
                  <w:r>
                    <w:rPr>
                      <w:color w:val="auto"/>
                    </w:rPr>
                    <w:t>山西煤炭进出口集团河曲旧县露天煤业有限公司</w:t>
                  </w:r>
                  <w:r>
                    <w:rPr>
                      <w:rFonts w:hint="eastAsia"/>
                      <w:color w:val="auto"/>
                    </w:rPr>
                    <w:t>首采区13</w:t>
                  </w:r>
                  <w:r>
                    <w:rPr>
                      <w:rFonts w:hint="eastAsia"/>
                      <w:color w:val="auto"/>
                      <w:vertAlign w:val="superscript"/>
                    </w:rPr>
                    <w:t>#</w:t>
                  </w:r>
                  <w:r>
                    <w:rPr>
                      <w:rFonts w:hint="eastAsia"/>
                      <w:color w:val="auto"/>
                      <w:vertAlign w:val="subscript"/>
                    </w:rPr>
                    <w:t>上</w:t>
                  </w:r>
                  <w:r>
                    <w:rPr>
                      <w:rFonts w:hint="eastAsia"/>
                      <w:color w:val="auto"/>
                    </w:rPr>
                    <w:t>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restart"/>
                  <w:vAlign w:val="center"/>
                </w:tcPr>
                <w:p>
                  <w:pPr>
                    <w:adjustRightInd w:val="0"/>
                    <w:snapToGrid w:val="0"/>
                    <w:spacing w:line="360" w:lineRule="exact"/>
                    <w:jc w:val="center"/>
                    <w:rPr>
                      <w:color w:val="auto"/>
                    </w:rPr>
                  </w:pPr>
                  <w:r>
                    <w:rPr>
                      <w:rFonts w:hint="eastAsia"/>
                      <w:color w:val="auto"/>
                    </w:rPr>
                    <w:t>项目</w:t>
                  </w:r>
                </w:p>
              </w:tc>
              <w:tc>
                <w:tcPr>
                  <w:tcW w:w="1950" w:type="dxa"/>
                  <w:gridSpan w:val="2"/>
                  <w:vAlign w:val="center"/>
                </w:tcPr>
                <w:p>
                  <w:pPr>
                    <w:adjustRightInd w:val="0"/>
                    <w:snapToGrid w:val="0"/>
                    <w:spacing w:line="360" w:lineRule="exact"/>
                    <w:jc w:val="center"/>
                    <w:rPr>
                      <w:color w:val="auto"/>
                    </w:rPr>
                  </w:pPr>
                  <w:r>
                    <w:rPr>
                      <w:rFonts w:hint="eastAsia"/>
                      <w:color w:val="auto"/>
                    </w:rPr>
                    <w:t>水分</w:t>
                  </w:r>
                </w:p>
              </w:tc>
              <w:tc>
                <w:tcPr>
                  <w:tcW w:w="975" w:type="dxa"/>
                  <w:vAlign w:val="center"/>
                </w:tcPr>
                <w:p>
                  <w:pPr>
                    <w:adjustRightInd w:val="0"/>
                    <w:snapToGrid w:val="0"/>
                    <w:spacing w:line="360" w:lineRule="exact"/>
                    <w:jc w:val="center"/>
                    <w:rPr>
                      <w:color w:val="auto"/>
                    </w:rPr>
                  </w:pPr>
                  <w:r>
                    <w:rPr>
                      <w:rFonts w:hint="eastAsia"/>
                      <w:color w:val="auto"/>
                    </w:rPr>
                    <w:t>灰分</w:t>
                  </w:r>
                </w:p>
              </w:tc>
              <w:tc>
                <w:tcPr>
                  <w:tcW w:w="1087" w:type="dxa"/>
                  <w:vAlign w:val="center"/>
                </w:tcPr>
                <w:p>
                  <w:pPr>
                    <w:adjustRightInd w:val="0"/>
                    <w:snapToGrid w:val="0"/>
                    <w:spacing w:line="360" w:lineRule="exact"/>
                    <w:jc w:val="center"/>
                    <w:rPr>
                      <w:color w:val="auto"/>
                    </w:rPr>
                  </w:pPr>
                  <w:r>
                    <w:rPr>
                      <w:rFonts w:hint="eastAsia"/>
                      <w:color w:val="auto"/>
                    </w:rPr>
                    <w:t>挥发份</w:t>
                  </w:r>
                </w:p>
              </w:tc>
              <w:tc>
                <w:tcPr>
                  <w:tcW w:w="1063" w:type="dxa"/>
                  <w:vAlign w:val="center"/>
                </w:tcPr>
                <w:p>
                  <w:pPr>
                    <w:adjustRightInd w:val="0"/>
                    <w:snapToGrid w:val="0"/>
                    <w:spacing w:line="360" w:lineRule="exact"/>
                    <w:jc w:val="center"/>
                    <w:rPr>
                      <w:color w:val="auto"/>
                    </w:rPr>
                  </w:pPr>
                  <w:r>
                    <w:rPr>
                      <w:rFonts w:hint="eastAsia"/>
                      <w:color w:val="auto"/>
                    </w:rPr>
                    <w:t>固定碳</w:t>
                  </w:r>
                </w:p>
              </w:tc>
              <w:tc>
                <w:tcPr>
                  <w:tcW w:w="837" w:type="dxa"/>
                  <w:vMerge w:val="restart"/>
                  <w:vAlign w:val="center"/>
                </w:tcPr>
                <w:p>
                  <w:pPr>
                    <w:adjustRightInd w:val="0"/>
                    <w:snapToGrid w:val="0"/>
                    <w:spacing w:line="360" w:lineRule="exact"/>
                    <w:jc w:val="center"/>
                    <w:rPr>
                      <w:color w:val="auto"/>
                    </w:rPr>
                  </w:pPr>
                  <w:r>
                    <w:rPr>
                      <w:rFonts w:hint="eastAsia"/>
                      <w:color w:val="auto"/>
                    </w:rPr>
                    <w:t>焦渣特征</w:t>
                  </w:r>
                </w:p>
              </w:tc>
              <w:tc>
                <w:tcPr>
                  <w:tcW w:w="813" w:type="dxa"/>
                  <w:vAlign w:val="center"/>
                </w:tcPr>
                <w:p>
                  <w:pPr>
                    <w:adjustRightInd w:val="0"/>
                    <w:snapToGrid w:val="0"/>
                    <w:spacing w:line="360" w:lineRule="exact"/>
                    <w:jc w:val="center"/>
                    <w:rPr>
                      <w:color w:val="auto"/>
                    </w:rPr>
                  </w:pPr>
                  <w:r>
                    <w:rPr>
                      <w:rFonts w:hint="eastAsia"/>
                      <w:color w:val="auto"/>
                    </w:rPr>
                    <w:t>全硫</w:t>
                  </w:r>
                </w:p>
              </w:tc>
              <w:tc>
                <w:tcPr>
                  <w:tcW w:w="1283" w:type="dxa"/>
                  <w:vMerge w:val="restart"/>
                  <w:vAlign w:val="center"/>
                </w:tcPr>
                <w:p>
                  <w:pPr>
                    <w:adjustRightInd w:val="0"/>
                    <w:snapToGrid w:val="0"/>
                    <w:spacing w:line="360" w:lineRule="exact"/>
                    <w:jc w:val="center"/>
                    <w:rPr>
                      <w:color w:val="auto"/>
                    </w:rPr>
                  </w:pPr>
                  <w:r>
                    <w:rPr>
                      <w:rFonts w:hint="eastAsia"/>
                      <w:color w:val="auto"/>
                    </w:rPr>
                    <w:t>低位发热量</w:t>
                  </w:r>
                </w:p>
                <w:p>
                  <w:pPr>
                    <w:adjustRightInd w:val="0"/>
                    <w:snapToGrid w:val="0"/>
                    <w:spacing w:line="360" w:lineRule="exact"/>
                    <w:jc w:val="center"/>
                    <w:rPr>
                      <w:color w:val="auto"/>
                    </w:rPr>
                  </w:pPr>
                  <w:r>
                    <w:rPr>
                      <w:rFonts w:hint="eastAsia"/>
                      <w:color w:val="auto"/>
                    </w:rPr>
                    <w:t>MJ/kg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continue"/>
                  <w:vAlign w:val="center"/>
                </w:tcPr>
                <w:p>
                  <w:pPr>
                    <w:adjustRightInd w:val="0"/>
                    <w:snapToGrid w:val="0"/>
                    <w:spacing w:line="360" w:lineRule="exact"/>
                    <w:jc w:val="center"/>
                    <w:rPr>
                      <w:color w:val="auto"/>
                    </w:rPr>
                  </w:pPr>
                </w:p>
              </w:tc>
              <w:tc>
                <w:tcPr>
                  <w:tcW w:w="1012" w:type="dxa"/>
                  <w:vAlign w:val="center"/>
                </w:tcPr>
                <w:p>
                  <w:pPr>
                    <w:adjustRightInd w:val="0"/>
                    <w:snapToGrid w:val="0"/>
                    <w:spacing w:line="360" w:lineRule="exact"/>
                    <w:jc w:val="center"/>
                    <w:rPr>
                      <w:color w:val="auto"/>
                    </w:rPr>
                  </w:pPr>
                  <w:r>
                    <w:rPr>
                      <w:rFonts w:hint="eastAsia"/>
                      <w:color w:val="auto"/>
                    </w:rPr>
                    <w:t>M</w:t>
                  </w:r>
                  <w:r>
                    <w:rPr>
                      <w:rFonts w:hint="eastAsia"/>
                      <w:color w:val="auto"/>
                      <w:vertAlign w:val="subscript"/>
                    </w:rPr>
                    <w:t>t</w:t>
                  </w:r>
                  <w:r>
                    <w:rPr>
                      <w:rFonts w:hint="eastAsia"/>
                      <w:color w:val="auto"/>
                    </w:rPr>
                    <w:t>%</w:t>
                  </w:r>
                </w:p>
              </w:tc>
              <w:tc>
                <w:tcPr>
                  <w:tcW w:w="938" w:type="dxa"/>
                  <w:vAlign w:val="center"/>
                </w:tcPr>
                <w:p>
                  <w:pPr>
                    <w:adjustRightInd w:val="0"/>
                    <w:snapToGrid w:val="0"/>
                    <w:spacing w:line="360" w:lineRule="exact"/>
                    <w:jc w:val="center"/>
                    <w:rPr>
                      <w:color w:val="auto"/>
                    </w:rPr>
                  </w:pPr>
                  <w:r>
                    <w:rPr>
                      <w:rFonts w:hint="eastAsia"/>
                      <w:color w:val="auto"/>
                    </w:rPr>
                    <w:t>M</w:t>
                  </w:r>
                  <w:r>
                    <w:rPr>
                      <w:rFonts w:hint="eastAsia"/>
                      <w:color w:val="auto"/>
                      <w:vertAlign w:val="subscript"/>
                    </w:rPr>
                    <w:t>ad</w:t>
                  </w:r>
                  <w:r>
                    <w:rPr>
                      <w:rFonts w:hint="eastAsia"/>
                      <w:color w:val="auto"/>
                    </w:rPr>
                    <w:t>%</w:t>
                  </w:r>
                </w:p>
              </w:tc>
              <w:tc>
                <w:tcPr>
                  <w:tcW w:w="975" w:type="dxa"/>
                  <w:vAlign w:val="center"/>
                </w:tcPr>
                <w:p>
                  <w:pPr>
                    <w:adjustRightInd w:val="0"/>
                    <w:snapToGrid w:val="0"/>
                    <w:spacing w:line="360" w:lineRule="exact"/>
                    <w:jc w:val="center"/>
                    <w:rPr>
                      <w:color w:val="auto"/>
                    </w:rPr>
                  </w:pPr>
                  <w:r>
                    <w:rPr>
                      <w:rFonts w:hint="eastAsia"/>
                      <w:color w:val="auto"/>
                    </w:rPr>
                    <w:t>A</w:t>
                  </w:r>
                  <w:r>
                    <w:rPr>
                      <w:rFonts w:hint="eastAsia"/>
                      <w:color w:val="auto"/>
                      <w:vertAlign w:val="subscript"/>
                    </w:rPr>
                    <w:t>d</w:t>
                  </w:r>
                  <w:r>
                    <w:rPr>
                      <w:rFonts w:hint="eastAsia"/>
                      <w:color w:val="auto"/>
                    </w:rPr>
                    <w:t>%</w:t>
                  </w:r>
                </w:p>
              </w:tc>
              <w:tc>
                <w:tcPr>
                  <w:tcW w:w="1087" w:type="dxa"/>
                  <w:vAlign w:val="center"/>
                </w:tcPr>
                <w:p>
                  <w:pPr>
                    <w:adjustRightInd w:val="0"/>
                    <w:snapToGrid w:val="0"/>
                    <w:spacing w:line="360" w:lineRule="exact"/>
                    <w:jc w:val="center"/>
                    <w:rPr>
                      <w:color w:val="auto"/>
                    </w:rPr>
                  </w:pPr>
                  <w:r>
                    <w:rPr>
                      <w:rFonts w:hint="eastAsia"/>
                      <w:color w:val="auto"/>
                    </w:rPr>
                    <w:t>V</w:t>
                  </w:r>
                  <w:r>
                    <w:rPr>
                      <w:rFonts w:hint="eastAsia"/>
                      <w:color w:val="auto"/>
                      <w:vertAlign w:val="subscript"/>
                    </w:rPr>
                    <w:t>daf</w:t>
                  </w:r>
                  <w:r>
                    <w:rPr>
                      <w:rFonts w:hint="eastAsia"/>
                      <w:color w:val="auto"/>
                    </w:rPr>
                    <w:t>%</w:t>
                  </w:r>
                </w:p>
              </w:tc>
              <w:tc>
                <w:tcPr>
                  <w:tcW w:w="1063" w:type="dxa"/>
                  <w:vAlign w:val="center"/>
                </w:tcPr>
                <w:p>
                  <w:pPr>
                    <w:adjustRightInd w:val="0"/>
                    <w:snapToGrid w:val="0"/>
                    <w:spacing w:line="360" w:lineRule="exact"/>
                    <w:jc w:val="center"/>
                    <w:rPr>
                      <w:color w:val="auto"/>
                    </w:rPr>
                  </w:pPr>
                  <w:r>
                    <w:rPr>
                      <w:rFonts w:hint="eastAsia"/>
                      <w:color w:val="auto"/>
                    </w:rPr>
                    <w:t>FC</w:t>
                  </w:r>
                  <w:r>
                    <w:rPr>
                      <w:rFonts w:hint="eastAsia"/>
                      <w:color w:val="auto"/>
                      <w:vertAlign w:val="subscript"/>
                    </w:rPr>
                    <w:t>d</w:t>
                  </w:r>
                  <w:r>
                    <w:rPr>
                      <w:rFonts w:hint="eastAsia"/>
                      <w:color w:val="auto"/>
                    </w:rPr>
                    <w:t>%</w:t>
                  </w:r>
                </w:p>
              </w:tc>
              <w:tc>
                <w:tcPr>
                  <w:tcW w:w="837" w:type="dxa"/>
                  <w:vMerge w:val="continue"/>
                  <w:vAlign w:val="center"/>
                </w:tcPr>
                <w:p>
                  <w:pPr>
                    <w:adjustRightInd w:val="0"/>
                    <w:snapToGrid w:val="0"/>
                    <w:spacing w:line="360" w:lineRule="exact"/>
                    <w:jc w:val="center"/>
                    <w:rPr>
                      <w:color w:val="auto"/>
                    </w:rPr>
                  </w:pPr>
                </w:p>
              </w:tc>
              <w:tc>
                <w:tcPr>
                  <w:tcW w:w="813" w:type="dxa"/>
                  <w:vAlign w:val="center"/>
                </w:tcPr>
                <w:p>
                  <w:pPr>
                    <w:adjustRightInd w:val="0"/>
                    <w:snapToGrid w:val="0"/>
                    <w:spacing w:line="360" w:lineRule="exact"/>
                    <w:jc w:val="center"/>
                    <w:rPr>
                      <w:color w:val="auto"/>
                    </w:rPr>
                  </w:pPr>
                  <w:r>
                    <w:rPr>
                      <w:rFonts w:hint="eastAsia"/>
                      <w:color w:val="auto"/>
                    </w:rPr>
                    <w:t>S</w:t>
                  </w:r>
                  <w:r>
                    <w:rPr>
                      <w:rFonts w:hint="eastAsia"/>
                      <w:color w:val="auto"/>
                      <w:vertAlign w:val="subscript"/>
                    </w:rPr>
                    <w:t>l,d</w:t>
                  </w:r>
                </w:p>
              </w:tc>
              <w:tc>
                <w:tcPr>
                  <w:tcW w:w="1283" w:type="dxa"/>
                  <w:vMerge w:val="continue"/>
                  <w:vAlign w:val="center"/>
                </w:tcPr>
                <w:p>
                  <w:pPr>
                    <w:adjustRightInd w:val="0"/>
                    <w:snapToGrid w:val="0"/>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adjustRightInd w:val="0"/>
                    <w:snapToGrid w:val="0"/>
                    <w:spacing w:line="360" w:lineRule="exact"/>
                    <w:jc w:val="center"/>
                    <w:rPr>
                      <w:color w:val="auto"/>
                    </w:rPr>
                  </w:pPr>
                  <w:r>
                    <w:rPr>
                      <w:rFonts w:hint="eastAsia"/>
                      <w:color w:val="auto"/>
                    </w:rPr>
                    <w:t>原煤</w:t>
                  </w:r>
                </w:p>
              </w:tc>
              <w:tc>
                <w:tcPr>
                  <w:tcW w:w="1012" w:type="dxa"/>
                  <w:vAlign w:val="center"/>
                </w:tcPr>
                <w:p>
                  <w:pPr>
                    <w:adjustRightInd w:val="0"/>
                    <w:snapToGrid w:val="0"/>
                    <w:spacing w:line="360" w:lineRule="exact"/>
                    <w:jc w:val="center"/>
                    <w:rPr>
                      <w:color w:val="auto"/>
                    </w:rPr>
                  </w:pPr>
                  <w:r>
                    <w:rPr>
                      <w:rFonts w:hint="eastAsia"/>
                      <w:color w:val="auto"/>
                    </w:rPr>
                    <w:t>6.1</w:t>
                  </w:r>
                </w:p>
              </w:tc>
              <w:tc>
                <w:tcPr>
                  <w:tcW w:w="938" w:type="dxa"/>
                  <w:vAlign w:val="center"/>
                </w:tcPr>
                <w:p>
                  <w:pPr>
                    <w:adjustRightInd w:val="0"/>
                    <w:snapToGrid w:val="0"/>
                    <w:spacing w:line="360" w:lineRule="exact"/>
                    <w:jc w:val="center"/>
                    <w:rPr>
                      <w:color w:val="auto"/>
                    </w:rPr>
                  </w:pPr>
                  <w:r>
                    <w:rPr>
                      <w:rFonts w:hint="eastAsia"/>
                      <w:color w:val="auto"/>
                    </w:rPr>
                    <w:t>0.48%</w:t>
                  </w:r>
                </w:p>
              </w:tc>
              <w:tc>
                <w:tcPr>
                  <w:tcW w:w="975" w:type="dxa"/>
                  <w:vAlign w:val="center"/>
                </w:tcPr>
                <w:p>
                  <w:pPr>
                    <w:adjustRightInd w:val="0"/>
                    <w:snapToGrid w:val="0"/>
                    <w:spacing w:line="360" w:lineRule="exact"/>
                    <w:jc w:val="center"/>
                    <w:rPr>
                      <w:color w:val="auto"/>
                    </w:rPr>
                  </w:pPr>
                  <w:r>
                    <w:rPr>
                      <w:rFonts w:hint="eastAsia"/>
                      <w:color w:val="auto"/>
                    </w:rPr>
                    <w:t>25.18%</w:t>
                  </w:r>
                </w:p>
              </w:tc>
              <w:tc>
                <w:tcPr>
                  <w:tcW w:w="1087" w:type="dxa"/>
                  <w:vAlign w:val="center"/>
                </w:tcPr>
                <w:p>
                  <w:pPr>
                    <w:adjustRightInd w:val="0"/>
                    <w:snapToGrid w:val="0"/>
                    <w:spacing w:line="360" w:lineRule="exact"/>
                    <w:jc w:val="center"/>
                    <w:rPr>
                      <w:color w:val="auto"/>
                    </w:rPr>
                  </w:pPr>
                  <w:r>
                    <w:rPr>
                      <w:rFonts w:hint="eastAsia"/>
                      <w:color w:val="auto"/>
                    </w:rPr>
                    <w:t>39.46%</w:t>
                  </w:r>
                </w:p>
              </w:tc>
              <w:tc>
                <w:tcPr>
                  <w:tcW w:w="1063" w:type="dxa"/>
                  <w:vAlign w:val="center"/>
                </w:tcPr>
                <w:p>
                  <w:pPr>
                    <w:adjustRightInd w:val="0"/>
                    <w:snapToGrid w:val="0"/>
                    <w:spacing w:line="360" w:lineRule="exact"/>
                    <w:jc w:val="center"/>
                    <w:rPr>
                      <w:color w:val="auto"/>
                    </w:rPr>
                  </w:pPr>
                  <w:r>
                    <w:rPr>
                      <w:rFonts w:hint="eastAsia"/>
                      <w:color w:val="auto"/>
                    </w:rPr>
                    <w:t>48.30%</w:t>
                  </w:r>
                </w:p>
              </w:tc>
              <w:tc>
                <w:tcPr>
                  <w:tcW w:w="837" w:type="dxa"/>
                  <w:vAlign w:val="center"/>
                </w:tcPr>
                <w:p>
                  <w:pPr>
                    <w:adjustRightInd w:val="0"/>
                    <w:snapToGrid w:val="0"/>
                    <w:spacing w:line="360" w:lineRule="exact"/>
                    <w:jc w:val="center"/>
                    <w:rPr>
                      <w:color w:val="auto"/>
                    </w:rPr>
                  </w:pPr>
                  <w:r>
                    <w:rPr>
                      <w:rFonts w:hint="eastAsia"/>
                      <w:color w:val="auto"/>
                    </w:rPr>
                    <w:t>4</w:t>
                  </w:r>
                </w:p>
              </w:tc>
              <w:tc>
                <w:tcPr>
                  <w:tcW w:w="813" w:type="dxa"/>
                  <w:vAlign w:val="center"/>
                </w:tcPr>
                <w:p>
                  <w:pPr>
                    <w:adjustRightInd w:val="0"/>
                    <w:snapToGrid w:val="0"/>
                    <w:spacing w:line="360" w:lineRule="exact"/>
                    <w:jc w:val="center"/>
                    <w:rPr>
                      <w:color w:val="auto"/>
                    </w:rPr>
                  </w:pPr>
                  <w:r>
                    <w:rPr>
                      <w:rFonts w:hint="eastAsia"/>
                      <w:color w:val="auto"/>
                    </w:rPr>
                    <w:t>1.18%</w:t>
                  </w:r>
                </w:p>
              </w:tc>
              <w:tc>
                <w:tcPr>
                  <w:tcW w:w="1283" w:type="dxa"/>
                  <w:vAlign w:val="center"/>
                </w:tcPr>
                <w:p>
                  <w:pPr>
                    <w:adjustRightInd w:val="0"/>
                    <w:snapToGrid w:val="0"/>
                    <w:spacing w:line="360" w:lineRule="exact"/>
                    <w:jc w:val="center"/>
                    <w:rPr>
                      <w:color w:val="auto"/>
                    </w:rPr>
                  </w:pPr>
                  <w:r>
                    <w:rPr>
                      <w:rFonts w:hint="eastAsia"/>
                      <w:color w:val="auto"/>
                    </w:rPr>
                    <w:t>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adjustRightInd w:val="0"/>
                    <w:snapToGrid w:val="0"/>
                    <w:spacing w:line="360" w:lineRule="exact"/>
                    <w:jc w:val="center"/>
                    <w:rPr>
                      <w:color w:val="auto"/>
                    </w:rPr>
                  </w:pPr>
                  <w:r>
                    <w:rPr>
                      <w:rFonts w:hint="eastAsia"/>
                      <w:color w:val="auto"/>
                    </w:rPr>
                    <w:t>浮煤</w:t>
                  </w:r>
                </w:p>
              </w:tc>
              <w:tc>
                <w:tcPr>
                  <w:tcW w:w="1012" w:type="dxa"/>
                  <w:vAlign w:val="center"/>
                </w:tcPr>
                <w:p>
                  <w:pPr>
                    <w:adjustRightInd w:val="0"/>
                    <w:snapToGrid w:val="0"/>
                    <w:spacing w:line="360" w:lineRule="exact"/>
                    <w:jc w:val="center"/>
                    <w:rPr>
                      <w:color w:val="auto"/>
                    </w:rPr>
                  </w:pPr>
                  <w:r>
                    <w:rPr>
                      <w:rFonts w:hint="eastAsia"/>
                      <w:color w:val="auto"/>
                    </w:rPr>
                    <w:t>/</w:t>
                  </w:r>
                </w:p>
              </w:tc>
              <w:tc>
                <w:tcPr>
                  <w:tcW w:w="938" w:type="dxa"/>
                  <w:vAlign w:val="center"/>
                </w:tcPr>
                <w:p>
                  <w:pPr>
                    <w:adjustRightInd w:val="0"/>
                    <w:snapToGrid w:val="0"/>
                    <w:spacing w:line="360" w:lineRule="exact"/>
                    <w:jc w:val="center"/>
                    <w:rPr>
                      <w:color w:val="auto"/>
                    </w:rPr>
                  </w:pPr>
                  <w:r>
                    <w:rPr>
                      <w:rFonts w:hint="eastAsia"/>
                      <w:color w:val="auto"/>
                    </w:rPr>
                    <w:t>2.50%</w:t>
                  </w:r>
                </w:p>
              </w:tc>
              <w:tc>
                <w:tcPr>
                  <w:tcW w:w="975" w:type="dxa"/>
                  <w:vAlign w:val="center"/>
                </w:tcPr>
                <w:p>
                  <w:pPr>
                    <w:adjustRightInd w:val="0"/>
                    <w:snapToGrid w:val="0"/>
                    <w:spacing w:line="360" w:lineRule="exact"/>
                    <w:jc w:val="center"/>
                    <w:rPr>
                      <w:color w:val="auto"/>
                    </w:rPr>
                  </w:pPr>
                  <w:r>
                    <w:rPr>
                      <w:rFonts w:hint="eastAsia"/>
                      <w:color w:val="auto"/>
                    </w:rPr>
                    <w:t>6.56%</w:t>
                  </w:r>
                </w:p>
              </w:tc>
              <w:tc>
                <w:tcPr>
                  <w:tcW w:w="1087" w:type="dxa"/>
                  <w:vAlign w:val="center"/>
                </w:tcPr>
                <w:p>
                  <w:pPr>
                    <w:adjustRightInd w:val="0"/>
                    <w:snapToGrid w:val="0"/>
                    <w:spacing w:line="360" w:lineRule="exact"/>
                    <w:jc w:val="center"/>
                    <w:rPr>
                      <w:color w:val="auto"/>
                    </w:rPr>
                  </w:pPr>
                  <w:r>
                    <w:rPr>
                      <w:rFonts w:hint="eastAsia"/>
                      <w:color w:val="auto"/>
                    </w:rPr>
                    <w:t>39.89%</w:t>
                  </w:r>
                </w:p>
              </w:tc>
              <w:tc>
                <w:tcPr>
                  <w:tcW w:w="1063" w:type="dxa"/>
                  <w:vAlign w:val="center"/>
                </w:tcPr>
                <w:p>
                  <w:pPr>
                    <w:adjustRightInd w:val="0"/>
                    <w:snapToGrid w:val="0"/>
                    <w:spacing w:line="360" w:lineRule="exact"/>
                    <w:jc w:val="center"/>
                    <w:rPr>
                      <w:color w:val="auto"/>
                    </w:rPr>
                  </w:pPr>
                  <w:r>
                    <w:rPr>
                      <w:rFonts w:hint="eastAsia"/>
                      <w:color w:val="auto"/>
                    </w:rPr>
                    <w:t>/</w:t>
                  </w:r>
                </w:p>
              </w:tc>
              <w:tc>
                <w:tcPr>
                  <w:tcW w:w="837" w:type="dxa"/>
                  <w:vAlign w:val="center"/>
                </w:tcPr>
                <w:p>
                  <w:pPr>
                    <w:adjustRightInd w:val="0"/>
                    <w:snapToGrid w:val="0"/>
                    <w:spacing w:line="360" w:lineRule="exact"/>
                    <w:jc w:val="center"/>
                    <w:rPr>
                      <w:color w:val="auto"/>
                    </w:rPr>
                  </w:pPr>
                  <w:r>
                    <w:rPr>
                      <w:rFonts w:hint="eastAsia"/>
                      <w:color w:val="auto"/>
                    </w:rPr>
                    <w:t>5</w:t>
                  </w:r>
                </w:p>
              </w:tc>
              <w:tc>
                <w:tcPr>
                  <w:tcW w:w="813" w:type="dxa"/>
                  <w:vAlign w:val="center"/>
                </w:tcPr>
                <w:p>
                  <w:pPr>
                    <w:adjustRightInd w:val="0"/>
                    <w:snapToGrid w:val="0"/>
                    <w:spacing w:line="360" w:lineRule="exact"/>
                    <w:jc w:val="center"/>
                    <w:rPr>
                      <w:color w:val="auto"/>
                    </w:rPr>
                  </w:pPr>
                  <w:r>
                    <w:rPr>
                      <w:rFonts w:hint="eastAsia"/>
                      <w:color w:val="auto"/>
                    </w:rPr>
                    <w:t>1.44%</w:t>
                  </w:r>
                </w:p>
              </w:tc>
              <w:tc>
                <w:tcPr>
                  <w:tcW w:w="1283" w:type="dxa"/>
                  <w:vAlign w:val="center"/>
                </w:tcPr>
                <w:p>
                  <w:pPr>
                    <w:adjustRightInd w:val="0"/>
                    <w:snapToGrid w:val="0"/>
                    <w:spacing w:line="360" w:lineRule="exact"/>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restart"/>
                  <w:vAlign w:val="center"/>
                </w:tcPr>
                <w:p>
                  <w:pPr>
                    <w:adjustRightInd w:val="0"/>
                    <w:snapToGrid w:val="0"/>
                    <w:spacing w:line="360" w:lineRule="exact"/>
                    <w:jc w:val="center"/>
                    <w:rPr>
                      <w:color w:val="auto"/>
                    </w:rPr>
                  </w:pPr>
                  <w:r>
                    <w:rPr>
                      <w:rFonts w:hint="eastAsia"/>
                      <w:color w:val="auto"/>
                    </w:rPr>
                    <w:t>项目</w:t>
                  </w:r>
                </w:p>
              </w:tc>
              <w:tc>
                <w:tcPr>
                  <w:tcW w:w="1012" w:type="dxa"/>
                  <w:vAlign w:val="center"/>
                </w:tcPr>
                <w:p>
                  <w:pPr>
                    <w:adjustRightInd w:val="0"/>
                    <w:snapToGrid w:val="0"/>
                    <w:spacing w:line="360" w:lineRule="exact"/>
                    <w:jc w:val="center"/>
                    <w:rPr>
                      <w:color w:val="auto"/>
                    </w:rPr>
                  </w:pPr>
                  <w:r>
                    <w:rPr>
                      <w:rFonts w:hint="eastAsia"/>
                      <w:color w:val="auto"/>
                    </w:rPr>
                    <w:t>砷</w:t>
                  </w:r>
                </w:p>
              </w:tc>
              <w:tc>
                <w:tcPr>
                  <w:tcW w:w="938" w:type="dxa"/>
                  <w:vAlign w:val="center"/>
                </w:tcPr>
                <w:p>
                  <w:pPr>
                    <w:adjustRightInd w:val="0"/>
                    <w:snapToGrid w:val="0"/>
                    <w:spacing w:line="360" w:lineRule="exact"/>
                    <w:jc w:val="center"/>
                    <w:rPr>
                      <w:color w:val="auto"/>
                    </w:rPr>
                  </w:pPr>
                  <w:r>
                    <w:rPr>
                      <w:rFonts w:hint="eastAsia"/>
                      <w:color w:val="auto"/>
                    </w:rPr>
                    <w:t>氟</w:t>
                  </w:r>
                </w:p>
              </w:tc>
              <w:tc>
                <w:tcPr>
                  <w:tcW w:w="975" w:type="dxa"/>
                  <w:vAlign w:val="center"/>
                </w:tcPr>
                <w:p>
                  <w:pPr>
                    <w:adjustRightInd w:val="0"/>
                    <w:snapToGrid w:val="0"/>
                    <w:spacing w:line="360" w:lineRule="exact"/>
                    <w:jc w:val="center"/>
                    <w:rPr>
                      <w:color w:val="auto"/>
                    </w:rPr>
                  </w:pPr>
                  <w:r>
                    <w:rPr>
                      <w:rFonts w:hint="eastAsia"/>
                      <w:color w:val="auto"/>
                    </w:rPr>
                    <w:t>氯</w:t>
                  </w:r>
                </w:p>
              </w:tc>
              <w:tc>
                <w:tcPr>
                  <w:tcW w:w="1087" w:type="dxa"/>
                  <w:vAlign w:val="center"/>
                </w:tcPr>
                <w:p>
                  <w:pPr>
                    <w:adjustRightInd w:val="0"/>
                    <w:snapToGrid w:val="0"/>
                    <w:spacing w:line="360" w:lineRule="exact"/>
                    <w:jc w:val="center"/>
                    <w:rPr>
                      <w:color w:val="auto"/>
                    </w:rPr>
                  </w:pPr>
                  <w:r>
                    <w:rPr>
                      <w:rFonts w:hint="eastAsia"/>
                      <w:color w:val="auto"/>
                    </w:rPr>
                    <w:t>磷</w:t>
                  </w:r>
                </w:p>
              </w:tc>
              <w:tc>
                <w:tcPr>
                  <w:tcW w:w="1063" w:type="dxa"/>
                  <w:vAlign w:val="center"/>
                </w:tcPr>
                <w:p>
                  <w:pPr>
                    <w:adjustRightInd w:val="0"/>
                    <w:snapToGrid w:val="0"/>
                    <w:spacing w:line="360" w:lineRule="exact"/>
                    <w:jc w:val="center"/>
                    <w:rPr>
                      <w:color w:val="auto"/>
                    </w:rPr>
                  </w:pPr>
                  <w:r>
                    <w:rPr>
                      <w:rFonts w:hint="eastAsia"/>
                      <w:color w:val="auto"/>
                    </w:rPr>
                    <w:t>汞</w:t>
                  </w:r>
                </w:p>
              </w:tc>
              <w:tc>
                <w:tcPr>
                  <w:tcW w:w="837" w:type="dxa"/>
                  <w:vAlign w:val="center"/>
                </w:tcPr>
                <w:p>
                  <w:pPr>
                    <w:adjustRightInd w:val="0"/>
                    <w:snapToGrid w:val="0"/>
                    <w:spacing w:line="360" w:lineRule="exact"/>
                    <w:jc w:val="center"/>
                    <w:rPr>
                      <w:color w:val="auto"/>
                    </w:rPr>
                  </w:pPr>
                  <w:r>
                    <w:rPr>
                      <w:rFonts w:hint="eastAsia"/>
                      <w:color w:val="auto"/>
                    </w:rPr>
                    <w:t>/</w:t>
                  </w:r>
                </w:p>
              </w:tc>
              <w:tc>
                <w:tcPr>
                  <w:tcW w:w="813" w:type="dxa"/>
                  <w:vAlign w:val="center"/>
                </w:tcPr>
                <w:p>
                  <w:pPr>
                    <w:adjustRightInd w:val="0"/>
                    <w:snapToGrid w:val="0"/>
                    <w:spacing w:line="360" w:lineRule="exact"/>
                    <w:jc w:val="center"/>
                    <w:rPr>
                      <w:color w:val="auto"/>
                    </w:rPr>
                  </w:pPr>
                  <w:r>
                    <w:rPr>
                      <w:rFonts w:hint="eastAsia"/>
                      <w:color w:val="auto"/>
                    </w:rPr>
                    <w:t>/</w:t>
                  </w:r>
                </w:p>
              </w:tc>
              <w:tc>
                <w:tcPr>
                  <w:tcW w:w="1283" w:type="dxa"/>
                  <w:vAlign w:val="center"/>
                </w:tcPr>
                <w:p>
                  <w:pPr>
                    <w:adjustRightInd w:val="0"/>
                    <w:snapToGrid w:val="0"/>
                    <w:spacing w:line="360" w:lineRule="exact"/>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continue"/>
                  <w:vAlign w:val="center"/>
                </w:tcPr>
                <w:p>
                  <w:pPr>
                    <w:adjustRightInd w:val="0"/>
                    <w:snapToGrid w:val="0"/>
                    <w:spacing w:line="360" w:lineRule="exact"/>
                    <w:jc w:val="center"/>
                    <w:rPr>
                      <w:color w:val="auto"/>
                    </w:rPr>
                  </w:pPr>
                </w:p>
              </w:tc>
              <w:tc>
                <w:tcPr>
                  <w:tcW w:w="1012" w:type="dxa"/>
                  <w:vAlign w:val="center"/>
                </w:tcPr>
                <w:p>
                  <w:pPr>
                    <w:adjustRightInd w:val="0"/>
                    <w:snapToGrid w:val="0"/>
                    <w:spacing w:line="360" w:lineRule="exact"/>
                    <w:jc w:val="center"/>
                    <w:rPr>
                      <w:color w:val="auto"/>
                    </w:rPr>
                  </w:pPr>
                  <w:r>
                    <w:rPr>
                      <w:color w:val="auto"/>
                    </w:rPr>
                    <w:t>μ</w:t>
                  </w:r>
                  <w:r>
                    <w:rPr>
                      <w:rFonts w:hint="eastAsia"/>
                      <w:color w:val="auto"/>
                    </w:rPr>
                    <w:t>g/g</w:t>
                  </w:r>
                </w:p>
              </w:tc>
              <w:tc>
                <w:tcPr>
                  <w:tcW w:w="938" w:type="dxa"/>
                  <w:vAlign w:val="center"/>
                </w:tcPr>
                <w:p>
                  <w:pPr>
                    <w:adjustRightInd w:val="0"/>
                    <w:snapToGrid w:val="0"/>
                    <w:spacing w:line="360" w:lineRule="exact"/>
                    <w:jc w:val="center"/>
                    <w:rPr>
                      <w:color w:val="auto"/>
                    </w:rPr>
                  </w:pPr>
                  <w:r>
                    <w:rPr>
                      <w:color w:val="auto"/>
                    </w:rPr>
                    <w:t>μ</w:t>
                  </w:r>
                  <w:r>
                    <w:rPr>
                      <w:rFonts w:hint="eastAsia"/>
                      <w:color w:val="auto"/>
                    </w:rPr>
                    <w:t>g/g</w:t>
                  </w:r>
                </w:p>
              </w:tc>
              <w:tc>
                <w:tcPr>
                  <w:tcW w:w="975" w:type="dxa"/>
                  <w:vAlign w:val="center"/>
                </w:tcPr>
                <w:p>
                  <w:pPr>
                    <w:adjustRightInd w:val="0"/>
                    <w:snapToGrid w:val="0"/>
                    <w:spacing w:line="360" w:lineRule="exact"/>
                    <w:jc w:val="center"/>
                    <w:rPr>
                      <w:color w:val="auto"/>
                    </w:rPr>
                  </w:pPr>
                  <w:r>
                    <w:rPr>
                      <w:rFonts w:hint="eastAsia"/>
                      <w:color w:val="auto"/>
                    </w:rPr>
                    <w:t>%</w:t>
                  </w:r>
                </w:p>
              </w:tc>
              <w:tc>
                <w:tcPr>
                  <w:tcW w:w="1087" w:type="dxa"/>
                  <w:vAlign w:val="center"/>
                </w:tcPr>
                <w:p>
                  <w:pPr>
                    <w:adjustRightInd w:val="0"/>
                    <w:snapToGrid w:val="0"/>
                    <w:spacing w:line="360" w:lineRule="exact"/>
                    <w:jc w:val="center"/>
                    <w:rPr>
                      <w:color w:val="auto"/>
                    </w:rPr>
                  </w:pPr>
                  <w:r>
                    <w:rPr>
                      <w:rFonts w:hint="eastAsia"/>
                      <w:color w:val="auto"/>
                    </w:rPr>
                    <w:t>%</w:t>
                  </w:r>
                </w:p>
              </w:tc>
              <w:tc>
                <w:tcPr>
                  <w:tcW w:w="1063" w:type="dxa"/>
                  <w:vAlign w:val="center"/>
                </w:tcPr>
                <w:p>
                  <w:pPr>
                    <w:adjustRightInd w:val="0"/>
                    <w:snapToGrid w:val="0"/>
                    <w:spacing w:line="360" w:lineRule="exact"/>
                    <w:jc w:val="center"/>
                    <w:rPr>
                      <w:color w:val="auto"/>
                    </w:rPr>
                  </w:pPr>
                  <w:r>
                    <w:rPr>
                      <w:color w:val="auto"/>
                    </w:rPr>
                    <w:t>μ</w:t>
                  </w:r>
                  <w:r>
                    <w:rPr>
                      <w:rFonts w:hint="eastAsia"/>
                      <w:color w:val="auto"/>
                    </w:rPr>
                    <w:t>g/g</w:t>
                  </w:r>
                </w:p>
              </w:tc>
              <w:tc>
                <w:tcPr>
                  <w:tcW w:w="837" w:type="dxa"/>
                  <w:vAlign w:val="center"/>
                </w:tcPr>
                <w:p>
                  <w:pPr>
                    <w:adjustRightInd w:val="0"/>
                    <w:snapToGrid w:val="0"/>
                    <w:spacing w:line="360" w:lineRule="exact"/>
                    <w:jc w:val="center"/>
                    <w:rPr>
                      <w:color w:val="auto"/>
                    </w:rPr>
                  </w:pPr>
                  <w:r>
                    <w:rPr>
                      <w:rFonts w:hint="eastAsia"/>
                      <w:color w:val="auto"/>
                    </w:rPr>
                    <w:t>/</w:t>
                  </w:r>
                </w:p>
              </w:tc>
              <w:tc>
                <w:tcPr>
                  <w:tcW w:w="813" w:type="dxa"/>
                  <w:vAlign w:val="center"/>
                </w:tcPr>
                <w:p>
                  <w:pPr>
                    <w:adjustRightInd w:val="0"/>
                    <w:snapToGrid w:val="0"/>
                    <w:spacing w:line="360" w:lineRule="exact"/>
                    <w:jc w:val="center"/>
                    <w:rPr>
                      <w:color w:val="auto"/>
                    </w:rPr>
                  </w:pPr>
                  <w:r>
                    <w:rPr>
                      <w:rFonts w:hint="eastAsia"/>
                      <w:color w:val="auto"/>
                    </w:rPr>
                    <w:t>/</w:t>
                  </w:r>
                </w:p>
              </w:tc>
              <w:tc>
                <w:tcPr>
                  <w:tcW w:w="1283" w:type="dxa"/>
                  <w:vAlign w:val="center"/>
                </w:tcPr>
                <w:p>
                  <w:pPr>
                    <w:adjustRightInd w:val="0"/>
                    <w:snapToGrid w:val="0"/>
                    <w:spacing w:line="360" w:lineRule="exact"/>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adjustRightInd w:val="0"/>
                    <w:snapToGrid w:val="0"/>
                    <w:spacing w:line="360" w:lineRule="exact"/>
                    <w:jc w:val="center"/>
                    <w:rPr>
                      <w:color w:val="auto"/>
                    </w:rPr>
                  </w:pPr>
                  <w:r>
                    <w:rPr>
                      <w:rFonts w:hint="eastAsia"/>
                      <w:color w:val="auto"/>
                    </w:rPr>
                    <w:t>原煤</w:t>
                  </w:r>
                </w:p>
              </w:tc>
              <w:tc>
                <w:tcPr>
                  <w:tcW w:w="1012" w:type="dxa"/>
                  <w:vAlign w:val="center"/>
                </w:tcPr>
                <w:p>
                  <w:pPr>
                    <w:adjustRightInd w:val="0"/>
                    <w:snapToGrid w:val="0"/>
                    <w:spacing w:line="360" w:lineRule="exact"/>
                    <w:jc w:val="center"/>
                    <w:rPr>
                      <w:color w:val="auto"/>
                    </w:rPr>
                  </w:pPr>
                  <w:r>
                    <w:rPr>
                      <w:rFonts w:hint="eastAsia"/>
                      <w:color w:val="auto"/>
                    </w:rPr>
                    <w:t>2</w:t>
                  </w:r>
                </w:p>
              </w:tc>
              <w:tc>
                <w:tcPr>
                  <w:tcW w:w="938" w:type="dxa"/>
                  <w:vAlign w:val="center"/>
                </w:tcPr>
                <w:p>
                  <w:pPr>
                    <w:adjustRightInd w:val="0"/>
                    <w:snapToGrid w:val="0"/>
                    <w:spacing w:line="360" w:lineRule="exact"/>
                    <w:jc w:val="center"/>
                    <w:rPr>
                      <w:color w:val="auto"/>
                    </w:rPr>
                  </w:pPr>
                  <w:r>
                    <w:rPr>
                      <w:rFonts w:hint="eastAsia"/>
                      <w:color w:val="auto"/>
                    </w:rPr>
                    <w:t>176</w:t>
                  </w:r>
                </w:p>
              </w:tc>
              <w:tc>
                <w:tcPr>
                  <w:tcW w:w="975" w:type="dxa"/>
                  <w:vAlign w:val="center"/>
                </w:tcPr>
                <w:p>
                  <w:pPr>
                    <w:adjustRightInd w:val="0"/>
                    <w:snapToGrid w:val="0"/>
                    <w:spacing w:line="360" w:lineRule="exact"/>
                    <w:jc w:val="center"/>
                    <w:rPr>
                      <w:color w:val="auto"/>
                    </w:rPr>
                  </w:pPr>
                  <w:r>
                    <w:rPr>
                      <w:rFonts w:hint="eastAsia"/>
                      <w:color w:val="auto"/>
                    </w:rPr>
                    <w:t>0.033</w:t>
                  </w:r>
                </w:p>
              </w:tc>
              <w:tc>
                <w:tcPr>
                  <w:tcW w:w="1087" w:type="dxa"/>
                  <w:vAlign w:val="center"/>
                </w:tcPr>
                <w:p>
                  <w:pPr>
                    <w:adjustRightInd w:val="0"/>
                    <w:snapToGrid w:val="0"/>
                    <w:spacing w:line="360" w:lineRule="exact"/>
                    <w:jc w:val="center"/>
                    <w:rPr>
                      <w:color w:val="auto"/>
                    </w:rPr>
                  </w:pPr>
                  <w:r>
                    <w:rPr>
                      <w:rFonts w:hint="eastAsia"/>
                      <w:color w:val="auto"/>
                    </w:rPr>
                    <w:t>0.027</w:t>
                  </w:r>
                </w:p>
              </w:tc>
              <w:tc>
                <w:tcPr>
                  <w:tcW w:w="1063" w:type="dxa"/>
                  <w:vAlign w:val="center"/>
                </w:tcPr>
                <w:p>
                  <w:pPr>
                    <w:adjustRightInd w:val="0"/>
                    <w:snapToGrid w:val="0"/>
                    <w:spacing w:line="360" w:lineRule="exact"/>
                    <w:jc w:val="center"/>
                    <w:rPr>
                      <w:color w:val="auto"/>
                    </w:rPr>
                  </w:pPr>
                  <w:r>
                    <w:rPr>
                      <w:rFonts w:hint="eastAsia"/>
                      <w:color w:val="auto"/>
                    </w:rPr>
                    <w:t>0.183</w:t>
                  </w:r>
                </w:p>
              </w:tc>
              <w:tc>
                <w:tcPr>
                  <w:tcW w:w="837" w:type="dxa"/>
                  <w:vAlign w:val="center"/>
                </w:tcPr>
                <w:p>
                  <w:pPr>
                    <w:adjustRightInd w:val="0"/>
                    <w:snapToGrid w:val="0"/>
                    <w:spacing w:line="360" w:lineRule="exact"/>
                    <w:jc w:val="center"/>
                    <w:rPr>
                      <w:color w:val="auto"/>
                    </w:rPr>
                  </w:pPr>
                  <w:r>
                    <w:rPr>
                      <w:rFonts w:hint="eastAsia"/>
                      <w:color w:val="auto"/>
                    </w:rPr>
                    <w:t>/</w:t>
                  </w:r>
                </w:p>
              </w:tc>
              <w:tc>
                <w:tcPr>
                  <w:tcW w:w="813" w:type="dxa"/>
                  <w:vAlign w:val="center"/>
                </w:tcPr>
                <w:p>
                  <w:pPr>
                    <w:adjustRightInd w:val="0"/>
                    <w:snapToGrid w:val="0"/>
                    <w:spacing w:line="360" w:lineRule="exact"/>
                    <w:jc w:val="center"/>
                    <w:rPr>
                      <w:color w:val="auto"/>
                    </w:rPr>
                  </w:pPr>
                  <w:r>
                    <w:rPr>
                      <w:rFonts w:hint="eastAsia"/>
                      <w:color w:val="auto"/>
                    </w:rPr>
                    <w:t>/</w:t>
                  </w:r>
                </w:p>
              </w:tc>
              <w:tc>
                <w:tcPr>
                  <w:tcW w:w="1283" w:type="dxa"/>
                  <w:vAlign w:val="center"/>
                </w:tcPr>
                <w:p>
                  <w:pPr>
                    <w:adjustRightInd w:val="0"/>
                    <w:snapToGrid w:val="0"/>
                    <w:spacing w:line="360" w:lineRule="exact"/>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adjustRightInd w:val="0"/>
                    <w:snapToGrid w:val="0"/>
                    <w:spacing w:line="360" w:lineRule="exact"/>
                    <w:jc w:val="center"/>
                    <w:rPr>
                      <w:color w:val="auto"/>
                    </w:rPr>
                  </w:pPr>
                  <w:r>
                    <w:rPr>
                      <w:rFonts w:hint="eastAsia"/>
                      <w:color w:val="auto"/>
                    </w:rPr>
                    <w:t>浮煤</w:t>
                  </w:r>
                </w:p>
              </w:tc>
              <w:tc>
                <w:tcPr>
                  <w:tcW w:w="1012" w:type="dxa"/>
                  <w:vAlign w:val="center"/>
                </w:tcPr>
                <w:p>
                  <w:pPr>
                    <w:adjustRightInd w:val="0"/>
                    <w:snapToGrid w:val="0"/>
                    <w:spacing w:line="360" w:lineRule="exact"/>
                    <w:jc w:val="center"/>
                    <w:rPr>
                      <w:color w:val="auto"/>
                    </w:rPr>
                  </w:pPr>
                  <w:r>
                    <w:rPr>
                      <w:rFonts w:hint="eastAsia"/>
                      <w:color w:val="auto"/>
                    </w:rPr>
                    <w:t>1</w:t>
                  </w:r>
                </w:p>
              </w:tc>
              <w:tc>
                <w:tcPr>
                  <w:tcW w:w="938" w:type="dxa"/>
                  <w:vAlign w:val="center"/>
                </w:tcPr>
                <w:p>
                  <w:pPr>
                    <w:adjustRightInd w:val="0"/>
                    <w:snapToGrid w:val="0"/>
                    <w:spacing w:line="360" w:lineRule="exact"/>
                    <w:jc w:val="center"/>
                    <w:rPr>
                      <w:color w:val="auto"/>
                    </w:rPr>
                  </w:pPr>
                  <w:r>
                    <w:rPr>
                      <w:rFonts w:hint="eastAsia"/>
                      <w:color w:val="auto"/>
                    </w:rPr>
                    <w:t>55</w:t>
                  </w:r>
                </w:p>
              </w:tc>
              <w:tc>
                <w:tcPr>
                  <w:tcW w:w="975" w:type="dxa"/>
                  <w:vAlign w:val="center"/>
                </w:tcPr>
                <w:p>
                  <w:pPr>
                    <w:adjustRightInd w:val="0"/>
                    <w:snapToGrid w:val="0"/>
                    <w:spacing w:line="360" w:lineRule="exact"/>
                    <w:jc w:val="center"/>
                    <w:rPr>
                      <w:color w:val="auto"/>
                    </w:rPr>
                  </w:pPr>
                  <w:r>
                    <w:rPr>
                      <w:rFonts w:hint="eastAsia"/>
                      <w:color w:val="auto"/>
                    </w:rPr>
                    <w:t>0.044</w:t>
                  </w:r>
                </w:p>
              </w:tc>
              <w:tc>
                <w:tcPr>
                  <w:tcW w:w="1087" w:type="dxa"/>
                  <w:vAlign w:val="center"/>
                </w:tcPr>
                <w:p>
                  <w:pPr>
                    <w:adjustRightInd w:val="0"/>
                    <w:snapToGrid w:val="0"/>
                    <w:spacing w:line="360" w:lineRule="exact"/>
                    <w:jc w:val="center"/>
                    <w:rPr>
                      <w:color w:val="auto"/>
                    </w:rPr>
                  </w:pPr>
                  <w:r>
                    <w:rPr>
                      <w:rFonts w:hint="eastAsia"/>
                      <w:color w:val="auto"/>
                    </w:rPr>
                    <w:t>0.024</w:t>
                  </w:r>
                </w:p>
              </w:tc>
              <w:tc>
                <w:tcPr>
                  <w:tcW w:w="1063" w:type="dxa"/>
                  <w:vAlign w:val="center"/>
                </w:tcPr>
                <w:p>
                  <w:pPr>
                    <w:adjustRightInd w:val="0"/>
                    <w:snapToGrid w:val="0"/>
                    <w:spacing w:line="360" w:lineRule="exact"/>
                    <w:jc w:val="center"/>
                    <w:rPr>
                      <w:color w:val="auto"/>
                    </w:rPr>
                  </w:pPr>
                  <w:r>
                    <w:rPr>
                      <w:rFonts w:hint="eastAsia"/>
                      <w:color w:val="auto"/>
                    </w:rPr>
                    <w:t>0.292</w:t>
                  </w:r>
                </w:p>
              </w:tc>
              <w:tc>
                <w:tcPr>
                  <w:tcW w:w="837" w:type="dxa"/>
                  <w:vAlign w:val="center"/>
                </w:tcPr>
                <w:p>
                  <w:pPr>
                    <w:adjustRightInd w:val="0"/>
                    <w:snapToGrid w:val="0"/>
                    <w:spacing w:line="360" w:lineRule="exact"/>
                    <w:jc w:val="center"/>
                    <w:rPr>
                      <w:color w:val="auto"/>
                    </w:rPr>
                  </w:pPr>
                  <w:r>
                    <w:rPr>
                      <w:rFonts w:hint="eastAsia"/>
                      <w:color w:val="auto"/>
                    </w:rPr>
                    <w:t>/</w:t>
                  </w:r>
                </w:p>
              </w:tc>
              <w:tc>
                <w:tcPr>
                  <w:tcW w:w="813" w:type="dxa"/>
                  <w:vAlign w:val="center"/>
                </w:tcPr>
                <w:p>
                  <w:pPr>
                    <w:adjustRightInd w:val="0"/>
                    <w:snapToGrid w:val="0"/>
                    <w:spacing w:line="360" w:lineRule="exact"/>
                    <w:jc w:val="center"/>
                    <w:rPr>
                      <w:color w:val="auto"/>
                    </w:rPr>
                  </w:pPr>
                  <w:r>
                    <w:rPr>
                      <w:rFonts w:hint="eastAsia"/>
                      <w:color w:val="auto"/>
                    </w:rPr>
                    <w:t>/</w:t>
                  </w:r>
                </w:p>
              </w:tc>
              <w:tc>
                <w:tcPr>
                  <w:tcW w:w="1283" w:type="dxa"/>
                  <w:vAlign w:val="center"/>
                </w:tcPr>
                <w:p>
                  <w:pPr>
                    <w:adjustRightInd w:val="0"/>
                    <w:snapToGrid w:val="0"/>
                    <w:spacing w:line="360" w:lineRule="exact"/>
                    <w:jc w:val="center"/>
                    <w:rPr>
                      <w:color w:val="auto"/>
                    </w:rPr>
                  </w:pPr>
                  <w:r>
                    <w:rPr>
                      <w:rFonts w:hint="eastAsia"/>
                      <w:color w:val="auto"/>
                    </w:rPr>
                    <w:t>/</w:t>
                  </w:r>
                </w:p>
              </w:tc>
            </w:tr>
          </w:tbl>
          <w:p>
            <w:pPr>
              <w:adjustRightInd w:val="0"/>
              <w:snapToGrid w:val="0"/>
              <w:spacing w:line="480" w:lineRule="exact"/>
              <w:ind w:firstLine="480" w:firstLineChars="200"/>
              <w:rPr>
                <w:color w:val="auto"/>
                <w:sz w:val="24"/>
                <w:szCs w:val="24"/>
              </w:rPr>
            </w:pPr>
            <w:r>
              <w:rPr>
                <w:color w:val="auto"/>
                <w:sz w:val="24"/>
                <w:szCs w:val="24"/>
              </w:rPr>
              <w:t>根据《商品煤质量管理暂行办法》，商品煤应满足以下基本要求：</w:t>
            </w:r>
            <w:r>
              <w:rPr>
                <w:color w:val="auto"/>
                <w:sz w:val="24"/>
                <w:szCs w:val="24"/>
              </w:rPr>
              <w:fldChar w:fldCharType="begin"/>
            </w:r>
            <w:r>
              <w:rPr>
                <w:color w:val="auto"/>
                <w:sz w:val="24"/>
                <w:szCs w:val="24"/>
              </w:rPr>
              <w:instrText xml:space="preserve"> = 1 \* GB3 \* MERGEFORMAT </w:instrText>
            </w:r>
            <w:r>
              <w:rPr>
                <w:color w:val="auto"/>
                <w:sz w:val="24"/>
                <w:szCs w:val="24"/>
              </w:rPr>
              <w:fldChar w:fldCharType="separate"/>
            </w:r>
            <w:r>
              <w:rPr>
                <w:color w:val="auto"/>
                <w:sz w:val="24"/>
                <w:szCs w:val="24"/>
              </w:rPr>
              <w:t>①</w:t>
            </w:r>
            <w:r>
              <w:rPr>
                <w:color w:val="auto"/>
                <w:sz w:val="24"/>
                <w:szCs w:val="24"/>
              </w:rPr>
              <w:fldChar w:fldCharType="end"/>
            </w:r>
            <w:r>
              <w:rPr>
                <w:color w:val="auto"/>
                <w:sz w:val="24"/>
                <w:szCs w:val="24"/>
              </w:rPr>
              <w:t>灰分：褐煤≦30%，其他煤种≦40%；</w:t>
            </w:r>
            <w:r>
              <w:rPr>
                <w:color w:val="auto"/>
                <w:sz w:val="24"/>
                <w:szCs w:val="24"/>
              </w:rPr>
              <w:fldChar w:fldCharType="begin"/>
            </w:r>
            <w:r>
              <w:rPr>
                <w:color w:val="auto"/>
                <w:sz w:val="24"/>
                <w:szCs w:val="24"/>
              </w:rPr>
              <w:instrText xml:space="preserve"> = 2 \* GB3 \* MERGEFORMAT </w:instrText>
            </w:r>
            <w:r>
              <w:rPr>
                <w:color w:val="auto"/>
                <w:sz w:val="24"/>
                <w:szCs w:val="24"/>
              </w:rPr>
              <w:fldChar w:fldCharType="separate"/>
            </w:r>
            <w:r>
              <w:rPr>
                <w:color w:val="auto"/>
                <w:sz w:val="24"/>
                <w:szCs w:val="24"/>
              </w:rPr>
              <w:t>②硫分</w:t>
            </w:r>
            <w:r>
              <w:rPr>
                <w:color w:val="auto"/>
                <w:sz w:val="24"/>
                <w:szCs w:val="24"/>
              </w:rPr>
              <w:fldChar w:fldCharType="end"/>
            </w:r>
            <w:r>
              <w:rPr>
                <w:color w:val="auto"/>
                <w:sz w:val="24"/>
                <w:szCs w:val="24"/>
              </w:rPr>
              <w:t>：褐煤≦1.5%，其他煤种≦3%；</w:t>
            </w:r>
            <w:r>
              <w:rPr>
                <w:color w:val="auto"/>
                <w:sz w:val="24"/>
                <w:szCs w:val="24"/>
              </w:rPr>
              <w:fldChar w:fldCharType="begin"/>
            </w:r>
            <w:r>
              <w:rPr>
                <w:color w:val="auto"/>
                <w:sz w:val="24"/>
                <w:szCs w:val="24"/>
              </w:rPr>
              <w:instrText xml:space="preserve"> = 3 \* GB3 \* MERGEFORMAT </w:instrText>
            </w:r>
            <w:r>
              <w:rPr>
                <w:color w:val="auto"/>
                <w:sz w:val="24"/>
                <w:szCs w:val="24"/>
              </w:rPr>
              <w:fldChar w:fldCharType="separate"/>
            </w:r>
            <w:r>
              <w:rPr>
                <w:color w:val="auto"/>
                <w:sz w:val="24"/>
                <w:szCs w:val="24"/>
              </w:rPr>
              <w:t>③</w:t>
            </w:r>
            <w:r>
              <w:rPr>
                <w:color w:val="auto"/>
                <w:sz w:val="24"/>
                <w:szCs w:val="24"/>
              </w:rPr>
              <w:fldChar w:fldCharType="end"/>
            </w:r>
            <w:r>
              <w:rPr>
                <w:color w:val="auto"/>
                <w:sz w:val="24"/>
                <w:szCs w:val="24"/>
              </w:rPr>
              <w:t>汞≦10.6ug/g，砷≦80ug/g，磷≦0.15%，氯≦0.3%，氟≦200ug/g。本项目</w:t>
            </w:r>
            <w:r>
              <w:rPr>
                <w:rFonts w:hint="eastAsia"/>
                <w:color w:val="auto"/>
                <w:sz w:val="24"/>
                <w:szCs w:val="24"/>
              </w:rPr>
              <w:t>煤炭</w:t>
            </w:r>
            <w:r>
              <w:rPr>
                <w:color w:val="auto"/>
                <w:sz w:val="24"/>
                <w:szCs w:val="24"/>
              </w:rPr>
              <w:t>能够满足《商品煤质量管理暂行办法》中相关标准的要求。</w:t>
            </w:r>
          </w:p>
          <w:p>
            <w:pPr>
              <w:adjustRightInd w:val="0"/>
              <w:snapToGrid w:val="0"/>
              <w:spacing w:line="480" w:lineRule="exact"/>
              <w:ind w:firstLine="480" w:firstLineChars="200"/>
              <w:rPr>
                <w:color w:val="auto"/>
                <w:sz w:val="24"/>
                <w:szCs w:val="24"/>
              </w:rPr>
            </w:pPr>
            <w:r>
              <w:rPr>
                <w:color w:val="auto"/>
                <w:sz w:val="24"/>
                <w:szCs w:val="24"/>
              </w:rPr>
              <w:t>本项目</w:t>
            </w:r>
            <w:r>
              <w:rPr>
                <w:rFonts w:hint="eastAsia"/>
                <w:color w:val="auto"/>
                <w:sz w:val="24"/>
                <w:szCs w:val="24"/>
              </w:rPr>
              <w:t>建设</w:t>
            </w:r>
            <w:r>
              <w:rPr>
                <w:rFonts w:hint="eastAsia"/>
                <w:bCs/>
                <w:color w:val="auto"/>
                <w:sz w:val="24"/>
              </w:rPr>
              <w:t>4座总计约130600m</w:t>
            </w:r>
            <w:r>
              <w:rPr>
                <w:rFonts w:hint="eastAsia"/>
                <w:bCs/>
                <w:color w:val="auto"/>
                <w:sz w:val="24"/>
                <w:vertAlign w:val="superscript"/>
              </w:rPr>
              <w:t>2</w:t>
            </w:r>
            <w:r>
              <w:rPr>
                <w:rFonts w:hint="eastAsia"/>
                <w:bCs/>
                <w:color w:val="auto"/>
                <w:sz w:val="24"/>
              </w:rPr>
              <w:t>的全封闭储煤棚，煤炭占地面积均以80%计，则煤炭占地面积均为104480m</w:t>
            </w:r>
            <w:r>
              <w:rPr>
                <w:rFonts w:hint="eastAsia"/>
                <w:bCs/>
                <w:color w:val="auto"/>
                <w:sz w:val="24"/>
                <w:vertAlign w:val="superscript"/>
              </w:rPr>
              <w:t>2</w:t>
            </w:r>
            <w:r>
              <w:rPr>
                <w:rFonts w:hint="eastAsia"/>
                <w:bCs/>
                <w:color w:val="auto"/>
                <w:sz w:val="24"/>
              </w:rPr>
              <w:t>。</w:t>
            </w:r>
          </w:p>
          <w:p>
            <w:pPr>
              <w:adjustRightInd w:val="0"/>
              <w:snapToGrid w:val="0"/>
              <w:spacing w:line="480" w:lineRule="exact"/>
              <w:ind w:firstLine="480" w:firstLineChars="200"/>
              <w:rPr>
                <w:color w:val="auto"/>
                <w:sz w:val="24"/>
                <w:szCs w:val="24"/>
              </w:rPr>
            </w:pPr>
            <w:r>
              <w:rPr>
                <w:color w:val="auto"/>
                <w:sz w:val="24"/>
                <w:szCs w:val="24"/>
              </w:rPr>
              <w:t>根据堆存量计算公式</w:t>
            </w:r>
          </w:p>
          <w:p>
            <w:pPr>
              <w:adjustRightInd w:val="0"/>
              <w:snapToGrid w:val="0"/>
              <w:spacing w:line="480" w:lineRule="exact"/>
              <w:ind w:firstLine="480" w:firstLineChars="200"/>
              <w:rPr>
                <w:color w:val="auto"/>
                <w:sz w:val="24"/>
                <w:szCs w:val="24"/>
              </w:rPr>
            </w:pPr>
            <w:r>
              <w:rPr>
                <w:color w:val="auto"/>
                <w:sz w:val="24"/>
                <w:szCs w:val="24"/>
              </w:rPr>
              <w:t>Q=S×h×ρ×r</w:t>
            </w:r>
          </w:p>
          <w:p>
            <w:pPr>
              <w:adjustRightInd w:val="0"/>
              <w:snapToGrid w:val="0"/>
              <w:spacing w:line="480" w:lineRule="exact"/>
              <w:ind w:firstLine="480" w:firstLineChars="200"/>
              <w:rPr>
                <w:color w:val="auto"/>
                <w:sz w:val="24"/>
                <w:szCs w:val="24"/>
              </w:rPr>
            </w:pPr>
            <w:r>
              <w:rPr>
                <w:color w:val="auto"/>
                <w:sz w:val="24"/>
                <w:szCs w:val="24"/>
              </w:rPr>
              <w:t>Q：物料储存量；</w:t>
            </w:r>
          </w:p>
          <w:p>
            <w:pPr>
              <w:adjustRightInd w:val="0"/>
              <w:snapToGrid w:val="0"/>
              <w:spacing w:line="480" w:lineRule="exact"/>
              <w:ind w:firstLine="480" w:firstLineChars="200"/>
              <w:rPr>
                <w:color w:val="auto"/>
                <w:sz w:val="24"/>
                <w:szCs w:val="24"/>
              </w:rPr>
            </w:pPr>
            <w:r>
              <w:rPr>
                <w:color w:val="auto"/>
                <w:sz w:val="24"/>
                <w:szCs w:val="24"/>
              </w:rPr>
              <w:t>S：物料堆放面积，m</w:t>
            </w:r>
            <w:r>
              <w:rPr>
                <w:color w:val="auto"/>
                <w:sz w:val="24"/>
                <w:szCs w:val="24"/>
                <w:vertAlign w:val="superscript"/>
              </w:rPr>
              <w:t>2</w:t>
            </w:r>
            <w:r>
              <w:rPr>
                <w:color w:val="auto"/>
                <w:sz w:val="24"/>
                <w:szCs w:val="24"/>
              </w:rPr>
              <w:t>，本项目堆放面积取</w:t>
            </w:r>
            <w:r>
              <w:rPr>
                <w:rFonts w:hint="eastAsia"/>
                <w:bCs/>
                <w:color w:val="auto"/>
                <w:sz w:val="24"/>
              </w:rPr>
              <w:t>104480</w:t>
            </w:r>
            <w:r>
              <w:rPr>
                <w:color w:val="auto"/>
                <w:sz w:val="24"/>
                <w:szCs w:val="24"/>
              </w:rPr>
              <w:t>m</w:t>
            </w:r>
            <w:r>
              <w:rPr>
                <w:color w:val="auto"/>
                <w:sz w:val="24"/>
                <w:szCs w:val="24"/>
                <w:vertAlign w:val="superscript"/>
              </w:rPr>
              <w:t>2</w:t>
            </w:r>
            <w:r>
              <w:rPr>
                <w:color w:val="auto"/>
                <w:sz w:val="24"/>
                <w:szCs w:val="24"/>
              </w:rPr>
              <w:t>；</w:t>
            </w:r>
          </w:p>
          <w:p>
            <w:pPr>
              <w:adjustRightInd w:val="0"/>
              <w:snapToGrid w:val="0"/>
              <w:spacing w:line="480" w:lineRule="exact"/>
              <w:ind w:firstLine="480" w:firstLineChars="200"/>
              <w:rPr>
                <w:color w:val="auto"/>
                <w:sz w:val="24"/>
                <w:szCs w:val="24"/>
              </w:rPr>
            </w:pPr>
            <w:r>
              <w:rPr>
                <w:color w:val="auto"/>
                <w:sz w:val="24"/>
                <w:szCs w:val="24"/>
              </w:rPr>
              <w:t>h：物料堆放高度，m，本项目取</w:t>
            </w:r>
            <w:r>
              <w:rPr>
                <w:rFonts w:hint="eastAsia"/>
                <w:color w:val="auto"/>
                <w:sz w:val="24"/>
                <w:szCs w:val="24"/>
              </w:rPr>
              <w:t>6</w:t>
            </w:r>
            <w:r>
              <w:rPr>
                <w:color w:val="auto"/>
                <w:sz w:val="24"/>
                <w:szCs w:val="24"/>
              </w:rPr>
              <w:t>m；</w:t>
            </w:r>
          </w:p>
          <w:p>
            <w:pPr>
              <w:adjustRightInd w:val="0"/>
              <w:snapToGrid w:val="0"/>
              <w:spacing w:line="480" w:lineRule="exact"/>
              <w:ind w:firstLine="480" w:firstLineChars="200"/>
              <w:rPr>
                <w:color w:val="auto"/>
                <w:sz w:val="24"/>
                <w:szCs w:val="24"/>
              </w:rPr>
            </w:pPr>
            <w:r>
              <w:rPr>
                <w:color w:val="auto"/>
                <w:sz w:val="24"/>
                <w:szCs w:val="24"/>
              </w:rPr>
              <w:t>ρ：堆料的有效体积系数，一般在0.7-0.8之间，取值0.75；</w:t>
            </w:r>
          </w:p>
          <w:p>
            <w:pPr>
              <w:adjustRightInd w:val="0"/>
              <w:snapToGrid w:val="0"/>
              <w:spacing w:line="480" w:lineRule="exact"/>
              <w:ind w:firstLine="480" w:firstLineChars="200"/>
              <w:rPr>
                <w:color w:val="auto"/>
                <w:sz w:val="24"/>
                <w:szCs w:val="24"/>
              </w:rPr>
            </w:pPr>
            <w:r>
              <w:rPr>
                <w:color w:val="auto"/>
                <w:sz w:val="24"/>
                <w:szCs w:val="24"/>
              </w:rPr>
              <w:t>r：物料堆积密度，t/m</w:t>
            </w:r>
            <w:r>
              <w:rPr>
                <w:color w:val="auto"/>
                <w:sz w:val="24"/>
                <w:szCs w:val="24"/>
                <w:vertAlign w:val="superscript"/>
              </w:rPr>
              <w:t>3</w:t>
            </w:r>
            <w:r>
              <w:rPr>
                <w:color w:val="auto"/>
                <w:sz w:val="24"/>
                <w:szCs w:val="24"/>
              </w:rPr>
              <w:t>，一般在1.6-1.8之间，取值1.7。</w:t>
            </w:r>
          </w:p>
          <w:p>
            <w:pPr>
              <w:adjustRightInd w:val="0"/>
              <w:snapToGrid w:val="0"/>
              <w:spacing w:line="480" w:lineRule="exact"/>
              <w:ind w:firstLine="480" w:firstLineChars="200"/>
              <w:rPr>
                <w:color w:val="auto"/>
                <w:sz w:val="24"/>
                <w:szCs w:val="24"/>
              </w:rPr>
            </w:pPr>
            <w:r>
              <w:rPr>
                <w:color w:val="auto"/>
                <w:sz w:val="24"/>
                <w:szCs w:val="24"/>
              </w:rPr>
              <w:t>计算得出煤库</w:t>
            </w:r>
            <w:r>
              <w:rPr>
                <w:rFonts w:hint="eastAsia"/>
                <w:bCs/>
                <w:color w:val="auto"/>
                <w:sz w:val="24"/>
              </w:rPr>
              <w:t>104480</w:t>
            </w:r>
            <w:r>
              <w:rPr>
                <w:color w:val="auto"/>
                <w:sz w:val="24"/>
                <w:szCs w:val="24"/>
              </w:rPr>
              <w:t>m</w:t>
            </w:r>
            <w:r>
              <w:rPr>
                <w:color w:val="auto"/>
                <w:sz w:val="24"/>
                <w:szCs w:val="24"/>
                <w:vertAlign w:val="superscript"/>
              </w:rPr>
              <w:t>2</w:t>
            </w:r>
            <w:r>
              <w:rPr>
                <w:color w:val="auto"/>
                <w:sz w:val="24"/>
                <w:szCs w:val="24"/>
              </w:rPr>
              <w:t>占地可储物料的量约为</w:t>
            </w:r>
            <w:r>
              <w:rPr>
                <w:rFonts w:hint="eastAsia"/>
                <w:bCs/>
                <w:color w:val="auto"/>
                <w:sz w:val="24"/>
              </w:rPr>
              <w:t>79.92</w:t>
            </w:r>
            <w:r>
              <w:rPr>
                <w:color w:val="auto"/>
                <w:sz w:val="24"/>
                <w:szCs w:val="24"/>
              </w:rPr>
              <w:t>万吨</w:t>
            </w:r>
            <w:r>
              <w:rPr>
                <w:rFonts w:hint="eastAsia"/>
                <w:color w:val="auto"/>
                <w:sz w:val="24"/>
                <w:szCs w:val="24"/>
              </w:rPr>
              <w:t>，</w:t>
            </w:r>
            <w:r>
              <w:rPr>
                <w:color w:val="auto"/>
                <w:sz w:val="24"/>
                <w:szCs w:val="24"/>
              </w:rPr>
              <w:t>满足本项目</w:t>
            </w:r>
            <w:r>
              <w:rPr>
                <w:rFonts w:hint="eastAsia"/>
                <w:bCs/>
                <w:color w:val="auto"/>
                <w:sz w:val="24"/>
              </w:rPr>
              <w:t>静态储煤能力80万吨的要求</w:t>
            </w:r>
            <w:r>
              <w:rPr>
                <w:color w:val="auto"/>
                <w:sz w:val="24"/>
                <w:szCs w:val="24"/>
              </w:rPr>
              <w:t>。</w:t>
            </w:r>
          </w:p>
          <w:p>
            <w:pPr>
              <w:adjustRightInd w:val="0"/>
              <w:snapToGrid w:val="0"/>
              <w:spacing w:line="480" w:lineRule="exact"/>
              <w:ind w:firstLine="482" w:firstLineChars="200"/>
              <w:rPr>
                <w:b/>
                <w:color w:val="auto"/>
                <w:sz w:val="24"/>
              </w:rPr>
            </w:pPr>
            <w:r>
              <w:rPr>
                <w:rFonts w:hint="eastAsia"/>
                <w:b/>
                <w:color w:val="auto"/>
                <w:sz w:val="24"/>
              </w:rPr>
              <w:t>7、公用工程</w:t>
            </w:r>
          </w:p>
          <w:p>
            <w:pPr>
              <w:adjustRightInd w:val="0"/>
              <w:snapToGrid w:val="0"/>
              <w:spacing w:line="480" w:lineRule="exact"/>
              <w:ind w:firstLine="482" w:firstLineChars="200"/>
              <w:rPr>
                <w:b/>
                <w:bCs/>
                <w:color w:val="auto"/>
                <w:sz w:val="24"/>
              </w:rPr>
            </w:pPr>
            <w:r>
              <w:rPr>
                <w:rFonts w:hint="eastAsia"/>
                <w:b/>
                <w:bCs/>
                <w:color w:val="auto"/>
                <w:sz w:val="24"/>
              </w:rPr>
              <w:t>（1）供电系统</w:t>
            </w:r>
          </w:p>
          <w:p>
            <w:pPr>
              <w:adjustRightInd w:val="0"/>
              <w:snapToGrid w:val="0"/>
              <w:spacing w:line="480" w:lineRule="exact"/>
              <w:ind w:firstLine="480" w:firstLineChars="200"/>
              <w:rPr>
                <w:color w:val="auto"/>
                <w:sz w:val="24"/>
              </w:rPr>
            </w:pPr>
            <w:r>
              <w:rPr>
                <w:rFonts w:hint="eastAsia"/>
                <w:color w:val="auto"/>
                <w:sz w:val="24"/>
              </w:rPr>
              <w:t>本项目用电由市政电网供应，电源引自平型关镇变电站，采用1路10kV进线，厂区内设2台SCB13-500kVA/10kV干式变压器，供场内各用电负荷用电。</w:t>
            </w:r>
          </w:p>
          <w:p>
            <w:pPr>
              <w:adjustRightInd w:val="0"/>
              <w:snapToGrid w:val="0"/>
              <w:spacing w:line="480" w:lineRule="exact"/>
              <w:ind w:firstLine="482" w:firstLineChars="200"/>
              <w:rPr>
                <w:b/>
                <w:bCs/>
                <w:color w:val="auto"/>
                <w:sz w:val="24"/>
              </w:rPr>
            </w:pPr>
            <w:r>
              <w:rPr>
                <w:rFonts w:hint="eastAsia"/>
                <w:b/>
                <w:bCs/>
                <w:color w:val="auto"/>
                <w:sz w:val="24"/>
              </w:rPr>
              <w:t>（2）供暖系统</w:t>
            </w:r>
          </w:p>
          <w:p>
            <w:pPr>
              <w:adjustRightInd w:val="0"/>
              <w:snapToGrid w:val="0"/>
              <w:spacing w:line="480" w:lineRule="exact"/>
              <w:ind w:firstLine="480" w:firstLineChars="200"/>
              <w:rPr>
                <w:b/>
                <w:bCs/>
                <w:color w:val="auto"/>
                <w:sz w:val="24"/>
              </w:rPr>
            </w:pPr>
            <w:r>
              <w:rPr>
                <w:rFonts w:hint="eastAsia"/>
                <w:bCs/>
                <w:color w:val="auto"/>
                <w:sz w:val="24"/>
              </w:rPr>
              <w:t>生产车间不供暖，值班办公室采用电暖气及空调</w:t>
            </w:r>
            <w:r>
              <w:rPr>
                <w:rFonts w:hint="eastAsia"/>
                <w:color w:val="auto"/>
                <w:sz w:val="24"/>
              </w:rPr>
              <w:t>。</w:t>
            </w:r>
          </w:p>
          <w:p>
            <w:pPr>
              <w:adjustRightInd w:val="0"/>
              <w:snapToGrid w:val="0"/>
              <w:spacing w:line="480" w:lineRule="exact"/>
              <w:ind w:firstLine="482" w:firstLineChars="200"/>
              <w:rPr>
                <w:b/>
                <w:bCs/>
                <w:color w:val="auto"/>
                <w:sz w:val="24"/>
              </w:rPr>
            </w:pPr>
            <w:r>
              <w:rPr>
                <w:rFonts w:hint="eastAsia"/>
                <w:b/>
                <w:bCs/>
                <w:color w:val="auto"/>
                <w:sz w:val="24"/>
              </w:rPr>
              <w:t>（3）给排水</w:t>
            </w:r>
          </w:p>
          <w:p>
            <w:pPr>
              <w:adjustRightInd w:val="0"/>
              <w:snapToGrid w:val="0"/>
              <w:spacing w:line="480" w:lineRule="exact"/>
              <w:ind w:firstLine="480" w:firstLineChars="200"/>
              <w:rPr>
                <w:color w:val="auto"/>
                <w:sz w:val="24"/>
              </w:rPr>
            </w:pPr>
            <w:r>
              <w:rPr>
                <w:rFonts w:hint="eastAsia"/>
                <w:color w:val="auto"/>
                <w:sz w:val="24"/>
              </w:rPr>
              <w:t>本项目用水由自备水井供应，能满足项目用水需求。</w:t>
            </w:r>
          </w:p>
          <w:p>
            <w:pPr>
              <w:adjustRightInd w:val="0"/>
              <w:snapToGrid w:val="0"/>
              <w:spacing w:line="480" w:lineRule="exact"/>
              <w:ind w:firstLine="480" w:firstLineChars="200"/>
              <w:rPr>
                <w:color w:val="auto"/>
                <w:sz w:val="24"/>
              </w:rPr>
            </w:pPr>
            <w:r>
              <w:rPr>
                <w:rFonts w:hint="eastAsia"/>
                <w:color w:val="auto"/>
                <w:sz w:val="24"/>
              </w:rPr>
              <w:t>本项目用水环节主要包括：全封闭煤棚喷雾抑尘用水、道路抑尘用水、</w:t>
            </w:r>
            <w:r>
              <w:rPr>
                <w:rFonts w:hint="eastAsia"/>
                <w:bCs/>
                <w:color w:val="auto"/>
                <w:sz w:val="24"/>
              </w:rPr>
              <w:t>洗车用水、绿化用水、生活用水等。用水定额参考</w:t>
            </w:r>
            <w:r>
              <w:rPr>
                <w:rFonts w:hint="eastAsia"/>
                <w:color w:val="auto"/>
                <w:sz w:val="24"/>
                <w:szCs w:val="20"/>
              </w:rPr>
              <w:t>《山西省用水定额》</w:t>
            </w:r>
            <w:r>
              <w:rPr>
                <w:rFonts w:hint="eastAsia"/>
                <w:color w:val="auto"/>
                <w:szCs w:val="20"/>
              </w:rPr>
              <w:t>（</w:t>
            </w:r>
            <w:r>
              <w:rPr>
                <w:rFonts w:hint="eastAsia"/>
                <w:color w:val="auto"/>
                <w:sz w:val="24"/>
                <w:szCs w:val="20"/>
              </w:rPr>
              <w:t>DB14/T 1049-2021</w:t>
            </w:r>
            <w:r>
              <w:rPr>
                <w:rFonts w:hint="eastAsia"/>
                <w:color w:val="auto"/>
                <w:szCs w:val="20"/>
              </w:rPr>
              <w:t>）、</w:t>
            </w:r>
            <w:r>
              <w:rPr>
                <w:rFonts w:hint="eastAsia"/>
                <w:color w:val="auto"/>
                <w:sz w:val="24"/>
              </w:rPr>
              <w:t>《建筑给水排水设计规范》（2019年版）及考虑项目实际情况，具体用水量如下：</w:t>
            </w:r>
          </w:p>
          <w:p>
            <w:pPr>
              <w:adjustRightInd w:val="0"/>
              <w:snapToGrid w:val="0"/>
              <w:spacing w:line="480" w:lineRule="exact"/>
              <w:ind w:firstLine="482" w:firstLineChars="200"/>
              <w:rPr>
                <w:b/>
                <w:bCs/>
                <w:color w:val="auto"/>
                <w:sz w:val="24"/>
              </w:rPr>
            </w:pPr>
            <w:r>
              <w:rPr>
                <w:rFonts w:hint="eastAsia"/>
                <w:b/>
                <w:bCs/>
                <w:color w:val="auto"/>
                <w:sz w:val="24"/>
              </w:rPr>
              <w:t>①全封闭煤棚喷雾抑尘用水</w:t>
            </w:r>
          </w:p>
          <w:p>
            <w:pPr>
              <w:adjustRightInd w:val="0"/>
              <w:snapToGrid w:val="0"/>
              <w:spacing w:line="480" w:lineRule="exact"/>
              <w:ind w:firstLine="480" w:firstLineChars="200"/>
              <w:rPr>
                <w:bCs/>
                <w:color w:val="auto"/>
                <w:sz w:val="24"/>
              </w:rPr>
            </w:pPr>
            <w:r>
              <w:rPr>
                <w:rFonts w:hint="eastAsia"/>
                <w:color w:val="auto"/>
                <w:sz w:val="24"/>
              </w:rPr>
              <w:t>全封闭煤棚喷雾抑尘用水</w:t>
            </w:r>
            <w:r>
              <w:rPr>
                <w:rFonts w:hint="eastAsia"/>
                <w:color w:val="auto"/>
                <w:sz w:val="24"/>
                <w:szCs w:val="24"/>
                <w:lang w:bidi="ar"/>
              </w:rPr>
              <w:t>指标按1</w:t>
            </w:r>
            <w:r>
              <w:rPr>
                <w:color w:val="auto"/>
                <w:sz w:val="24"/>
                <w:szCs w:val="24"/>
                <w:lang w:bidi="ar"/>
              </w:rPr>
              <w:t>L/</w:t>
            </w:r>
            <w:r>
              <w:rPr>
                <w:rFonts w:hint="eastAsia"/>
                <w:color w:val="auto"/>
                <w:sz w:val="24"/>
                <w:szCs w:val="24"/>
                <w:lang w:bidi="ar"/>
              </w:rPr>
              <w:t>（</w:t>
            </w:r>
            <w:r>
              <w:rPr>
                <w:color w:val="auto"/>
                <w:sz w:val="24"/>
                <w:szCs w:val="24"/>
                <w:lang w:bidi="ar"/>
              </w:rPr>
              <w:t>m</w:t>
            </w:r>
            <w:r>
              <w:rPr>
                <w:color w:val="auto"/>
                <w:sz w:val="24"/>
                <w:szCs w:val="24"/>
                <w:vertAlign w:val="superscript"/>
                <w:lang w:bidi="ar"/>
              </w:rPr>
              <w:t>2</w:t>
            </w:r>
            <w:r>
              <w:rPr>
                <w:rFonts w:hint="eastAsia"/>
                <w:color w:val="auto"/>
                <w:sz w:val="24"/>
                <w:szCs w:val="24"/>
                <w:lang w:bidi="ar"/>
              </w:rPr>
              <w:t>·次）计，以每天喷雾4次计，本项目四个储煤库总面积为130600</w:t>
            </w:r>
            <w:r>
              <w:rPr>
                <w:color w:val="auto"/>
                <w:sz w:val="24"/>
                <w:szCs w:val="24"/>
                <w:lang w:bidi="ar"/>
              </w:rPr>
              <w:t>m</w:t>
            </w:r>
            <w:r>
              <w:rPr>
                <w:color w:val="auto"/>
                <w:sz w:val="24"/>
                <w:szCs w:val="24"/>
                <w:vertAlign w:val="superscript"/>
                <w:lang w:bidi="ar"/>
              </w:rPr>
              <w:t>2</w:t>
            </w:r>
            <w:r>
              <w:rPr>
                <w:rFonts w:hint="eastAsia"/>
                <w:color w:val="auto"/>
                <w:sz w:val="24"/>
                <w:szCs w:val="24"/>
                <w:lang w:bidi="ar"/>
              </w:rPr>
              <w:t>，则每天用水量为522.4</w:t>
            </w:r>
            <w:r>
              <w:rPr>
                <w:color w:val="auto"/>
                <w:sz w:val="24"/>
                <w:szCs w:val="24"/>
                <w:lang w:bidi="ar"/>
              </w:rPr>
              <w:t>m</w:t>
            </w:r>
            <w:r>
              <w:rPr>
                <w:color w:val="auto"/>
                <w:sz w:val="24"/>
                <w:szCs w:val="24"/>
                <w:vertAlign w:val="superscript"/>
                <w:lang w:bidi="ar"/>
              </w:rPr>
              <w:t>3</w:t>
            </w:r>
            <w:r>
              <w:rPr>
                <w:color w:val="auto"/>
                <w:sz w:val="24"/>
                <w:szCs w:val="24"/>
                <w:lang w:bidi="ar"/>
              </w:rPr>
              <w:t>/d</w:t>
            </w:r>
            <w:r>
              <w:rPr>
                <w:rFonts w:hint="eastAsia"/>
                <w:color w:val="auto"/>
                <w:sz w:val="24"/>
                <w:szCs w:val="24"/>
                <w:lang w:bidi="ar"/>
              </w:rPr>
              <w:t>，储煤场淋控废水产生量按用水量的80%计，则淋控废水产生量为417.92</w:t>
            </w:r>
            <w:r>
              <w:rPr>
                <w:color w:val="auto"/>
                <w:sz w:val="24"/>
                <w:szCs w:val="24"/>
                <w:lang w:bidi="ar"/>
              </w:rPr>
              <w:t>m</w:t>
            </w:r>
            <w:r>
              <w:rPr>
                <w:color w:val="auto"/>
                <w:sz w:val="24"/>
                <w:szCs w:val="24"/>
                <w:vertAlign w:val="superscript"/>
                <w:lang w:bidi="ar"/>
              </w:rPr>
              <w:t>3</w:t>
            </w:r>
            <w:r>
              <w:rPr>
                <w:color w:val="auto"/>
                <w:sz w:val="24"/>
                <w:szCs w:val="24"/>
                <w:lang w:bidi="ar"/>
              </w:rPr>
              <w:t>/d</w:t>
            </w:r>
            <w:r>
              <w:rPr>
                <w:rFonts w:hint="eastAsia"/>
                <w:color w:val="auto"/>
                <w:sz w:val="24"/>
                <w:szCs w:val="24"/>
                <w:lang w:bidi="ar"/>
              </w:rPr>
              <w:t>，淋控废水经淋控废水收集池收集沉淀处理后返回清水池回用，喷雾抑尘用水新鲜水补充水量为104.48</w:t>
            </w:r>
            <w:r>
              <w:rPr>
                <w:color w:val="auto"/>
                <w:sz w:val="24"/>
                <w:szCs w:val="24"/>
                <w:lang w:bidi="ar"/>
              </w:rPr>
              <w:t>m</w:t>
            </w:r>
            <w:r>
              <w:rPr>
                <w:color w:val="auto"/>
                <w:sz w:val="24"/>
                <w:szCs w:val="24"/>
                <w:vertAlign w:val="superscript"/>
                <w:lang w:bidi="ar"/>
              </w:rPr>
              <w:t>3</w:t>
            </w:r>
            <w:r>
              <w:rPr>
                <w:color w:val="auto"/>
                <w:sz w:val="24"/>
                <w:szCs w:val="24"/>
                <w:lang w:bidi="ar"/>
              </w:rPr>
              <w:t>/d</w:t>
            </w:r>
            <w:r>
              <w:rPr>
                <w:rFonts w:hint="eastAsia"/>
                <w:color w:val="auto"/>
                <w:sz w:val="24"/>
                <w:szCs w:val="24"/>
                <w:lang w:bidi="ar"/>
              </w:rPr>
              <w:t>。</w:t>
            </w:r>
          </w:p>
          <w:p>
            <w:pPr>
              <w:adjustRightInd w:val="0"/>
              <w:snapToGrid w:val="0"/>
              <w:spacing w:line="480" w:lineRule="exact"/>
              <w:ind w:firstLine="482" w:firstLineChars="200"/>
              <w:rPr>
                <w:b/>
                <w:color w:val="auto"/>
                <w:sz w:val="24"/>
              </w:rPr>
            </w:pPr>
            <w:r>
              <w:rPr>
                <w:rFonts w:hint="eastAsia"/>
                <w:b/>
                <w:color w:val="auto"/>
                <w:sz w:val="24"/>
              </w:rPr>
              <w:t>②道路抑尘用水</w:t>
            </w:r>
          </w:p>
          <w:p>
            <w:pPr>
              <w:adjustRightInd w:val="0"/>
              <w:snapToGrid w:val="0"/>
              <w:spacing w:line="480" w:lineRule="exact"/>
              <w:ind w:firstLine="480" w:firstLineChars="200"/>
              <w:rPr>
                <w:bCs/>
                <w:color w:val="auto"/>
                <w:sz w:val="24"/>
              </w:rPr>
            </w:pPr>
            <w:r>
              <w:rPr>
                <w:rFonts w:hint="eastAsia"/>
                <w:color w:val="auto"/>
                <w:sz w:val="24"/>
              </w:rPr>
              <w:t>参考《山西省用水定额第3部分：服务业用水定额》（DB14/T1049.3-2021）浇洒道路用水定额中的先进值为1.5L/(m</w:t>
            </w:r>
            <w:r>
              <w:rPr>
                <w:rFonts w:hint="eastAsia"/>
                <w:color w:val="auto"/>
                <w:sz w:val="24"/>
                <w:vertAlign w:val="superscript"/>
              </w:rPr>
              <w:t>2</w:t>
            </w:r>
            <w:r>
              <w:rPr>
                <w:rFonts w:hint="eastAsia"/>
                <w:color w:val="auto"/>
                <w:sz w:val="24"/>
              </w:rPr>
              <w:t>·d)，本项目厂区内道路面积约为18000m</w:t>
            </w:r>
            <w:r>
              <w:rPr>
                <w:rFonts w:hint="eastAsia"/>
                <w:color w:val="auto"/>
                <w:sz w:val="24"/>
                <w:vertAlign w:val="superscript"/>
              </w:rPr>
              <w:t>2</w:t>
            </w:r>
            <w:r>
              <w:rPr>
                <w:rFonts w:hint="eastAsia"/>
                <w:color w:val="auto"/>
                <w:sz w:val="24"/>
              </w:rPr>
              <w:t>，则本项目道路抑尘用水耗水量为27m</w:t>
            </w:r>
            <w:r>
              <w:rPr>
                <w:rFonts w:hint="eastAsia"/>
                <w:color w:val="auto"/>
                <w:sz w:val="24"/>
                <w:vertAlign w:val="superscript"/>
              </w:rPr>
              <w:t>3</w:t>
            </w:r>
            <w:r>
              <w:rPr>
                <w:rFonts w:hint="eastAsia"/>
                <w:color w:val="auto"/>
                <w:sz w:val="24"/>
              </w:rPr>
              <w:t>/d。</w:t>
            </w:r>
          </w:p>
          <w:p>
            <w:pPr>
              <w:adjustRightInd w:val="0"/>
              <w:snapToGrid w:val="0"/>
              <w:spacing w:line="480" w:lineRule="exact"/>
              <w:ind w:firstLine="482" w:firstLineChars="200"/>
              <w:rPr>
                <w:b/>
                <w:bCs/>
                <w:color w:val="auto"/>
                <w:sz w:val="24"/>
              </w:rPr>
            </w:pPr>
            <w:r>
              <w:rPr>
                <w:rFonts w:hint="eastAsia"/>
                <w:b/>
                <w:bCs/>
                <w:color w:val="auto"/>
                <w:sz w:val="24"/>
              </w:rPr>
              <w:t>③洗车用水</w:t>
            </w:r>
          </w:p>
          <w:p>
            <w:pPr>
              <w:adjustRightInd w:val="0"/>
              <w:snapToGrid w:val="0"/>
              <w:spacing w:line="480" w:lineRule="exact"/>
              <w:ind w:firstLine="480" w:firstLineChars="200"/>
              <w:rPr>
                <w:color w:val="auto"/>
                <w:sz w:val="24"/>
              </w:rPr>
            </w:pPr>
            <w:r>
              <w:rPr>
                <w:rFonts w:hint="eastAsia"/>
                <w:color w:val="auto"/>
                <w:sz w:val="24"/>
              </w:rPr>
              <w:t>参考《山西省用水定额第3部分：服务业用水定额》（DB14/T1049.3-2021）汽车冲洗用水定额中公共汽车、载重汽车冲洗用水定额，本项目运输车辆清洗用水按60L/辆·次计，清洗次数按300000次/年计，则本项目运输车辆清洗用水量为18000m</w:t>
            </w:r>
            <w:r>
              <w:rPr>
                <w:rFonts w:hint="eastAsia"/>
                <w:color w:val="auto"/>
                <w:sz w:val="24"/>
                <w:vertAlign w:val="superscript"/>
              </w:rPr>
              <w:t>3</w:t>
            </w:r>
            <w:r>
              <w:rPr>
                <w:rFonts w:hint="eastAsia"/>
                <w:color w:val="auto"/>
                <w:sz w:val="24"/>
              </w:rPr>
              <w:t>/a（60m</w:t>
            </w:r>
            <w:r>
              <w:rPr>
                <w:rFonts w:hint="eastAsia"/>
                <w:color w:val="auto"/>
                <w:sz w:val="24"/>
                <w:vertAlign w:val="superscript"/>
              </w:rPr>
              <w:t>3</w:t>
            </w:r>
            <w:r>
              <w:rPr>
                <w:rFonts w:hint="eastAsia"/>
                <w:color w:val="auto"/>
                <w:sz w:val="24"/>
              </w:rPr>
              <w:t>/d）。产污系数按用水量的80%计，则污水产生量为14400m³/a（48m³/d）；运输车辆清洗废水排入沉淀池进行沉淀处理后排入清水池回用，补水量为12m³/d。</w:t>
            </w:r>
          </w:p>
          <w:p>
            <w:pPr>
              <w:adjustRightInd w:val="0"/>
              <w:snapToGrid w:val="0"/>
              <w:spacing w:line="480" w:lineRule="exact"/>
              <w:ind w:firstLine="482" w:firstLineChars="200"/>
              <w:rPr>
                <w:b/>
                <w:bCs/>
                <w:color w:val="auto"/>
                <w:sz w:val="24"/>
              </w:rPr>
            </w:pPr>
            <w:r>
              <w:rPr>
                <w:rFonts w:hint="eastAsia"/>
                <w:b/>
                <w:bCs/>
                <w:color w:val="auto"/>
                <w:sz w:val="24"/>
              </w:rPr>
              <w:t>④绿化用水</w:t>
            </w:r>
          </w:p>
          <w:p>
            <w:pPr>
              <w:adjustRightInd w:val="0"/>
              <w:snapToGrid w:val="0"/>
              <w:spacing w:line="480" w:lineRule="exact"/>
              <w:ind w:firstLine="480" w:firstLineChars="200"/>
              <w:rPr>
                <w:color w:val="auto"/>
                <w:sz w:val="24"/>
              </w:rPr>
            </w:pPr>
            <w:r>
              <w:rPr>
                <w:rFonts w:hint="eastAsia"/>
                <w:color w:val="auto"/>
                <w:sz w:val="24"/>
              </w:rPr>
              <w:t>本项目绿化面积为</w:t>
            </w:r>
            <w:r>
              <w:rPr>
                <w:rFonts w:hint="eastAsia"/>
                <w:bCs/>
                <w:color w:val="auto"/>
                <w:sz w:val="24"/>
              </w:rPr>
              <w:t>21333.3</w:t>
            </w:r>
            <w:r>
              <w:rPr>
                <w:rFonts w:hint="eastAsia"/>
                <w:color w:val="auto"/>
                <w:sz w:val="24"/>
              </w:rPr>
              <w:t>m</w:t>
            </w:r>
            <w:r>
              <w:rPr>
                <w:rFonts w:hint="eastAsia"/>
                <w:color w:val="auto"/>
                <w:sz w:val="24"/>
                <w:vertAlign w:val="superscript"/>
              </w:rPr>
              <w:t>2</w:t>
            </w:r>
            <w:r>
              <w:rPr>
                <w:rFonts w:hint="eastAsia"/>
                <w:color w:val="auto"/>
                <w:sz w:val="24"/>
              </w:rPr>
              <w:t>，参考《山西省用水定额第3部分：服务业用水定额》（DB14/T1049.3-2021）绿化管理用水定额先进值为1.5L/(m</w:t>
            </w:r>
            <w:r>
              <w:rPr>
                <w:rFonts w:hint="eastAsia"/>
                <w:color w:val="auto"/>
                <w:sz w:val="24"/>
                <w:vertAlign w:val="superscript"/>
              </w:rPr>
              <w:t>2</w:t>
            </w:r>
            <w:r>
              <w:rPr>
                <w:rFonts w:hint="eastAsia"/>
                <w:color w:val="auto"/>
                <w:sz w:val="24"/>
              </w:rPr>
              <w:t>·d)，则本项目绿化用水耗水量为32m</w:t>
            </w:r>
            <w:r>
              <w:rPr>
                <w:rFonts w:hint="eastAsia"/>
                <w:color w:val="auto"/>
                <w:sz w:val="24"/>
                <w:vertAlign w:val="superscript"/>
              </w:rPr>
              <w:t>3</w:t>
            </w:r>
            <w:r>
              <w:rPr>
                <w:rFonts w:hint="eastAsia"/>
                <w:color w:val="auto"/>
                <w:sz w:val="24"/>
              </w:rPr>
              <w:t>/d。</w:t>
            </w:r>
          </w:p>
          <w:p>
            <w:pPr>
              <w:adjustRightInd w:val="0"/>
              <w:snapToGrid w:val="0"/>
              <w:spacing w:line="480" w:lineRule="exact"/>
              <w:ind w:firstLine="482" w:firstLineChars="200"/>
              <w:rPr>
                <w:color w:val="auto"/>
                <w:sz w:val="24"/>
              </w:rPr>
            </w:pPr>
            <w:r>
              <w:rPr>
                <w:rFonts w:hint="eastAsia"/>
                <w:b/>
                <w:bCs/>
                <w:color w:val="auto"/>
                <w:sz w:val="24"/>
              </w:rPr>
              <w:t>⑤</w:t>
            </w:r>
            <w:r>
              <w:rPr>
                <w:rFonts w:hint="eastAsia"/>
                <w:b/>
                <w:color w:val="auto"/>
                <w:sz w:val="24"/>
              </w:rPr>
              <w:t>生活用水</w:t>
            </w:r>
          </w:p>
          <w:p>
            <w:pPr>
              <w:adjustRightInd w:val="0"/>
              <w:snapToGrid w:val="0"/>
              <w:spacing w:line="480" w:lineRule="exact"/>
              <w:ind w:firstLine="480" w:firstLineChars="200"/>
              <w:rPr>
                <w:color w:val="auto"/>
                <w:sz w:val="24"/>
              </w:rPr>
            </w:pPr>
            <w:r>
              <w:rPr>
                <w:rFonts w:hint="eastAsia"/>
                <w:color w:val="auto"/>
                <w:sz w:val="24"/>
              </w:rPr>
              <w:t>根据《山西省用水定额 第4部分：居民生活用水定额》（DB14/T 1049.4-2021），50万以下人口小城市中室内有给水排水卫生设备但无淋浴设备的用水定额为：90L/(p·d)；本项目劳动定员50人，且无室内给水排水卫生设备，因此用水定额按50L/(p·d)计，</w:t>
            </w:r>
            <w:r>
              <w:rPr>
                <w:rFonts w:hint="eastAsia"/>
                <w:bCs/>
                <w:color w:val="auto"/>
                <w:sz w:val="24"/>
              </w:rPr>
              <w:t>则生活日用水量为2.5m</w:t>
            </w:r>
            <w:r>
              <w:rPr>
                <w:rFonts w:hint="eastAsia"/>
                <w:bCs/>
                <w:color w:val="auto"/>
                <w:sz w:val="24"/>
                <w:vertAlign w:val="superscript"/>
              </w:rPr>
              <w:t>3</w:t>
            </w:r>
            <w:r>
              <w:rPr>
                <w:rFonts w:hint="eastAsia"/>
                <w:bCs/>
                <w:color w:val="auto"/>
                <w:sz w:val="24"/>
              </w:rPr>
              <w:t>/d；</w:t>
            </w:r>
            <w:r>
              <w:rPr>
                <w:rFonts w:hint="eastAsia"/>
                <w:color w:val="auto"/>
                <w:sz w:val="24"/>
              </w:rPr>
              <w:t>生活污水产生量按用水量的80%计，则生活污水产生量为2</w:t>
            </w:r>
            <w:r>
              <w:rPr>
                <w:rFonts w:hint="eastAsia"/>
                <w:bCs/>
                <w:color w:val="auto"/>
                <w:sz w:val="24"/>
              </w:rPr>
              <w:t>m</w:t>
            </w:r>
            <w:r>
              <w:rPr>
                <w:rFonts w:hint="eastAsia"/>
                <w:bCs/>
                <w:color w:val="auto"/>
                <w:sz w:val="24"/>
                <w:vertAlign w:val="superscript"/>
              </w:rPr>
              <w:t>3</w:t>
            </w:r>
            <w:r>
              <w:rPr>
                <w:rFonts w:hint="eastAsia"/>
                <w:bCs/>
                <w:color w:val="auto"/>
                <w:sz w:val="24"/>
              </w:rPr>
              <w:t>/d</w:t>
            </w:r>
            <w:r>
              <w:rPr>
                <w:rFonts w:hint="eastAsia"/>
                <w:color w:val="auto"/>
                <w:sz w:val="24"/>
              </w:rPr>
              <w:t>；本项目使用旱厕，定期清掏用于农田施肥；生活盥洗废水于厂区泼洒抑尘不外排。</w:t>
            </w:r>
          </w:p>
          <w:p>
            <w:pPr>
              <w:adjustRightInd w:val="0"/>
              <w:snapToGrid w:val="0"/>
              <w:spacing w:line="480" w:lineRule="exact"/>
              <w:ind w:firstLine="480" w:firstLineChars="200"/>
              <w:rPr>
                <w:color w:val="auto"/>
                <w:sz w:val="24"/>
              </w:rPr>
            </w:pPr>
            <w:r>
              <w:rPr>
                <w:rFonts w:hint="eastAsia"/>
                <w:bCs/>
                <w:color w:val="auto"/>
                <w:sz w:val="24"/>
              </w:rPr>
              <w:t>本项目给排水情况见下表。</w:t>
            </w:r>
            <w:r>
              <w:rPr>
                <w:rFonts w:hint="eastAsia"/>
                <w:color w:val="auto"/>
                <w:sz w:val="24"/>
              </w:rPr>
              <w:t>本项目用排水平衡见图2-1~2。</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表2-4  本项目给排水平衡一览表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00"/>
              <w:gridCol w:w="1352"/>
              <w:gridCol w:w="1101"/>
              <w:gridCol w:w="1172"/>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用水单元</w:t>
                  </w:r>
                </w:p>
              </w:tc>
              <w:tc>
                <w:tcPr>
                  <w:tcW w:w="746"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定额</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新鲜水用水量m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/d</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回用水量</w:t>
                  </w:r>
                </w:p>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/d</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排水量及去向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全封闭煤棚喷雾抑尘用水</w:t>
                  </w:r>
                </w:p>
              </w:tc>
              <w:tc>
                <w:tcPr>
                  <w:tcW w:w="746"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1.0L/（m</w:t>
                  </w:r>
                  <w:r>
                    <w:rPr>
                      <w:rFonts w:hint="eastAsia"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·次）</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104.48</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417.92</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淋控废水产生量为417.92m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/d，淋控废水经淋控废水收集池收集沉淀处理后返回清水池回用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道路抑尘用水</w:t>
                  </w:r>
                </w:p>
              </w:tc>
              <w:tc>
                <w:tcPr>
                  <w:tcW w:w="746"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1.5L/(m</w:t>
                  </w:r>
                  <w:r>
                    <w:rPr>
                      <w:rFonts w:hint="eastAsia"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·d)</w:t>
                  </w:r>
                </w:p>
              </w:tc>
              <w:tc>
                <w:tcPr>
                  <w:tcW w:w="628" w:type="pct"/>
                  <w:vAlign w:val="center"/>
                </w:tcPr>
                <w:p>
                  <w:pPr>
                    <w:pStyle w:val="74"/>
                    <w:snapToGrid/>
                    <w:spacing w:line="240" w:lineRule="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27</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蒸发损失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洗车用水</w:t>
                  </w:r>
                </w:p>
              </w:tc>
              <w:tc>
                <w:tcPr>
                  <w:tcW w:w="746"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60L/辆·次</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48</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废水量为48m</w:t>
                  </w:r>
                  <w:r>
                    <w:rPr>
                      <w:rFonts w:hint="eastAsia" w:ascii="Times New Roman" w:hAnsi="Times New Roman" w:eastAsia="宋体" w:cs="Times New Roman"/>
                      <w:bCs/>
                      <w:color w:val="auto"/>
                      <w:sz w:val="21"/>
                      <w:szCs w:val="21"/>
                      <w:vertAlign w:val="superscript"/>
                    </w:rPr>
                    <w:t>3</w:t>
                  </w:r>
                  <w:r>
                    <w:rPr>
                      <w:rFonts w:hint="eastAsia" w:ascii="Times New Roman" w:hAnsi="Times New Roman" w:eastAsia="宋体" w:cs="Times New Roman"/>
                      <w:bCs/>
                      <w:color w:val="auto"/>
                      <w:sz w:val="21"/>
                      <w:szCs w:val="21"/>
                    </w:rPr>
                    <w:t>/d，排至沉淀池沉淀处理后循环使用，不外排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绿化用水</w:t>
                  </w:r>
                </w:p>
              </w:tc>
              <w:tc>
                <w:tcPr>
                  <w:tcW w:w="1352" w:type="dxa"/>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1.5L/(m</w:t>
                  </w:r>
                  <w:r>
                    <w:rPr>
                      <w:rFonts w:hint="eastAsia"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·d)</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32</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蒸发损失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912"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生活用水</w:t>
                  </w:r>
                </w:p>
              </w:tc>
              <w:tc>
                <w:tcPr>
                  <w:tcW w:w="746"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50L/人·d</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废水量为2m</w:t>
                  </w:r>
                  <w:r>
                    <w:rPr>
                      <w:rFonts w:hint="eastAsia" w:ascii="Times New Roman" w:hAnsi="Times New Roman" w:eastAsia="宋体" w:cs="Times New Roman"/>
                      <w:bCs/>
                      <w:color w:val="auto"/>
                      <w:sz w:val="21"/>
                      <w:szCs w:val="21"/>
                      <w:vertAlign w:val="superscript"/>
                    </w:rPr>
                    <w:t>3</w:t>
                  </w:r>
                  <w:r>
                    <w:rPr>
                      <w:rFonts w:hint="eastAsia" w:ascii="Times New Roman" w:hAnsi="Times New Roman" w:eastAsia="宋体" w:cs="Times New Roman"/>
                      <w:bCs/>
                      <w:color w:val="auto"/>
                      <w:sz w:val="21"/>
                      <w:szCs w:val="21"/>
                    </w:rPr>
                    <w:t>/d，本项目使用旱厕，定期清掏用于农田施肥；生活盥洗废水于厂区泼洒抑尘不外排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Merge w:val="restar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w:t>
                  </w:r>
                </w:p>
              </w:tc>
              <w:tc>
                <w:tcPr>
                  <w:tcW w:w="1659" w:type="pct"/>
                  <w:gridSpan w:val="2"/>
                  <w:vAlign w:val="center"/>
                </w:tcPr>
                <w:p>
                  <w:pPr>
                    <w:pStyle w:val="74"/>
                    <w:snapToGrid/>
                    <w:spacing w:line="240" w:lineRule="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非采暖期合计</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177.98</w:t>
                  </w:r>
                </w:p>
              </w:tc>
              <w:tc>
                <w:tcPr>
                  <w:tcW w:w="66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465.92</w:t>
                  </w:r>
                </w:p>
              </w:tc>
              <w:tc>
                <w:tcPr>
                  <w:tcW w:w="179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Merge w:val="continue"/>
                  <w:vAlign w:val="center"/>
                </w:tcPr>
                <w:p>
                  <w:pPr>
                    <w:pStyle w:val="74"/>
                    <w:snapToGrid/>
                    <w:spacing w:line="240" w:lineRule="auto"/>
                    <w:rPr>
                      <w:rFonts w:ascii="Times New Roman" w:hAnsi="Times New Roman" w:eastAsia="宋体" w:cs="Times New Roman"/>
                      <w:color w:val="auto"/>
                      <w:sz w:val="21"/>
                      <w:szCs w:val="21"/>
                    </w:rPr>
                  </w:pPr>
                </w:p>
              </w:tc>
              <w:tc>
                <w:tcPr>
                  <w:tcW w:w="1659" w:type="pct"/>
                  <w:gridSpan w:val="2"/>
                  <w:vAlign w:val="center"/>
                </w:tcPr>
                <w:p>
                  <w:pPr>
                    <w:pStyle w:val="74"/>
                    <w:snapToGrid/>
                    <w:spacing w:line="240" w:lineRule="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采暖期合计</w:t>
                  </w:r>
                </w:p>
              </w:tc>
              <w:tc>
                <w:tcPr>
                  <w:tcW w:w="628" w:type="pct"/>
                  <w:vAlign w:val="center"/>
                </w:tcPr>
                <w:p>
                  <w:pPr>
                    <w:pStyle w:val="74"/>
                    <w:snapToGrid/>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145.98</w:t>
                  </w:r>
                </w:p>
              </w:tc>
              <w:tc>
                <w:tcPr>
                  <w:tcW w:w="668" w:type="pct"/>
                  <w:vAlign w:val="center"/>
                </w:tcPr>
                <w:p>
                  <w:pPr>
                    <w:jc w:val="center"/>
                    <w:rPr>
                      <w:color w:val="auto"/>
                    </w:rPr>
                  </w:pPr>
                  <w:r>
                    <w:rPr>
                      <w:rFonts w:hint="eastAsia"/>
                      <w:color w:val="auto"/>
                    </w:rPr>
                    <w:t>465.92</w:t>
                  </w:r>
                </w:p>
              </w:tc>
              <w:tc>
                <w:tcPr>
                  <w:tcW w:w="1798" w:type="pct"/>
                  <w:vAlign w:val="center"/>
                </w:tcPr>
                <w:p>
                  <w:pPr>
                    <w:jc w:val="center"/>
                    <w:rPr>
                      <w:color w:val="auto"/>
                    </w:rPr>
                  </w:pPr>
                  <w:r>
                    <w:rPr>
                      <w:rFonts w:hint="eastAsia"/>
                      <w:color w:val="auto"/>
                    </w:rPr>
                    <w:t>/</w:t>
                  </w:r>
                </w:p>
              </w:tc>
            </w:tr>
          </w:tbl>
          <w:p>
            <w:pPr>
              <w:adjustRightInd w:val="0"/>
              <w:snapToGrid w:val="0"/>
              <w:spacing w:line="480" w:lineRule="exact"/>
              <w:ind w:firstLine="480" w:firstLineChars="200"/>
              <w:rPr>
                <w:bCs/>
                <w:color w:val="auto"/>
                <w:sz w:val="24"/>
              </w:rPr>
            </w:pPr>
            <w:bookmarkStart w:id="1" w:name="OLE_LINK8"/>
            <w:bookmarkStart w:id="2" w:name="OLE_LINK9"/>
            <w:r>
              <w:rPr>
                <w:rFonts w:hint="eastAsia"/>
                <w:color w:val="auto"/>
                <w:sz w:val="24"/>
              </w:rPr>
              <w:t>本项目非采暖期最大新鲜水用水量为177.98m</w:t>
            </w:r>
            <w:r>
              <w:rPr>
                <w:rFonts w:hint="eastAsia"/>
                <w:color w:val="auto"/>
                <w:sz w:val="24"/>
                <w:vertAlign w:val="superscript"/>
              </w:rPr>
              <w:t>3</w:t>
            </w:r>
            <w:r>
              <w:rPr>
                <w:rFonts w:hint="eastAsia"/>
                <w:color w:val="auto"/>
                <w:sz w:val="24"/>
              </w:rPr>
              <w:t>/d</w:t>
            </w:r>
            <w:bookmarkEnd w:id="1"/>
            <w:bookmarkEnd w:id="2"/>
            <w:r>
              <w:rPr>
                <w:rFonts w:hint="eastAsia"/>
                <w:color w:val="auto"/>
                <w:sz w:val="24"/>
              </w:rPr>
              <w:t>，采暖期最大新鲜水用水量为145.98m</w:t>
            </w:r>
            <w:r>
              <w:rPr>
                <w:rFonts w:hint="eastAsia"/>
                <w:color w:val="auto"/>
                <w:sz w:val="24"/>
                <w:vertAlign w:val="superscript"/>
              </w:rPr>
              <w:t>3</w:t>
            </w:r>
            <w:r>
              <w:rPr>
                <w:rFonts w:hint="eastAsia"/>
                <w:color w:val="auto"/>
                <w:sz w:val="24"/>
              </w:rPr>
              <w:t>/d；本项目产生的废水主要为储煤场淋控废水、洗车废水、生活污水以及初期雨水；其中储煤场淋控废水经淋控废水收集池收集沉淀处理后返回清水池回用；洗车废水经沉淀处理后全部回用；本项目使用旱厕，定期清掏用于农田施肥；生活盥洗废水于厂区泼洒抑尘；初期雨水经初期雨水收集池收集沉淀后回用于厂区道路浇洒抑尘；本项目无废水排放。</w:t>
            </w: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jc w:val="center"/>
              <w:rPr>
                <w:rFonts w:ascii="黑体" w:hAnsi="黑体" w:eastAsia="黑体"/>
                <w:color w:val="auto"/>
                <w:sz w:val="24"/>
              </w:rPr>
            </w:pPr>
            <w:r>
              <w:rPr>
                <w:rFonts w:hint="eastAsia" w:ascii="黑体" w:hAnsi="黑体" w:eastAsia="黑体"/>
                <w:color w:val="auto"/>
                <w:sz w:val="24"/>
              </w:rPr>
              <w:object>
                <v:shape id="_x0000_i1025" o:spt="75" type="#_x0000_t75" style="height:254.15pt;width:346.55pt;" o:ole="t" filled="f" o:preferrelative="t" stroked="f" coordsize="21600,21600">
                  <v:path/>
                  <v:fill on="f" focussize="0,0"/>
                  <v:stroke on="f" joinstyle="miter"/>
                  <v:imagedata r:id="rId15" o:title=""/>
                  <o:lock v:ext="edit" aspectratio="f"/>
                  <w10:wrap type="none"/>
                  <w10:anchorlock/>
                </v:shape>
                <o:OLEObject Type="Embed" ProgID="Visio.Drawing.15" ShapeID="_x0000_i1025" DrawAspect="Content" ObjectID="_1468075725" r:id="rId14">
                  <o:LockedField>false</o:LockedField>
                </o:OLEObject>
              </w:object>
            </w:r>
          </w:p>
          <w:p>
            <w:pPr>
              <w:adjustRightInd w:val="0"/>
              <w:snapToGrid w:val="0"/>
              <w:spacing w:line="480" w:lineRule="exact"/>
              <w:jc w:val="center"/>
              <w:rPr>
                <w:rFonts w:eastAsia="黑体"/>
                <w:color w:val="auto"/>
                <w:sz w:val="24"/>
              </w:rPr>
            </w:pPr>
            <w:r>
              <w:rPr>
                <w:rFonts w:hint="eastAsia" w:eastAsia="黑体"/>
                <w:color w:val="auto"/>
                <w:sz w:val="24"/>
              </w:rPr>
              <w:t>图2-1  项目采暖期水平衡图 m</w:t>
            </w:r>
            <w:r>
              <w:rPr>
                <w:rFonts w:hint="eastAsia" w:eastAsia="黑体"/>
                <w:color w:val="auto"/>
                <w:sz w:val="24"/>
                <w:vertAlign w:val="superscript"/>
              </w:rPr>
              <w:t>3</w:t>
            </w:r>
            <w:r>
              <w:rPr>
                <w:rFonts w:hint="eastAsia" w:eastAsia="黑体"/>
                <w:color w:val="auto"/>
                <w:sz w:val="24"/>
              </w:rPr>
              <w:t>/d</w:t>
            </w:r>
          </w:p>
          <w:p>
            <w:pPr>
              <w:adjustRightInd w:val="0"/>
              <w:snapToGrid w:val="0"/>
              <w:jc w:val="center"/>
              <w:rPr>
                <w:rFonts w:ascii="黑体" w:hAnsi="黑体" w:eastAsia="黑体"/>
                <w:color w:val="auto"/>
                <w:sz w:val="24"/>
              </w:rPr>
            </w:pPr>
            <w:r>
              <w:rPr>
                <w:rFonts w:hint="eastAsia" w:ascii="黑体" w:hAnsi="黑体" w:eastAsia="黑体"/>
                <w:color w:val="auto"/>
                <w:sz w:val="24"/>
              </w:rPr>
              <w:object>
                <v:shape id="_x0000_i1026" o:spt="75" type="#_x0000_t75" style="height:306.8pt;width:346.55pt;" o:ole="t" filled="f" o:preferrelative="t" stroked="f" coordsize="21600,21600">
                  <v:path/>
                  <v:fill on="f" focussize="0,0"/>
                  <v:stroke on="f" joinstyle="miter"/>
                  <v:imagedata r:id="rId17" o:title=""/>
                  <o:lock v:ext="edit" aspectratio="f"/>
                  <w10:wrap type="none"/>
                  <w10:anchorlock/>
                </v:shape>
                <o:OLEObject Type="Embed" ProgID="Visio.Drawing.15" ShapeID="_x0000_i1026" DrawAspect="Content" ObjectID="_1468075726" r:id="rId16">
                  <o:LockedField>false</o:LockedField>
                </o:OLEObject>
              </w:object>
            </w:r>
          </w:p>
          <w:p>
            <w:pPr>
              <w:adjustRightInd w:val="0"/>
              <w:snapToGrid w:val="0"/>
              <w:spacing w:line="480" w:lineRule="exact"/>
              <w:jc w:val="center"/>
              <w:rPr>
                <w:rFonts w:eastAsia="黑体"/>
                <w:color w:val="auto"/>
                <w:sz w:val="24"/>
              </w:rPr>
            </w:pPr>
            <w:r>
              <w:rPr>
                <w:rFonts w:hint="eastAsia" w:eastAsia="黑体"/>
                <w:color w:val="auto"/>
                <w:sz w:val="24"/>
              </w:rPr>
              <w:t>图2-2  项目非采暖期水平衡图 m</w:t>
            </w:r>
            <w:r>
              <w:rPr>
                <w:rFonts w:hint="eastAsia" w:eastAsia="黑体"/>
                <w:color w:val="auto"/>
                <w:sz w:val="24"/>
                <w:vertAlign w:val="superscript"/>
              </w:rPr>
              <w:t>3</w:t>
            </w:r>
            <w:r>
              <w:rPr>
                <w:rFonts w:hint="eastAsia" w:eastAsia="黑体"/>
                <w:color w:val="auto"/>
                <w:sz w:val="24"/>
              </w:rPr>
              <w:t>/d</w:t>
            </w:r>
          </w:p>
          <w:p>
            <w:pPr>
              <w:adjustRightInd w:val="0"/>
              <w:snapToGrid w:val="0"/>
              <w:spacing w:line="480" w:lineRule="exact"/>
              <w:ind w:firstLine="482" w:firstLineChars="200"/>
              <w:rPr>
                <w:b/>
                <w:bCs/>
                <w:color w:val="auto"/>
                <w:sz w:val="24"/>
                <w:szCs w:val="22"/>
              </w:rPr>
            </w:pPr>
            <w:r>
              <w:rPr>
                <w:b/>
                <w:bCs/>
                <w:color w:val="auto"/>
                <w:sz w:val="24"/>
                <w:szCs w:val="22"/>
              </w:rPr>
              <w:t>（</w:t>
            </w:r>
            <w:r>
              <w:rPr>
                <w:rFonts w:hint="eastAsia"/>
                <w:b/>
                <w:bCs/>
                <w:color w:val="auto"/>
                <w:sz w:val="24"/>
                <w:szCs w:val="22"/>
              </w:rPr>
              <w:t>4</w:t>
            </w:r>
            <w:r>
              <w:rPr>
                <w:b/>
                <w:bCs/>
                <w:color w:val="auto"/>
                <w:sz w:val="24"/>
                <w:szCs w:val="22"/>
              </w:rPr>
              <w:t>）通风</w:t>
            </w:r>
          </w:p>
          <w:p>
            <w:pPr>
              <w:adjustRightInd w:val="0"/>
              <w:snapToGrid w:val="0"/>
              <w:spacing w:line="480" w:lineRule="exact"/>
              <w:ind w:firstLine="480" w:firstLineChars="200"/>
              <w:rPr>
                <w:color w:val="auto"/>
                <w:sz w:val="24"/>
                <w:szCs w:val="22"/>
              </w:rPr>
            </w:pPr>
            <w:r>
              <w:rPr>
                <w:color w:val="auto"/>
                <w:sz w:val="24"/>
                <w:szCs w:val="22"/>
              </w:rPr>
              <w:t>储煤棚采用自然通风与机械通风相结合的通风方式。储煤棚下部大门自然进风、上部设置通风天窗自然排风，排除封闭式煤棚内有害气体及热湿气体。同时储煤棚屋顶设置防爆型屋顶轴流风机，满足《煤炭洗选工程设计规范》（GB50359-2016）中0.5~1次/h的换气次数要求，同时满足《建筑防烟排烟系统技术标准》（GB51251-2017）中排烟要求。</w:t>
            </w:r>
          </w:p>
          <w:p>
            <w:pPr>
              <w:adjustRightInd w:val="0"/>
              <w:snapToGrid w:val="0"/>
              <w:spacing w:line="480" w:lineRule="exact"/>
              <w:ind w:firstLine="482" w:firstLineChars="200"/>
              <w:rPr>
                <w:b/>
                <w:color w:val="auto"/>
                <w:sz w:val="24"/>
              </w:rPr>
            </w:pPr>
            <w:r>
              <w:rPr>
                <w:rFonts w:hint="eastAsia"/>
                <w:b/>
                <w:color w:val="auto"/>
                <w:sz w:val="24"/>
              </w:rPr>
              <w:t>8、</w:t>
            </w:r>
            <w:r>
              <w:rPr>
                <w:b/>
                <w:bCs/>
                <w:color w:val="auto"/>
                <w:sz w:val="24"/>
              </w:rPr>
              <w:t>主要经济</w:t>
            </w:r>
            <w:r>
              <w:rPr>
                <w:rFonts w:hint="eastAsia"/>
                <w:b/>
                <w:bCs/>
                <w:color w:val="auto"/>
                <w:sz w:val="24"/>
              </w:rPr>
              <w:t>技术</w:t>
            </w:r>
            <w:r>
              <w:rPr>
                <w:b/>
                <w:bCs/>
                <w:color w:val="auto"/>
                <w:sz w:val="24"/>
              </w:rPr>
              <w:t>指标</w:t>
            </w:r>
          </w:p>
          <w:p>
            <w:pPr>
              <w:adjustRightInd w:val="0"/>
              <w:snapToGrid w:val="0"/>
              <w:spacing w:line="480" w:lineRule="exact"/>
              <w:ind w:firstLine="480" w:firstLineChars="200"/>
              <w:rPr>
                <w:color w:val="auto"/>
                <w:sz w:val="24"/>
                <w:szCs w:val="24"/>
              </w:rPr>
            </w:pPr>
            <w:r>
              <w:rPr>
                <w:rFonts w:hint="eastAsia"/>
                <w:color w:val="auto"/>
                <w:sz w:val="24"/>
                <w:szCs w:val="24"/>
              </w:rPr>
              <w:t>本项目主要经济技术指标见下表。</w:t>
            </w:r>
          </w:p>
          <w:p>
            <w:pPr>
              <w:adjustRightInd w:val="0"/>
              <w:snapToGrid w:val="0"/>
              <w:spacing w:line="480" w:lineRule="exact"/>
              <w:jc w:val="center"/>
              <w:rPr>
                <w:rFonts w:ascii="黑体" w:hAnsi="黑体" w:eastAsia="黑体" w:cs="黑体"/>
                <w:bCs/>
                <w:color w:val="auto"/>
                <w:sz w:val="24"/>
              </w:rPr>
            </w:pPr>
            <w:r>
              <w:rPr>
                <w:rFonts w:hint="eastAsia" w:ascii="黑体" w:hAnsi="黑体" w:eastAsia="黑体" w:cs="黑体"/>
                <w:bCs/>
                <w:color w:val="auto"/>
                <w:sz w:val="24"/>
              </w:rPr>
              <w:t xml:space="preserve">表2-4  </w:t>
            </w:r>
            <w:r>
              <w:rPr>
                <w:rFonts w:hint="eastAsia" w:ascii="黑体" w:hAnsi="黑体" w:eastAsia="黑体" w:cs="黑体"/>
                <w:color w:val="auto"/>
                <w:sz w:val="24"/>
                <w:szCs w:val="24"/>
              </w:rPr>
              <w:t>本项目主要经济技术指标</w:t>
            </w:r>
            <w:r>
              <w:rPr>
                <w:rFonts w:hint="eastAsia" w:ascii="黑体" w:hAnsi="黑体" w:eastAsia="黑体" w:cs="黑体"/>
                <w:bCs/>
                <w:color w:val="auto"/>
                <w:sz w:val="24"/>
              </w:rPr>
              <w:t>一览表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3671"/>
              <w:gridCol w:w="1053"/>
              <w:gridCol w:w="1658"/>
              <w:gridCol w:w="1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序号</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项目</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单位</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指标值</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建设规模</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煤炭静态储存</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80</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2</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占地面积</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m</w:t>
                  </w:r>
                  <w:r>
                    <w:rPr>
                      <w:color w:val="auto"/>
                      <w:kern w:val="0"/>
                      <w:vertAlign w:val="superscript"/>
                      <w:lang w:bidi="ar"/>
                    </w:rPr>
                    <w:t>2</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2</w:t>
                  </w:r>
                  <w:r>
                    <w:rPr>
                      <w:rFonts w:hint="eastAsia"/>
                      <w:color w:val="auto"/>
                      <w:kern w:val="0"/>
                      <w:lang w:bidi="ar"/>
                    </w:rPr>
                    <w:t>1</w:t>
                  </w:r>
                  <w:r>
                    <w:rPr>
                      <w:color w:val="auto"/>
                      <w:kern w:val="0"/>
                      <w:lang w:bidi="ar"/>
                    </w:rPr>
                    <w:t>3333</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3</w:t>
                  </w:r>
                  <w:r>
                    <w:rPr>
                      <w:rFonts w:hint="eastAsia"/>
                      <w:color w:val="auto"/>
                      <w:kern w:val="0"/>
                      <w:lang w:bidi="ar"/>
                    </w:rPr>
                    <w:t>2</w:t>
                  </w:r>
                  <w:r>
                    <w:rPr>
                      <w:color w:val="auto"/>
                      <w:kern w:val="0"/>
                      <w:lang w:bidi="ar"/>
                    </w:rPr>
                    <w:t>0亩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3</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储煤棚面积</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m</w:t>
                  </w:r>
                  <w:r>
                    <w:rPr>
                      <w:color w:val="auto"/>
                      <w:kern w:val="0"/>
                      <w:vertAlign w:val="superscript"/>
                      <w:lang w:bidi="ar"/>
                    </w:rPr>
                    <w:t>2</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rFonts w:hint="eastAsia"/>
                      <w:color w:val="auto"/>
                      <w:kern w:val="0"/>
                      <w:lang w:bidi="ar"/>
                    </w:rPr>
                    <w:t>130600</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4</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绿地面积</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m</w:t>
                  </w:r>
                  <w:r>
                    <w:rPr>
                      <w:color w:val="auto"/>
                      <w:kern w:val="0"/>
                      <w:vertAlign w:val="superscript"/>
                      <w:lang w:bidi="ar"/>
                    </w:rPr>
                    <w:t>2</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rFonts w:hint="eastAsia"/>
                      <w:color w:val="auto"/>
                      <w:kern w:val="0"/>
                      <w:lang w:bidi="ar"/>
                    </w:rPr>
                    <w:t>21333.3</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5</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项目定员</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人</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rFonts w:hint="eastAsia"/>
                      <w:color w:val="auto"/>
                      <w:kern w:val="0"/>
                      <w:lang w:bidi="ar"/>
                    </w:rPr>
                    <w:t>50</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6</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建设周期</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月</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12</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7</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工作制度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天</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3</w:t>
                  </w:r>
                  <w:r>
                    <w:rPr>
                      <w:rFonts w:hint="eastAsia"/>
                      <w:color w:val="auto"/>
                      <w:kern w:val="0"/>
                      <w:lang w:bidi="ar"/>
                    </w:rPr>
                    <w:t>0</w:t>
                  </w:r>
                  <w:r>
                    <w:rPr>
                      <w:color w:val="auto"/>
                      <w:kern w:val="0"/>
                      <w:lang w:bidi="ar"/>
                    </w:rPr>
                    <w:t>0</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rFonts w:hint="eastAsia"/>
                      <w:color w:val="auto"/>
                      <w:kern w:val="0"/>
                      <w:lang w:bidi="ar"/>
                    </w:rPr>
                    <w:t>16</w:t>
                  </w:r>
                  <w:r>
                    <w:rPr>
                      <w:color w:val="auto"/>
                      <w:kern w:val="0"/>
                      <w:lang w:bidi="ar"/>
                    </w:rPr>
                    <w:t>h/d，</w:t>
                  </w:r>
                  <w:r>
                    <w:rPr>
                      <w:rFonts w:hint="eastAsia"/>
                      <w:color w:val="auto"/>
                      <w:kern w:val="0"/>
                      <w:lang w:bidi="ar"/>
                    </w:rPr>
                    <w:t>2</w:t>
                  </w:r>
                  <w:r>
                    <w:rPr>
                      <w:color w:val="auto"/>
                      <w:kern w:val="0"/>
                      <w:lang w:bidi="ar"/>
                    </w:rPr>
                    <w:t>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8</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总投资</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12000.00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建设投资</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11000.00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建设期贷款利息</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0.00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铺底流动资金</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1000.00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9</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销售收入</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480000.00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10</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销售税金及附加</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440.80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11</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总成本费用</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466014.04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12</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利润总额</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13545.16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13</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所得税</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3386.29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14</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增值税</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5509.97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15</w:t>
                  </w:r>
                </w:p>
              </w:tc>
              <w:tc>
                <w:tcPr>
                  <w:tcW w:w="20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财务内部收益率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35.68%</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20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25.82%</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16</w:t>
                  </w:r>
                </w:p>
              </w:tc>
              <w:tc>
                <w:tcPr>
                  <w:tcW w:w="20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投资回收期</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年</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4.67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20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年</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5.75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17</w:t>
                  </w:r>
                </w:p>
              </w:tc>
              <w:tc>
                <w:tcPr>
                  <w:tcW w:w="20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财务净现值 (i=10%)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63649.89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20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万元</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40794.71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税后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18</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投资利润率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111.37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19</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投资利税率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 xml:space="preserve">115.00 </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20</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盈亏平衡点</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9"/>
                    <w:widowControl/>
                    <w:rPr>
                      <w:color w:val="auto"/>
                      <w:kern w:val="2"/>
                      <w:sz w:val="21"/>
                      <w:szCs w:val="21"/>
                    </w:rPr>
                  </w:pPr>
                  <w:r>
                    <w:rPr>
                      <w:color w:val="auto"/>
                      <w:kern w:val="2"/>
                      <w:sz w:val="21"/>
                      <w:szCs w:val="21"/>
                    </w:rPr>
                    <w:t>61.79%</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color w:val="auto"/>
                      <w:kern w:val="0"/>
                    </w:rPr>
                  </w:pPr>
                  <w:r>
                    <w:rPr>
                      <w:color w:val="auto"/>
                      <w:kern w:val="0"/>
                      <w:lang w:bidi="ar"/>
                    </w:rPr>
                    <w:t>平均值</w:t>
                  </w:r>
                </w:p>
              </w:tc>
            </w:tr>
          </w:tbl>
          <w:p>
            <w:pPr>
              <w:adjustRightInd w:val="0"/>
              <w:snapToGrid w:val="0"/>
              <w:spacing w:line="480" w:lineRule="exact"/>
              <w:rPr>
                <w:rFonts w:ascii="宋体" w:hAnsi="宋体" w:cs="宋体"/>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159" w:type="pct"/>
            <w:vAlign w:val="center"/>
          </w:tcPr>
          <w:p>
            <w:pPr>
              <w:pStyle w:val="16"/>
              <w:adjustRightInd w:val="0"/>
              <w:snapToGrid w:val="0"/>
              <w:spacing w:before="0" w:beforeAutospacing="0" w:after="0" w:afterAutospacing="0"/>
              <w:jc w:val="center"/>
              <w:rPr>
                <w:color w:val="auto"/>
                <w:sz w:val="21"/>
                <w:szCs w:val="21"/>
              </w:rPr>
            </w:pPr>
            <w:r>
              <w:rPr>
                <w:rFonts w:hint="eastAsia"/>
                <w:color w:val="auto"/>
                <w:sz w:val="21"/>
                <w:szCs w:val="21"/>
              </w:rPr>
              <w:t>工艺流程和产排污环节</w:t>
            </w:r>
          </w:p>
        </w:tc>
        <w:tc>
          <w:tcPr>
            <w:tcW w:w="4841" w:type="pct"/>
          </w:tcPr>
          <w:p>
            <w:pPr>
              <w:adjustRightInd w:val="0"/>
              <w:snapToGrid w:val="0"/>
              <w:spacing w:line="480" w:lineRule="exact"/>
              <w:ind w:firstLine="482" w:firstLineChars="200"/>
              <w:rPr>
                <w:b/>
                <w:color w:val="auto"/>
                <w:sz w:val="24"/>
              </w:rPr>
            </w:pPr>
            <w:r>
              <w:rPr>
                <w:rFonts w:hint="eastAsia"/>
                <w:b/>
                <w:color w:val="auto"/>
                <w:sz w:val="24"/>
              </w:rPr>
              <w:t>1、施工期工艺流程简述</w:t>
            </w:r>
          </w:p>
          <w:p>
            <w:pPr>
              <w:adjustRightInd w:val="0"/>
              <w:snapToGrid w:val="0"/>
              <w:spacing w:line="480" w:lineRule="exact"/>
              <w:ind w:firstLine="482" w:firstLineChars="200"/>
              <w:rPr>
                <w:b/>
                <w:color w:val="auto"/>
                <w:sz w:val="24"/>
              </w:rPr>
            </w:pPr>
            <w:r>
              <w:rPr>
                <w:rFonts w:hint="eastAsia"/>
                <w:b/>
                <w:color w:val="auto"/>
                <w:sz w:val="24"/>
              </w:rPr>
              <w:t>（1）施工期工艺流程</w:t>
            </w:r>
          </w:p>
          <w:p>
            <w:pPr>
              <w:adjustRightInd w:val="0"/>
              <w:snapToGrid w:val="0"/>
              <w:spacing w:line="480" w:lineRule="exact"/>
              <w:ind w:firstLine="480" w:firstLineChars="200"/>
              <w:rPr>
                <w:bCs/>
                <w:color w:val="auto"/>
                <w:sz w:val="24"/>
              </w:rPr>
            </w:pPr>
            <w:r>
              <w:rPr>
                <w:rFonts w:hint="eastAsia"/>
                <w:bCs/>
                <w:color w:val="auto"/>
                <w:sz w:val="24"/>
              </w:rPr>
              <w:t>本项目为新建项目，拟建项目场址现状为荒地；项目建筑主要为框架结构，施工期分以下几步进行：场地平整，基础工程，主体工程（建筑及配套设施建设工程），设备安装工程（室内外装修及设备安置）。施工期工艺流程及各阶段产污环节见下图。</w:t>
            </w:r>
          </w:p>
          <w:p>
            <w:pPr>
              <w:adjustRightInd w:val="0"/>
              <w:snapToGrid w:val="0"/>
              <w:jc w:val="center"/>
              <w:rPr>
                <w:bCs/>
                <w:color w:val="auto"/>
                <w:sz w:val="24"/>
              </w:rPr>
            </w:pPr>
            <w:r>
              <w:rPr>
                <w:rFonts w:hint="eastAsia"/>
                <w:color w:val="auto"/>
              </w:rPr>
              <w:drawing>
                <wp:inline distT="0" distB="0" distL="0" distR="0">
                  <wp:extent cx="4933950" cy="113347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图2-3  施工期工艺流程及产排污环节示意图</w:t>
            </w:r>
          </w:p>
          <w:p>
            <w:pPr>
              <w:adjustRightInd w:val="0"/>
              <w:snapToGrid w:val="0"/>
              <w:spacing w:line="480" w:lineRule="exact"/>
              <w:ind w:firstLine="482" w:firstLineChars="200"/>
              <w:rPr>
                <w:bCs/>
                <w:color w:val="auto"/>
                <w:sz w:val="24"/>
              </w:rPr>
            </w:pPr>
            <w:r>
              <w:rPr>
                <w:rFonts w:hint="eastAsia"/>
                <w:b/>
                <w:color w:val="auto"/>
                <w:sz w:val="24"/>
              </w:rPr>
              <w:t>（2）</w:t>
            </w:r>
            <w:r>
              <w:rPr>
                <w:rFonts w:hint="eastAsia"/>
                <w:b/>
                <w:bCs/>
                <w:color w:val="auto"/>
                <w:sz w:val="24"/>
              </w:rPr>
              <w:t>施工期主要污染工序</w:t>
            </w:r>
          </w:p>
          <w:p>
            <w:pPr>
              <w:adjustRightInd w:val="0"/>
              <w:snapToGrid w:val="0"/>
              <w:spacing w:line="480" w:lineRule="exact"/>
              <w:ind w:firstLine="480" w:firstLineChars="200"/>
              <w:rPr>
                <w:bCs/>
                <w:color w:val="auto"/>
                <w:sz w:val="24"/>
              </w:rPr>
            </w:pPr>
            <w:r>
              <w:rPr>
                <w:rFonts w:hint="eastAsia"/>
                <w:bCs/>
                <w:color w:val="auto"/>
                <w:sz w:val="24"/>
              </w:rPr>
              <w:t>①大气污染物：车辆运输时产生的扬尘，排放的主要污染物为TSP；各类燃油动力机械在设备运输等施工作业时，会排出各类燃油废气，排放的主要污染物为CO、NO</w:t>
            </w:r>
            <w:r>
              <w:rPr>
                <w:rFonts w:hint="eastAsia"/>
                <w:bCs/>
                <w:color w:val="auto"/>
                <w:sz w:val="24"/>
                <w:vertAlign w:val="subscript"/>
              </w:rPr>
              <w:t>x</w:t>
            </w:r>
            <w:r>
              <w:rPr>
                <w:rFonts w:hint="eastAsia"/>
                <w:bCs/>
                <w:color w:val="auto"/>
                <w:sz w:val="24"/>
              </w:rPr>
              <w:t>、SO</w:t>
            </w:r>
            <w:r>
              <w:rPr>
                <w:rFonts w:hint="eastAsia"/>
                <w:bCs/>
                <w:color w:val="auto"/>
                <w:sz w:val="24"/>
                <w:vertAlign w:val="subscript"/>
              </w:rPr>
              <w:t>2</w:t>
            </w:r>
            <w:r>
              <w:rPr>
                <w:rFonts w:hint="eastAsia"/>
                <w:bCs/>
                <w:color w:val="auto"/>
                <w:sz w:val="24"/>
              </w:rPr>
              <w:t>、烟尘。</w:t>
            </w:r>
          </w:p>
          <w:p>
            <w:pPr>
              <w:adjustRightInd w:val="0"/>
              <w:snapToGrid w:val="0"/>
              <w:spacing w:line="480" w:lineRule="exact"/>
              <w:ind w:firstLine="480" w:firstLineChars="200"/>
              <w:rPr>
                <w:bCs/>
                <w:color w:val="auto"/>
                <w:sz w:val="24"/>
              </w:rPr>
            </w:pPr>
            <w:r>
              <w:rPr>
                <w:rFonts w:hint="eastAsia"/>
                <w:bCs/>
                <w:color w:val="auto"/>
                <w:sz w:val="24"/>
              </w:rPr>
              <w:t>②水污染物：施工人员产生的生活污水，主要污染物为BOD</w:t>
            </w:r>
            <w:r>
              <w:rPr>
                <w:rFonts w:hint="eastAsia"/>
                <w:bCs/>
                <w:color w:val="auto"/>
                <w:sz w:val="24"/>
                <w:vertAlign w:val="subscript"/>
              </w:rPr>
              <w:t>5</w:t>
            </w:r>
            <w:r>
              <w:rPr>
                <w:rFonts w:hint="eastAsia"/>
                <w:bCs/>
                <w:color w:val="auto"/>
                <w:sz w:val="24"/>
              </w:rPr>
              <w:t>、COD、SS。</w:t>
            </w:r>
          </w:p>
          <w:p>
            <w:pPr>
              <w:adjustRightInd w:val="0"/>
              <w:snapToGrid w:val="0"/>
              <w:spacing w:line="480" w:lineRule="exact"/>
              <w:ind w:firstLine="480" w:firstLineChars="200"/>
              <w:rPr>
                <w:bCs/>
                <w:color w:val="auto"/>
                <w:sz w:val="24"/>
              </w:rPr>
            </w:pPr>
            <w:r>
              <w:rPr>
                <w:rFonts w:hint="eastAsia"/>
                <w:bCs/>
                <w:color w:val="auto"/>
                <w:sz w:val="24"/>
              </w:rPr>
              <w:t>③固体废物：施工期产生的施工垃圾，主要为废弃包装物；施工人员的生活垃圾。</w:t>
            </w:r>
          </w:p>
          <w:p>
            <w:pPr>
              <w:adjustRightInd w:val="0"/>
              <w:snapToGrid w:val="0"/>
              <w:spacing w:line="480" w:lineRule="exact"/>
              <w:ind w:firstLine="480" w:firstLineChars="200"/>
              <w:rPr>
                <w:bCs/>
                <w:color w:val="auto"/>
                <w:sz w:val="24"/>
              </w:rPr>
            </w:pPr>
            <w:r>
              <w:rPr>
                <w:rFonts w:hint="eastAsia"/>
                <w:bCs/>
                <w:color w:val="auto"/>
                <w:sz w:val="24"/>
              </w:rPr>
              <w:t>④噪声：运输车辆等施工机械作业时产生的噪声；施工机械产生的噪声值为65-100dB（A）。</w:t>
            </w:r>
          </w:p>
          <w:p>
            <w:pPr>
              <w:adjustRightInd w:val="0"/>
              <w:snapToGrid w:val="0"/>
              <w:spacing w:line="480" w:lineRule="exact"/>
              <w:ind w:firstLine="482" w:firstLineChars="200"/>
              <w:rPr>
                <w:b/>
                <w:color w:val="auto"/>
                <w:sz w:val="24"/>
              </w:rPr>
            </w:pPr>
            <w:r>
              <w:rPr>
                <w:rFonts w:hint="eastAsia"/>
                <w:b/>
                <w:color w:val="auto"/>
                <w:sz w:val="24"/>
              </w:rPr>
              <w:t>2、运营期工艺流程简述</w:t>
            </w:r>
          </w:p>
          <w:p>
            <w:pPr>
              <w:adjustRightInd w:val="0"/>
              <w:snapToGrid w:val="0"/>
              <w:spacing w:line="480" w:lineRule="exact"/>
              <w:ind w:firstLine="482" w:firstLineChars="200"/>
              <w:rPr>
                <w:bCs/>
                <w:color w:val="auto"/>
                <w:sz w:val="24"/>
              </w:rPr>
            </w:pPr>
            <w:r>
              <w:rPr>
                <w:rFonts w:hint="eastAsia"/>
                <w:b/>
                <w:color w:val="auto"/>
                <w:sz w:val="24"/>
              </w:rPr>
              <w:t>（1）运营期储煤生产工艺流程</w:t>
            </w:r>
          </w:p>
          <w:p>
            <w:pPr>
              <w:adjustRightInd w:val="0"/>
              <w:snapToGrid w:val="0"/>
              <w:spacing w:line="480" w:lineRule="exact"/>
              <w:ind w:firstLine="480" w:firstLineChars="200"/>
              <w:rPr>
                <w:bCs/>
                <w:color w:val="auto"/>
                <w:sz w:val="24"/>
              </w:rPr>
            </w:pPr>
            <w:r>
              <w:rPr>
                <w:rFonts w:hint="eastAsia"/>
                <w:bCs/>
                <w:color w:val="auto"/>
                <w:sz w:val="24"/>
              </w:rPr>
              <w:t>①来煤运输：本项目来煤由40吨的全封闭汽车运输，入厂后经洗车平台冲洗车辆后沿厂区道路进入库内；根据来煤煤质成分，经电子指示设备引导至卸煤区，本项目运输车辆采用后卸式卸煤，完成装卸作业后，由出口驶出煤库；每座储煤库设置1座洗车平台，对出储库车辆进行冲洗。此过程会产生运输扬尘、装卸粉尘和车辆行驶噪声。</w:t>
            </w:r>
          </w:p>
          <w:p>
            <w:pPr>
              <w:adjustRightInd w:val="0"/>
              <w:snapToGrid w:val="0"/>
              <w:spacing w:line="480" w:lineRule="exact"/>
              <w:ind w:firstLine="480" w:firstLineChars="200"/>
              <w:rPr>
                <w:bCs/>
                <w:color w:val="auto"/>
                <w:sz w:val="24"/>
              </w:rPr>
            </w:pPr>
            <w:r>
              <w:rPr>
                <w:rFonts w:hint="eastAsia"/>
                <w:bCs/>
                <w:color w:val="auto"/>
                <w:sz w:val="24"/>
              </w:rPr>
              <w:t>②来煤储存：不同品质的煤炭在储煤库中分区堆存。</w:t>
            </w:r>
          </w:p>
          <w:p>
            <w:pPr>
              <w:adjustRightInd w:val="0"/>
              <w:snapToGrid w:val="0"/>
              <w:spacing w:line="480" w:lineRule="exact"/>
              <w:ind w:firstLine="480" w:firstLineChars="200"/>
              <w:rPr>
                <w:bCs/>
                <w:color w:val="auto"/>
                <w:sz w:val="24"/>
              </w:rPr>
            </w:pPr>
            <w:r>
              <w:rPr>
                <w:rFonts w:hint="eastAsia"/>
                <w:bCs/>
                <w:color w:val="auto"/>
                <w:sz w:val="24"/>
              </w:rPr>
              <w:t>③煤炭外售：不同品质的煤炭在储煤库中分区堆存，由装载机装车外售；运输车辆由出口驶出煤库，由煤库出口处的洗车平台进行车辆冲洗。此过程会产生运输扬尘、装卸粉尘、设备噪声。</w:t>
            </w:r>
          </w:p>
          <w:p>
            <w:pPr>
              <w:adjustRightInd w:val="0"/>
              <w:snapToGrid w:val="0"/>
              <w:spacing w:line="480" w:lineRule="exact"/>
              <w:ind w:firstLine="480" w:firstLineChars="200"/>
              <w:rPr>
                <w:bCs/>
                <w:color w:val="auto"/>
                <w:sz w:val="24"/>
                <w:lang w:val="en-GB"/>
              </w:rPr>
            </w:pPr>
            <w:r>
              <w:rPr>
                <w:rFonts w:hint="eastAsia"/>
                <w:bCs/>
                <w:color w:val="auto"/>
                <w:sz w:val="24"/>
                <w:lang w:val="en-GB"/>
              </w:rPr>
              <w:t>本项目生产工艺流程及产污节点见图2-</w:t>
            </w:r>
            <w:r>
              <w:rPr>
                <w:rFonts w:hint="eastAsia"/>
                <w:bCs/>
                <w:color w:val="auto"/>
                <w:sz w:val="24"/>
              </w:rPr>
              <w:t>4</w:t>
            </w:r>
            <w:r>
              <w:rPr>
                <w:rFonts w:hint="eastAsia"/>
                <w:bCs/>
                <w:color w:val="auto"/>
                <w:sz w:val="24"/>
                <w:lang w:val="en-GB"/>
              </w:rPr>
              <w:t>。</w:t>
            </w:r>
          </w:p>
          <w:p>
            <w:pPr>
              <w:adjustRightInd w:val="0"/>
              <w:snapToGrid w:val="0"/>
              <w:jc w:val="center"/>
              <w:rPr>
                <w:b/>
                <w:color w:val="auto"/>
                <w:sz w:val="24"/>
              </w:rPr>
            </w:pPr>
            <w:r>
              <w:rPr>
                <w:rFonts w:hint="eastAsia"/>
                <w:b/>
                <w:color w:val="auto"/>
                <w:sz w:val="24"/>
              </w:rPr>
              <w:object>
                <v:shape id="_x0000_i1027" o:spt="75" type="#_x0000_t75" style="height:291.75pt;width:428.8pt;" o:ole="t" filled="f" o:preferrelative="t" stroked="f" coordsize="21600,21600">
                  <v:path/>
                  <v:fill on="f" focussize="0,0"/>
                  <v:stroke on="f" joinstyle="miter"/>
                  <v:imagedata r:id="rId20" o:title=""/>
                  <o:lock v:ext="edit" aspectratio="f"/>
                  <w10:wrap type="none"/>
                  <w10:anchorlock/>
                </v:shape>
                <o:OLEObject Type="Embed" ProgID="Visio.Drawing.15" ShapeID="_x0000_i1027" DrawAspect="Content" ObjectID="_1468075727" r:id="rId19">
                  <o:LockedField>false</o:LockedField>
                </o:OLEObject>
              </w:object>
            </w:r>
          </w:p>
          <w:p>
            <w:pPr>
              <w:adjustRightInd w:val="0"/>
              <w:snapToGrid w:val="0"/>
              <w:spacing w:line="480" w:lineRule="exact"/>
              <w:jc w:val="center"/>
              <w:rPr>
                <w:rFonts w:ascii="黑体" w:hAnsi="黑体" w:eastAsia="黑体"/>
                <w:bCs/>
                <w:color w:val="auto"/>
                <w:sz w:val="24"/>
                <w:lang w:val="en-GB"/>
              </w:rPr>
            </w:pPr>
            <w:r>
              <w:rPr>
                <w:rFonts w:hint="eastAsia" w:ascii="黑体" w:hAnsi="黑体" w:eastAsia="黑体"/>
                <w:bCs/>
                <w:color w:val="auto"/>
                <w:sz w:val="24"/>
                <w:lang w:val="en-GB"/>
              </w:rPr>
              <w:t>图2-</w:t>
            </w:r>
            <w:r>
              <w:rPr>
                <w:rFonts w:hint="eastAsia" w:ascii="黑体" w:hAnsi="黑体" w:eastAsia="黑体"/>
                <w:bCs/>
                <w:color w:val="auto"/>
                <w:sz w:val="24"/>
              </w:rPr>
              <w:t>4</w:t>
            </w:r>
            <w:r>
              <w:rPr>
                <w:rFonts w:hint="eastAsia" w:ascii="黑体" w:hAnsi="黑体" w:eastAsia="黑体"/>
                <w:bCs/>
                <w:color w:val="auto"/>
                <w:sz w:val="24"/>
                <w:lang w:val="en-GB"/>
              </w:rPr>
              <w:t xml:space="preserve">  本项目生产工艺流程及产污节点图</w:t>
            </w:r>
          </w:p>
          <w:p>
            <w:pPr>
              <w:adjustRightInd w:val="0"/>
              <w:snapToGrid w:val="0"/>
              <w:spacing w:line="480" w:lineRule="exact"/>
              <w:ind w:firstLine="482" w:firstLineChars="200"/>
              <w:rPr>
                <w:bCs/>
                <w:color w:val="auto"/>
                <w:sz w:val="24"/>
              </w:rPr>
            </w:pPr>
            <w:r>
              <w:rPr>
                <w:rFonts w:hint="eastAsia"/>
                <w:b/>
                <w:color w:val="auto"/>
                <w:sz w:val="24"/>
              </w:rPr>
              <w:t>（2）运营期工艺流程产排污环节</w:t>
            </w:r>
          </w:p>
          <w:p>
            <w:pPr>
              <w:adjustRightInd w:val="0"/>
              <w:snapToGrid w:val="0"/>
              <w:spacing w:line="480" w:lineRule="exact"/>
              <w:ind w:firstLine="482" w:firstLineChars="200"/>
              <w:rPr>
                <w:b/>
                <w:bCs/>
                <w:color w:val="auto"/>
                <w:sz w:val="24"/>
              </w:rPr>
            </w:pPr>
            <w:r>
              <w:rPr>
                <w:rFonts w:hint="eastAsia"/>
                <w:b/>
                <w:bCs/>
                <w:color w:val="auto"/>
                <w:sz w:val="24"/>
              </w:rPr>
              <w:t>废气：</w:t>
            </w:r>
          </w:p>
          <w:p>
            <w:pPr>
              <w:adjustRightInd w:val="0"/>
              <w:snapToGrid w:val="0"/>
              <w:spacing w:line="480" w:lineRule="exact"/>
              <w:ind w:firstLine="482" w:firstLineChars="200"/>
              <w:rPr>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w:t>
            </w:r>
            <w:r>
              <w:rPr>
                <w:rFonts w:hint="eastAsia"/>
                <w:color w:val="auto"/>
                <w:sz w:val="24"/>
              </w:rPr>
              <w:t>原料及产品运输产生的扬尘</w:t>
            </w:r>
            <w:r>
              <w:rPr>
                <w:rFonts w:hint="eastAsia"/>
                <w:bCs/>
                <w:color w:val="auto"/>
                <w:sz w:val="24"/>
              </w:rPr>
              <w:t>；</w:t>
            </w:r>
          </w:p>
          <w:p>
            <w:pPr>
              <w:adjustRightInd w:val="0"/>
              <w:snapToGrid w:val="0"/>
              <w:spacing w:line="480" w:lineRule="exact"/>
              <w:ind w:firstLine="482" w:firstLineChars="200"/>
              <w:rPr>
                <w:bCs/>
                <w:color w:val="auto"/>
                <w:sz w:val="24"/>
              </w:rPr>
            </w:pPr>
            <w:r>
              <w:rPr>
                <w:rFonts w:hint="eastAsia"/>
                <w:b/>
                <w:bCs/>
                <w:color w:val="auto"/>
                <w:sz w:val="24"/>
              </w:rPr>
              <w:t>G</w:t>
            </w:r>
            <w:r>
              <w:rPr>
                <w:rFonts w:hint="eastAsia"/>
                <w:b/>
                <w:bCs/>
                <w:color w:val="auto"/>
                <w:sz w:val="24"/>
                <w:vertAlign w:val="subscript"/>
              </w:rPr>
              <w:t>2</w:t>
            </w:r>
            <w:r>
              <w:rPr>
                <w:rFonts w:hint="eastAsia"/>
                <w:b/>
                <w:bCs/>
                <w:color w:val="auto"/>
                <w:sz w:val="24"/>
              </w:rPr>
              <w:t>：</w:t>
            </w:r>
            <w:r>
              <w:rPr>
                <w:rFonts w:hint="eastAsia"/>
                <w:color w:val="auto"/>
                <w:sz w:val="24"/>
                <w:szCs w:val="24"/>
                <w:lang w:bidi="ar"/>
              </w:rPr>
              <w:t>煤炭装卸及堆放产生的煤尘</w:t>
            </w:r>
            <w:r>
              <w:rPr>
                <w:rFonts w:hint="eastAsia"/>
                <w:bCs/>
                <w:color w:val="auto"/>
                <w:sz w:val="24"/>
              </w:rPr>
              <w:t>；</w:t>
            </w:r>
          </w:p>
          <w:p>
            <w:pPr>
              <w:adjustRightInd w:val="0"/>
              <w:snapToGrid w:val="0"/>
              <w:spacing w:line="480" w:lineRule="exact"/>
              <w:ind w:firstLine="482" w:firstLineChars="200"/>
              <w:rPr>
                <w:b/>
                <w:color w:val="auto"/>
                <w:sz w:val="24"/>
              </w:rPr>
            </w:pPr>
            <w:r>
              <w:rPr>
                <w:rFonts w:hint="eastAsia"/>
                <w:b/>
                <w:color w:val="auto"/>
                <w:sz w:val="24"/>
              </w:rPr>
              <w:t>废水</w:t>
            </w:r>
          </w:p>
          <w:p>
            <w:pPr>
              <w:pStyle w:val="67"/>
              <w:spacing w:before="0" w:after="0"/>
              <w:ind w:firstLine="482"/>
              <w:rPr>
                <w:rFonts w:ascii="Times New Roman" w:hAnsi="Times New Roman" w:eastAsia="宋体" w:cs="Times New Roman"/>
                <w:b/>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rPr>
              <w:t>1</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储煤场淋控废水，主要污染物为SS；</w:t>
            </w:r>
          </w:p>
          <w:p>
            <w:pPr>
              <w:pStyle w:val="67"/>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rPr>
              <w:t>2</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洗车废水，主要污染物为SS；</w:t>
            </w:r>
          </w:p>
          <w:p>
            <w:pPr>
              <w:pStyle w:val="67"/>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rPr>
              <w:t>3</w:t>
            </w:r>
            <w:r>
              <w:rPr>
                <w:rFonts w:hint="eastAsia" w:ascii="Times New Roman" w:hAnsi="Times New Roman" w:eastAsia="宋体" w:cs="Times New Roman"/>
                <w:b/>
                <w:color w:val="auto"/>
              </w:rPr>
              <w:t>：</w:t>
            </w:r>
            <w:r>
              <w:rPr>
                <w:rFonts w:hint="eastAsia" w:ascii="Times New Roman" w:hAnsi="Times New Roman" w:eastAsia="宋体" w:cs="Times New Roman"/>
                <w:color w:val="auto"/>
                <w:spacing w:val="4"/>
              </w:rPr>
              <w:t>生活污水，所含污染物主要有COD</w:t>
            </w:r>
            <w:r>
              <w:rPr>
                <w:rFonts w:hint="eastAsia" w:ascii="Times New Roman" w:hAnsi="Times New Roman" w:eastAsia="宋体" w:cs="Times New Roman"/>
                <w:color w:val="auto"/>
                <w:spacing w:val="4"/>
                <w:vertAlign w:val="subscript"/>
              </w:rPr>
              <w:t>Cr</w:t>
            </w:r>
            <w:r>
              <w:rPr>
                <w:rFonts w:hint="eastAsia" w:ascii="Times New Roman" w:hAnsi="Times New Roman" w:eastAsia="宋体" w:cs="Times New Roman"/>
                <w:color w:val="auto"/>
                <w:spacing w:val="4"/>
              </w:rPr>
              <w:t>、BOD</w:t>
            </w:r>
            <w:r>
              <w:rPr>
                <w:rFonts w:hint="eastAsia" w:ascii="Times New Roman" w:hAnsi="Times New Roman" w:eastAsia="宋体" w:cs="Times New Roman"/>
                <w:color w:val="auto"/>
                <w:spacing w:val="4"/>
                <w:vertAlign w:val="subscript"/>
              </w:rPr>
              <w:t>5</w:t>
            </w:r>
            <w:r>
              <w:rPr>
                <w:rFonts w:hint="eastAsia" w:ascii="Times New Roman" w:hAnsi="Times New Roman" w:eastAsia="宋体" w:cs="Times New Roman"/>
                <w:color w:val="auto"/>
                <w:spacing w:val="4"/>
              </w:rPr>
              <w:t>、SS、氨氮等</w:t>
            </w:r>
            <w:r>
              <w:rPr>
                <w:rFonts w:hint="eastAsia" w:ascii="Times New Roman" w:hAnsi="Times New Roman" w:eastAsia="宋体" w:cs="Times New Roman"/>
                <w:bCs/>
                <w:color w:val="auto"/>
                <w:szCs w:val="21"/>
              </w:rPr>
              <w:t>；</w:t>
            </w:r>
          </w:p>
          <w:p>
            <w:pPr>
              <w:pStyle w:val="67"/>
              <w:spacing w:before="0" w:after="0"/>
              <w:ind w:firstLine="482"/>
              <w:rPr>
                <w:rFonts w:ascii="Times New Roman" w:hAnsi="Times New Roman" w:eastAsia="宋体" w:cs="Times New Roman"/>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rPr>
              <w:t>4</w:t>
            </w:r>
            <w:r>
              <w:rPr>
                <w:rFonts w:hint="eastAsia" w:ascii="Times New Roman" w:hAnsi="Times New Roman" w:eastAsia="宋体" w:cs="Times New Roman"/>
                <w:b/>
                <w:color w:val="auto"/>
              </w:rPr>
              <w:t>：</w:t>
            </w:r>
            <w:r>
              <w:rPr>
                <w:rFonts w:hint="eastAsia" w:ascii="Times New Roman" w:hAnsi="Times New Roman" w:eastAsia="宋体" w:cs="Times New Roman"/>
                <w:bCs/>
                <w:color w:val="auto"/>
                <w:lang w:bidi="ar"/>
              </w:rPr>
              <w:t>初期雨水</w:t>
            </w:r>
            <w:r>
              <w:rPr>
                <w:rFonts w:hint="eastAsia" w:ascii="Times New Roman" w:hAnsi="Times New Roman" w:eastAsia="宋体" w:cs="Times New Roman"/>
                <w:bCs/>
                <w:color w:val="auto"/>
              </w:rPr>
              <w:t>，主要污染物为SS；</w:t>
            </w:r>
          </w:p>
          <w:p>
            <w:pPr>
              <w:adjustRightInd w:val="0"/>
              <w:snapToGrid w:val="0"/>
              <w:spacing w:line="480" w:lineRule="exact"/>
              <w:ind w:firstLine="482" w:firstLineChars="200"/>
              <w:rPr>
                <w:b/>
                <w:color w:val="auto"/>
                <w:sz w:val="24"/>
              </w:rPr>
            </w:pPr>
            <w:r>
              <w:rPr>
                <w:rFonts w:hint="eastAsia"/>
                <w:b/>
                <w:color w:val="auto"/>
                <w:sz w:val="24"/>
              </w:rPr>
              <w:t>固废</w:t>
            </w:r>
          </w:p>
          <w:p>
            <w:pPr>
              <w:adjustRightInd w:val="0"/>
              <w:snapToGrid w:val="0"/>
              <w:spacing w:line="480" w:lineRule="exact"/>
              <w:ind w:firstLine="482" w:firstLineChars="200"/>
              <w:rPr>
                <w:bCs/>
                <w:color w:val="auto"/>
                <w:sz w:val="24"/>
              </w:rPr>
            </w:pPr>
            <w:r>
              <w:rPr>
                <w:rFonts w:hint="eastAsia"/>
                <w:b/>
                <w:bCs/>
                <w:color w:val="auto"/>
                <w:sz w:val="24"/>
              </w:rPr>
              <w:t>S</w:t>
            </w:r>
            <w:r>
              <w:rPr>
                <w:rFonts w:hint="eastAsia"/>
                <w:b/>
                <w:bCs/>
                <w:color w:val="auto"/>
                <w:sz w:val="24"/>
                <w:vertAlign w:val="subscript"/>
              </w:rPr>
              <w:t>1</w:t>
            </w:r>
            <w:r>
              <w:rPr>
                <w:rFonts w:hint="eastAsia"/>
                <w:b/>
                <w:bCs/>
                <w:color w:val="auto"/>
                <w:sz w:val="24"/>
              </w:rPr>
              <w:t>：</w:t>
            </w:r>
            <w:r>
              <w:rPr>
                <w:rFonts w:hint="eastAsia"/>
                <w:color w:val="auto"/>
                <w:sz w:val="24"/>
              </w:rPr>
              <w:t>淋控水池、</w:t>
            </w:r>
            <w:r>
              <w:rPr>
                <w:bCs/>
                <w:color w:val="auto"/>
                <w:sz w:val="24"/>
              </w:rPr>
              <w:t>洗车废水池</w:t>
            </w:r>
            <w:r>
              <w:rPr>
                <w:rFonts w:hint="eastAsia"/>
                <w:bCs/>
                <w:color w:val="auto"/>
                <w:sz w:val="24"/>
              </w:rPr>
              <w:t>、初期雨水池</w:t>
            </w:r>
            <w:r>
              <w:rPr>
                <w:bCs/>
                <w:color w:val="auto"/>
                <w:sz w:val="24"/>
              </w:rPr>
              <w:t>沉淀的底泥</w:t>
            </w:r>
            <w:r>
              <w:rPr>
                <w:rFonts w:hint="eastAsia"/>
                <w:bCs/>
                <w:color w:val="auto"/>
                <w:sz w:val="24"/>
              </w:rPr>
              <w:t>；</w:t>
            </w:r>
          </w:p>
          <w:p>
            <w:pPr>
              <w:pStyle w:val="67"/>
              <w:snapToGrid/>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S</w:t>
            </w:r>
            <w:r>
              <w:rPr>
                <w:rFonts w:hint="eastAsia" w:ascii="Times New Roman" w:hAnsi="Times New Roman" w:eastAsia="宋体" w:cs="Times New Roman"/>
                <w:b/>
                <w:color w:val="auto"/>
                <w:vertAlign w:val="subscript"/>
              </w:rPr>
              <w:t>2</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设备维修保养产生的废机油、废棉纱、废手套、废机油桶；</w:t>
            </w:r>
          </w:p>
          <w:p>
            <w:pPr>
              <w:pStyle w:val="67"/>
              <w:snapToGrid/>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S</w:t>
            </w:r>
            <w:r>
              <w:rPr>
                <w:rFonts w:hint="eastAsia" w:ascii="Times New Roman" w:hAnsi="Times New Roman" w:eastAsia="宋体" w:cs="Times New Roman"/>
                <w:b/>
                <w:color w:val="auto"/>
                <w:vertAlign w:val="subscript"/>
              </w:rPr>
              <w:t>3</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员工生产生活中产生的生活垃圾、厨余垃圾；</w:t>
            </w:r>
          </w:p>
          <w:p>
            <w:pPr>
              <w:adjustRightInd w:val="0"/>
              <w:snapToGrid w:val="0"/>
              <w:spacing w:line="480" w:lineRule="exact"/>
              <w:ind w:firstLine="482" w:firstLineChars="200"/>
              <w:rPr>
                <w:b/>
                <w:color w:val="auto"/>
                <w:sz w:val="24"/>
              </w:rPr>
            </w:pPr>
            <w:r>
              <w:rPr>
                <w:rFonts w:hint="eastAsia"/>
                <w:b/>
                <w:color w:val="auto"/>
                <w:sz w:val="24"/>
              </w:rPr>
              <w:t>噪声</w:t>
            </w:r>
          </w:p>
          <w:p>
            <w:pPr>
              <w:adjustRightInd w:val="0"/>
              <w:snapToGrid w:val="0"/>
              <w:spacing w:line="480" w:lineRule="exact"/>
              <w:ind w:firstLine="480" w:firstLineChars="200"/>
              <w:rPr>
                <w:bCs/>
                <w:color w:val="auto"/>
                <w:sz w:val="24"/>
              </w:rPr>
            </w:pPr>
            <w:r>
              <w:rPr>
                <w:rFonts w:hint="eastAsia"/>
                <w:bCs/>
                <w:color w:val="auto"/>
                <w:sz w:val="24"/>
              </w:rPr>
              <w:t>本项目主要噪声源为</w:t>
            </w:r>
            <w:r>
              <w:rPr>
                <w:rFonts w:hint="eastAsia"/>
                <w:color w:val="auto"/>
                <w:sz w:val="24"/>
                <w:szCs w:val="24"/>
                <w:lang w:bidi="ar"/>
              </w:rPr>
              <w:t>装载机、及运输车辆</w:t>
            </w:r>
            <w:r>
              <w:rPr>
                <w:rFonts w:hint="eastAsia"/>
                <w:bCs/>
                <w:color w:val="auto"/>
                <w:sz w:val="24"/>
              </w:rPr>
              <w:t>、泵类等设备运行噪声，这些噪声源强为70～95dB(A)。</w:t>
            </w:r>
          </w:p>
          <w:p>
            <w:pPr>
              <w:adjustRightInd w:val="0"/>
              <w:snapToGrid w:val="0"/>
              <w:jc w:val="left"/>
              <w:rPr>
                <w:bCs/>
                <w:color w:val="auto"/>
                <w:sz w:val="24"/>
                <w:lang w:val="en-GB"/>
              </w:rPr>
            </w:pPr>
          </w:p>
          <w:p>
            <w:pPr>
              <w:adjustRightInd w:val="0"/>
              <w:snapToGrid w:val="0"/>
              <w:jc w:val="left"/>
              <w:rPr>
                <w:bCs/>
                <w:color w:val="auto"/>
                <w:sz w:val="24"/>
                <w:lang w:val="en-GB"/>
              </w:rPr>
            </w:pPr>
          </w:p>
          <w:p>
            <w:pPr>
              <w:adjustRightInd w:val="0"/>
              <w:snapToGrid w:val="0"/>
              <w:spacing w:line="480" w:lineRule="exact"/>
              <w:rPr>
                <w:rFonts w:ascii="宋体" w:hAnsi="宋体"/>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159" w:type="pct"/>
            <w:vAlign w:val="center"/>
          </w:tcPr>
          <w:p>
            <w:pPr>
              <w:pStyle w:val="16"/>
              <w:adjustRightInd w:val="0"/>
              <w:snapToGrid w:val="0"/>
              <w:spacing w:before="0" w:beforeAutospacing="0" w:after="0" w:afterAutospacing="0"/>
              <w:jc w:val="center"/>
              <w:rPr>
                <w:color w:val="auto"/>
                <w:sz w:val="21"/>
                <w:szCs w:val="21"/>
              </w:rPr>
            </w:pPr>
            <w:r>
              <w:rPr>
                <w:rFonts w:hint="eastAsia"/>
                <w:bCs/>
                <w:color w:val="auto"/>
                <w:kern w:val="2"/>
                <w:sz w:val="21"/>
                <w:szCs w:val="21"/>
              </w:rPr>
              <w:t>与项目有关的原有环境污染问题</w:t>
            </w:r>
          </w:p>
        </w:tc>
        <w:tc>
          <w:tcPr>
            <w:tcW w:w="4841" w:type="pct"/>
            <w:vAlign w:val="center"/>
          </w:tcPr>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color w:val="auto"/>
                <w:sz w:val="24"/>
                <w:szCs w:val="24"/>
                <w:lang w:bidi="ar"/>
              </w:rPr>
            </w:pPr>
          </w:p>
          <w:p>
            <w:pPr>
              <w:adjustRightInd w:val="0"/>
              <w:snapToGrid w:val="0"/>
              <w:spacing w:line="480" w:lineRule="exact"/>
              <w:ind w:firstLine="480" w:firstLineChars="200"/>
              <w:rPr>
                <w:bCs/>
                <w:color w:val="auto"/>
                <w:sz w:val="24"/>
              </w:rPr>
            </w:pPr>
            <w:r>
              <w:rPr>
                <w:rFonts w:hint="eastAsia"/>
                <w:color w:val="auto"/>
                <w:sz w:val="24"/>
                <w:szCs w:val="24"/>
                <w:lang w:bidi="ar"/>
              </w:rPr>
              <w:t>本项目占用厂区原为荒地，且</w:t>
            </w:r>
            <w:r>
              <w:rPr>
                <w:rFonts w:hint="eastAsia"/>
                <w:bCs/>
                <w:color w:val="auto"/>
                <w:sz w:val="24"/>
              </w:rPr>
              <w:t>本项目属于新建项目，不涉及与拟建项目有关的原有污染情况及主要环境问题。</w:t>
            </w: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80" w:firstLineChars="200"/>
              <w:rPr>
                <w:bCs/>
                <w:color w:val="auto"/>
                <w:sz w:val="24"/>
              </w:rPr>
            </w:pPr>
          </w:p>
          <w:p>
            <w:pPr>
              <w:adjustRightInd w:val="0"/>
              <w:snapToGrid w:val="0"/>
              <w:spacing w:line="480" w:lineRule="exact"/>
              <w:ind w:firstLine="420" w:firstLineChars="200"/>
              <w:rPr>
                <w:rFonts w:ascii="宋体" w:hAnsi="宋体"/>
                <w:bCs/>
                <w:color w:val="auto"/>
              </w:rPr>
            </w:pPr>
          </w:p>
        </w:tc>
      </w:tr>
    </w:tbl>
    <w:p>
      <w:pPr>
        <w:rPr>
          <w:color w:val="auto"/>
        </w:rPr>
      </w:pPr>
    </w:p>
    <w:p>
      <w:pPr>
        <w:rPr>
          <w:color w:val="auto"/>
        </w:rPr>
        <w:sectPr>
          <w:pgSz w:w="11906" w:h="16838"/>
          <w:pgMar w:top="1701" w:right="1531" w:bottom="1701" w:left="1531" w:header="1134" w:footer="992" w:gutter="0"/>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三、</w:t>
      </w:r>
      <w:r>
        <w:rPr>
          <w:rFonts w:hint="eastAsia" w:ascii="黑体" w:hAnsi="黑体" w:eastAsia="黑体"/>
          <w:snapToGrid w:val="0"/>
          <w:color w:val="auto"/>
          <w:sz w:val="30"/>
          <w:szCs w:val="30"/>
        </w:rPr>
        <w:t>区域环境质量现状、环境保护目标及评价标准</w:t>
      </w:r>
    </w:p>
    <w:tbl>
      <w:tblPr>
        <w:tblStyle w:val="20"/>
        <w:tblW w:w="91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68"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区域</w:t>
            </w:r>
          </w:p>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质量</w:t>
            </w:r>
          </w:p>
          <w:p>
            <w:pPr>
              <w:adjustRightInd w:val="0"/>
              <w:snapToGrid w:val="0"/>
              <w:jc w:val="center"/>
              <w:rPr>
                <w:rFonts w:ascii="宋体" w:hAnsi="宋体" w:cs="宋体"/>
                <w:color w:val="auto"/>
                <w:kern w:val="0"/>
              </w:rPr>
            </w:pPr>
            <w:r>
              <w:rPr>
                <w:rFonts w:hint="eastAsia" w:ascii="宋体" w:hAnsi="宋体" w:cs="宋体"/>
                <w:color w:val="auto"/>
                <w:kern w:val="0"/>
              </w:rPr>
              <w:t>现状</w:t>
            </w:r>
          </w:p>
        </w:tc>
        <w:tc>
          <w:tcPr>
            <w:tcW w:w="8574" w:type="dxa"/>
            <w:vAlign w:val="center"/>
          </w:tcPr>
          <w:p>
            <w:pPr>
              <w:adjustRightInd w:val="0"/>
              <w:snapToGrid w:val="0"/>
              <w:spacing w:line="480" w:lineRule="exact"/>
              <w:ind w:firstLine="482" w:firstLineChars="200"/>
              <w:rPr>
                <w:b/>
                <w:bCs/>
                <w:color w:val="auto"/>
                <w:kern w:val="0"/>
                <w:sz w:val="24"/>
              </w:rPr>
            </w:pPr>
            <w:r>
              <w:rPr>
                <w:rFonts w:hint="eastAsia"/>
                <w:b/>
                <w:bCs/>
                <w:color w:val="auto"/>
                <w:kern w:val="0"/>
                <w:sz w:val="24"/>
              </w:rPr>
              <w:t>1、环境空气质量现状</w:t>
            </w:r>
          </w:p>
          <w:p>
            <w:pPr>
              <w:spacing w:line="480" w:lineRule="exact"/>
              <w:ind w:firstLine="482" w:firstLineChars="200"/>
              <w:rPr>
                <w:b/>
                <w:color w:val="auto"/>
                <w:sz w:val="24"/>
              </w:rPr>
            </w:pPr>
            <w:r>
              <w:rPr>
                <w:rFonts w:hint="eastAsia"/>
                <w:b/>
                <w:color w:val="auto"/>
                <w:sz w:val="24"/>
              </w:rPr>
              <w:t>（1）区域环境空气质量现状</w:t>
            </w:r>
          </w:p>
          <w:p>
            <w:pPr>
              <w:spacing w:line="480" w:lineRule="exact"/>
              <w:ind w:firstLine="480" w:firstLineChars="200"/>
              <w:rPr>
                <w:bCs/>
                <w:color w:val="auto"/>
                <w:sz w:val="24"/>
              </w:rPr>
            </w:pPr>
            <w:r>
              <w:rPr>
                <w:rFonts w:hint="eastAsia"/>
                <w:bCs/>
                <w:color w:val="auto"/>
                <w:sz w:val="24"/>
              </w:rPr>
              <w:t>本次评价收集到了繁峙县2021年环境空气质量例行监测资料，具体年均浓度值见下表。</w:t>
            </w:r>
          </w:p>
          <w:p>
            <w:pPr>
              <w:spacing w:line="480" w:lineRule="exact"/>
              <w:jc w:val="center"/>
              <w:rPr>
                <w:rFonts w:ascii="黑体" w:hAnsi="黑体" w:eastAsia="黑体"/>
                <w:color w:val="auto"/>
                <w:sz w:val="24"/>
                <w:vertAlign w:val="superscript"/>
              </w:rPr>
            </w:pPr>
            <w:r>
              <w:rPr>
                <w:rFonts w:hint="eastAsia" w:ascii="黑体" w:hAnsi="黑体" w:eastAsia="黑体"/>
                <w:color w:val="auto"/>
                <w:sz w:val="24"/>
              </w:rPr>
              <w:t>表3-1  繁峙县2021年环境空气质量例行监测评价表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945"/>
              <w:gridCol w:w="1948"/>
              <w:gridCol w:w="1399"/>
              <w:gridCol w:w="1399"/>
              <w:gridCol w:w="1021"/>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Align w:val="center"/>
                </w:tcPr>
                <w:p>
                  <w:pPr>
                    <w:jc w:val="center"/>
                    <w:rPr>
                      <w:color w:val="auto"/>
                    </w:rPr>
                  </w:pPr>
                  <w:r>
                    <w:rPr>
                      <w:rFonts w:hint="eastAsia"/>
                      <w:color w:val="auto"/>
                    </w:rPr>
                    <w:t>点位</w:t>
                  </w:r>
                </w:p>
              </w:tc>
              <w:tc>
                <w:tcPr>
                  <w:tcW w:w="563" w:type="pct"/>
                  <w:vAlign w:val="center"/>
                </w:tcPr>
                <w:p>
                  <w:pPr>
                    <w:jc w:val="center"/>
                    <w:rPr>
                      <w:color w:val="auto"/>
                    </w:rPr>
                  </w:pPr>
                  <w:r>
                    <w:rPr>
                      <w:rFonts w:hint="eastAsia"/>
                      <w:color w:val="auto"/>
                    </w:rPr>
                    <w:t>污染物</w:t>
                  </w:r>
                </w:p>
              </w:tc>
              <w:tc>
                <w:tcPr>
                  <w:tcW w:w="1160" w:type="pct"/>
                  <w:vAlign w:val="center"/>
                </w:tcPr>
                <w:p>
                  <w:pPr>
                    <w:jc w:val="center"/>
                    <w:rPr>
                      <w:color w:val="auto"/>
                    </w:rPr>
                  </w:pPr>
                  <w:r>
                    <w:rPr>
                      <w:rFonts w:hint="eastAsia"/>
                      <w:color w:val="auto"/>
                    </w:rPr>
                    <w:t>评价指标</w:t>
                  </w:r>
                </w:p>
              </w:tc>
              <w:tc>
                <w:tcPr>
                  <w:tcW w:w="833" w:type="pct"/>
                  <w:vAlign w:val="center"/>
                </w:tcPr>
                <w:p>
                  <w:pPr>
                    <w:jc w:val="center"/>
                    <w:rPr>
                      <w:color w:val="auto"/>
                    </w:rPr>
                  </w:pPr>
                  <w:r>
                    <w:rPr>
                      <w:rFonts w:hint="eastAsia"/>
                      <w:color w:val="auto"/>
                    </w:rPr>
                    <w:t>浓度</w:t>
                  </w:r>
                </w:p>
                <w:p>
                  <w:pPr>
                    <w:jc w:val="center"/>
                    <w:rPr>
                      <w:color w:val="auto"/>
                    </w:rPr>
                  </w:pPr>
                  <w:r>
                    <w:rPr>
                      <w:color w:val="auto"/>
                    </w:rPr>
                    <w:t>μ</w:t>
                  </w:r>
                  <w:r>
                    <w:rPr>
                      <w:rFonts w:hint="eastAsia"/>
                      <w:color w:val="auto"/>
                    </w:rPr>
                    <w:t>g/m</w:t>
                  </w:r>
                  <w:r>
                    <w:rPr>
                      <w:rFonts w:hint="eastAsia"/>
                      <w:color w:val="auto"/>
                      <w:vertAlign w:val="superscript"/>
                    </w:rPr>
                    <w:t>3</w:t>
                  </w:r>
                </w:p>
              </w:tc>
              <w:tc>
                <w:tcPr>
                  <w:tcW w:w="833" w:type="pct"/>
                  <w:vAlign w:val="center"/>
                </w:tcPr>
                <w:p>
                  <w:pPr>
                    <w:jc w:val="center"/>
                    <w:rPr>
                      <w:color w:val="auto"/>
                    </w:rPr>
                  </w:pPr>
                  <w:r>
                    <w:rPr>
                      <w:rFonts w:hint="eastAsia"/>
                      <w:color w:val="auto"/>
                    </w:rPr>
                    <w:t>标准值</w:t>
                  </w:r>
                </w:p>
                <w:p>
                  <w:pPr>
                    <w:jc w:val="center"/>
                    <w:rPr>
                      <w:color w:val="auto"/>
                    </w:rPr>
                  </w:pPr>
                  <w:r>
                    <w:rPr>
                      <w:color w:val="auto"/>
                    </w:rPr>
                    <w:t>μ</w:t>
                  </w:r>
                  <w:r>
                    <w:rPr>
                      <w:rFonts w:hint="eastAsia"/>
                      <w:color w:val="auto"/>
                    </w:rPr>
                    <w:t>g/m</w:t>
                  </w:r>
                  <w:r>
                    <w:rPr>
                      <w:rFonts w:hint="eastAsia"/>
                      <w:color w:val="auto"/>
                      <w:vertAlign w:val="superscript"/>
                    </w:rPr>
                    <w:t>3</w:t>
                  </w:r>
                </w:p>
              </w:tc>
              <w:tc>
                <w:tcPr>
                  <w:tcW w:w="608" w:type="pct"/>
                  <w:vAlign w:val="center"/>
                </w:tcPr>
                <w:p>
                  <w:pPr>
                    <w:jc w:val="center"/>
                    <w:rPr>
                      <w:color w:val="auto"/>
                    </w:rPr>
                  </w:pPr>
                  <w:r>
                    <w:rPr>
                      <w:rFonts w:hint="eastAsia"/>
                      <w:color w:val="auto"/>
                    </w:rPr>
                    <w:t>占标率</w:t>
                  </w:r>
                </w:p>
                <w:p>
                  <w:pPr>
                    <w:jc w:val="center"/>
                    <w:rPr>
                      <w:color w:val="auto"/>
                    </w:rPr>
                  </w:pPr>
                  <w:r>
                    <w:rPr>
                      <w:rFonts w:hint="eastAsia"/>
                      <w:color w:val="auto"/>
                    </w:rPr>
                    <w:t>%</w:t>
                  </w:r>
                </w:p>
              </w:tc>
              <w:tc>
                <w:tcPr>
                  <w:tcW w:w="615" w:type="pct"/>
                  <w:vAlign w:val="center"/>
                </w:tcPr>
                <w:p>
                  <w:pPr>
                    <w:jc w:val="center"/>
                    <w:rPr>
                      <w:color w:val="auto"/>
                    </w:rPr>
                  </w:pPr>
                  <w:r>
                    <w:rPr>
                      <w:rFonts w:hint="eastAsia"/>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restart"/>
                  <w:vAlign w:val="center"/>
                </w:tcPr>
                <w:p>
                  <w:pPr>
                    <w:jc w:val="center"/>
                    <w:rPr>
                      <w:color w:val="auto"/>
                    </w:rPr>
                  </w:pPr>
                  <w:r>
                    <w:rPr>
                      <w:rFonts w:hint="eastAsia"/>
                      <w:bCs/>
                      <w:color w:val="auto"/>
                    </w:rPr>
                    <w:t>繁峙县</w:t>
                  </w:r>
                </w:p>
              </w:tc>
              <w:tc>
                <w:tcPr>
                  <w:tcW w:w="563" w:type="pct"/>
                  <w:vAlign w:val="center"/>
                </w:tcPr>
                <w:p>
                  <w:pPr>
                    <w:jc w:val="center"/>
                    <w:rPr>
                      <w:color w:val="auto"/>
                    </w:rPr>
                  </w:pPr>
                  <w:r>
                    <w:rPr>
                      <w:rFonts w:hint="eastAsia"/>
                      <w:color w:val="auto"/>
                    </w:rPr>
                    <w:t>SO</w:t>
                  </w:r>
                  <w:r>
                    <w:rPr>
                      <w:rFonts w:hint="eastAsia"/>
                      <w:color w:val="auto"/>
                      <w:vertAlign w:val="subscript"/>
                    </w:rPr>
                    <w:t>2</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color w:val="auto"/>
                    </w:rPr>
                  </w:pPr>
                  <w:r>
                    <w:rPr>
                      <w:rFonts w:hint="eastAsia"/>
                      <w:color w:val="auto"/>
                    </w:rPr>
                    <w:t>23</w:t>
                  </w:r>
                </w:p>
              </w:tc>
              <w:tc>
                <w:tcPr>
                  <w:tcW w:w="833" w:type="pct"/>
                  <w:vAlign w:val="center"/>
                </w:tcPr>
                <w:p>
                  <w:pPr>
                    <w:jc w:val="center"/>
                    <w:rPr>
                      <w:color w:val="auto"/>
                    </w:rPr>
                  </w:pPr>
                  <w:r>
                    <w:rPr>
                      <w:rFonts w:hint="eastAsia"/>
                      <w:color w:val="auto"/>
                    </w:rPr>
                    <w:t>60</w:t>
                  </w:r>
                </w:p>
              </w:tc>
              <w:tc>
                <w:tcPr>
                  <w:tcW w:w="608" w:type="pct"/>
                  <w:vAlign w:val="center"/>
                </w:tcPr>
                <w:p>
                  <w:pPr>
                    <w:jc w:val="center"/>
                    <w:rPr>
                      <w:color w:val="auto"/>
                    </w:rPr>
                  </w:pPr>
                  <w:r>
                    <w:rPr>
                      <w:rFonts w:hint="eastAsia"/>
                      <w:color w:val="auto"/>
                    </w:rPr>
                    <w:t>38.33</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NO</w:t>
                  </w:r>
                  <w:r>
                    <w:rPr>
                      <w:rFonts w:hint="eastAsia"/>
                      <w:color w:val="auto"/>
                      <w:vertAlign w:val="subscript"/>
                    </w:rPr>
                    <w:t>2</w:t>
                  </w:r>
                </w:p>
              </w:tc>
              <w:tc>
                <w:tcPr>
                  <w:tcW w:w="1160" w:type="pct"/>
                  <w:vAlign w:val="center"/>
                </w:tcPr>
                <w:p>
                  <w:pPr>
                    <w:autoSpaceDE w:val="0"/>
                    <w:autoSpaceDN w:val="0"/>
                    <w:jc w:val="center"/>
                    <w:rPr>
                      <w:color w:val="auto"/>
                    </w:rPr>
                  </w:pPr>
                  <w:r>
                    <w:rPr>
                      <w:rFonts w:hint="eastAsia"/>
                      <w:color w:val="auto"/>
                    </w:rPr>
                    <w:t>年平均浓度</w:t>
                  </w:r>
                </w:p>
              </w:tc>
              <w:tc>
                <w:tcPr>
                  <w:tcW w:w="833" w:type="pct"/>
                  <w:vAlign w:val="center"/>
                </w:tcPr>
                <w:p>
                  <w:pPr>
                    <w:jc w:val="center"/>
                    <w:rPr>
                      <w:color w:val="auto"/>
                    </w:rPr>
                  </w:pPr>
                  <w:r>
                    <w:rPr>
                      <w:rFonts w:hint="eastAsia"/>
                      <w:color w:val="auto"/>
                    </w:rPr>
                    <w:t>27</w:t>
                  </w:r>
                </w:p>
              </w:tc>
              <w:tc>
                <w:tcPr>
                  <w:tcW w:w="833" w:type="pct"/>
                  <w:vAlign w:val="center"/>
                </w:tcPr>
                <w:p>
                  <w:pPr>
                    <w:jc w:val="center"/>
                    <w:rPr>
                      <w:color w:val="auto"/>
                    </w:rPr>
                  </w:pPr>
                  <w:r>
                    <w:rPr>
                      <w:rFonts w:hint="eastAsia"/>
                      <w:color w:val="auto"/>
                    </w:rPr>
                    <w:t>40</w:t>
                  </w:r>
                </w:p>
              </w:tc>
              <w:tc>
                <w:tcPr>
                  <w:tcW w:w="608" w:type="pct"/>
                  <w:vAlign w:val="center"/>
                </w:tcPr>
                <w:p>
                  <w:pPr>
                    <w:jc w:val="center"/>
                    <w:rPr>
                      <w:color w:val="auto"/>
                    </w:rPr>
                  </w:pPr>
                  <w:r>
                    <w:rPr>
                      <w:rFonts w:hint="eastAsia"/>
                      <w:color w:val="auto"/>
                    </w:rPr>
                    <w:t>67.50</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PM</w:t>
                  </w:r>
                  <w:r>
                    <w:rPr>
                      <w:rFonts w:hint="eastAsia"/>
                      <w:color w:val="auto"/>
                      <w:vertAlign w:val="subscript"/>
                    </w:rPr>
                    <w:t>10</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color w:val="auto"/>
                    </w:rPr>
                  </w:pPr>
                  <w:r>
                    <w:rPr>
                      <w:rFonts w:hint="eastAsia"/>
                      <w:color w:val="auto"/>
                    </w:rPr>
                    <w:t>78</w:t>
                  </w:r>
                </w:p>
              </w:tc>
              <w:tc>
                <w:tcPr>
                  <w:tcW w:w="833" w:type="pct"/>
                  <w:vAlign w:val="center"/>
                </w:tcPr>
                <w:p>
                  <w:pPr>
                    <w:jc w:val="center"/>
                    <w:rPr>
                      <w:color w:val="auto"/>
                    </w:rPr>
                  </w:pPr>
                  <w:r>
                    <w:rPr>
                      <w:rFonts w:hint="eastAsia"/>
                      <w:color w:val="auto"/>
                    </w:rPr>
                    <w:t>70</w:t>
                  </w:r>
                </w:p>
              </w:tc>
              <w:tc>
                <w:tcPr>
                  <w:tcW w:w="608" w:type="pct"/>
                  <w:vAlign w:val="center"/>
                </w:tcPr>
                <w:p>
                  <w:pPr>
                    <w:jc w:val="center"/>
                    <w:rPr>
                      <w:color w:val="auto"/>
                    </w:rPr>
                  </w:pPr>
                  <w:r>
                    <w:rPr>
                      <w:rFonts w:hint="eastAsia"/>
                      <w:color w:val="auto"/>
                    </w:rPr>
                    <w:t>111.43</w:t>
                  </w:r>
                </w:p>
              </w:tc>
              <w:tc>
                <w:tcPr>
                  <w:tcW w:w="615" w:type="pct"/>
                  <w:vAlign w:val="center"/>
                </w:tcPr>
                <w:p>
                  <w:pPr>
                    <w:jc w:val="center"/>
                    <w:rPr>
                      <w:color w:val="auto"/>
                    </w:rPr>
                  </w:pPr>
                  <w:r>
                    <w:rPr>
                      <w:rFonts w:hint="eastAsia"/>
                      <w:b/>
                      <w:bCs/>
                      <w:color w:val="auto"/>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PM</w:t>
                  </w:r>
                  <w:r>
                    <w:rPr>
                      <w:rFonts w:hint="eastAsia"/>
                      <w:color w:val="auto"/>
                      <w:vertAlign w:val="subscript"/>
                    </w:rPr>
                    <w:t>2.5</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color w:val="auto"/>
                    </w:rPr>
                  </w:pPr>
                  <w:r>
                    <w:rPr>
                      <w:rFonts w:hint="eastAsia"/>
                      <w:color w:val="auto"/>
                    </w:rPr>
                    <w:t>29</w:t>
                  </w:r>
                </w:p>
              </w:tc>
              <w:tc>
                <w:tcPr>
                  <w:tcW w:w="833" w:type="pct"/>
                  <w:vAlign w:val="center"/>
                </w:tcPr>
                <w:p>
                  <w:pPr>
                    <w:jc w:val="center"/>
                    <w:rPr>
                      <w:color w:val="auto"/>
                    </w:rPr>
                  </w:pPr>
                  <w:r>
                    <w:rPr>
                      <w:rFonts w:hint="eastAsia"/>
                      <w:color w:val="auto"/>
                    </w:rPr>
                    <w:t>35</w:t>
                  </w:r>
                </w:p>
              </w:tc>
              <w:tc>
                <w:tcPr>
                  <w:tcW w:w="608" w:type="pct"/>
                  <w:vAlign w:val="center"/>
                </w:tcPr>
                <w:p>
                  <w:pPr>
                    <w:jc w:val="center"/>
                    <w:rPr>
                      <w:color w:val="auto"/>
                    </w:rPr>
                  </w:pPr>
                  <w:r>
                    <w:rPr>
                      <w:rFonts w:hint="eastAsia"/>
                      <w:color w:val="auto"/>
                    </w:rPr>
                    <w:t>82.86</w:t>
                  </w:r>
                </w:p>
              </w:tc>
              <w:tc>
                <w:tcPr>
                  <w:tcW w:w="615" w:type="pct"/>
                  <w:vAlign w:val="center"/>
                </w:tcPr>
                <w:p>
                  <w:pPr>
                    <w:jc w:val="center"/>
                    <w:rPr>
                      <w:b/>
                      <w:bCs/>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CO</w:t>
                  </w:r>
                </w:p>
              </w:tc>
              <w:tc>
                <w:tcPr>
                  <w:tcW w:w="1160" w:type="pct"/>
                  <w:vAlign w:val="center"/>
                </w:tcPr>
                <w:p>
                  <w:pPr>
                    <w:jc w:val="center"/>
                    <w:rPr>
                      <w:color w:val="auto"/>
                    </w:rPr>
                  </w:pPr>
                  <w:r>
                    <w:rPr>
                      <w:rFonts w:hint="eastAsia"/>
                      <w:color w:val="auto"/>
                    </w:rPr>
                    <w:t>24</w:t>
                  </w:r>
                  <w:r>
                    <w:rPr>
                      <w:rFonts w:hint="eastAsia" w:hAnsi="宋体"/>
                      <w:color w:val="auto"/>
                    </w:rPr>
                    <w:t>小时平均第</w:t>
                  </w:r>
                  <w:r>
                    <w:rPr>
                      <w:rFonts w:hint="eastAsia"/>
                      <w:color w:val="auto"/>
                    </w:rPr>
                    <w:t>95</w:t>
                  </w:r>
                  <w:r>
                    <w:rPr>
                      <w:rFonts w:hint="eastAsia" w:hAnsi="宋体"/>
                      <w:color w:val="auto"/>
                    </w:rPr>
                    <w:t>百分位数</w:t>
                  </w:r>
                </w:p>
              </w:tc>
              <w:tc>
                <w:tcPr>
                  <w:tcW w:w="833" w:type="pct"/>
                  <w:vAlign w:val="center"/>
                </w:tcPr>
                <w:p>
                  <w:pPr>
                    <w:jc w:val="center"/>
                    <w:rPr>
                      <w:color w:val="auto"/>
                    </w:rPr>
                  </w:pPr>
                  <w:r>
                    <w:rPr>
                      <w:rFonts w:hint="eastAsia"/>
                      <w:color w:val="auto"/>
                    </w:rPr>
                    <w:t>1.4 mg/m</w:t>
                  </w:r>
                  <w:r>
                    <w:rPr>
                      <w:rFonts w:hint="eastAsia"/>
                      <w:color w:val="auto"/>
                      <w:vertAlign w:val="superscript"/>
                    </w:rPr>
                    <w:t>3</w:t>
                  </w:r>
                </w:p>
              </w:tc>
              <w:tc>
                <w:tcPr>
                  <w:tcW w:w="833" w:type="pct"/>
                  <w:vAlign w:val="center"/>
                </w:tcPr>
                <w:p>
                  <w:pPr>
                    <w:jc w:val="center"/>
                    <w:rPr>
                      <w:color w:val="auto"/>
                    </w:rPr>
                  </w:pPr>
                  <w:r>
                    <w:rPr>
                      <w:rFonts w:hint="eastAsia"/>
                      <w:color w:val="auto"/>
                    </w:rPr>
                    <w:t>4 mg/m</w:t>
                  </w:r>
                  <w:r>
                    <w:rPr>
                      <w:rFonts w:hint="eastAsia"/>
                      <w:color w:val="auto"/>
                      <w:vertAlign w:val="superscript"/>
                    </w:rPr>
                    <w:t>3</w:t>
                  </w:r>
                </w:p>
              </w:tc>
              <w:tc>
                <w:tcPr>
                  <w:tcW w:w="608" w:type="pct"/>
                  <w:vAlign w:val="center"/>
                </w:tcPr>
                <w:p>
                  <w:pPr>
                    <w:jc w:val="center"/>
                    <w:rPr>
                      <w:color w:val="auto"/>
                    </w:rPr>
                  </w:pPr>
                  <w:r>
                    <w:rPr>
                      <w:rFonts w:hint="eastAsia"/>
                      <w:color w:val="auto"/>
                    </w:rPr>
                    <w:t>35.00</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O</w:t>
                  </w:r>
                  <w:r>
                    <w:rPr>
                      <w:rFonts w:hint="eastAsia"/>
                      <w:color w:val="auto"/>
                      <w:vertAlign w:val="subscript"/>
                    </w:rPr>
                    <w:t>3</w:t>
                  </w:r>
                </w:p>
              </w:tc>
              <w:tc>
                <w:tcPr>
                  <w:tcW w:w="1160" w:type="pct"/>
                  <w:vAlign w:val="center"/>
                </w:tcPr>
                <w:p>
                  <w:pPr>
                    <w:jc w:val="center"/>
                    <w:rPr>
                      <w:color w:val="auto"/>
                    </w:rPr>
                  </w:pPr>
                  <w:r>
                    <w:rPr>
                      <w:rFonts w:hint="eastAsia" w:hAnsi="宋体"/>
                      <w:color w:val="auto"/>
                    </w:rPr>
                    <w:t>日最大</w:t>
                  </w:r>
                  <w:r>
                    <w:rPr>
                      <w:rFonts w:hint="eastAsia"/>
                      <w:color w:val="auto"/>
                    </w:rPr>
                    <w:t>8</w:t>
                  </w:r>
                  <w:r>
                    <w:rPr>
                      <w:rFonts w:hint="eastAsia" w:hAnsi="宋体"/>
                      <w:color w:val="auto"/>
                    </w:rPr>
                    <w:t>小时滑动平均值的第</w:t>
                  </w:r>
                  <w:r>
                    <w:rPr>
                      <w:rFonts w:hint="eastAsia"/>
                      <w:color w:val="auto"/>
                    </w:rPr>
                    <w:t>90</w:t>
                  </w:r>
                  <w:r>
                    <w:rPr>
                      <w:rFonts w:hint="eastAsia" w:hAnsi="宋体"/>
                      <w:color w:val="auto"/>
                    </w:rPr>
                    <w:t>百分位数</w:t>
                  </w:r>
                </w:p>
              </w:tc>
              <w:tc>
                <w:tcPr>
                  <w:tcW w:w="833" w:type="pct"/>
                  <w:vAlign w:val="center"/>
                </w:tcPr>
                <w:p>
                  <w:pPr>
                    <w:jc w:val="center"/>
                    <w:rPr>
                      <w:color w:val="auto"/>
                    </w:rPr>
                  </w:pPr>
                  <w:r>
                    <w:rPr>
                      <w:rFonts w:hint="eastAsia"/>
                      <w:color w:val="auto"/>
                    </w:rPr>
                    <w:t>150</w:t>
                  </w:r>
                </w:p>
              </w:tc>
              <w:tc>
                <w:tcPr>
                  <w:tcW w:w="833" w:type="pct"/>
                  <w:vAlign w:val="center"/>
                </w:tcPr>
                <w:p>
                  <w:pPr>
                    <w:jc w:val="center"/>
                    <w:rPr>
                      <w:color w:val="auto"/>
                    </w:rPr>
                  </w:pPr>
                  <w:r>
                    <w:rPr>
                      <w:rFonts w:hint="eastAsia"/>
                      <w:color w:val="auto"/>
                    </w:rPr>
                    <w:t>160</w:t>
                  </w:r>
                </w:p>
              </w:tc>
              <w:tc>
                <w:tcPr>
                  <w:tcW w:w="608" w:type="pct"/>
                  <w:vAlign w:val="center"/>
                </w:tcPr>
                <w:p>
                  <w:pPr>
                    <w:jc w:val="center"/>
                    <w:rPr>
                      <w:color w:val="auto"/>
                    </w:rPr>
                  </w:pPr>
                  <w:r>
                    <w:rPr>
                      <w:rFonts w:hint="eastAsia"/>
                      <w:color w:val="auto"/>
                    </w:rPr>
                    <w:t>93.72</w:t>
                  </w:r>
                </w:p>
              </w:tc>
              <w:tc>
                <w:tcPr>
                  <w:tcW w:w="615" w:type="pct"/>
                  <w:vAlign w:val="center"/>
                </w:tcPr>
                <w:p>
                  <w:pPr>
                    <w:jc w:val="center"/>
                    <w:rPr>
                      <w:b/>
                      <w:bCs/>
                      <w:color w:val="auto"/>
                    </w:rPr>
                  </w:pPr>
                  <w:r>
                    <w:rPr>
                      <w:rFonts w:hint="eastAsia"/>
                      <w:color w:val="auto"/>
                    </w:rPr>
                    <w:t>达标</w:t>
                  </w:r>
                </w:p>
              </w:tc>
            </w:tr>
          </w:tbl>
          <w:p>
            <w:pPr>
              <w:spacing w:line="480" w:lineRule="exact"/>
              <w:ind w:firstLine="480" w:firstLineChars="200"/>
              <w:rPr>
                <w:color w:val="auto"/>
                <w:sz w:val="24"/>
                <w:szCs w:val="24"/>
              </w:rPr>
            </w:pPr>
            <w:r>
              <w:rPr>
                <w:rFonts w:hint="eastAsia"/>
                <w:bCs/>
                <w:snapToGrid w:val="0"/>
                <w:color w:val="auto"/>
                <w:kern w:val="0"/>
                <w:sz w:val="24"/>
                <w:szCs w:val="24"/>
              </w:rPr>
              <w:t>根据例行监测数据统计结果，2021年</w:t>
            </w:r>
            <w:r>
              <w:rPr>
                <w:rFonts w:hint="eastAsia"/>
                <w:bCs/>
                <w:color w:val="auto"/>
                <w:sz w:val="24"/>
                <w:szCs w:val="24"/>
              </w:rPr>
              <w:t>繁峙县</w:t>
            </w:r>
            <w:r>
              <w:rPr>
                <w:rFonts w:hint="eastAsia"/>
                <w:color w:val="auto"/>
                <w:sz w:val="24"/>
                <w:szCs w:val="24"/>
              </w:rPr>
              <w:t>SO</w:t>
            </w:r>
            <w:r>
              <w:rPr>
                <w:rFonts w:hint="eastAsia"/>
                <w:color w:val="auto"/>
                <w:sz w:val="24"/>
                <w:szCs w:val="24"/>
                <w:vertAlign w:val="subscript"/>
              </w:rPr>
              <w:t>2</w:t>
            </w:r>
            <w:r>
              <w:rPr>
                <w:rFonts w:hint="eastAsia"/>
                <w:color w:val="auto"/>
                <w:sz w:val="24"/>
                <w:szCs w:val="24"/>
              </w:rPr>
              <w:t>年均浓度占标率为38.33%，NO</w:t>
            </w:r>
            <w:r>
              <w:rPr>
                <w:rFonts w:hint="eastAsia"/>
                <w:color w:val="auto"/>
                <w:sz w:val="24"/>
                <w:szCs w:val="24"/>
                <w:vertAlign w:val="subscript"/>
              </w:rPr>
              <w:t>2</w:t>
            </w:r>
            <w:r>
              <w:rPr>
                <w:rFonts w:hint="eastAsia"/>
                <w:color w:val="auto"/>
                <w:sz w:val="24"/>
                <w:szCs w:val="24"/>
              </w:rPr>
              <w:t>年均浓度占标率为67.50%，PM</w:t>
            </w:r>
            <w:r>
              <w:rPr>
                <w:rFonts w:hint="eastAsia"/>
                <w:color w:val="auto"/>
                <w:sz w:val="24"/>
                <w:szCs w:val="24"/>
                <w:vertAlign w:val="subscript"/>
              </w:rPr>
              <w:t>10</w:t>
            </w:r>
            <w:r>
              <w:rPr>
                <w:rFonts w:hint="eastAsia"/>
                <w:color w:val="auto"/>
                <w:sz w:val="24"/>
                <w:szCs w:val="24"/>
              </w:rPr>
              <w:t>年均浓度占标率为111.43%，PM</w:t>
            </w:r>
            <w:r>
              <w:rPr>
                <w:rFonts w:hint="eastAsia"/>
                <w:color w:val="auto"/>
                <w:sz w:val="24"/>
                <w:szCs w:val="24"/>
                <w:vertAlign w:val="subscript"/>
              </w:rPr>
              <w:t>2.5</w:t>
            </w:r>
            <w:r>
              <w:rPr>
                <w:rFonts w:hint="eastAsia"/>
                <w:color w:val="auto"/>
                <w:sz w:val="24"/>
                <w:szCs w:val="24"/>
              </w:rPr>
              <w:t>年均浓度占标率为82.86%，CO的24小时平均第95百分位数占标率为35.00%，O</w:t>
            </w:r>
            <w:r>
              <w:rPr>
                <w:rFonts w:hint="eastAsia"/>
                <w:color w:val="auto"/>
                <w:sz w:val="24"/>
                <w:szCs w:val="24"/>
                <w:vertAlign w:val="subscript"/>
              </w:rPr>
              <w:t>3</w:t>
            </w:r>
            <w:r>
              <w:rPr>
                <w:rFonts w:hint="eastAsia"/>
                <w:color w:val="auto"/>
                <w:sz w:val="24"/>
                <w:szCs w:val="24"/>
              </w:rPr>
              <w:t>的日最大8小时滑动平均值的第90百分位数浓度占标率为93.72%，</w:t>
            </w:r>
            <w:bookmarkStart w:id="3" w:name="_Hlk5610171"/>
            <w:r>
              <w:rPr>
                <w:rFonts w:hint="eastAsia"/>
                <w:color w:val="auto"/>
                <w:sz w:val="24"/>
                <w:szCs w:val="24"/>
              </w:rPr>
              <w:t>六项基本污染物</w:t>
            </w:r>
            <w:r>
              <w:rPr>
                <w:rFonts w:hint="eastAsia"/>
                <w:bCs/>
                <w:snapToGrid w:val="0"/>
                <w:color w:val="auto"/>
                <w:kern w:val="0"/>
                <w:sz w:val="24"/>
                <w:szCs w:val="24"/>
              </w:rPr>
              <w:t>中</w:t>
            </w:r>
            <w:r>
              <w:rPr>
                <w:rFonts w:hint="eastAsia"/>
                <w:color w:val="auto"/>
                <w:sz w:val="24"/>
                <w:szCs w:val="24"/>
              </w:rPr>
              <w:t>PM</w:t>
            </w:r>
            <w:r>
              <w:rPr>
                <w:rFonts w:hint="eastAsia"/>
                <w:color w:val="auto"/>
                <w:sz w:val="24"/>
                <w:szCs w:val="24"/>
                <w:vertAlign w:val="subscript"/>
              </w:rPr>
              <w:t>10</w:t>
            </w:r>
            <w:r>
              <w:rPr>
                <w:rFonts w:hint="eastAsia"/>
                <w:color w:val="auto"/>
                <w:sz w:val="24"/>
                <w:szCs w:val="24"/>
              </w:rPr>
              <w:t>年平均浓度</w:t>
            </w:r>
            <w:r>
              <w:rPr>
                <w:rFonts w:hint="eastAsia"/>
                <w:bCs/>
                <w:snapToGrid w:val="0"/>
                <w:color w:val="auto"/>
                <w:kern w:val="0"/>
                <w:sz w:val="24"/>
                <w:szCs w:val="24"/>
              </w:rPr>
              <w:t>超标</w:t>
            </w:r>
            <w:bookmarkEnd w:id="3"/>
            <w:r>
              <w:rPr>
                <w:rFonts w:hint="eastAsia"/>
                <w:bCs/>
                <w:snapToGrid w:val="0"/>
                <w:color w:val="auto"/>
                <w:kern w:val="0"/>
                <w:sz w:val="24"/>
                <w:szCs w:val="24"/>
              </w:rPr>
              <w:t>；</w:t>
            </w:r>
            <w:r>
              <w:rPr>
                <w:rFonts w:hint="eastAsia"/>
                <w:color w:val="auto"/>
                <w:sz w:val="24"/>
                <w:szCs w:val="24"/>
              </w:rPr>
              <w:t>因此，</w:t>
            </w:r>
            <w:r>
              <w:rPr>
                <w:rFonts w:hint="eastAsia"/>
                <w:bCs/>
                <w:color w:val="auto"/>
                <w:sz w:val="24"/>
                <w:szCs w:val="24"/>
              </w:rPr>
              <w:t>繁峙县</w:t>
            </w:r>
            <w:r>
              <w:rPr>
                <w:rFonts w:hint="eastAsia"/>
                <w:color w:val="auto"/>
                <w:sz w:val="24"/>
                <w:szCs w:val="24"/>
              </w:rPr>
              <w:t>为不达标区。</w:t>
            </w:r>
          </w:p>
          <w:p>
            <w:pPr>
              <w:spacing w:line="480" w:lineRule="exact"/>
              <w:ind w:firstLine="482" w:firstLineChars="200"/>
              <w:rPr>
                <w:b/>
                <w:color w:val="auto"/>
                <w:sz w:val="24"/>
              </w:rPr>
            </w:pPr>
            <w:r>
              <w:rPr>
                <w:rFonts w:hint="eastAsia"/>
                <w:b/>
                <w:color w:val="auto"/>
                <w:sz w:val="24"/>
              </w:rPr>
              <w:t>（2）</w:t>
            </w:r>
            <w:r>
              <w:rPr>
                <w:rFonts w:hint="eastAsia"/>
                <w:b/>
                <w:bCs/>
                <w:color w:val="auto"/>
                <w:kern w:val="0"/>
                <w:sz w:val="24"/>
              </w:rPr>
              <w:t>区域污染物质量现状监测与评价</w:t>
            </w:r>
          </w:p>
          <w:p>
            <w:pPr>
              <w:spacing w:line="480" w:lineRule="exact"/>
              <w:ind w:firstLine="480" w:firstLineChars="200"/>
              <w:rPr>
                <w:color w:val="auto"/>
                <w:sz w:val="24"/>
              </w:rPr>
            </w:pPr>
            <w:r>
              <w:rPr>
                <w:rFonts w:hint="eastAsia"/>
                <w:bCs/>
                <w:color w:val="auto"/>
                <w:sz w:val="24"/>
              </w:rPr>
              <w:t>本次评价由建设单位委托山西绿澈环保科技有限公司于2022年5月1日-3日对拟建厂址主导风向下风向云雾峪村进行了为期3天的环境空气污染物质量现状补充监测。</w:t>
            </w:r>
            <w:r>
              <w:rPr>
                <w:rFonts w:hint="eastAsia"/>
                <w:color w:val="auto"/>
                <w:sz w:val="24"/>
                <w:szCs w:val="20"/>
              </w:rPr>
              <w:t>监测点位、项目、频次、时间及要求见下表。监测布点图见图3-1。</w:t>
            </w:r>
          </w:p>
          <w:p>
            <w:pPr>
              <w:spacing w:line="480" w:lineRule="exact"/>
              <w:jc w:val="center"/>
              <w:rPr>
                <w:rFonts w:ascii="黑体" w:hAnsi="黑体" w:eastAsia="黑体"/>
                <w:bCs/>
                <w:color w:val="auto"/>
                <w:sz w:val="24"/>
                <w:szCs w:val="32"/>
              </w:rPr>
            </w:pPr>
          </w:p>
          <w:p>
            <w:pPr>
              <w:spacing w:line="480" w:lineRule="exact"/>
              <w:jc w:val="center"/>
              <w:rPr>
                <w:rFonts w:ascii="黑体" w:hAnsi="黑体" w:eastAsia="黑体"/>
                <w:bCs/>
                <w:color w:val="auto"/>
                <w:sz w:val="24"/>
                <w:szCs w:val="32"/>
              </w:rPr>
            </w:pPr>
          </w:p>
          <w:p>
            <w:pPr>
              <w:spacing w:line="480" w:lineRule="exact"/>
              <w:jc w:val="center"/>
              <w:rPr>
                <w:rFonts w:ascii="黑体" w:hAnsi="黑体" w:eastAsia="黑体"/>
                <w:bCs/>
                <w:color w:val="auto"/>
                <w:sz w:val="24"/>
                <w:szCs w:val="32"/>
              </w:rPr>
            </w:pPr>
          </w:p>
          <w:p>
            <w:pPr>
              <w:spacing w:line="480" w:lineRule="exact"/>
              <w:jc w:val="center"/>
              <w:rPr>
                <w:rFonts w:ascii="黑体" w:hAnsi="黑体" w:eastAsia="黑体"/>
                <w:bCs/>
                <w:color w:val="auto"/>
                <w:sz w:val="24"/>
                <w:szCs w:val="32"/>
              </w:rPr>
            </w:pP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表3-2  区域大气污染物质量现状监测点位、项目、频次一览表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446"/>
              <w:gridCol w:w="1068"/>
              <w:gridCol w:w="1206"/>
              <w:gridCol w:w="1751"/>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pct"/>
                  <w:vAlign w:val="center"/>
                </w:tcPr>
                <w:p>
                  <w:pPr>
                    <w:jc w:val="center"/>
                    <w:rPr>
                      <w:color w:val="auto"/>
                    </w:rPr>
                  </w:pPr>
                  <w:r>
                    <w:rPr>
                      <w:rFonts w:hint="eastAsia"/>
                      <w:color w:val="auto"/>
                    </w:rPr>
                    <w:t>监测</w:t>
                  </w:r>
                </w:p>
                <w:p>
                  <w:pPr>
                    <w:jc w:val="center"/>
                    <w:rPr>
                      <w:color w:val="auto"/>
                    </w:rPr>
                  </w:pPr>
                  <w:r>
                    <w:rPr>
                      <w:rFonts w:hint="eastAsia"/>
                      <w:color w:val="auto"/>
                    </w:rPr>
                    <w:t>类别</w:t>
                  </w:r>
                </w:p>
              </w:tc>
              <w:tc>
                <w:tcPr>
                  <w:tcW w:w="861" w:type="pct"/>
                  <w:vAlign w:val="center"/>
                </w:tcPr>
                <w:p>
                  <w:pPr>
                    <w:jc w:val="center"/>
                    <w:rPr>
                      <w:color w:val="auto"/>
                    </w:rPr>
                  </w:pPr>
                  <w:r>
                    <w:rPr>
                      <w:rFonts w:hint="eastAsia"/>
                      <w:color w:val="auto"/>
                    </w:rPr>
                    <w:t>点位</w:t>
                  </w:r>
                </w:p>
              </w:tc>
              <w:tc>
                <w:tcPr>
                  <w:tcW w:w="636" w:type="pct"/>
                  <w:vAlign w:val="center"/>
                </w:tcPr>
                <w:p>
                  <w:pPr>
                    <w:jc w:val="center"/>
                    <w:rPr>
                      <w:color w:val="auto"/>
                    </w:rPr>
                  </w:pPr>
                  <w:r>
                    <w:rPr>
                      <w:rFonts w:hint="eastAsia"/>
                      <w:color w:val="auto"/>
                    </w:rPr>
                    <w:t>方位</w:t>
                  </w:r>
                </w:p>
                <w:p>
                  <w:pPr>
                    <w:jc w:val="center"/>
                    <w:rPr>
                      <w:color w:val="auto"/>
                    </w:rPr>
                  </w:pPr>
                  <w:r>
                    <w:rPr>
                      <w:rFonts w:hint="eastAsia"/>
                      <w:color w:val="auto"/>
                    </w:rPr>
                    <w:t>距离</w:t>
                  </w:r>
                </w:p>
              </w:tc>
              <w:tc>
                <w:tcPr>
                  <w:tcW w:w="718" w:type="pct"/>
                  <w:vAlign w:val="center"/>
                </w:tcPr>
                <w:p>
                  <w:pPr>
                    <w:jc w:val="center"/>
                    <w:rPr>
                      <w:color w:val="auto"/>
                    </w:rPr>
                  </w:pPr>
                  <w:r>
                    <w:rPr>
                      <w:rFonts w:hint="eastAsia"/>
                      <w:color w:val="auto"/>
                    </w:rPr>
                    <w:t>监测项目</w:t>
                  </w:r>
                </w:p>
              </w:tc>
              <w:tc>
                <w:tcPr>
                  <w:tcW w:w="1043" w:type="pct"/>
                  <w:vAlign w:val="center"/>
                </w:tcPr>
                <w:p>
                  <w:pPr>
                    <w:jc w:val="center"/>
                    <w:rPr>
                      <w:color w:val="auto"/>
                    </w:rPr>
                  </w:pPr>
                  <w:r>
                    <w:rPr>
                      <w:rFonts w:hint="eastAsia"/>
                      <w:color w:val="auto"/>
                    </w:rPr>
                    <w:t>监测频次、时间</w:t>
                  </w:r>
                </w:p>
              </w:tc>
              <w:tc>
                <w:tcPr>
                  <w:tcW w:w="1034"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pct"/>
                  <w:vMerge w:val="restart"/>
                  <w:vAlign w:val="center"/>
                </w:tcPr>
                <w:p>
                  <w:pPr>
                    <w:jc w:val="center"/>
                    <w:rPr>
                      <w:color w:val="auto"/>
                    </w:rPr>
                  </w:pPr>
                  <w:r>
                    <w:rPr>
                      <w:rFonts w:hint="eastAsia"/>
                      <w:color w:val="auto"/>
                    </w:rPr>
                    <w:t>区域大气污染物</w:t>
                  </w:r>
                </w:p>
              </w:tc>
              <w:tc>
                <w:tcPr>
                  <w:tcW w:w="861" w:type="pct"/>
                  <w:vAlign w:val="center"/>
                </w:tcPr>
                <w:p>
                  <w:pPr>
                    <w:jc w:val="center"/>
                    <w:rPr>
                      <w:color w:val="auto"/>
                    </w:rPr>
                  </w:pPr>
                  <w:r>
                    <w:rPr>
                      <w:rFonts w:hint="eastAsia"/>
                      <w:color w:val="auto"/>
                    </w:rPr>
                    <w:t>云雾峪村居住区1#</w:t>
                  </w:r>
                </w:p>
              </w:tc>
              <w:tc>
                <w:tcPr>
                  <w:tcW w:w="636" w:type="pct"/>
                  <w:vAlign w:val="center"/>
                </w:tcPr>
                <w:p>
                  <w:pPr>
                    <w:jc w:val="center"/>
                    <w:rPr>
                      <w:color w:val="auto"/>
                    </w:rPr>
                  </w:pPr>
                  <w:r>
                    <w:rPr>
                      <w:rFonts w:hint="eastAsia"/>
                      <w:color w:val="auto"/>
                    </w:rPr>
                    <w:t>NW</w:t>
                  </w:r>
                </w:p>
                <w:p>
                  <w:pPr>
                    <w:jc w:val="center"/>
                    <w:rPr>
                      <w:color w:val="auto"/>
                    </w:rPr>
                  </w:pPr>
                  <w:r>
                    <w:rPr>
                      <w:rFonts w:hint="eastAsia"/>
                      <w:color w:val="auto"/>
                    </w:rPr>
                    <w:t>50m</w:t>
                  </w:r>
                </w:p>
              </w:tc>
              <w:tc>
                <w:tcPr>
                  <w:tcW w:w="718" w:type="pct"/>
                  <w:vAlign w:val="center"/>
                </w:tcPr>
                <w:p>
                  <w:pPr>
                    <w:jc w:val="center"/>
                    <w:rPr>
                      <w:color w:val="auto"/>
                    </w:rPr>
                  </w:pPr>
                  <w:r>
                    <w:rPr>
                      <w:rFonts w:hint="eastAsia"/>
                      <w:color w:val="auto"/>
                    </w:rPr>
                    <w:t>TSP</w:t>
                  </w:r>
                </w:p>
              </w:tc>
              <w:tc>
                <w:tcPr>
                  <w:tcW w:w="1043" w:type="pct"/>
                  <w:vMerge w:val="restart"/>
                  <w:vAlign w:val="center"/>
                </w:tcPr>
                <w:p>
                  <w:pPr>
                    <w:jc w:val="center"/>
                    <w:rPr>
                      <w:color w:val="auto"/>
                    </w:rPr>
                  </w:pPr>
                  <w:r>
                    <w:rPr>
                      <w:rFonts w:hint="eastAsia"/>
                      <w:color w:val="auto"/>
                    </w:rPr>
                    <w:t>2022年5月1日至3日，连续3d</w:t>
                  </w:r>
                </w:p>
              </w:tc>
              <w:tc>
                <w:tcPr>
                  <w:tcW w:w="1034" w:type="pct"/>
                  <w:vMerge w:val="restart"/>
                  <w:vAlign w:val="center"/>
                </w:tcPr>
                <w:p>
                  <w:pPr>
                    <w:jc w:val="center"/>
                    <w:rPr>
                      <w:color w:val="auto"/>
                    </w:rPr>
                  </w:pPr>
                  <w:r>
                    <w:rPr>
                      <w:rFonts w:hint="eastAsia"/>
                      <w:color w:val="auto"/>
                    </w:rPr>
                    <w:t>记录风向、风速、气温、气压等气象条件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pct"/>
                  <w:vMerge w:val="continue"/>
                  <w:vAlign w:val="center"/>
                </w:tcPr>
                <w:p>
                  <w:pPr>
                    <w:jc w:val="center"/>
                    <w:rPr>
                      <w:color w:val="auto"/>
                    </w:rPr>
                  </w:pPr>
                </w:p>
              </w:tc>
              <w:tc>
                <w:tcPr>
                  <w:tcW w:w="861" w:type="pct"/>
                  <w:vAlign w:val="center"/>
                </w:tcPr>
                <w:p>
                  <w:pPr>
                    <w:jc w:val="center"/>
                    <w:rPr>
                      <w:color w:val="auto"/>
                    </w:rPr>
                  </w:pPr>
                  <w:r>
                    <w:rPr>
                      <w:rFonts w:hint="eastAsia"/>
                      <w:color w:val="auto"/>
                    </w:rPr>
                    <w:t>云雾峪村居住区2#</w:t>
                  </w:r>
                </w:p>
              </w:tc>
              <w:tc>
                <w:tcPr>
                  <w:tcW w:w="636" w:type="pct"/>
                  <w:vAlign w:val="center"/>
                </w:tcPr>
                <w:p>
                  <w:pPr>
                    <w:jc w:val="center"/>
                    <w:rPr>
                      <w:color w:val="auto"/>
                    </w:rPr>
                  </w:pPr>
                  <w:r>
                    <w:rPr>
                      <w:rFonts w:hint="eastAsia"/>
                      <w:color w:val="auto"/>
                    </w:rPr>
                    <w:t>W</w:t>
                  </w:r>
                </w:p>
                <w:p>
                  <w:pPr>
                    <w:jc w:val="center"/>
                    <w:rPr>
                      <w:color w:val="auto"/>
                    </w:rPr>
                  </w:pPr>
                  <w:r>
                    <w:rPr>
                      <w:rFonts w:hint="eastAsia"/>
                      <w:color w:val="auto"/>
                    </w:rPr>
                    <w:t>50m</w:t>
                  </w:r>
                </w:p>
              </w:tc>
              <w:tc>
                <w:tcPr>
                  <w:tcW w:w="718" w:type="pct"/>
                  <w:vAlign w:val="center"/>
                </w:tcPr>
                <w:p>
                  <w:pPr>
                    <w:jc w:val="center"/>
                    <w:rPr>
                      <w:color w:val="auto"/>
                    </w:rPr>
                  </w:pPr>
                  <w:r>
                    <w:rPr>
                      <w:rFonts w:hint="eastAsia"/>
                      <w:color w:val="auto"/>
                    </w:rPr>
                    <w:t>TSP</w:t>
                  </w:r>
                </w:p>
              </w:tc>
              <w:tc>
                <w:tcPr>
                  <w:tcW w:w="1043" w:type="pct"/>
                  <w:vMerge w:val="continue"/>
                  <w:vAlign w:val="center"/>
                </w:tcPr>
                <w:p>
                  <w:pPr>
                    <w:jc w:val="center"/>
                    <w:rPr>
                      <w:color w:val="auto"/>
                    </w:rPr>
                  </w:pPr>
                </w:p>
              </w:tc>
              <w:tc>
                <w:tcPr>
                  <w:tcW w:w="1034" w:type="pct"/>
                  <w:vMerge w:val="continue"/>
                  <w:vAlign w:val="center"/>
                </w:tcPr>
                <w:p>
                  <w:pPr>
                    <w:jc w:val="center"/>
                    <w:rPr>
                      <w:color w:val="auto"/>
                    </w:rPr>
                  </w:pPr>
                </w:p>
              </w:tc>
            </w:tr>
          </w:tbl>
          <w:p>
            <w:pPr>
              <w:jc w:val="center"/>
              <w:rPr>
                <w:color w:val="auto"/>
              </w:rPr>
            </w:pPr>
          </w:p>
          <w:p>
            <w:pPr>
              <w:jc w:val="center"/>
              <w:rPr>
                <w:color w:val="auto"/>
                <w:sz w:val="24"/>
              </w:rPr>
            </w:pPr>
            <w:r>
              <w:rPr>
                <w:rFonts w:hint="eastAsia"/>
                <w:color w:val="auto"/>
              </w:rPr>
              <w:drawing>
                <wp:inline distT="0" distB="0" distL="114300" distR="114300">
                  <wp:extent cx="5302885" cy="3181350"/>
                  <wp:effectExtent l="0" t="0" r="12065"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1"/>
                          <a:stretch>
                            <a:fillRect/>
                          </a:stretch>
                        </pic:blipFill>
                        <pic:spPr>
                          <a:xfrm>
                            <a:off x="0" y="0"/>
                            <a:ext cx="5302885" cy="3181350"/>
                          </a:xfrm>
                          <a:prstGeom prst="rect">
                            <a:avLst/>
                          </a:prstGeom>
                          <a:noFill/>
                          <a:ln>
                            <a:noFill/>
                          </a:ln>
                        </pic:spPr>
                      </pic:pic>
                    </a:graphicData>
                  </a:graphic>
                </wp:inline>
              </w:drawing>
            </w:r>
          </w:p>
          <w:p>
            <w:pPr>
              <w:spacing w:line="480" w:lineRule="exact"/>
              <w:jc w:val="center"/>
              <w:rPr>
                <w:color w:val="auto"/>
                <w:sz w:val="24"/>
              </w:rPr>
            </w:pPr>
            <w:r>
              <w:rPr>
                <w:rFonts w:hint="eastAsia" w:ascii="黑体" w:hAnsi="黑体" w:eastAsia="黑体"/>
                <w:color w:val="auto"/>
                <w:kern w:val="0"/>
                <w:sz w:val="24"/>
              </w:rPr>
              <w:t>图3-1  区域大气污染物质量现状监测布点图</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表3-3  监测分析方法一览表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955"/>
              <w:gridCol w:w="3033"/>
              <w:gridCol w:w="1951"/>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jc w:val="center"/>
                    <w:rPr>
                      <w:color w:val="auto"/>
                    </w:rPr>
                  </w:pPr>
                  <w:r>
                    <w:rPr>
                      <w:rFonts w:hint="eastAsia"/>
                      <w:color w:val="auto"/>
                    </w:rPr>
                    <w:t>监测类别</w:t>
                  </w:r>
                </w:p>
              </w:tc>
              <w:tc>
                <w:tcPr>
                  <w:tcW w:w="569" w:type="pct"/>
                  <w:vAlign w:val="center"/>
                </w:tcPr>
                <w:p>
                  <w:pPr>
                    <w:jc w:val="center"/>
                    <w:rPr>
                      <w:color w:val="auto"/>
                    </w:rPr>
                  </w:pPr>
                  <w:r>
                    <w:rPr>
                      <w:rFonts w:hint="eastAsia"/>
                      <w:color w:val="auto"/>
                    </w:rPr>
                    <w:t>监测项目</w:t>
                  </w:r>
                </w:p>
              </w:tc>
              <w:tc>
                <w:tcPr>
                  <w:tcW w:w="1808" w:type="pct"/>
                  <w:vAlign w:val="center"/>
                </w:tcPr>
                <w:p>
                  <w:pPr>
                    <w:jc w:val="center"/>
                    <w:rPr>
                      <w:color w:val="auto"/>
                    </w:rPr>
                  </w:pPr>
                  <w:r>
                    <w:rPr>
                      <w:rFonts w:hint="eastAsia"/>
                      <w:color w:val="auto"/>
                    </w:rPr>
                    <w:t>分析方法</w:t>
                  </w:r>
                </w:p>
              </w:tc>
              <w:tc>
                <w:tcPr>
                  <w:tcW w:w="1163" w:type="pct"/>
                  <w:vAlign w:val="center"/>
                </w:tcPr>
                <w:p>
                  <w:pPr>
                    <w:jc w:val="center"/>
                    <w:rPr>
                      <w:color w:val="auto"/>
                    </w:rPr>
                  </w:pPr>
                  <w:r>
                    <w:rPr>
                      <w:rFonts w:hint="eastAsia"/>
                      <w:color w:val="auto"/>
                    </w:rPr>
                    <w:t>方法来源</w:t>
                  </w:r>
                </w:p>
              </w:tc>
              <w:tc>
                <w:tcPr>
                  <w:tcW w:w="778" w:type="pct"/>
                  <w:vAlign w:val="center"/>
                </w:tcPr>
                <w:p>
                  <w:pPr>
                    <w:jc w:val="center"/>
                    <w:rPr>
                      <w:color w:val="auto"/>
                    </w:rPr>
                  </w:pPr>
                  <w:r>
                    <w:rPr>
                      <w:rFonts w:hint="eastAsia"/>
                      <w:color w:val="auto"/>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jc w:val="center"/>
                    <w:rPr>
                      <w:color w:val="auto"/>
                    </w:rPr>
                  </w:pPr>
                  <w:r>
                    <w:rPr>
                      <w:rFonts w:hint="eastAsia"/>
                      <w:color w:val="auto"/>
                    </w:rPr>
                    <w:t>环境空气</w:t>
                  </w:r>
                </w:p>
              </w:tc>
              <w:tc>
                <w:tcPr>
                  <w:tcW w:w="569" w:type="pct"/>
                  <w:vAlign w:val="center"/>
                </w:tcPr>
                <w:p>
                  <w:pPr>
                    <w:jc w:val="center"/>
                    <w:rPr>
                      <w:color w:val="auto"/>
                    </w:rPr>
                  </w:pPr>
                  <w:r>
                    <w:rPr>
                      <w:rFonts w:hint="eastAsia"/>
                      <w:color w:val="auto"/>
                    </w:rPr>
                    <w:t>TSP</w:t>
                  </w:r>
                </w:p>
              </w:tc>
              <w:tc>
                <w:tcPr>
                  <w:tcW w:w="1808" w:type="pct"/>
                  <w:vAlign w:val="center"/>
                </w:tcPr>
                <w:p>
                  <w:pPr>
                    <w:jc w:val="center"/>
                    <w:rPr>
                      <w:color w:val="auto"/>
                    </w:rPr>
                  </w:pPr>
                  <w:r>
                    <w:rPr>
                      <w:rFonts w:hint="eastAsia"/>
                      <w:color w:val="auto"/>
                    </w:rPr>
                    <w:t>环境空气 总悬浮颗粒物的测定 重量法</w:t>
                  </w:r>
                </w:p>
              </w:tc>
              <w:tc>
                <w:tcPr>
                  <w:tcW w:w="1163" w:type="pct"/>
                  <w:vAlign w:val="center"/>
                </w:tcPr>
                <w:p>
                  <w:pPr>
                    <w:jc w:val="center"/>
                    <w:rPr>
                      <w:color w:val="auto"/>
                    </w:rPr>
                  </w:pPr>
                  <w:r>
                    <w:rPr>
                      <w:rFonts w:hint="eastAsia"/>
                      <w:color w:val="auto"/>
                    </w:rPr>
                    <w:t>GB/T15432-1995</w:t>
                  </w:r>
                </w:p>
              </w:tc>
              <w:tc>
                <w:tcPr>
                  <w:tcW w:w="778" w:type="pct"/>
                  <w:vAlign w:val="center"/>
                </w:tcPr>
                <w:p>
                  <w:pPr>
                    <w:jc w:val="center"/>
                    <w:rPr>
                      <w:color w:val="auto"/>
                      <w:vertAlign w:val="superscript"/>
                    </w:rPr>
                  </w:pPr>
                  <w:r>
                    <w:rPr>
                      <w:rFonts w:hint="eastAsia"/>
                      <w:color w:val="auto"/>
                    </w:rPr>
                    <w:t>0.001mg/m</w:t>
                  </w:r>
                  <w:r>
                    <w:rPr>
                      <w:rFonts w:hint="eastAsia"/>
                      <w:color w:val="auto"/>
                      <w:vertAlign w:val="superscript"/>
                    </w:rPr>
                    <w:t>3</w:t>
                  </w:r>
                </w:p>
              </w:tc>
            </w:tr>
          </w:tbl>
          <w:p>
            <w:pPr>
              <w:spacing w:line="480" w:lineRule="exact"/>
              <w:ind w:firstLine="480" w:firstLineChars="200"/>
              <w:rPr>
                <w:bCs/>
                <w:color w:val="auto"/>
                <w:sz w:val="24"/>
              </w:rPr>
            </w:pPr>
            <w:r>
              <w:rPr>
                <w:rFonts w:hint="eastAsia"/>
                <w:bCs/>
                <w:color w:val="auto"/>
                <w:sz w:val="24"/>
              </w:rPr>
              <w:t>区域大气污染物现状评价标准值见表3-4。</w:t>
            </w:r>
          </w:p>
          <w:p>
            <w:pPr>
              <w:pStyle w:val="6"/>
              <w:spacing w:line="480" w:lineRule="exact"/>
              <w:ind w:firstLine="0"/>
              <w:jc w:val="center"/>
              <w:rPr>
                <w:rFonts w:ascii="黑体" w:hAnsi="黑体" w:eastAsia="黑体"/>
                <w:color w:val="auto"/>
                <w:sz w:val="24"/>
                <w:szCs w:val="21"/>
              </w:rPr>
            </w:pPr>
            <w:r>
              <w:rPr>
                <w:rFonts w:hint="eastAsia" w:ascii="黑体" w:hAnsi="黑体" w:eastAsia="黑体"/>
                <w:color w:val="auto"/>
                <w:sz w:val="24"/>
                <w:szCs w:val="21"/>
              </w:rPr>
              <w:t>表3-4  环境空气质量标准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364"/>
              <w:gridCol w:w="1195"/>
              <w:gridCol w:w="1211"/>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45" w:type="pct"/>
                  <w:vAlign w:val="center"/>
                </w:tcPr>
                <w:p>
                  <w:pPr>
                    <w:pStyle w:val="36"/>
                    <w:rPr>
                      <w:color w:val="auto"/>
                    </w:rPr>
                  </w:pPr>
                  <w:r>
                    <w:rPr>
                      <w:rFonts w:hint="eastAsia"/>
                      <w:color w:val="auto"/>
                    </w:rPr>
                    <w:t>污染物名称</w:t>
                  </w:r>
                </w:p>
              </w:tc>
              <w:tc>
                <w:tcPr>
                  <w:tcW w:w="813" w:type="pct"/>
                  <w:vAlign w:val="center"/>
                </w:tcPr>
                <w:p>
                  <w:pPr>
                    <w:pStyle w:val="36"/>
                    <w:rPr>
                      <w:color w:val="auto"/>
                    </w:rPr>
                  </w:pPr>
                  <w:r>
                    <w:rPr>
                      <w:rFonts w:hint="eastAsia"/>
                      <w:color w:val="auto"/>
                    </w:rPr>
                    <w:t>取值时间</w:t>
                  </w:r>
                </w:p>
              </w:tc>
              <w:tc>
                <w:tcPr>
                  <w:tcW w:w="712" w:type="pct"/>
                  <w:vAlign w:val="center"/>
                </w:tcPr>
                <w:p>
                  <w:pPr>
                    <w:pStyle w:val="36"/>
                    <w:rPr>
                      <w:color w:val="auto"/>
                    </w:rPr>
                  </w:pPr>
                  <w:r>
                    <w:rPr>
                      <w:rFonts w:hint="eastAsia"/>
                      <w:color w:val="auto"/>
                    </w:rPr>
                    <w:t>浓度限值</w:t>
                  </w:r>
                </w:p>
              </w:tc>
              <w:tc>
                <w:tcPr>
                  <w:tcW w:w="722" w:type="pct"/>
                  <w:vAlign w:val="center"/>
                </w:tcPr>
                <w:p>
                  <w:pPr>
                    <w:pStyle w:val="36"/>
                    <w:rPr>
                      <w:color w:val="auto"/>
                    </w:rPr>
                  </w:pPr>
                  <w:r>
                    <w:rPr>
                      <w:rFonts w:hint="eastAsia"/>
                      <w:color w:val="auto"/>
                    </w:rPr>
                    <w:t>浓度单位</w:t>
                  </w:r>
                </w:p>
              </w:tc>
              <w:tc>
                <w:tcPr>
                  <w:tcW w:w="2008" w:type="pct"/>
                  <w:vAlign w:val="center"/>
                </w:tcPr>
                <w:p>
                  <w:pPr>
                    <w:pStyle w:val="36"/>
                    <w:rPr>
                      <w:color w:val="auto"/>
                    </w:rPr>
                  </w:pPr>
                  <w:r>
                    <w:rPr>
                      <w:rFonts w:hint="eastAsia"/>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36"/>
                    <w:rPr>
                      <w:color w:val="auto"/>
                    </w:rPr>
                  </w:pPr>
                  <w:r>
                    <w:rPr>
                      <w:rFonts w:hint="eastAsia"/>
                      <w:color w:val="auto"/>
                    </w:rPr>
                    <w:t>TSP</w:t>
                  </w:r>
                </w:p>
              </w:tc>
              <w:tc>
                <w:tcPr>
                  <w:tcW w:w="813" w:type="pct"/>
                  <w:vAlign w:val="center"/>
                </w:tcPr>
                <w:p>
                  <w:pPr>
                    <w:pStyle w:val="36"/>
                    <w:rPr>
                      <w:color w:val="auto"/>
                    </w:rPr>
                  </w:pPr>
                  <w:r>
                    <w:rPr>
                      <w:rFonts w:hint="eastAsia"/>
                      <w:color w:val="auto"/>
                    </w:rPr>
                    <w:t>24小时平均</w:t>
                  </w:r>
                </w:p>
              </w:tc>
              <w:tc>
                <w:tcPr>
                  <w:tcW w:w="712" w:type="pct"/>
                  <w:vAlign w:val="center"/>
                </w:tcPr>
                <w:p>
                  <w:pPr>
                    <w:pStyle w:val="36"/>
                    <w:rPr>
                      <w:color w:val="auto"/>
                    </w:rPr>
                  </w:pPr>
                  <w:r>
                    <w:rPr>
                      <w:rFonts w:hint="eastAsia"/>
                      <w:color w:val="auto"/>
                    </w:rPr>
                    <w:t>300</w:t>
                  </w:r>
                </w:p>
              </w:tc>
              <w:tc>
                <w:tcPr>
                  <w:tcW w:w="722" w:type="pct"/>
                  <w:vAlign w:val="center"/>
                </w:tcPr>
                <w:p>
                  <w:pPr>
                    <w:pStyle w:val="36"/>
                    <w:rPr>
                      <w:color w:val="auto"/>
                      <w:vertAlign w:val="superscript"/>
                    </w:rPr>
                  </w:pPr>
                  <w:r>
                    <w:rPr>
                      <w:color w:val="auto"/>
                    </w:rPr>
                    <w:t>μg/m</w:t>
                  </w:r>
                  <w:r>
                    <w:rPr>
                      <w:color w:val="auto"/>
                      <w:vertAlign w:val="superscript"/>
                    </w:rPr>
                    <w:t>3</w:t>
                  </w:r>
                </w:p>
              </w:tc>
              <w:tc>
                <w:tcPr>
                  <w:tcW w:w="2008" w:type="pct"/>
                  <w:vAlign w:val="center"/>
                </w:tcPr>
                <w:p>
                  <w:pPr>
                    <w:pStyle w:val="36"/>
                    <w:rPr>
                      <w:color w:val="auto"/>
                    </w:rPr>
                  </w:pPr>
                  <w:r>
                    <w:rPr>
                      <w:rFonts w:hint="eastAsia"/>
                      <w:color w:val="auto"/>
                    </w:rPr>
                    <w:t>《环境空气质量标准》(GB3095-2012)</w:t>
                  </w:r>
                  <w:r>
                    <w:rPr>
                      <w:rFonts w:hint="eastAsia"/>
                      <w:color w:val="auto"/>
                      <w:sz w:val="24"/>
                      <w:szCs w:val="32"/>
                    </w:rPr>
                    <w:t xml:space="preserve"> </w:t>
                  </w:r>
                  <w:r>
                    <w:rPr>
                      <w:rFonts w:hint="eastAsia"/>
                      <w:color w:val="auto"/>
                    </w:rPr>
                    <w:t>及其修改单中TSP二级标准限值</w:t>
                  </w:r>
                </w:p>
              </w:tc>
            </w:tr>
          </w:tbl>
          <w:p>
            <w:pPr>
              <w:spacing w:line="480" w:lineRule="exact"/>
              <w:ind w:firstLine="480" w:firstLineChars="200"/>
              <w:rPr>
                <w:color w:val="auto"/>
                <w:sz w:val="24"/>
              </w:rPr>
            </w:pPr>
            <w:r>
              <w:rPr>
                <w:rFonts w:hint="eastAsia"/>
                <w:bCs/>
                <w:color w:val="auto"/>
                <w:sz w:val="24"/>
              </w:rPr>
              <w:t>区域大气污染物监测结果见下表。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 xml:space="preserve">表3-5  大气污染物监测结果一览表  </w:t>
            </w:r>
            <w:r>
              <w:rPr>
                <w:rFonts w:eastAsia="黑体"/>
                <w:bCs/>
                <w:color w:val="auto"/>
                <w:sz w:val="24"/>
                <w:szCs w:val="32"/>
              </w:rPr>
              <w:t>μg</w:t>
            </w:r>
            <w:r>
              <w:rPr>
                <w:rFonts w:hint="eastAsia" w:eastAsia="黑体"/>
                <w:bCs/>
                <w:color w:val="auto"/>
                <w:sz w:val="24"/>
                <w:szCs w:val="32"/>
              </w:rPr>
              <w:t>/m</w:t>
            </w:r>
            <w:r>
              <w:rPr>
                <w:rFonts w:hint="eastAsia" w:eastAsia="黑体"/>
                <w:bCs/>
                <w:color w:val="auto"/>
                <w:sz w:val="24"/>
                <w:szCs w:val="32"/>
                <w:vertAlign w:val="superscript"/>
              </w:rPr>
              <w:t>3</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968"/>
              <w:gridCol w:w="1643"/>
              <w:gridCol w:w="164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left w:val="single" w:color="auto" w:sz="4" w:space="0"/>
                    <w:tl2br w:val="single" w:color="auto" w:sz="4" w:space="0"/>
                  </w:tcBorders>
                  <w:vAlign w:val="center"/>
                </w:tcPr>
                <w:p>
                  <w:pPr>
                    <w:jc w:val="center"/>
                    <w:rPr>
                      <w:bCs/>
                      <w:color w:val="auto"/>
                    </w:rPr>
                  </w:pPr>
                  <w:r>
                    <w:rPr>
                      <w:rFonts w:hint="eastAsia"/>
                      <w:bCs/>
                      <w:color w:val="auto"/>
                    </w:rPr>
                    <w:t xml:space="preserve">      日期</w:t>
                  </w:r>
                </w:p>
                <w:p>
                  <w:pPr>
                    <w:rPr>
                      <w:bCs/>
                      <w:color w:val="auto"/>
                    </w:rPr>
                  </w:pPr>
                  <w:r>
                    <w:rPr>
                      <w:rFonts w:hint="eastAsia"/>
                      <w:bCs/>
                      <w:color w:val="auto"/>
                    </w:rPr>
                    <w:t>项目</w:t>
                  </w:r>
                </w:p>
              </w:tc>
              <w:tc>
                <w:tcPr>
                  <w:tcW w:w="1173" w:type="pct"/>
                  <w:vAlign w:val="center"/>
                </w:tcPr>
                <w:p>
                  <w:pPr>
                    <w:jc w:val="center"/>
                    <w:rPr>
                      <w:bCs/>
                      <w:color w:val="auto"/>
                    </w:rPr>
                  </w:pPr>
                  <w:r>
                    <w:rPr>
                      <w:rFonts w:hint="eastAsia"/>
                      <w:bCs/>
                      <w:color w:val="auto"/>
                    </w:rPr>
                    <w:t>监测点位</w:t>
                  </w:r>
                </w:p>
              </w:tc>
              <w:tc>
                <w:tcPr>
                  <w:tcW w:w="979" w:type="pct"/>
                  <w:vAlign w:val="center"/>
                </w:tcPr>
                <w:p>
                  <w:pPr>
                    <w:jc w:val="center"/>
                    <w:rPr>
                      <w:bCs/>
                      <w:color w:val="auto"/>
                    </w:rPr>
                  </w:pPr>
                  <w:r>
                    <w:rPr>
                      <w:rFonts w:hint="eastAsia"/>
                      <w:bCs/>
                      <w:color w:val="auto"/>
                    </w:rPr>
                    <w:t>2022.5.1</w:t>
                  </w:r>
                </w:p>
              </w:tc>
              <w:tc>
                <w:tcPr>
                  <w:tcW w:w="979" w:type="pct"/>
                  <w:vAlign w:val="center"/>
                </w:tcPr>
                <w:p>
                  <w:pPr>
                    <w:jc w:val="center"/>
                    <w:rPr>
                      <w:bCs/>
                      <w:color w:val="auto"/>
                    </w:rPr>
                  </w:pPr>
                  <w:r>
                    <w:rPr>
                      <w:rFonts w:hint="eastAsia"/>
                      <w:bCs/>
                      <w:color w:val="auto"/>
                    </w:rPr>
                    <w:t>2022.5.2</w:t>
                  </w:r>
                </w:p>
              </w:tc>
              <w:tc>
                <w:tcPr>
                  <w:tcW w:w="980" w:type="pct"/>
                  <w:vAlign w:val="center"/>
                </w:tcPr>
                <w:p>
                  <w:pPr>
                    <w:jc w:val="center"/>
                    <w:rPr>
                      <w:bCs/>
                      <w:color w:val="auto"/>
                    </w:rPr>
                  </w:pPr>
                  <w:r>
                    <w:rPr>
                      <w:rFonts w:hint="eastAsia"/>
                      <w:bCs/>
                      <w:color w:val="auto"/>
                    </w:rPr>
                    <w:t>2022.5.3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left w:val="single" w:color="auto" w:sz="4" w:space="0"/>
                  </w:tcBorders>
                  <w:vAlign w:val="center"/>
                </w:tcPr>
                <w:p>
                  <w:pPr>
                    <w:jc w:val="center"/>
                    <w:rPr>
                      <w:bCs/>
                      <w:color w:val="auto"/>
                    </w:rPr>
                  </w:pPr>
                  <w:r>
                    <w:rPr>
                      <w:rFonts w:hint="eastAsia"/>
                      <w:bCs/>
                      <w:color w:val="auto"/>
                    </w:rPr>
                    <w:t>TSP</w:t>
                  </w:r>
                </w:p>
              </w:tc>
              <w:tc>
                <w:tcPr>
                  <w:tcW w:w="1173" w:type="pct"/>
                  <w:vAlign w:val="center"/>
                </w:tcPr>
                <w:p>
                  <w:pPr>
                    <w:jc w:val="center"/>
                    <w:rPr>
                      <w:bCs/>
                      <w:color w:val="auto"/>
                    </w:rPr>
                  </w:pPr>
                  <w:r>
                    <w:rPr>
                      <w:rFonts w:hint="eastAsia"/>
                      <w:color w:val="auto"/>
                    </w:rPr>
                    <w:t>云雾峪村居住区1#</w:t>
                  </w:r>
                </w:p>
              </w:tc>
              <w:tc>
                <w:tcPr>
                  <w:tcW w:w="979" w:type="pct"/>
                  <w:vAlign w:val="center"/>
                </w:tcPr>
                <w:p>
                  <w:pPr>
                    <w:jc w:val="center"/>
                    <w:rPr>
                      <w:bCs/>
                      <w:color w:val="auto"/>
                    </w:rPr>
                  </w:pPr>
                  <w:r>
                    <w:rPr>
                      <w:rFonts w:hint="eastAsia"/>
                      <w:bCs/>
                      <w:color w:val="auto"/>
                    </w:rPr>
                    <w:t>183</w:t>
                  </w:r>
                </w:p>
              </w:tc>
              <w:tc>
                <w:tcPr>
                  <w:tcW w:w="979" w:type="pct"/>
                  <w:vAlign w:val="center"/>
                </w:tcPr>
                <w:p>
                  <w:pPr>
                    <w:jc w:val="center"/>
                    <w:rPr>
                      <w:bCs/>
                      <w:color w:val="auto"/>
                    </w:rPr>
                  </w:pPr>
                  <w:r>
                    <w:rPr>
                      <w:rFonts w:hint="eastAsia"/>
                      <w:bCs/>
                      <w:color w:val="auto"/>
                    </w:rPr>
                    <w:t>209</w:t>
                  </w:r>
                </w:p>
              </w:tc>
              <w:tc>
                <w:tcPr>
                  <w:tcW w:w="980" w:type="pct"/>
                  <w:vAlign w:val="center"/>
                </w:tcPr>
                <w:p>
                  <w:pPr>
                    <w:jc w:val="center"/>
                    <w:rPr>
                      <w:bCs/>
                      <w:color w:val="auto"/>
                    </w:rPr>
                  </w:pPr>
                  <w:r>
                    <w:rPr>
                      <w:rFonts w:hint="eastAsia"/>
                      <w:bCs/>
                      <w:color w:val="auto"/>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left w:val="single" w:color="auto" w:sz="4" w:space="0"/>
                  </w:tcBorders>
                  <w:vAlign w:val="center"/>
                </w:tcPr>
                <w:p>
                  <w:pPr>
                    <w:jc w:val="center"/>
                    <w:rPr>
                      <w:bCs/>
                      <w:color w:val="auto"/>
                    </w:rPr>
                  </w:pPr>
                  <w:r>
                    <w:rPr>
                      <w:rFonts w:hint="eastAsia"/>
                      <w:bCs/>
                      <w:color w:val="auto"/>
                    </w:rPr>
                    <w:t>TSP</w:t>
                  </w:r>
                </w:p>
              </w:tc>
              <w:tc>
                <w:tcPr>
                  <w:tcW w:w="1173" w:type="pct"/>
                  <w:vAlign w:val="center"/>
                </w:tcPr>
                <w:p>
                  <w:pPr>
                    <w:jc w:val="center"/>
                    <w:rPr>
                      <w:bCs/>
                      <w:color w:val="auto"/>
                    </w:rPr>
                  </w:pPr>
                  <w:r>
                    <w:rPr>
                      <w:rFonts w:hint="eastAsia"/>
                      <w:color w:val="auto"/>
                    </w:rPr>
                    <w:t>云雾峪村居住区2#</w:t>
                  </w:r>
                </w:p>
              </w:tc>
              <w:tc>
                <w:tcPr>
                  <w:tcW w:w="979" w:type="pct"/>
                  <w:vAlign w:val="center"/>
                </w:tcPr>
                <w:p>
                  <w:pPr>
                    <w:jc w:val="center"/>
                    <w:rPr>
                      <w:bCs/>
                      <w:color w:val="auto"/>
                    </w:rPr>
                  </w:pPr>
                  <w:r>
                    <w:rPr>
                      <w:rFonts w:hint="eastAsia"/>
                      <w:bCs/>
                      <w:color w:val="auto"/>
                    </w:rPr>
                    <w:t>189</w:t>
                  </w:r>
                </w:p>
              </w:tc>
              <w:tc>
                <w:tcPr>
                  <w:tcW w:w="979" w:type="pct"/>
                  <w:vAlign w:val="center"/>
                </w:tcPr>
                <w:p>
                  <w:pPr>
                    <w:jc w:val="center"/>
                    <w:rPr>
                      <w:bCs/>
                      <w:color w:val="auto"/>
                    </w:rPr>
                  </w:pPr>
                  <w:r>
                    <w:rPr>
                      <w:rFonts w:hint="eastAsia"/>
                      <w:bCs/>
                      <w:color w:val="auto"/>
                    </w:rPr>
                    <w:t>217</w:t>
                  </w:r>
                </w:p>
              </w:tc>
              <w:tc>
                <w:tcPr>
                  <w:tcW w:w="980" w:type="pct"/>
                  <w:vAlign w:val="center"/>
                </w:tcPr>
                <w:p>
                  <w:pPr>
                    <w:jc w:val="center"/>
                    <w:rPr>
                      <w:bCs/>
                      <w:color w:val="auto"/>
                    </w:rPr>
                  </w:pPr>
                  <w:r>
                    <w:rPr>
                      <w:rFonts w:hint="eastAsia"/>
                      <w:bCs/>
                      <w:color w:val="auto"/>
                    </w:rPr>
                    <w:t>176</w:t>
                  </w:r>
                </w:p>
              </w:tc>
            </w:tr>
          </w:tbl>
          <w:p>
            <w:pPr>
              <w:spacing w:line="480" w:lineRule="exact"/>
              <w:ind w:firstLine="480" w:firstLineChars="200"/>
              <w:rPr>
                <w:color w:val="auto"/>
                <w:sz w:val="24"/>
              </w:rPr>
            </w:pPr>
            <w:r>
              <w:rPr>
                <w:rFonts w:hint="eastAsia"/>
                <w:color w:val="auto"/>
                <w:sz w:val="24"/>
                <w:szCs w:val="32"/>
              </w:rPr>
              <w:t>由上表可知，监测期间，云雾峪村环境空气中TSP日均浓度范围在176-217</w:t>
            </w:r>
            <w:r>
              <w:rPr>
                <w:color w:val="auto"/>
                <w:sz w:val="24"/>
                <w:szCs w:val="32"/>
              </w:rPr>
              <w:t>μg /m</w:t>
            </w:r>
            <w:r>
              <w:rPr>
                <w:color w:val="auto"/>
                <w:sz w:val="24"/>
                <w:szCs w:val="32"/>
                <w:vertAlign w:val="superscript"/>
              </w:rPr>
              <w:t>3</w:t>
            </w:r>
            <w:r>
              <w:rPr>
                <w:color w:val="auto"/>
                <w:sz w:val="24"/>
                <w:szCs w:val="32"/>
              </w:rPr>
              <w:t>之间，满足《环境空气质量标准》（GB3095-2012）及其修改单中TSP二级标准限值（300 μg/m</w:t>
            </w:r>
            <w:r>
              <w:rPr>
                <w:color w:val="auto"/>
                <w:sz w:val="24"/>
                <w:szCs w:val="32"/>
                <w:vertAlign w:val="superscript"/>
              </w:rPr>
              <w:t>3</w:t>
            </w:r>
            <w:r>
              <w:rPr>
                <w:color w:val="auto"/>
                <w:sz w:val="24"/>
                <w:szCs w:val="32"/>
              </w:rPr>
              <w:t>）要求；区域大气污染物现状质量浓度达标。</w:t>
            </w:r>
          </w:p>
          <w:p>
            <w:pPr>
              <w:adjustRightInd w:val="0"/>
              <w:snapToGrid w:val="0"/>
              <w:spacing w:line="480" w:lineRule="exact"/>
              <w:ind w:firstLine="482" w:firstLineChars="200"/>
              <w:rPr>
                <w:b/>
                <w:bCs/>
                <w:color w:val="auto"/>
                <w:kern w:val="0"/>
                <w:sz w:val="24"/>
              </w:rPr>
            </w:pPr>
            <w:r>
              <w:rPr>
                <w:rFonts w:hint="eastAsia"/>
                <w:b/>
                <w:bCs/>
                <w:color w:val="auto"/>
                <w:kern w:val="0"/>
                <w:sz w:val="24"/>
              </w:rPr>
              <w:t>2、</w:t>
            </w:r>
            <w:r>
              <w:rPr>
                <w:rFonts w:hint="eastAsia" w:hAnsi="宋体"/>
                <w:b/>
                <w:color w:val="auto"/>
                <w:sz w:val="24"/>
                <w:szCs w:val="32"/>
              </w:rPr>
              <w:t>地表</w:t>
            </w:r>
            <w:r>
              <w:rPr>
                <w:rFonts w:hint="eastAsia" w:hAnsi="宋体"/>
                <w:b/>
                <w:color w:val="auto"/>
                <w:sz w:val="24"/>
                <w:szCs w:val="32"/>
                <w:lang w:eastAsia="zh-CN"/>
              </w:rPr>
              <w:t>水</w:t>
            </w:r>
            <w:r>
              <w:rPr>
                <w:rFonts w:hint="eastAsia" w:hAnsi="宋体"/>
                <w:b/>
                <w:color w:val="auto"/>
                <w:sz w:val="24"/>
                <w:szCs w:val="32"/>
              </w:rPr>
              <w:t>环境质量现状</w:t>
            </w:r>
          </w:p>
          <w:p>
            <w:pPr>
              <w:spacing w:line="480" w:lineRule="exact"/>
              <w:ind w:firstLine="480" w:firstLineChars="200"/>
              <w:rPr>
                <w:bCs/>
                <w:color w:val="auto"/>
                <w:sz w:val="24"/>
              </w:rPr>
            </w:pPr>
            <w:r>
              <w:rPr>
                <w:rFonts w:hint="eastAsia"/>
                <w:bCs/>
                <w:color w:val="auto"/>
                <w:sz w:val="24"/>
              </w:rPr>
              <w:t>根据《山西省地表水环境功能区划》（DB14/67-2019），本项目所在区域地表水系为海河流域-滹沱河山区-滹沱河水系-滹沱河河流（源头至下茹越水库出口河段），水环境功能为一般源头水、地表水饮用水源补给区水源保护，执行《地表水环境质量标准》（GB）Ⅲ类标准。</w:t>
            </w:r>
          </w:p>
          <w:p>
            <w:pPr>
              <w:spacing w:line="480" w:lineRule="exact"/>
              <w:ind w:firstLine="480" w:firstLineChars="200"/>
              <w:rPr>
                <w:bCs/>
                <w:color w:val="auto"/>
                <w:sz w:val="24"/>
              </w:rPr>
            </w:pPr>
            <w:r>
              <w:rPr>
                <w:rFonts w:hint="eastAsia"/>
                <w:bCs/>
                <w:color w:val="auto"/>
                <w:sz w:val="24"/>
              </w:rPr>
              <w:t>本项目拟建厂址位于滹沱河南侧约3.8km处，位于下茹越水库出口断面（国考）上游区域；根据忻州市生态文明建设和污染防治攻坚战领导小组办公室发布的“关于忻州市2021年12月及全年地表水环境质量的通报”（忻污防办发</w:t>
            </w:r>
            <w:r>
              <w:rPr>
                <w:rFonts w:hint="eastAsia"/>
                <w:bCs/>
                <w:color w:val="auto"/>
                <w:sz w:val="24"/>
                <w:lang w:eastAsia="zh-CN"/>
              </w:rPr>
              <w:t>〔</w:t>
            </w:r>
            <w:r>
              <w:rPr>
                <w:rFonts w:hint="eastAsia"/>
                <w:bCs/>
                <w:color w:val="auto"/>
                <w:sz w:val="24"/>
              </w:rPr>
              <w:t>2022</w:t>
            </w:r>
            <w:r>
              <w:rPr>
                <w:rFonts w:hint="eastAsia"/>
                <w:bCs/>
                <w:color w:val="auto"/>
                <w:sz w:val="24"/>
                <w:lang w:eastAsia="zh-CN"/>
              </w:rPr>
              <w:t>〕</w:t>
            </w:r>
            <w:r>
              <w:rPr>
                <w:rFonts w:hint="eastAsia"/>
                <w:bCs/>
                <w:color w:val="auto"/>
                <w:sz w:val="24"/>
              </w:rPr>
              <w:t>1号），下茹越断面1月-12月为Ⅴ类水质，不满足Ⅲ类水质考核标准要求。</w:t>
            </w:r>
          </w:p>
          <w:p>
            <w:pPr>
              <w:spacing w:line="480" w:lineRule="exact"/>
              <w:ind w:firstLine="480" w:firstLineChars="200"/>
              <w:rPr>
                <w:color w:val="auto"/>
                <w:sz w:val="24"/>
              </w:rPr>
            </w:pPr>
            <w:r>
              <w:rPr>
                <w:rFonts w:hint="eastAsia"/>
                <w:color w:val="auto"/>
                <w:sz w:val="24"/>
              </w:rPr>
              <w:t>本项目产生的废水主要为储煤场淋控废水、洗车废水、生活污水以及初期雨水；其中储煤场淋控废水经淋控废水收集池收集沉淀处理后返回清水池回用；洗车废水经沉淀处理后全部回用；本项目使用旱厕，定期清掏用于农田施肥；生活盥洗废水于厂区泼洒抑尘；初期雨水经初期雨水收集池收集沉淀后回用于厂区道路浇洒抑尘；本项目无废水排放。</w:t>
            </w:r>
          </w:p>
          <w:p>
            <w:pPr>
              <w:adjustRightInd w:val="0"/>
              <w:snapToGrid w:val="0"/>
              <w:spacing w:line="480" w:lineRule="exact"/>
              <w:ind w:firstLine="482" w:firstLineChars="200"/>
              <w:rPr>
                <w:b/>
                <w:bCs/>
                <w:color w:val="auto"/>
                <w:kern w:val="0"/>
                <w:sz w:val="24"/>
              </w:rPr>
            </w:pPr>
            <w:r>
              <w:rPr>
                <w:rFonts w:hint="eastAsia"/>
                <w:b/>
                <w:bCs/>
                <w:color w:val="auto"/>
                <w:kern w:val="0"/>
                <w:sz w:val="24"/>
              </w:rPr>
              <w:t>3、</w:t>
            </w:r>
            <w:r>
              <w:rPr>
                <w:rFonts w:hint="eastAsia" w:hAnsi="宋体"/>
                <w:b/>
                <w:color w:val="auto"/>
                <w:sz w:val="24"/>
                <w:szCs w:val="32"/>
              </w:rPr>
              <w:t>声环境现状</w:t>
            </w:r>
          </w:p>
          <w:p>
            <w:pPr>
              <w:spacing w:line="480" w:lineRule="exact"/>
              <w:ind w:firstLine="480" w:firstLineChars="200"/>
              <w:rPr>
                <w:bCs/>
                <w:color w:val="auto"/>
                <w:sz w:val="24"/>
              </w:rPr>
            </w:pPr>
            <w:r>
              <w:rPr>
                <w:rFonts w:hint="eastAsia"/>
                <w:bCs/>
                <w:color w:val="auto"/>
                <w:sz w:val="24"/>
              </w:rPr>
              <w:t>本次评价由建设单位委托山西绿澈环保科技有限公司于2022年5月2日对</w:t>
            </w:r>
            <w:r>
              <w:rPr>
                <w:rFonts w:hint="eastAsia"/>
                <w:color w:val="auto"/>
                <w:sz w:val="24"/>
                <w:szCs w:val="32"/>
              </w:rPr>
              <w:t>厂界及敏感点声环境质量现状进行了监测，监测点位、项目、频次、时间及要求见下表。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表3-6  厂界声环境质量现状监测点位、项目、频次一览表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388"/>
              <w:gridCol w:w="1237"/>
              <w:gridCol w:w="1126"/>
              <w:gridCol w:w="1581"/>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6" w:type="pct"/>
                  <w:vAlign w:val="center"/>
                </w:tcPr>
                <w:p>
                  <w:pPr>
                    <w:jc w:val="center"/>
                    <w:rPr>
                      <w:color w:val="auto"/>
                    </w:rPr>
                  </w:pPr>
                  <w:r>
                    <w:rPr>
                      <w:rFonts w:hint="eastAsia"/>
                      <w:color w:val="auto"/>
                    </w:rPr>
                    <w:t>监测类别</w:t>
                  </w:r>
                </w:p>
              </w:tc>
              <w:tc>
                <w:tcPr>
                  <w:tcW w:w="827" w:type="pct"/>
                  <w:vAlign w:val="center"/>
                </w:tcPr>
                <w:p>
                  <w:pPr>
                    <w:jc w:val="center"/>
                    <w:rPr>
                      <w:color w:val="auto"/>
                    </w:rPr>
                  </w:pPr>
                  <w:r>
                    <w:rPr>
                      <w:rFonts w:hint="eastAsia"/>
                      <w:color w:val="auto"/>
                    </w:rPr>
                    <w:t>监测点位</w:t>
                  </w:r>
                </w:p>
              </w:tc>
              <w:tc>
                <w:tcPr>
                  <w:tcW w:w="737" w:type="pct"/>
                  <w:vAlign w:val="center"/>
                </w:tcPr>
                <w:p>
                  <w:pPr>
                    <w:jc w:val="center"/>
                    <w:rPr>
                      <w:color w:val="auto"/>
                    </w:rPr>
                  </w:pPr>
                  <w:r>
                    <w:rPr>
                      <w:rFonts w:hint="eastAsia"/>
                      <w:color w:val="auto"/>
                    </w:rPr>
                    <w:t>方位距离</w:t>
                  </w:r>
                </w:p>
              </w:tc>
              <w:tc>
                <w:tcPr>
                  <w:tcW w:w="671" w:type="pct"/>
                  <w:vAlign w:val="center"/>
                </w:tcPr>
                <w:p>
                  <w:pPr>
                    <w:jc w:val="center"/>
                    <w:rPr>
                      <w:color w:val="auto"/>
                    </w:rPr>
                  </w:pPr>
                  <w:r>
                    <w:rPr>
                      <w:rFonts w:hint="eastAsia"/>
                      <w:color w:val="auto"/>
                    </w:rPr>
                    <w:t>监测项目</w:t>
                  </w:r>
                </w:p>
              </w:tc>
              <w:tc>
                <w:tcPr>
                  <w:tcW w:w="942" w:type="pct"/>
                  <w:vAlign w:val="center"/>
                </w:tcPr>
                <w:p>
                  <w:pPr>
                    <w:jc w:val="center"/>
                    <w:rPr>
                      <w:color w:val="auto"/>
                    </w:rPr>
                  </w:pPr>
                  <w:r>
                    <w:rPr>
                      <w:rFonts w:hint="eastAsia"/>
                      <w:color w:val="auto"/>
                    </w:rPr>
                    <w:t>监测频次、时间</w:t>
                  </w:r>
                </w:p>
              </w:tc>
              <w:tc>
                <w:tcPr>
                  <w:tcW w:w="1125"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Align w:val="center"/>
                </w:tcPr>
                <w:p>
                  <w:pPr>
                    <w:jc w:val="center"/>
                    <w:rPr>
                      <w:color w:val="auto"/>
                    </w:rPr>
                  </w:pPr>
                  <w:r>
                    <w:rPr>
                      <w:rFonts w:hint="eastAsia"/>
                      <w:color w:val="auto"/>
                    </w:rPr>
                    <w:t>噪声</w:t>
                  </w:r>
                </w:p>
              </w:tc>
              <w:tc>
                <w:tcPr>
                  <w:tcW w:w="827" w:type="pct"/>
                  <w:vAlign w:val="center"/>
                </w:tcPr>
                <w:p>
                  <w:pPr>
                    <w:jc w:val="center"/>
                    <w:rPr>
                      <w:color w:val="auto"/>
                    </w:rPr>
                  </w:pPr>
                  <w:r>
                    <w:rPr>
                      <w:rFonts w:hint="eastAsia"/>
                      <w:color w:val="auto"/>
                    </w:rPr>
                    <w:t>厂界1#-12#</w:t>
                  </w:r>
                </w:p>
              </w:tc>
              <w:tc>
                <w:tcPr>
                  <w:tcW w:w="737" w:type="pct"/>
                  <w:vAlign w:val="center"/>
                </w:tcPr>
                <w:p>
                  <w:pPr>
                    <w:jc w:val="center"/>
                    <w:rPr>
                      <w:color w:val="auto"/>
                    </w:rPr>
                  </w:pPr>
                  <w:r>
                    <w:rPr>
                      <w:rFonts w:hint="eastAsia"/>
                      <w:color w:val="auto"/>
                    </w:rPr>
                    <w:t>/</w:t>
                  </w:r>
                </w:p>
              </w:tc>
              <w:tc>
                <w:tcPr>
                  <w:tcW w:w="671" w:type="pct"/>
                  <w:vMerge w:val="restart"/>
                  <w:vAlign w:val="center"/>
                </w:tcPr>
                <w:p>
                  <w:pPr>
                    <w:jc w:val="center"/>
                    <w:rPr>
                      <w:color w:val="auto"/>
                    </w:rPr>
                  </w:pPr>
                  <w:r>
                    <w:rPr>
                      <w:rFonts w:hint="eastAsia"/>
                      <w:color w:val="auto"/>
                    </w:rPr>
                    <w:t>L</w:t>
                  </w:r>
                  <w:r>
                    <w:rPr>
                      <w:rFonts w:hint="eastAsia"/>
                      <w:color w:val="auto"/>
                      <w:vertAlign w:val="subscript"/>
                    </w:rPr>
                    <w:t>eq</w:t>
                  </w:r>
                </w:p>
              </w:tc>
              <w:tc>
                <w:tcPr>
                  <w:tcW w:w="942" w:type="pct"/>
                  <w:vMerge w:val="restart"/>
                  <w:vAlign w:val="center"/>
                </w:tcPr>
                <w:p>
                  <w:pPr>
                    <w:jc w:val="center"/>
                    <w:rPr>
                      <w:color w:val="auto"/>
                    </w:rPr>
                  </w:pPr>
                  <w:r>
                    <w:rPr>
                      <w:rFonts w:hint="eastAsia"/>
                      <w:color w:val="auto"/>
                    </w:rPr>
                    <w:t>监测1天，昼夜各1次</w:t>
                  </w:r>
                </w:p>
              </w:tc>
              <w:tc>
                <w:tcPr>
                  <w:tcW w:w="1125" w:type="pct"/>
                  <w:vMerge w:val="restart"/>
                  <w:vAlign w:val="center"/>
                </w:tcPr>
                <w:p>
                  <w:pPr>
                    <w:jc w:val="center"/>
                    <w:rPr>
                      <w:color w:val="auto"/>
                    </w:rPr>
                  </w:pPr>
                  <w:r>
                    <w:rPr>
                      <w:rFonts w:hint="eastAsia"/>
                      <w:color w:val="auto"/>
                    </w:rPr>
                    <w:t>无雨雪、雷电天气，风速＜5m/s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Align w:val="center"/>
                </w:tcPr>
                <w:p>
                  <w:pPr>
                    <w:jc w:val="center"/>
                    <w:rPr>
                      <w:color w:val="auto"/>
                    </w:rPr>
                  </w:pPr>
                  <w:r>
                    <w:rPr>
                      <w:rFonts w:hint="eastAsia"/>
                      <w:color w:val="auto"/>
                    </w:rPr>
                    <w:t>噪声</w:t>
                  </w:r>
                </w:p>
              </w:tc>
              <w:tc>
                <w:tcPr>
                  <w:tcW w:w="827" w:type="pct"/>
                  <w:vAlign w:val="center"/>
                </w:tcPr>
                <w:p>
                  <w:pPr>
                    <w:jc w:val="center"/>
                    <w:rPr>
                      <w:color w:val="auto"/>
                    </w:rPr>
                  </w:pPr>
                  <w:r>
                    <w:rPr>
                      <w:rFonts w:hint="eastAsia"/>
                      <w:color w:val="auto"/>
                    </w:rPr>
                    <w:t>云雾峪村</w:t>
                  </w:r>
                </w:p>
              </w:tc>
              <w:tc>
                <w:tcPr>
                  <w:tcW w:w="737" w:type="pct"/>
                  <w:vAlign w:val="center"/>
                </w:tcPr>
                <w:p>
                  <w:pPr>
                    <w:jc w:val="center"/>
                    <w:rPr>
                      <w:color w:val="auto"/>
                    </w:rPr>
                  </w:pPr>
                  <w:r>
                    <w:rPr>
                      <w:rFonts w:hint="eastAsia"/>
                      <w:color w:val="auto"/>
                    </w:rPr>
                    <w:t>NW 50m</w:t>
                  </w:r>
                </w:p>
              </w:tc>
              <w:tc>
                <w:tcPr>
                  <w:tcW w:w="671" w:type="pct"/>
                  <w:vMerge w:val="continue"/>
                  <w:vAlign w:val="center"/>
                </w:tcPr>
                <w:p>
                  <w:pPr>
                    <w:jc w:val="center"/>
                    <w:rPr>
                      <w:color w:val="auto"/>
                    </w:rPr>
                  </w:pPr>
                </w:p>
              </w:tc>
              <w:tc>
                <w:tcPr>
                  <w:tcW w:w="942" w:type="pct"/>
                  <w:vMerge w:val="continue"/>
                  <w:vAlign w:val="center"/>
                </w:tcPr>
                <w:p>
                  <w:pPr>
                    <w:jc w:val="center"/>
                    <w:rPr>
                      <w:color w:val="auto"/>
                    </w:rPr>
                  </w:pPr>
                </w:p>
              </w:tc>
              <w:tc>
                <w:tcPr>
                  <w:tcW w:w="1125" w:type="pct"/>
                  <w:vMerge w:val="continue"/>
                  <w:vAlign w:val="center"/>
                </w:tcPr>
                <w:p>
                  <w:pPr>
                    <w:jc w:val="center"/>
                    <w:rPr>
                      <w:color w:val="auto"/>
                    </w:rPr>
                  </w:pPr>
                </w:p>
              </w:tc>
            </w:tr>
          </w:tbl>
          <w:p>
            <w:pPr>
              <w:spacing w:line="480" w:lineRule="exact"/>
              <w:ind w:firstLine="480" w:firstLineChars="200"/>
              <w:rPr>
                <w:bCs/>
                <w:color w:val="auto"/>
                <w:sz w:val="24"/>
              </w:rPr>
            </w:pPr>
            <w:r>
              <w:rPr>
                <w:rFonts w:hint="eastAsia"/>
                <w:bCs/>
                <w:color w:val="auto"/>
                <w:sz w:val="24"/>
              </w:rPr>
              <w:t>本项目监测分析方法见下表。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表3-7  监测分析方法一览表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2018"/>
              <w:gridCol w:w="2834"/>
              <w:gridCol w:w="1497"/>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1"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检测类别</w:t>
                  </w:r>
                </w:p>
              </w:tc>
              <w:tc>
                <w:tcPr>
                  <w:tcW w:w="1203"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检测项目</w:t>
                  </w:r>
                </w:p>
              </w:tc>
              <w:tc>
                <w:tcPr>
                  <w:tcW w:w="1689"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检测分析方法与依据</w:t>
                  </w:r>
                </w:p>
              </w:tc>
              <w:tc>
                <w:tcPr>
                  <w:tcW w:w="892"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color w:val="auto"/>
                      <w:sz w:val="21"/>
                      <w:szCs w:val="21"/>
                    </w:rPr>
                    <w:t>方法来源</w:t>
                  </w:r>
                </w:p>
              </w:tc>
              <w:tc>
                <w:tcPr>
                  <w:tcW w:w="725"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27"/>
                    <w:overflowPunct w:val="0"/>
                    <w:topLinePunct/>
                    <w:adjustRightInd/>
                    <w:snapToGrid/>
                    <w:spacing w:beforeLines="0" w:afterLines="0" w:line="240" w:lineRule="auto"/>
                    <w:rPr>
                      <w:rFonts w:ascii="Times New Roman"/>
                      <w:bCs/>
                      <w:color w:val="auto"/>
                      <w:sz w:val="21"/>
                      <w:szCs w:val="21"/>
                    </w:rPr>
                  </w:pPr>
                  <w:r>
                    <w:rPr>
                      <w:rFonts w:hint="eastAsia"/>
                      <w:color w:val="auto"/>
                      <w:sz w:val="21"/>
                      <w:szCs w:val="21"/>
                    </w:rPr>
                    <w:t>噪声</w:t>
                  </w:r>
                </w:p>
              </w:tc>
              <w:tc>
                <w:tcPr>
                  <w:tcW w:w="1203" w:type="pct"/>
                  <w:vAlign w:val="center"/>
                </w:tcPr>
                <w:p>
                  <w:pPr>
                    <w:jc w:val="center"/>
                    <w:rPr>
                      <w:bCs/>
                      <w:color w:val="auto"/>
                    </w:rPr>
                  </w:pPr>
                  <w:r>
                    <w:rPr>
                      <w:rFonts w:hint="eastAsia"/>
                      <w:color w:val="auto"/>
                    </w:rPr>
                    <w:t>Leq、L</w:t>
                  </w:r>
                  <w:r>
                    <w:rPr>
                      <w:rFonts w:hint="eastAsia"/>
                      <w:color w:val="auto"/>
                      <w:vertAlign w:val="subscript"/>
                    </w:rPr>
                    <w:t>10</w:t>
                  </w:r>
                  <w:r>
                    <w:rPr>
                      <w:rFonts w:hint="eastAsia"/>
                      <w:color w:val="auto"/>
                    </w:rPr>
                    <w:t>、L</w:t>
                  </w:r>
                  <w:r>
                    <w:rPr>
                      <w:rFonts w:hint="eastAsia"/>
                      <w:color w:val="auto"/>
                      <w:vertAlign w:val="subscript"/>
                    </w:rPr>
                    <w:t>50</w:t>
                  </w:r>
                  <w:r>
                    <w:rPr>
                      <w:rFonts w:hint="eastAsia"/>
                      <w:color w:val="auto"/>
                    </w:rPr>
                    <w:t>、L</w:t>
                  </w:r>
                  <w:r>
                    <w:rPr>
                      <w:rFonts w:hint="eastAsia"/>
                      <w:color w:val="auto"/>
                      <w:vertAlign w:val="subscript"/>
                    </w:rPr>
                    <w:t>90</w:t>
                  </w:r>
                </w:p>
              </w:tc>
              <w:tc>
                <w:tcPr>
                  <w:tcW w:w="1689" w:type="pct"/>
                  <w:vAlign w:val="center"/>
                </w:tcPr>
                <w:p>
                  <w:pPr>
                    <w:jc w:val="center"/>
                    <w:rPr>
                      <w:bCs/>
                      <w:color w:val="auto"/>
                    </w:rPr>
                  </w:pPr>
                  <w:r>
                    <w:rPr>
                      <w:rFonts w:hint="eastAsia"/>
                      <w:bCs/>
                      <w:color w:val="auto"/>
                    </w:rPr>
                    <w:t>《声环境质量标准》附录B</w:t>
                  </w:r>
                </w:p>
              </w:tc>
              <w:tc>
                <w:tcPr>
                  <w:tcW w:w="892" w:type="pct"/>
                  <w:vAlign w:val="center"/>
                </w:tcPr>
                <w:p>
                  <w:pPr>
                    <w:jc w:val="center"/>
                    <w:rPr>
                      <w:color w:val="auto"/>
                    </w:rPr>
                  </w:pPr>
                  <w:r>
                    <w:rPr>
                      <w:rFonts w:hint="eastAsia"/>
                      <w:color w:val="auto"/>
                    </w:rPr>
                    <w:t>GB3096-2008</w:t>
                  </w:r>
                </w:p>
              </w:tc>
              <w:tc>
                <w:tcPr>
                  <w:tcW w:w="725" w:type="pct"/>
                  <w:vAlign w:val="center"/>
                </w:tcPr>
                <w:p>
                  <w:pPr>
                    <w:jc w:val="center"/>
                    <w:rPr>
                      <w:color w:val="auto"/>
                    </w:rPr>
                  </w:pPr>
                  <w:r>
                    <w:rPr>
                      <w:rFonts w:hint="eastAsia"/>
                      <w:color w:val="auto"/>
                    </w:rPr>
                    <w:t>35dB(A)</w:t>
                  </w:r>
                </w:p>
              </w:tc>
            </w:tr>
          </w:tbl>
          <w:p>
            <w:pPr>
              <w:spacing w:line="480" w:lineRule="exact"/>
              <w:ind w:firstLine="480" w:firstLineChars="200"/>
              <w:rPr>
                <w:bCs/>
                <w:color w:val="auto"/>
                <w:sz w:val="24"/>
              </w:rPr>
            </w:pPr>
            <w:r>
              <w:rPr>
                <w:rFonts w:hint="eastAsia"/>
                <w:bCs/>
                <w:color w:val="auto"/>
                <w:sz w:val="24"/>
              </w:rPr>
              <w:t>声环境质量现状评价标准值见表3-8。</w:t>
            </w:r>
          </w:p>
          <w:p>
            <w:pPr>
              <w:pStyle w:val="6"/>
              <w:spacing w:line="480" w:lineRule="exact"/>
              <w:ind w:firstLine="0"/>
              <w:jc w:val="center"/>
              <w:rPr>
                <w:rFonts w:ascii="黑体" w:hAnsi="黑体" w:eastAsia="黑体"/>
                <w:color w:val="auto"/>
                <w:sz w:val="24"/>
                <w:szCs w:val="21"/>
              </w:rPr>
            </w:pPr>
            <w:r>
              <w:rPr>
                <w:rFonts w:hint="eastAsia" w:ascii="黑体" w:hAnsi="黑体" w:eastAsia="黑体"/>
                <w:color w:val="auto"/>
                <w:sz w:val="24"/>
                <w:szCs w:val="21"/>
              </w:rPr>
              <w:t>表3-8  声环境质量标准</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364"/>
              <w:gridCol w:w="1195"/>
              <w:gridCol w:w="1211"/>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Align w:val="center"/>
                </w:tcPr>
                <w:p>
                  <w:pPr>
                    <w:pStyle w:val="36"/>
                    <w:rPr>
                      <w:color w:val="auto"/>
                    </w:rPr>
                  </w:pPr>
                  <w:r>
                    <w:rPr>
                      <w:rFonts w:hint="eastAsia"/>
                      <w:color w:val="auto"/>
                    </w:rPr>
                    <w:t>污染物名称</w:t>
                  </w:r>
                </w:p>
              </w:tc>
              <w:tc>
                <w:tcPr>
                  <w:tcW w:w="813" w:type="pct"/>
                  <w:vAlign w:val="center"/>
                </w:tcPr>
                <w:p>
                  <w:pPr>
                    <w:pStyle w:val="36"/>
                    <w:rPr>
                      <w:color w:val="auto"/>
                    </w:rPr>
                  </w:pPr>
                  <w:r>
                    <w:rPr>
                      <w:rFonts w:hint="eastAsia"/>
                      <w:color w:val="auto"/>
                    </w:rPr>
                    <w:t>取值时间</w:t>
                  </w:r>
                </w:p>
              </w:tc>
              <w:tc>
                <w:tcPr>
                  <w:tcW w:w="712" w:type="pct"/>
                  <w:vAlign w:val="center"/>
                </w:tcPr>
                <w:p>
                  <w:pPr>
                    <w:pStyle w:val="36"/>
                    <w:rPr>
                      <w:color w:val="auto"/>
                    </w:rPr>
                  </w:pPr>
                  <w:r>
                    <w:rPr>
                      <w:rFonts w:hint="eastAsia"/>
                      <w:color w:val="auto"/>
                    </w:rPr>
                    <w:t>浓度限值</w:t>
                  </w:r>
                </w:p>
              </w:tc>
              <w:tc>
                <w:tcPr>
                  <w:tcW w:w="722" w:type="pct"/>
                  <w:vAlign w:val="center"/>
                </w:tcPr>
                <w:p>
                  <w:pPr>
                    <w:pStyle w:val="36"/>
                    <w:rPr>
                      <w:color w:val="auto"/>
                    </w:rPr>
                  </w:pPr>
                  <w:r>
                    <w:rPr>
                      <w:rFonts w:hint="eastAsia"/>
                      <w:color w:val="auto"/>
                    </w:rPr>
                    <w:t>浓度单位</w:t>
                  </w:r>
                </w:p>
              </w:tc>
              <w:tc>
                <w:tcPr>
                  <w:tcW w:w="2008" w:type="pct"/>
                  <w:vAlign w:val="center"/>
                </w:tcPr>
                <w:p>
                  <w:pPr>
                    <w:pStyle w:val="36"/>
                    <w:rPr>
                      <w:color w:val="auto"/>
                    </w:rPr>
                  </w:pPr>
                  <w:r>
                    <w:rPr>
                      <w:rFonts w:hint="eastAsia"/>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restart"/>
                  <w:vAlign w:val="center"/>
                </w:tcPr>
                <w:p>
                  <w:pPr>
                    <w:pStyle w:val="36"/>
                    <w:rPr>
                      <w:color w:val="auto"/>
                    </w:rPr>
                  </w:pPr>
                  <w:r>
                    <w:rPr>
                      <w:rFonts w:hint="eastAsia"/>
                      <w:color w:val="auto"/>
                    </w:rPr>
                    <w:t>噪声</w:t>
                  </w:r>
                </w:p>
              </w:tc>
              <w:tc>
                <w:tcPr>
                  <w:tcW w:w="813" w:type="pct"/>
                  <w:vAlign w:val="center"/>
                </w:tcPr>
                <w:p>
                  <w:pPr>
                    <w:pStyle w:val="36"/>
                    <w:rPr>
                      <w:color w:val="auto"/>
                    </w:rPr>
                  </w:pPr>
                  <w:r>
                    <w:rPr>
                      <w:rFonts w:hint="eastAsia"/>
                      <w:color w:val="auto"/>
                    </w:rPr>
                    <w:t>昼间</w:t>
                  </w:r>
                </w:p>
              </w:tc>
              <w:tc>
                <w:tcPr>
                  <w:tcW w:w="712" w:type="pct"/>
                  <w:vAlign w:val="center"/>
                </w:tcPr>
                <w:p>
                  <w:pPr>
                    <w:pStyle w:val="36"/>
                    <w:rPr>
                      <w:color w:val="auto"/>
                    </w:rPr>
                  </w:pPr>
                  <w:r>
                    <w:rPr>
                      <w:rFonts w:hint="eastAsia"/>
                      <w:color w:val="auto"/>
                    </w:rPr>
                    <w:t>60</w:t>
                  </w:r>
                </w:p>
              </w:tc>
              <w:tc>
                <w:tcPr>
                  <w:tcW w:w="722" w:type="pct"/>
                  <w:vAlign w:val="center"/>
                </w:tcPr>
                <w:p>
                  <w:pPr>
                    <w:pStyle w:val="36"/>
                    <w:rPr>
                      <w:color w:val="auto"/>
                    </w:rPr>
                  </w:pPr>
                  <w:r>
                    <w:rPr>
                      <w:rFonts w:hint="eastAsia"/>
                      <w:color w:val="auto"/>
                    </w:rPr>
                    <w:t>dB（A）</w:t>
                  </w:r>
                </w:p>
              </w:tc>
              <w:tc>
                <w:tcPr>
                  <w:tcW w:w="2008" w:type="pct"/>
                  <w:vMerge w:val="restart"/>
                  <w:vAlign w:val="center"/>
                </w:tcPr>
                <w:p>
                  <w:pPr>
                    <w:pStyle w:val="36"/>
                    <w:rPr>
                      <w:color w:val="auto"/>
                    </w:rPr>
                  </w:pPr>
                  <w:r>
                    <w:rPr>
                      <w:rFonts w:hint="eastAsia"/>
                      <w:color w:val="auto"/>
                    </w:rPr>
                    <w:t>《声环境质量标准》(GB3096-2008)2类标准限值要求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continue"/>
                  <w:vAlign w:val="center"/>
                </w:tcPr>
                <w:p>
                  <w:pPr>
                    <w:pStyle w:val="36"/>
                    <w:rPr>
                      <w:color w:val="auto"/>
                    </w:rPr>
                  </w:pPr>
                </w:p>
              </w:tc>
              <w:tc>
                <w:tcPr>
                  <w:tcW w:w="813" w:type="pct"/>
                  <w:vAlign w:val="center"/>
                </w:tcPr>
                <w:p>
                  <w:pPr>
                    <w:pStyle w:val="36"/>
                    <w:rPr>
                      <w:color w:val="auto"/>
                    </w:rPr>
                  </w:pPr>
                  <w:r>
                    <w:rPr>
                      <w:rFonts w:hint="eastAsia"/>
                      <w:color w:val="auto"/>
                    </w:rPr>
                    <w:t>夜间</w:t>
                  </w:r>
                </w:p>
              </w:tc>
              <w:tc>
                <w:tcPr>
                  <w:tcW w:w="712" w:type="pct"/>
                  <w:vAlign w:val="center"/>
                </w:tcPr>
                <w:p>
                  <w:pPr>
                    <w:pStyle w:val="36"/>
                    <w:rPr>
                      <w:color w:val="auto"/>
                    </w:rPr>
                  </w:pPr>
                  <w:r>
                    <w:rPr>
                      <w:rFonts w:hint="eastAsia"/>
                      <w:color w:val="auto"/>
                    </w:rPr>
                    <w:t>50</w:t>
                  </w:r>
                </w:p>
              </w:tc>
              <w:tc>
                <w:tcPr>
                  <w:tcW w:w="722" w:type="pct"/>
                  <w:vAlign w:val="center"/>
                </w:tcPr>
                <w:p>
                  <w:pPr>
                    <w:pStyle w:val="36"/>
                    <w:rPr>
                      <w:color w:val="auto"/>
                    </w:rPr>
                  </w:pPr>
                  <w:r>
                    <w:rPr>
                      <w:rFonts w:hint="eastAsia"/>
                      <w:color w:val="auto"/>
                    </w:rPr>
                    <w:t>dB（A）</w:t>
                  </w:r>
                </w:p>
              </w:tc>
              <w:tc>
                <w:tcPr>
                  <w:tcW w:w="2008" w:type="pct"/>
                  <w:vMerge w:val="continue"/>
                  <w:vAlign w:val="center"/>
                </w:tcPr>
                <w:p>
                  <w:pPr>
                    <w:pStyle w:val="36"/>
                    <w:rPr>
                      <w:color w:val="auto"/>
                    </w:rPr>
                  </w:pPr>
                </w:p>
              </w:tc>
            </w:tr>
          </w:tbl>
          <w:p>
            <w:pPr>
              <w:jc w:val="left"/>
              <w:rPr>
                <w:b/>
                <w:color w:val="auto"/>
                <w:sz w:val="24"/>
              </w:rPr>
            </w:pPr>
          </w:p>
          <w:p>
            <w:pPr>
              <w:jc w:val="center"/>
              <w:rPr>
                <w:b/>
                <w:color w:val="auto"/>
                <w:sz w:val="24"/>
              </w:rPr>
            </w:pPr>
            <w:r>
              <w:rPr>
                <w:rFonts w:hint="eastAsia"/>
                <w:color w:val="auto"/>
              </w:rPr>
              <w:drawing>
                <wp:inline distT="0" distB="0" distL="114300" distR="114300">
                  <wp:extent cx="4379595" cy="4850130"/>
                  <wp:effectExtent l="0" t="0" r="1905" b="762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2"/>
                          <a:stretch>
                            <a:fillRect/>
                          </a:stretch>
                        </pic:blipFill>
                        <pic:spPr>
                          <a:xfrm>
                            <a:off x="0" y="0"/>
                            <a:ext cx="4379595" cy="4850130"/>
                          </a:xfrm>
                          <a:prstGeom prst="rect">
                            <a:avLst/>
                          </a:prstGeom>
                          <a:noFill/>
                          <a:ln>
                            <a:noFill/>
                          </a:ln>
                        </pic:spPr>
                      </pic:pic>
                    </a:graphicData>
                  </a:graphic>
                </wp:inline>
              </w:drawing>
            </w:r>
          </w:p>
          <w:p>
            <w:pPr>
              <w:spacing w:line="480" w:lineRule="exact"/>
              <w:jc w:val="center"/>
              <w:rPr>
                <w:bCs/>
                <w:color w:val="auto"/>
                <w:sz w:val="24"/>
              </w:rPr>
            </w:pPr>
            <w:r>
              <w:rPr>
                <w:rFonts w:hint="eastAsia" w:ascii="黑体" w:hAnsi="黑体" w:eastAsia="黑体"/>
                <w:color w:val="auto"/>
                <w:kern w:val="0"/>
                <w:sz w:val="24"/>
              </w:rPr>
              <w:t>图3-2  厂界声环境监测布点图</w:t>
            </w:r>
          </w:p>
          <w:p>
            <w:pPr>
              <w:spacing w:line="480" w:lineRule="exact"/>
              <w:ind w:firstLine="480" w:firstLineChars="200"/>
              <w:rPr>
                <w:color w:val="auto"/>
                <w:sz w:val="24"/>
              </w:rPr>
            </w:pPr>
            <w:r>
              <w:rPr>
                <w:rFonts w:hint="eastAsia"/>
                <w:bCs/>
                <w:color w:val="auto"/>
                <w:sz w:val="24"/>
              </w:rPr>
              <w:t>监测结果：</w:t>
            </w:r>
            <w:r>
              <w:rPr>
                <w:rFonts w:hint="eastAsia" w:hAnsi="宋体"/>
                <w:color w:val="auto"/>
                <w:sz w:val="24"/>
              </w:rPr>
              <w:t>厂界声环境质量现状监测结果见下表。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表3-9  厂界声环境监测结果一览表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782"/>
              <w:gridCol w:w="782"/>
              <w:gridCol w:w="782"/>
              <w:gridCol w:w="782"/>
              <w:gridCol w:w="782"/>
              <w:gridCol w:w="782"/>
              <w:gridCol w:w="782"/>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Merge w:val="restart"/>
                  <w:vAlign w:val="center"/>
                </w:tcPr>
                <w:p>
                  <w:pPr>
                    <w:jc w:val="center"/>
                    <w:rPr>
                      <w:color w:val="auto"/>
                    </w:rPr>
                  </w:pPr>
                  <w:r>
                    <w:rPr>
                      <w:rFonts w:hint="eastAsia"/>
                      <w:color w:val="auto"/>
                    </w:rPr>
                    <w:t>监测点</w:t>
                  </w:r>
                </w:p>
              </w:tc>
              <w:tc>
                <w:tcPr>
                  <w:tcW w:w="1864" w:type="pct"/>
                  <w:gridSpan w:val="4"/>
                  <w:vAlign w:val="center"/>
                </w:tcPr>
                <w:p>
                  <w:pPr>
                    <w:jc w:val="center"/>
                    <w:rPr>
                      <w:bCs/>
                      <w:color w:val="auto"/>
                    </w:rPr>
                  </w:pPr>
                  <w:r>
                    <w:rPr>
                      <w:rFonts w:hint="eastAsia"/>
                      <w:bCs/>
                      <w:color w:val="auto"/>
                    </w:rPr>
                    <w:t>昼间</w:t>
                  </w:r>
                </w:p>
              </w:tc>
              <w:tc>
                <w:tcPr>
                  <w:tcW w:w="1863" w:type="pct"/>
                  <w:gridSpan w:val="4"/>
                  <w:vAlign w:val="center"/>
                </w:tcPr>
                <w:p>
                  <w:pPr>
                    <w:jc w:val="center"/>
                    <w:rPr>
                      <w:bCs/>
                      <w:color w:val="auto"/>
                    </w:rPr>
                  </w:pPr>
                  <w:r>
                    <w:rPr>
                      <w:rFonts w:hint="eastAsia"/>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Merge w:val="continue"/>
                  <w:vAlign w:val="center"/>
                </w:tcPr>
                <w:p>
                  <w:pPr>
                    <w:jc w:val="center"/>
                    <w:textAlignment w:val="baseline"/>
                    <w:rPr>
                      <w:rFonts w:eastAsia="Times New Roman"/>
                      <w:color w:val="auto"/>
                    </w:rPr>
                  </w:pP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eq</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10</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50</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90</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eq</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10</w:t>
                  </w:r>
                </w:p>
              </w:tc>
              <w:tc>
                <w:tcPr>
                  <w:tcW w:w="466"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50</w:t>
                  </w:r>
                </w:p>
              </w:tc>
              <w:tc>
                <w:tcPr>
                  <w:tcW w:w="464"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2" w:type="pct"/>
                  <w:vAlign w:val="center"/>
                </w:tcPr>
                <w:p>
                  <w:pPr>
                    <w:jc w:val="center"/>
                    <w:rPr>
                      <w:color w:val="auto"/>
                    </w:rPr>
                  </w:pPr>
                  <w:r>
                    <w:rPr>
                      <w:rFonts w:hint="eastAsia"/>
                      <w:color w:val="auto"/>
                    </w:rPr>
                    <w:t>厂界1#</w:t>
                  </w:r>
                </w:p>
              </w:tc>
              <w:tc>
                <w:tcPr>
                  <w:tcW w:w="466" w:type="pct"/>
                  <w:vAlign w:val="center"/>
                </w:tcPr>
                <w:p>
                  <w:pPr>
                    <w:jc w:val="center"/>
                    <w:textAlignment w:val="baseline"/>
                    <w:rPr>
                      <w:bCs/>
                      <w:color w:val="auto"/>
                    </w:rPr>
                  </w:pPr>
                  <w:r>
                    <w:rPr>
                      <w:rFonts w:hint="eastAsia"/>
                      <w:bCs/>
                      <w:color w:val="auto"/>
                    </w:rPr>
                    <w:t>52.3</w:t>
                  </w:r>
                </w:p>
              </w:tc>
              <w:tc>
                <w:tcPr>
                  <w:tcW w:w="466" w:type="pct"/>
                  <w:vAlign w:val="center"/>
                </w:tcPr>
                <w:p>
                  <w:pPr>
                    <w:jc w:val="center"/>
                    <w:textAlignment w:val="baseline"/>
                    <w:rPr>
                      <w:bCs/>
                      <w:color w:val="auto"/>
                    </w:rPr>
                  </w:pPr>
                  <w:r>
                    <w:rPr>
                      <w:rFonts w:hint="eastAsia"/>
                      <w:bCs/>
                      <w:color w:val="auto"/>
                    </w:rPr>
                    <w:t>52.8</w:t>
                  </w:r>
                </w:p>
              </w:tc>
              <w:tc>
                <w:tcPr>
                  <w:tcW w:w="466" w:type="pct"/>
                  <w:vAlign w:val="center"/>
                </w:tcPr>
                <w:p>
                  <w:pPr>
                    <w:jc w:val="center"/>
                    <w:textAlignment w:val="baseline"/>
                    <w:rPr>
                      <w:bCs/>
                      <w:color w:val="auto"/>
                    </w:rPr>
                  </w:pPr>
                  <w:r>
                    <w:rPr>
                      <w:rFonts w:hint="eastAsia"/>
                      <w:bCs/>
                      <w:color w:val="auto"/>
                    </w:rPr>
                    <w:t>51.8</w:t>
                  </w:r>
                </w:p>
              </w:tc>
              <w:tc>
                <w:tcPr>
                  <w:tcW w:w="466" w:type="pct"/>
                  <w:vAlign w:val="center"/>
                </w:tcPr>
                <w:p>
                  <w:pPr>
                    <w:jc w:val="center"/>
                    <w:textAlignment w:val="baseline"/>
                    <w:rPr>
                      <w:bCs/>
                      <w:color w:val="auto"/>
                    </w:rPr>
                  </w:pPr>
                  <w:r>
                    <w:rPr>
                      <w:rFonts w:hint="eastAsia"/>
                      <w:bCs/>
                      <w:color w:val="auto"/>
                    </w:rPr>
                    <w:t>50.5</w:t>
                  </w:r>
                </w:p>
              </w:tc>
              <w:tc>
                <w:tcPr>
                  <w:tcW w:w="466" w:type="pct"/>
                  <w:vAlign w:val="center"/>
                </w:tcPr>
                <w:p>
                  <w:pPr>
                    <w:widowControl/>
                    <w:jc w:val="center"/>
                    <w:textAlignment w:val="center"/>
                    <w:rPr>
                      <w:bCs/>
                      <w:color w:val="auto"/>
                    </w:rPr>
                  </w:pPr>
                  <w:r>
                    <w:rPr>
                      <w:rFonts w:hint="eastAsia"/>
                      <w:bCs/>
                      <w:color w:val="auto"/>
                    </w:rPr>
                    <w:t>42.5</w:t>
                  </w:r>
                </w:p>
              </w:tc>
              <w:tc>
                <w:tcPr>
                  <w:tcW w:w="466" w:type="pct"/>
                  <w:vAlign w:val="center"/>
                </w:tcPr>
                <w:p>
                  <w:pPr>
                    <w:widowControl/>
                    <w:jc w:val="center"/>
                    <w:textAlignment w:val="center"/>
                    <w:rPr>
                      <w:bCs/>
                      <w:color w:val="auto"/>
                    </w:rPr>
                  </w:pPr>
                  <w:r>
                    <w:rPr>
                      <w:rFonts w:hint="eastAsia"/>
                      <w:bCs/>
                      <w:color w:val="auto"/>
                    </w:rPr>
                    <w:t>43.7</w:t>
                  </w:r>
                </w:p>
              </w:tc>
              <w:tc>
                <w:tcPr>
                  <w:tcW w:w="466" w:type="pct"/>
                  <w:vAlign w:val="center"/>
                </w:tcPr>
                <w:p>
                  <w:pPr>
                    <w:widowControl/>
                    <w:jc w:val="center"/>
                    <w:textAlignment w:val="center"/>
                    <w:rPr>
                      <w:bCs/>
                      <w:color w:val="auto"/>
                    </w:rPr>
                  </w:pPr>
                  <w:r>
                    <w:rPr>
                      <w:rFonts w:hint="eastAsia"/>
                      <w:bCs/>
                      <w:color w:val="auto"/>
                    </w:rPr>
                    <w:t>41.0</w:t>
                  </w:r>
                </w:p>
              </w:tc>
              <w:tc>
                <w:tcPr>
                  <w:tcW w:w="464" w:type="pct"/>
                  <w:vAlign w:val="center"/>
                </w:tcPr>
                <w:p>
                  <w:pPr>
                    <w:widowControl/>
                    <w:jc w:val="center"/>
                    <w:textAlignment w:val="center"/>
                    <w:rPr>
                      <w:bCs/>
                      <w:color w:val="auto"/>
                    </w:rPr>
                  </w:pPr>
                  <w:r>
                    <w:rPr>
                      <w:rFonts w:hint="eastAsia"/>
                      <w:bCs/>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厂界2#</w:t>
                  </w:r>
                </w:p>
              </w:tc>
              <w:tc>
                <w:tcPr>
                  <w:tcW w:w="466" w:type="pct"/>
                  <w:vAlign w:val="center"/>
                </w:tcPr>
                <w:p>
                  <w:pPr>
                    <w:jc w:val="center"/>
                    <w:textAlignment w:val="baseline"/>
                    <w:rPr>
                      <w:bCs/>
                      <w:color w:val="auto"/>
                    </w:rPr>
                  </w:pPr>
                  <w:r>
                    <w:rPr>
                      <w:rFonts w:hint="eastAsia"/>
                      <w:bCs/>
                      <w:color w:val="auto"/>
                    </w:rPr>
                    <w:t>53.4</w:t>
                  </w:r>
                </w:p>
              </w:tc>
              <w:tc>
                <w:tcPr>
                  <w:tcW w:w="466" w:type="pct"/>
                  <w:vAlign w:val="center"/>
                </w:tcPr>
                <w:p>
                  <w:pPr>
                    <w:jc w:val="center"/>
                    <w:textAlignment w:val="baseline"/>
                    <w:rPr>
                      <w:bCs/>
                      <w:color w:val="auto"/>
                    </w:rPr>
                  </w:pPr>
                  <w:r>
                    <w:rPr>
                      <w:rFonts w:hint="eastAsia"/>
                      <w:bCs/>
                      <w:color w:val="auto"/>
                    </w:rPr>
                    <w:t>54.9</w:t>
                  </w:r>
                </w:p>
              </w:tc>
              <w:tc>
                <w:tcPr>
                  <w:tcW w:w="466" w:type="pct"/>
                  <w:vAlign w:val="center"/>
                </w:tcPr>
                <w:p>
                  <w:pPr>
                    <w:jc w:val="center"/>
                    <w:textAlignment w:val="baseline"/>
                    <w:rPr>
                      <w:bCs/>
                      <w:color w:val="auto"/>
                    </w:rPr>
                  </w:pPr>
                  <w:r>
                    <w:rPr>
                      <w:rFonts w:hint="eastAsia"/>
                      <w:bCs/>
                      <w:color w:val="auto"/>
                    </w:rPr>
                    <w:t>52.8</w:t>
                  </w:r>
                </w:p>
              </w:tc>
              <w:tc>
                <w:tcPr>
                  <w:tcW w:w="466" w:type="pct"/>
                  <w:vAlign w:val="center"/>
                </w:tcPr>
                <w:p>
                  <w:pPr>
                    <w:jc w:val="center"/>
                    <w:textAlignment w:val="baseline"/>
                    <w:rPr>
                      <w:bCs/>
                      <w:color w:val="auto"/>
                    </w:rPr>
                  </w:pPr>
                  <w:r>
                    <w:rPr>
                      <w:rFonts w:hint="eastAsia"/>
                      <w:bCs/>
                      <w:color w:val="auto"/>
                    </w:rPr>
                    <w:t>51.7</w:t>
                  </w:r>
                </w:p>
              </w:tc>
              <w:tc>
                <w:tcPr>
                  <w:tcW w:w="466" w:type="pct"/>
                  <w:vAlign w:val="center"/>
                </w:tcPr>
                <w:p>
                  <w:pPr>
                    <w:widowControl/>
                    <w:jc w:val="center"/>
                    <w:textAlignment w:val="center"/>
                    <w:rPr>
                      <w:bCs/>
                      <w:color w:val="auto"/>
                    </w:rPr>
                  </w:pPr>
                  <w:r>
                    <w:rPr>
                      <w:rFonts w:hint="eastAsia"/>
                      <w:bCs/>
                      <w:color w:val="auto"/>
                    </w:rPr>
                    <w:t>43.3</w:t>
                  </w:r>
                </w:p>
              </w:tc>
              <w:tc>
                <w:tcPr>
                  <w:tcW w:w="466" w:type="pct"/>
                  <w:vAlign w:val="center"/>
                </w:tcPr>
                <w:p>
                  <w:pPr>
                    <w:widowControl/>
                    <w:jc w:val="center"/>
                    <w:textAlignment w:val="center"/>
                    <w:rPr>
                      <w:bCs/>
                      <w:color w:val="auto"/>
                    </w:rPr>
                  </w:pPr>
                  <w:r>
                    <w:rPr>
                      <w:rFonts w:hint="eastAsia"/>
                      <w:bCs/>
                      <w:color w:val="auto"/>
                    </w:rPr>
                    <w:t>43.7</w:t>
                  </w:r>
                </w:p>
              </w:tc>
              <w:tc>
                <w:tcPr>
                  <w:tcW w:w="466" w:type="pct"/>
                  <w:vAlign w:val="center"/>
                </w:tcPr>
                <w:p>
                  <w:pPr>
                    <w:widowControl/>
                    <w:jc w:val="center"/>
                    <w:textAlignment w:val="center"/>
                    <w:rPr>
                      <w:bCs/>
                      <w:color w:val="auto"/>
                    </w:rPr>
                  </w:pPr>
                  <w:r>
                    <w:rPr>
                      <w:rFonts w:hint="eastAsia"/>
                      <w:bCs/>
                      <w:color w:val="auto"/>
                    </w:rPr>
                    <w:t>41.9</w:t>
                  </w:r>
                </w:p>
              </w:tc>
              <w:tc>
                <w:tcPr>
                  <w:tcW w:w="464" w:type="pct"/>
                  <w:vAlign w:val="center"/>
                </w:tcPr>
                <w:p>
                  <w:pPr>
                    <w:widowControl/>
                    <w:jc w:val="center"/>
                    <w:textAlignment w:val="center"/>
                    <w:rPr>
                      <w:bCs/>
                      <w:color w:val="auto"/>
                    </w:rPr>
                  </w:pPr>
                  <w:r>
                    <w:rPr>
                      <w:rFonts w:hint="eastAsia"/>
                      <w:bCs/>
                      <w:color w:val="auto"/>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厂界3#</w:t>
                  </w:r>
                </w:p>
              </w:tc>
              <w:tc>
                <w:tcPr>
                  <w:tcW w:w="466" w:type="pct"/>
                  <w:vAlign w:val="center"/>
                </w:tcPr>
                <w:p>
                  <w:pPr>
                    <w:jc w:val="center"/>
                    <w:textAlignment w:val="baseline"/>
                    <w:rPr>
                      <w:bCs/>
                      <w:color w:val="auto"/>
                    </w:rPr>
                  </w:pPr>
                  <w:r>
                    <w:rPr>
                      <w:rFonts w:hint="eastAsia"/>
                      <w:bCs/>
                      <w:color w:val="auto"/>
                    </w:rPr>
                    <w:t>52.2</w:t>
                  </w:r>
                </w:p>
              </w:tc>
              <w:tc>
                <w:tcPr>
                  <w:tcW w:w="466" w:type="pct"/>
                  <w:vAlign w:val="center"/>
                </w:tcPr>
                <w:p>
                  <w:pPr>
                    <w:jc w:val="center"/>
                    <w:textAlignment w:val="baseline"/>
                    <w:rPr>
                      <w:bCs/>
                      <w:color w:val="auto"/>
                    </w:rPr>
                  </w:pPr>
                  <w:r>
                    <w:rPr>
                      <w:rFonts w:hint="eastAsia"/>
                      <w:bCs/>
                      <w:color w:val="auto"/>
                    </w:rPr>
                    <w:t>52.6</w:t>
                  </w:r>
                </w:p>
              </w:tc>
              <w:tc>
                <w:tcPr>
                  <w:tcW w:w="466" w:type="pct"/>
                  <w:vAlign w:val="center"/>
                </w:tcPr>
                <w:p>
                  <w:pPr>
                    <w:jc w:val="center"/>
                    <w:textAlignment w:val="baseline"/>
                    <w:rPr>
                      <w:bCs/>
                      <w:color w:val="auto"/>
                    </w:rPr>
                  </w:pPr>
                  <w:r>
                    <w:rPr>
                      <w:rFonts w:hint="eastAsia"/>
                      <w:bCs/>
                      <w:color w:val="auto"/>
                    </w:rPr>
                    <w:t>51.7</w:t>
                  </w:r>
                </w:p>
              </w:tc>
              <w:tc>
                <w:tcPr>
                  <w:tcW w:w="466" w:type="pct"/>
                  <w:vAlign w:val="center"/>
                </w:tcPr>
                <w:p>
                  <w:pPr>
                    <w:jc w:val="center"/>
                    <w:textAlignment w:val="baseline"/>
                    <w:rPr>
                      <w:bCs/>
                      <w:color w:val="auto"/>
                    </w:rPr>
                  </w:pPr>
                  <w:r>
                    <w:rPr>
                      <w:rFonts w:hint="eastAsia"/>
                      <w:bCs/>
                      <w:color w:val="auto"/>
                    </w:rPr>
                    <w:t>48.9</w:t>
                  </w:r>
                </w:p>
              </w:tc>
              <w:tc>
                <w:tcPr>
                  <w:tcW w:w="466" w:type="pct"/>
                  <w:vAlign w:val="center"/>
                </w:tcPr>
                <w:p>
                  <w:pPr>
                    <w:widowControl/>
                    <w:jc w:val="center"/>
                    <w:textAlignment w:val="center"/>
                    <w:rPr>
                      <w:bCs/>
                      <w:color w:val="auto"/>
                    </w:rPr>
                  </w:pPr>
                  <w:r>
                    <w:rPr>
                      <w:rFonts w:hint="eastAsia"/>
                      <w:bCs/>
                      <w:color w:val="auto"/>
                    </w:rPr>
                    <w:t>42.2</w:t>
                  </w:r>
                </w:p>
              </w:tc>
              <w:tc>
                <w:tcPr>
                  <w:tcW w:w="466" w:type="pct"/>
                  <w:vAlign w:val="center"/>
                </w:tcPr>
                <w:p>
                  <w:pPr>
                    <w:widowControl/>
                    <w:jc w:val="center"/>
                    <w:textAlignment w:val="center"/>
                    <w:rPr>
                      <w:bCs/>
                      <w:color w:val="auto"/>
                    </w:rPr>
                  </w:pPr>
                  <w:r>
                    <w:rPr>
                      <w:rFonts w:hint="eastAsia"/>
                      <w:bCs/>
                      <w:color w:val="auto"/>
                    </w:rPr>
                    <w:t>43.2</w:t>
                  </w:r>
                </w:p>
              </w:tc>
              <w:tc>
                <w:tcPr>
                  <w:tcW w:w="466" w:type="pct"/>
                  <w:vAlign w:val="center"/>
                </w:tcPr>
                <w:p>
                  <w:pPr>
                    <w:widowControl/>
                    <w:jc w:val="center"/>
                    <w:textAlignment w:val="center"/>
                    <w:rPr>
                      <w:bCs/>
                      <w:color w:val="auto"/>
                    </w:rPr>
                  </w:pPr>
                  <w:r>
                    <w:rPr>
                      <w:rFonts w:hint="eastAsia"/>
                      <w:bCs/>
                      <w:color w:val="auto"/>
                    </w:rPr>
                    <w:t>41.1</w:t>
                  </w:r>
                </w:p>
              </w:tc>
              <w:tc>
                <w:tcPr>
                  <w:tcW w:w="464" w:type="pct"/>
                  <w:vAlign w:val="center"/>
                </w:tcPr>
                <w:p>
                  <w:pPr>
                    <w:widowControl/>
                    <w:jc w:val="center"/>
                    <w:textAlignment w:val="center"/>
                    <w:rPr>
                      <w:bCs/>
                      <w:color w:val="auto"/>
                    </w:rPr>
                  </w:pPr>
                  <w:r>
                    <w:rPr>
                      <w:rFonts w:hint="eastAsia"/>
                      <w:bCs/>
                      <w:color w:val="auto"/>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厂界4#</w:t>
                  </w:r>
                </w:p>
              </w:tc>
              <w:tc>
                <w:tcPr>
                  <w:tcW w:w="466" w:type="pct"/>
                  <w:vAlign w:val="center"/>
                </w:tcPr>
                <w:p>
                  <w:pPr>
                    <w:jc w:val="center"/>
                    <w:textAlignment w:val="baseline"/>
                    <w:rPr>
                      <w:bCs/>
                      <w:color w:val="auto"/>
                    </w:rPr>
                  </w:pPr>
                  <w:r>
                    <w:rPr>
                      <w:rFonts w:hint="eastAsia"/>
                      <w:bCs/>
                      <w:color w:val="auto"/>
                    </w:rPr>
                    <w:t>51.4</w:t>
                  </w:r>
                </w:p>
              </w:tc>
              <w:tc>
                <w:tcPr>
                  <w:tcW w:w="466" w:type="pct"/>
                  <w:vAlign w:val="center"/>
                </w:tcPr>
                <w:p>
                  <w:pPr>
                    <w:jc w:val="center"/>
                    <w:textAlignment w:val="baseline"/>
                    <w:rPr>
                      <w:bCs/>
                      <w:color w:val="auto"/>
                    </w:rPr>
                  </w:pPr>
                  <w:r>
                    <w:rPr>
                      <w:rFonts w:hint="eastAsia"/>
                      <w:bCs/>
                      <w:color w:val="auto"/>
                    </w:rPr>
                    <w:t>53.7</w:t>
                  </w:r>
                </w:p>
              </w:tc>
              <w:tc>
                <w:tcPr>
                  <w:tcW w:w="466" w:type="pct"/>
                  <w:vAlign w:val="center"/>
                </w:tcPr>
                <w:p>
                  <w:pPr>
                    <w:jc w:val="center"/>
                    <w:textAlignment w:val="baseline"/>
                    <w:rPr>
                      <w:bCs/>
                      <w:color w:val="auto"/>
                    </w:rPr>
                  </w:pPr>
                  <w:r>
                    <w:rPr>
                      <w:rFonts w:hint="eastAsia"/>
                      <w:bCs/>
                      <w:color w:val="auto"/>
                    </w:rPr>
                    <w:t>51.0</w:t>
                  </w:r>
                </w:p>
              </w:tc>
              <w:tc>
                <w:tcPr>
                  <w:tcW w:w="466" w:type="pct"/>
                  <w:vAlign w:val="center"/>
                </w:tcPr>
                <w:p>
                  <w:pPr>
                    <w:jc w:val="center"/>
                    <w:textAlignment w:val="baseline"/>
                    <w:rPr>
                      <w:bCs/>
                      <w:color w:val="auto"/>
                    </w:rPr>
                  </w:pPr>
                  <w:r>
                    <w:rPr>
                      <w:rFonts w:hint="eastAsia"/>
                      <w:bCs/>
                      <w:color w:val="auto"/>
                    </w:rPr>
                    <w:t>50.3</w:t>
                  </w:r>
                </w:p>
              </w:tc>
              <w:tc>
                <w:tcPr>
                  <w:tcW w:w="466" w:type="pct"/>
                  <w:vAlign w:val="center"/>
                </w:tcPr>
                <w:p>
                  <w:pPr>
                    <w:widowControl/>
                    <w:jc w:val="center"/>
                    <w:textAlignment w:val="center"/>
                    <w:rPr>
                      <w:bCs/>
                      <w:color w:val="auto"/>
                    </w:rPr>
                  </w:pPr>
                  <w:r>
                    <w:rPr>
                      <w:rFonts w:hint="eastAsia"/>
                      <w:bCs/>
                      <w:color w:val="auto"/>
                    </w:rPr>
                    <w:t>43.7</w:t>
                  </w:r>
                </w:p>
              </w:tc>
              <w:tc>
                <w:tcPr>
                  <w:tcW w:w="466" w:type="pct"/>
                  <w:vAlign w:val="center"/>
                </w:tcPr>
                <w:p>
                  <w:pPr>
                    <w:widowControl/>
                    <w:jc w:val="center"/>
                    <w:textAlignment w:val="center"/>
                    <w:rPr>
                      <w:bCs/>
                      <w:color w:val="auto"/>
                    </w:rPr>
                  </w:pPr>
                  <w:r>
                    <w:rPr>
                      <w:rFonts w:hint="eastAsia"/>
                      <w:bCs/>
                      <w:color w:val="auto"/>
                    </w:rPr>
                    <w:t>44.6</w:t>
                  </w:r>
                </w:p>
              </w:tc>
              <w:tc>
                <w:tcPr>
                  <w:tcW w:w="466" w:type="pct"/>
                  <w:vAlign w:val="center"/>
                </w:tcPr>
                <w:p>
                  <w:pPr>
                    <w:widowControl/>
                    <w:jc w:val="center"/>
                    <w:textAlignment w:val="center"/>
                    <w:rPr>
                      <w:bCs/>
                      <w:color w:val="auto"/>
                    </w:rPr>
                  </w:pPr>
                  <w:r>
                    <w:rPr>
                      <w:rFonts w:hint="eastAsia"/>
                      <w:bCs/>
                      <w:color w:val="auto"/>
                    </w:rPr>
                    <w:t>42.9</w:t>
                  </w:r>
                </w:p>
              </w:tc>
              <w:tc>
                <w:tcPr>
                  <w:tcW w:w="464" w:type="pct"/>
                  <w:vAlign w:val="center"/>
                </w:tcPr>
                <w:p>
                  <w:pPr>
                    <w:widowControl/>
                    <w:jc w:val="center"/>
                    <w:textAlignment w:val="center"/>
                    <w:rPr>
                      <w:bCs/>
                      <w:color w:val="auto"/>
                    </w:rPr>
                  </w:pPr>
                  <w:r>
                    <w:rPr>
                      <w:rFonts w:hint="eastAsia"/>
                      <w:bCs/>
                      <w:color w:val="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厂界5#</w:t>
                  </w:r>
                </w:p>
              </w:tc>
              <w:tc>
                <w:tcPr>
                  <w:tcW w:w="466" w:type="pct"/>
                  <w:vAlign w:val="center"/>
                </w:tcPr>
                <w:p>
                  <w:pPr>
                    <w:jc w:val="center"/>
                    <w:textAlignment w:val="baseline"/>
                    <w:rPr>
                      <w:bCs/>
                      <w:color w:val="auto"/>
                    </w:rPr>
                  </w:pPr>
                  <w:r>
                    <w:rPr>
                      <w:rFonts w:hint="eastAsia"/>
                      <w:bCs/>
                      <w:color w:val="auto"/>
                    </w:rPr>
                    <w:t>51.3</w:t>
                  </w:r>
                </w:p>
              </w:tc>
              <w:tc>
                <w:tcPr>
                  <w:tcW w:w="466" w:type="pct"/>
                  <w:vAlign w:val="center"/>
                </w:tcPr>
                <w:p>
                  <w:pPr>
                    <w:jc w:val="center"/>
                    <w:textAlignment w:val="baseline"/>
                    <w:rPr>
                      <w:bCs/>
                      <w:color w:val="auto"/>
                    </w:rPr>
                  </w:pPr>
                  <w:r>
                    <w:rPr>
                      <w:rFonts w:hint="eastAsia"/>
                      <w:bCs/>
                      <w:color w:val="auto"/>
                    </w:rPr>
                    <w:t>51.6</w:t>
                  </w:r>
                </w:p>
              </w:tc>
              <w:tc>
                <w:tcPr>
                  <w:tcW w:w="466" w:type="pct"/>
                  <w:vAlign w:val="center"/>
                </w:tcPr>
                <w:p>
                  <w:pPr>
                    <w:jc w:val="center"/>
                    <w:textAlignment w:val="baseline"/>
                    <w:rPr>
                      <w:bCs/>
                      <w:color w:val="auto"/>
                    </w:rPr>
                  </w:pPr>
                  <w:r>
                    <w:rPr>
                      <w:rFonts w:hint="eastAsia"/>
                      <w:bCs/>
                      <w:color w:val="auto"/>
                    </w:rPr>
                    <w:t>48.9</w:t>
                  </w:r>
                </w:p>
              </w:tc>
              <w:tc>
                <w:tcPr>
                  <w:tcW w:w="466" w:type="pct"/>
                  <w:vAlign w:val="center"/>
                </w:tcPr>
                <w:p>
                  <w:pPr>
                    <w:jc w:val="center"/>
                    <w:textAlignment w:val="baseline"/>
                    <w:rPr>
                      <w:bCs/>
                      <w:color w:val="auto"/>
                    </w:rPr>
                  </w:pPr>
                  <w:r>
                    <w:rPr>
                      <w:rFonts w:hint="eastAsia"/>
                      <w:bCs/>
                      <w:color w:val="auto"/>
                    </w:rPr>
                    <w:t>48.3</w:t>
                  </w:r>
                </w:p>
              </w:tc>
              <w:tc>
                <w:tcPr>
                  <w:tcW w:w="466" w:type="pct"/>
                  <w:vAlign w:val="center"/>
                </w:tcPr>
                <w:p>
                  <w:pPr>
                    <w:widowControl/>
                    <w:jc w:val="center"/>
                    <w:textAlignment w:val="center"/>
                    <w:rPr>
                      <w:bCs/>
                      <w:color w:val="auto"/>
                    </w:rPr>
                  </w:pPr>
                  <w:r>
                    <w:rPr>
                      <w:rFonts w:hint="eastAsia"/>
                      <w:bCs/>
                      <w:color w:val="auto"/>
                    </w:rPr>
                    <w:t>42.8</w:t>
                  </w:r>
                </w:p>
              </w:tc>
              <w:tc>
                <w:tcPr>
                  <w:tcW w:w="466" w:type="pct"/>
                  <w:vAlign w:val="center"/>
                </w:tcPr>
                <w:p>
                  <w:pPr>
                    <w:widowControl/>
                    <w:jc w:val="center"/>
                    <w:textAlignment w:val="center"/>
                    <w:rPr>
                      <w:bCs/>
                      <w:color w:val="auto"/>
                    </w:rPr>
                  </w:pPr>
                  <w:r>
                    <w:rPr>
                      <w:rFonts w:hint="eastAsia"/>
                      <w:bCs/>
                      <w:color w:val="auto"/>
                    </w:rPr>
                    <w:t>44.0</w:t>
                  </w:r>
                </w:p>
              </w:tc>
              <w:tc>
                <w:tcPr>
                  <w:tcW w:w="466" w:type="pct"/>
                  <w:vAlign w:val="center"/>
                </w:tcPr>
                <w:p>
                  <w:pPr>
                    <w:widowControl/>
                    <w:jc w:val="center"/>
                    <w:textAlignment w:val="center"/>
                    <w:rPr>
                      <w:bCs/>
                      <w:color w:val="auto"/>
                    </w:rPr>
                  </w:pPr>
                  <w:r>
                    <w:rPr>
                      <w:rFonts w:hint="eastAsia"/>
                      <w:bCs/>
                      <w:color w:val="auto"/>
                    </w:rPr>
                    <w:t>41.0</w:t>
                  </w:r>
                </w:p>
              </w:tc>
              <w:tc>
                <w:tcPr>
                  <w:tcW w:w="464" w:type="pct"/>
                  <w:vAlign w:val="center"/>
                </w:tcPr>
                <w:p>
                  <w:pPr>
                    <w:widowControl/>
                    <w:jc w:val="center"/>
                    <w:textAlignment w:val="center"/>
                    <w:rPr>
                      <w:bCs/>
                      <w:color w:val="auto"/>
                    </w:rPr>
                  </w:pPr>
                  <w:r>
                    <w:rPr>
                      <w:rFonts w:hint="eastAsia"/>
                      <w:bCs/>
                      <w:color w:val="auto"/>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厂界6#</w:t>
                  </w:r>
                </w:p>
              </w:tc>
              <w:tc>
                <w:tcPr>
                  <w:tcW w:w="466" w:type="pct"/>
                  <w:vAlign w:val="center"/>
                </w:tcPr>
                <w:p>
                  <w:pPr>
                    <w:jc w:val="center"/>
                    <w:textAlignment w:val="baseline"/>
                    <w:rPr>
                      <w:bCs/>
                      <w:color w:val="auto"/>
                    </w:rPr>
                  </w:pPr>
                  <w:r>
                    <w:rPr>
                      <w:rFonts w:hint="eastAsia"/>
                      <w:bCs/>
                      <w:color w:val="auto"/>
                    </w:rPr>
                    <w:t>53.6</w:t>
                  </w:r>
                </w:p>
              </w:tc>
              <w:tc>
                <w:tcPr>
                  <w:tcW w:w="466" w:type="pct"/>
                  <w:vAlign w:val="center"/>
                </w:tcPr>
                <w:p>
                  <w:pPr>
                    <w:jc w:val="center"/>
                    <w:textAlignment w:val="baseline"/>
                    <w:rPr>
                      <w:bCs/>
                      <w:color w:val="auto"/>
                    </w:rPr>
                  </w:pPr>
                  <w:r>
                    <w:rPr>
                      <w:rFonts w:hint="eastAsia"/>
                      <w:bCs/>
                      <w:color w:val="auto"/>
                    </w:rPr>
                    <w:t>55.0</w:t>
                  </w:r>
                </w:p>
              </w:tc>
              <w:tc>
                <w:tcPr>
                  <w:tcW w:w="466" w:type="pct"/>
                  <w:vAlign w:val="center"/>
                </w:tcPr>
                <w:p>
                  <w:pPr>
                    <w:jc w:val="center"/>
                    <w:textAlignment w:val="baseline"/>
                    <w:rPr>
                      <w:bCs/>
                      <w:color w:val="auto"/>
                    </w:rPr>
                  </w:pPr>
                  <w:r>
                    <w:rPr>
                      <w:rFonts w:hint="eastAsia"/>
                      <w:bCs/>
                      <w:color w:val="auto"/>
                    </w:rPr>
                    <w:t>53.4</w:t>
                  </w:r>
                </w:p>
              </w:tc>
              <w:tc>
                <w:tcPr>
                  <w:tcW w:w="466" w:type="pct"/>
                  <w:vAlign w:val="center"/>
                </w:tcPr>
                <w:p>
                  <w:pPr>
                    <w:jc w:val="center"/>
                    <w:textAlignment w:val="baseline"/>
                    <w:rPr>
                      <w:bCs/>
                      <w:color w:val="auto"/>
                    </w:rPr>
                  </w:pPr>
                  <w:r>
                    <w:rPr>
                      <w:rFonts w:hint="eastAsia"/>
                      <w:bCs/>
                      <w:color w:val="auto"/>
                    </w:rPr>
                    <w:t>52.7</w:t>
                  </w:r>
                </w:p>
              </w:tc>
              <w:tc>
                <w:tcPr>
                  <w:tcW w:w="466" w:type="pct"/>
                  <w:vAlign w:val="center"/>
                </w:tcPr>
                <w:p>
                  <w:pPr>
                    <w:widowControl/>
                    <w:jc w:val="center"/>
                    <w:textAlignment w:val="center"/>
                    <w:rPr>
                      <w:bCs/>
                      <w:color w:val="auto"/>
                    </w:rPr>
                  </w:pPr>
                  <w:r>
                    <w:rPr>
                      <w:rFonts w:hint="eastAsia"/>
                      <w:bCs/>
                      <w:color w:val="auto"/>
                    </w:rPr>
                    <w:t>43.5</w:t>
                  </w:r>
                </w:p>
              </w:tc>
              <w:tc>
                <w:tcPr>
                  <w:tcW w:w="466" w:type="pct"/>
                  <w:vAlign w:val="center"/>
                </w:tcPr>
                <w:p>
                  <w:pPr>
                    <w:widowControl/>
                    <w:jc w:val="center"/>
                    <w:textAlignment w:val="center"/>
                    <w:rPr>
                      <w:bCs/>
                      <w:color w:val="auto"/>
                    </w:rPr>
                  </w:pPr>
                  <w:r>
                    <w:rPr>
                      <w:rFonts w:hint="eastAsia"/>
                      <w:bCs/>
                      <w:color w:val="auto"/>
                    </w:rPr>
                    <w:t>45.3</w:t>
                  </w:r>
                </w:p>
              </w:tc>
              <w:tc>
                <w:tcPr>
                  <w:tcW w:w="466" w:type="pct"/>
                  <w:vAlign w:val="center"/>
                </w:tcPr>
                <w:p>
                  <w:pPr>
                    <w:widowControl/>
                    <w:jc w:val="center"/>
                    <w:textAlignment w:val="center"/>
                    <w:rPr>
                      <w:bCs/>
                      <w:color w:val="auto"/>
                    </w:rPr>
                  </w:pPr>
                  <w:r>
                    <w:rPr>
                      <w:rFonts w:hint="eastAsia"/>
                      <w:bCs/>
                      <w:color w:val="auto"/>
                    </w:rPr>
                    <w:t>42.6</w:t>
                  </w:r>
                </w:p>
              </w:tc>
              <w:tc>
                <w:tcPr>
                  <w:tcW w:w="464" w:type="pct"/>
                  <w:vAlign w:val="center"/>
                </w:tcPr>
                <w:p>
                  <w:pPr>
                    <w:widowControl/>
                    <w:jc w:val="center"/>
                    <w:textAlignment w:val="center"/>
                    <w:rPr>
                      <w:bCs/>
                      <w:color w:val="auto"/>
                    </w:rPr>
                  </w:pPr>
                  <w:r>
                    <w:rPr>
                      <w:rFonts w:hint="eastAsia"/>
                      <w:bCs/>
                      <w:color w:val="auto"/>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厂界7#</w:t>
                  </w:r>
                </w:p>
              </w:tc>
              <w:tc>
                <w:tcPr>
                  <w:tcW w:w="466" w:type="pct"/>
                  <w:vAlign w:val="center"/>
                </w:tcPr>
                <w:p>
                  <w:pPr>
                    <w:jc w:val="center"/>
                    <w:textAlignment w:val="baseline"/>
                    <w:rPr>
                      <w:bCs/>
                      <w:color w:val="auto"/>
                    </w:rPr>
                  </w:pPr>
                  <w:r>
                    <w:rPr>
                      <w:rFonts w:hint="eastAsia"/>
                      <w:bCs/>
                      <w:color w:val="auto"/>
                    </w:rPr>
                    <w:t>51.6</w:t>
                  </w:r>
                </w:p>
              </w:tc>
              <w:tc>
                <w:tcPr>
                  <w:tcW w:w="466" w:type="pct"/>
                  <w:vAlign w:val="center"/>
                </w:tcPr>
                <w:p>
                  <w:pPr>
                    <w:jc w:val="center"/>
                    <w:textAlignment w:val="baseline"/>
                    <w:rPr>
                      <w:bCs/>
                      <w:color w:val="auto"/>
                    </w:rPr>
                  </w:pPr>
                  <w:r>
                    <w:rPr>
                      <w:rFonts w:hint="eastAsia"/>
                      <w:bCs/>
                      <w:color w:val="auto"/>
                    </w:rPr>
                    <w:t>52.5</w:t>
                  </w:r>
                </w:p>
              </w:tc>
              <w:tc>
                <w:tcPr>
                  <w:tcW w:w="466" w:type="pct"/>
                  <w:vAlign w:val="center"/>
                </w:tcPr>
                <w:p>
                  <w:pPr>
                    <w:jc w:val="center"/>
                    <w:textAlignment w:val="baseline"/>
                    <w:rPr>
                      <w:bCs/>
                      <w:color w:val="auto"/>
                    </w:rPr>
                  </w:pPr>
                  <w:r>
                    <w:rPr>
                      <w:rFonts w:hint="eastAsia"/>
                      <w:bCs/>
                      <w:color w:val="auto"/>
                    </w:rPr>
                    <w:t>51.2</w:t>
                  </w:r>
                </w:p>
              </w:tc>
              <w:tc>
                <w:tcPr>
                  <w:tcW w:w="466" w:type="pct"/>
                  <w:vAlign w:val="center"/>
                </w:tcPr>
                <w:p>
                  <w:pPr>
                    <w:jc w:val="center"/>
                    <w:textAlignment w:val="baseline"/>
                    <w:rPr>
                      <w:bCs/>
                      <w:color w:val="auto"/>
                    </w:rPr>
                  </w:pPr>
                  <w:r>
                    <w:rPr>
                      <w:rFonts w:hint="eastAsia"/>
                      <w:bCs/>
                      <w:color w:val="auto"/>
                    </w:rPr>
                    <w:t>50.1</w:t>
                  </w:r>
                </w:p>
              </w:tc>
              <w:tc>
                <w:tcPr>
                  <w:tcW w:w="466" w:type="pct"/>
                  <w:vAlign w:val="center"/>
                </w:tcPr>
                <w:p>
                  <w:pPr>
                    <w:widowControl/>
                    <w:jc w:val="center"/>
                    <w:textAlignment w:val="center"/>
                    <w:rPr>
                      <w:bCs/>
                      <w:color w:val="auto"/>
                    </w:rPr>
                  </w:pPr>
                  <w:r>
                    <w:rPr>
                      <w:rFonts w:hint="eastAsia"/>
                      <w:bCs/>
                      <w:color w:val="auto"/>
                    </w:rPr>
                    <w:t>43.1</w:t>
                  </w:r>
                </w:p>
              </w:tc>
              <w:tc>
                <w:tcPr>
                  <w:tcW w:w="466" w:type="pct"/>
                  <w:vAlign w:val="center"/>
                </w:tcPr>
                <w:p>
                  <w:pPr>
                    <w:widowControl/>
                    <w:jc w:val="center"/>
                    <w:textAlignment w:val="center"/>
                    <w:rPr>
                      <w:bCs/>
                      <w:color w:val="auto"/>
                    </w:rPr>
                  </w:pPr>
                  <w:r>
                    <w:rPr>
                      <w:rFonts w:hint="eastAsia"/>
                      <w:bCs/>
                      <w:color w:val="auto"/>
                    </w:rPr>
                    <w:t>45.5</w:t>
                  </w:r>
                </w:p>
              </w:tc>
              <w:tc>
                <w:tcPr>
                  <w:tcW w:w="466" w:type="pct"/>
                  <w:vAlign w:val="center"/>
                </w:tcPr>
                <w:p>
                  <w:pPr>
                    <w:widowControl/>
                    <w:jc w:val="center"/>
                    <w:textAlignment w:val="center"/>
                    <w:rPr>
                      <w:bCs/>
                      <w:color w:val="auto"/>
                    </w:rPr>
                  </w:pPr>
                  <w:r>
                    <w:rPr>
                      <w:rFonts w:hint="eastAsia"/>
                      <w:bCs/>
                      <w:color w:val="auto"/>
                    </w:rPr>
                    <w:t>42.6</w:t>
                  </w:r>
                </w:p>
              </w:tc>
              <w:tc>
                <w:tcPr>
                  <w:tcW w:w="464" w:type="pct"/>
                  <w:vAlign w:val="center"/>
                </w:tcPr>
                <w:p>
                  <w:pPr>
                    <w:widowControl/>
                    <w:jc w:val="center"/>
                    <w:textAlignment w:val="center"/>
                    <w:rPr>
                      <w:bCs/>
                      <w:color w:val="auto"/>
                    </w:rPr>
                  </w:pPr>
                  <w:r>
                    <w:rPr>
                      <w:rFonts w:hint="eastAsia"/>
                      <w:bCs/>
                      <w:color w:val="auto"/>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厂界8#</w:t>
                  </w:r>
                </w:p>
              </w:tc>
              <w:tc>
                <w:tcPr>
                  <w:tcW w:w="466" w:type="pct"/>
                  <w:vAlign w:val="center"/>
                </w:tcPr>
                <w:p>
                  <w:pPr>
                    <w:jc w:val="center"/>
                    <w:textAlignment w:val="baseline"/>
                    <w:rPr>
                      <w:bCs/>
                      <w:color w:val="auto"/>
                    </w:rPr>
                  </w:pPr>
                  <w:r>
                    <w:rPr>
                      <w:rFonts w:hint="eastAsia"/>
                      <w:bCs/>
                      <w:color w:val="auto"/>
                    </w:rPr>
                    <w:t>52.7</w:t>
                  </w:r>
                </w:p>
              </w:tc>
              <w:tc>
                <w:tcPr>
                  <w:tcW w:w="466" w:type="pct"/>
                  <w:vAlign w:val="center"/>
                </w:tcPr>
                <w:p>
                  <w:pPr>
                    <w:jc w:val="center"/>
                    <w:textAlignment w:val="baseline"/>
                    <w:rPr>
                      <w:bCs/>
                      <w:color w:val="auto"/>
                    </w:rPr>
                  </w:pPr>
                  <w:r>
                    <w:rPr>
                      <w:rFonts w:hint="eastAsia"/>
                      <w:bCs/>
                      <w:color w:val="auto"/>
                    </w:rPr>
                    <w:t>53.7</w:t>
                  </w:r>
                </w:p>
              </w:tc>
              <w:tc>
                <w:tcPr>
                  <w:tcW w:w="466" w:type="pct"/>
                  <w:vAlign w:val="center"/>
                </w:tcPr>
                <w:p>
                  <w:pPr>
                    <w:jc w:val="center"/>
                    <w:textAlignment w:val="baseline"/>
                    <w:rPr>
                      <w:bCs/>
                      <w:color w:val="auto"/>
                    </w:rPr>
                  </w:pPr>
                  <w:r>
                    <w:rPr>
                      <w:rFonts w:hint="eastAsia"/>
                      <w:bCs/>
                      <w:color w:val="auto"/>
                    </w:rPr>
                    <w:t>51.3</w:t>
                  </w:r>
                </w:p>
              </w:tc>
              <w:tc>
                <w:tcPr>
                  <w:tcW w:w="466" w:type="pct"/>
                  <w:vAlign w:val="center"/>
                </w:tcPr>
                <w:p>
                  <w:pPr>
                    <w:jc w:val="center"/>
                    <w:textAlignment w:val="baseline"/>
                    <w:rPr>
                      <w:bCs/>
                      <w:color w:val="auto"/>
                    </w:rPr>
                  </w:pPr>
                  <w:r>
                    <w:rPr>
                      <w:rFonts w:hint="eastAsia"/>
                      <w:bCs/>
                      <w:color w:val="auto"/>
                    </w:rPr>
                    <w:t>50.5</w:t>
                  </w:r>
                </w:p>
              </w:tc>
              <w:tc>
                <w:tcPr>
                  <w:tcW w:w="466" w:type="pct"/>
                  <w:vAlign w:val="center"/>
                </w:tcPr>
                <w:p>
                  <w:pPr>
                    <w:widowControl/>
                    <w:jc w:val="center"/>
                    <w:textAlignment w:val="center"/>
                    <w:rPr>
                      <w:bCs/>
                      <w:color w:val="auto"/>
                    </w:rPr>
                  </w:pPr>
                  <w:r>
                    <w:rPr>
                      <w:rFonts w:hint="eastAsia"/>
                      <w:bCs/>
                      <w:color w:val="auto"/>
                    </w:rPr>
                    <w:t>43.2</w:t>
                  </w:r>
                </w:p>
              </w:tc>
              <w:tc>
                <w:tcPr>
                  <w:tcW w:w="466" w:type="pct"/>
                  <w:vAlign w:val="center"/>
                </w:tcPr>
                <w:p>
                  <w:pPr>
                    <w:widowControl/>
                    <w:jc w:val="center"/>
                    <w:textAlignment w:val="center"/>
                    <w:rPr>
                      <w:bCs/>
                      <w:color w:val="auto"/>
                    </w:rPr>
                  </w:pPr>
                  <w:r>
                    <w:rPr>
                      <w:rFonts w:hint="eastAsia"/>
                      <w:bCs/>
                      <w:color w:val="auto"/>
                    </w:rPr>
                    <w:t>44.6</w:t>
                  </w:r>
                </w:p>
              </w:tc>
              <w:tc>
                <w:tcPr>
                  <w:tcW w:w="466" w:type="pct"/>
                  <w:vAlign w:val="center"/>
                </w:tcPr>
                <w:p>
                  <w:pPr>
                    <w:widowControl/>
                    <w:jc w:val="center"/>
                    <w:textAlignment w:val="center"/>
                    <w:rPr>
                      <w:bCs/>
                      <w:color w:val="auto"/>
                    </w:rPr>
                  </w:pPr>
                  <w:r>
                    <w:rPr>
                      <w:rFonts w:hint="eastAsia"/>
                      <w:bCs/>
                      <w:color w:val="auto"/>
                    </w:rPr>
                    <w:t>42.9</w:t>
                  </w:r>
                </w:p>
              </w:tc>
              <w:tc>
                <w:tcPr>
                  <w:tcW w:w="464" w:type="pct"/>
                  <w:vAlign w:val="center"/>
                </w:tcPr>
                <w:p>
                  <w:pPr>
                    <w:widowControl/>
                    <w:jc w:val="center"/>
                    <w:textAlignment w:val="center"/>
                    <w:rPr>
                      <w:bCs/>
                      <w:color w:val="auto"/>
                    </w:rPr>
                  </w:pPr>
                  <w:r>
                    <w:rPr>
                      <w:rFonts w:hint="eastAsia"/>
                      <w:bCs/>
                      <w:color w:val="auto"/>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厂界9#</w:t>
                  </w:r>
                </w:p>
              </w:tc>
              <w:tc>
                <w:tcPr>
                  <w:tcW w:w="466" w:type="pct"/>
                  <w:vAlign w:val="center"/>
                </w:tcPr>
                <w:p>
                  <w:pPr>
                    <w:jc w:val="center"/>
                    <w:textAlignment w:val="baseline"/>
                    <w:rPr>
                      <w:bCs/>
                      <w:color w:val="auto"/>
                    </w:rPr>
                  </w:pPr>
                  <w:r>
                    <w:rPr>
                      <w:rFonts w:hint="eastAsia"/>
                      <w:bCs/>
                      <w:color w:val="auto"/>
                    </w:rPr>
                    <w:t>52.5</w:t>
                  </w:r>
                </w:p>
              </w:tc>
              <w:tc>
                <w:tcPr>
                  <w:tcW w:w="466" w:type="pct"/>
                  <w:vAlign w:val="center"/>
                </w:tcPr>
                <w:p>
                  <w:pPr>
                    <w:jc w:val="center"/>
                    <w:textAlignment w:val="baseline"/>
                    <w:rPr>
                      <w:bCs/>
                      <w:color w:val="auto"/>
                    </w:rPr>
                  </w:pPr>
                  <w:r>
                    <w:rPr>
                      <w:rFonts w:hint="eastAsia"/>
                      <w:bCs/>
                      <w:color w:val="auto"/>
                    </w:rPr>
                    <w:t>54.4</w:t>
                  </w:r>
                </w:p>
              </w:tc>
              <w:tc>
                <w:tcPr>
                  <w:tcW w:w="466" w:type="pct"/>
                  <w:vAlign w:val="center"/>
                </w:tcPr>
                <w:p>
                  <w:pPr>
                    <w:jc w:val="center"/>
                    <w:textAlignment w:val="baseline"/>
                    <w:rPr>
                      <w:bCs/>
                      <w:color w:val="auto"/>
                    </w:rPr>
                  </w:pPr>
                  <w:r>
                    <w:rPr>
                      <w:rFonts w:hint="eastAsia"/>
                      <w:bCs/>
                      <w:color w:val="auto"/>
                    </w:rPr>
                    <w:t>51.6</w:t>
                  </w:r>
                </w:p>
              </w:tc>
              <w:tc>
                <w:tcPr>
                  <w:tcW w:w="466" w:type="pct"/>
                  <w:vAlign w:val="center"/>
                </w:tcPr>
                <w:p>
                  <w:pPr>
                    <w:jc w:val="center"/>
                    <w:textAlignment w:val="baseline"/>
                    <w:rPr>
                      <w:bCs/>
                      <w:color w:val="auto"/>
                    </w:rPr>
                  </w:pPr>
                  <w:r>
                    <w:rPr>
                      <w:rFonts w:hint="eastAsia"/>
                      <w:bCs/>
                      <w:color w:val="auto"/>
                    </w:rPr>
                    <w:t>50.1</w:t>
                  </w:r>
                </w:p>
              </w:tc>
              <w:tc>
                <w:tcPr>
                  <w:tcW w:w="466" w:type="pct"/>
                  <w:vAlign w:val="center"/>
                </w:tcPr>
                <w:p>
                  <w:pPr>
                    <w:widowControl/>
                    <w:jc w:val="center"/>
                    <w:textAlignment w:val="center"/>
                    <w:rPr>
                      <w:bCs/>
                      <w:color w:val="auto"/>
                    </w:rPr>
                  </w:pPr>
                  <w:r>
                    <w:rPr>
                      <w:rFonts w:hint="eastAsia"/>
                      <w:bCs/>
                      <w:color w:val="auto"/>
                    </w:rPr>
                    <w:t>42.1</w:t>
                  </w:r>
                </w:p>
              </w:tc>
              <w:tc>
                <w:tcPr>
                  <w:tcW w:w="466" w:type="pct"/>
                  <w:vAlign w:val="center"/>
                </w:tcPr>
                <w:p>
                  <w:pPr>
                    <w:widowControl/>
                    <w:jc w:val="center"/>
                    <w:textAlignment w:val="center"/>
                    <w:rPr>
                      <w:bCs/>
                      <w:color w:val="auto"/>
                    </w:rPr>
                  </w:pPr>
                  <w:r>
                    <w:rPr>
                      <w:rFonts w:hint="eastAsia"/>
                      <w:bCs/>
                      <w:color w:val="auto"/>
                    </w:rPr>
                    <w:t>42.9</w:t>
                  </w:r>
                </w:p>
              </w:tc>
              <w:tc>
                <w:tcPr>
                  <w:tcW w:w="466" w:type="pct"/>
                  <w:vAlign w:val="center"/>
                </w:tcPr>
                <w:p>
                  <w:pPr>
                    <w:widowControl/>
                    <w:jc w:val="center"/>
                    <w:textAlignment w:val="center"/>
                    <w:rPr>
                      <w:bCs/>
                      <w:color w:val="auto"/>
                    </w:rPr>
                  </w:pPr>
                  <w:r>
                    <w:rPr>
                      <w:rFonts w:hint="eastAsia"/>
                      <w:bCs/>
                      <w:color w:val="auto"/>
                    </w:rPr>
                    <w:t>41.5</w:t>
                  </w:r>
                </w:p>
              </w:tc>
              <w:tc>
                <w:tcPr>
                  <w:tcW w:w="464" w:type="pct"/>
                  <w:vAlign w:val="center"/>
                </w:tcPr>
                <w:p>
                  <w:pPr>
                    <w:widowControl/>
                    <w:jc w:val="center"/>
                    <w:textAlignment w:val="center"/>
                    <w:rPr>
                      <w:bCs/>
                      <w:color w:val="auto"/>
                    </w:rPr>
                  </w:pPr>
                  <w:r>
                    <w:rPr>
                      <w:rFonts w:hint="eastAsia"/>
                      <w:bCs/>
                      <w:color w:val="auto"/>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厂界10#</w:t>
                  </w:r>
                </w:p>
              </w:tc>
              <w:tc>
                <w:tcPr>
                  <w:tcW w:w="466" w:type="pct"/>
                  <w:vAlign w:val="center"/>
                </w:tcPr>
                <w:p>
                  <w:pPr>
                    <w:jc w:val="center"/>
                    <w:textAlignment w:val="baseline"/>
                    <w:rPr>
                      <w:bCs/>
                      <w:color w:val="auto"/>
                    </w:rPr>
                  </w:pPr>
                  <w:r>
                    <w:rPr>
                      <w:rFonts w:hint="eastAsia"/>
                      <w:bCs/>
                      <w:color w:val="auto"/>
                    </w:rPr>
                    <w:t>52.8</w:t>
                  </w:r>
                </w:p>
              </w:tc>
              <w:tc>
                <w:tcPr>
                  <w:tcW w:w="466" w:type="pct"/>
                  <w:vAlign w:val="center"/>
                </w:tcPr>
                <w:p>
                  <w:pPr>
                    <w:jc w:val="center"/>
                    <w:textAlignment w:val="baseline"/>
                    <w:rPr>
                      <w:bCs/>
                      <w:color w:val="auto"/>
                    </w:rPr>
                  </w:pPr>
                  <w:r>
                    <w:rPr>
                      <w:rFonts w:hint="eastAsia"/>
                      <w:bCs/>
                      <w:color w:val="auto"/>
                    </w:rPr>
                    <w:t>54.8</w:t>
                  </w:r>
                </w:p>
              </w:tc>
              <w:tc>
                <w:tcPr>
                  <w:tcW w:w="466" w:type="pct"/>
                  <w:vAlign w:val="center"/>
                </w:tcPr>
                <w:p>
                  <w:pPr>
                    <w:jc w:val="center"/>
                    <w:textAlignment w:val="baseline"/>
                    <w:rPr>
                      <w:bCs/>
                      <w:color w:val="auto"/>
                    </w:rPr>
                  </w:pPr>
                  <w:r>
                    <w:rPr>
                      <w:rFonts w:hint="eastAsia"/>
                      <w:bCs/>
                      <w:color w:val="auto"/>
                    </w:rPr>
                    <w:t>52.3</w:t>
                  </w:r>
                </w:p>
              </w:tc>
              <w:tc>
                <w:tcPr>
                  <w:tcW w:w="466" w:type="pct"/>
                  <w:vAlign w:val="center"/>
                </w:tcPr>
                <w:p>
                  <w:pPr>
                    <w:jc w:val="center"/>
                    <w:textAlignment w:val="baseline"/>
                    <w:rPr>
                      <w:bCs/>
                      <w:color w:val="auto"/>
                    </w:rPr>
                  </w:pPr>
                  <w:r>
                    <w:rPr>
                      <w:rFonts w:hint="eastAsia"/>
                      <w:bCs/>
                      <w:color w:val="auto"/>
                    </w:rPr>
                    <w:t>51.3</w:t>
                  </w:r>
                </w:p>
              </w:tc>
              <w:tc>
                <w:tcPr>
                  <w:tcW w:w="466" w:type="pct"/>
                  <w:vAlign w:val="center"/>
                </w:tcPr>
                <w:p>
                  <w:pPr>
                    <w:widowControl/>
                    <w:jc w:val="center"/>
                    <w:textAlignment w:val="center"/>
                    <w:rPr>
                      <w:bCs/>
                      <w:color w:val="auto"/>
                    </w:rPr>
                  </w:pPr>
                  <w:r>
                    <w:rPr>
                      <w:rFonts w:hint="eastAsia"/>
                      <w:bCs/>
                      <w:color w:val="auto"/>
                    </w:rPr>
                    <w:t>43.9</w:t>
                  </w:r>
                </w:p>
              </w:tc>
              <w:tc>
                <w:tcPr>
                  <w:tcW w:w="466" w:type="pct"/>
                  <w:vAlign w:val="center"/>
                </w:tcPr>
                <w:p>
                  <w:pPr>
                    <w:widowControl/>
                    <w:jc w:val="center"/>
                    <w:textAlignment w:val="center"/>
                    <w:rPr>
                      <w:bCs/>
                      <w:color w:val="auto"/>
                    </w:rPr>
                  </w:pPr>
                  <w:r>
                    <w:rPr>
                      <w:rFonts w:hint="eastAsia"/>
                      <w:bCs/>
                      <w:color w:val="auto"/>
                    </w:rPr>
                    <w:t>45.7</w:t>
                  </w:r>
                </w:p>
              </w:tc>
              <w:tc>
                <w:tcPr>
                  <w:tcW w:w="466" w:type="pct"/>
                  <w:vAlign w:val="center"/>
                </w:tcPr>
                <w:p>
                  <w:pPr>
                    <w:widowControl/>
                    <w:jc w:val="center"/>
                    <w:textAlignment w:val="center"/>
                    <w:rPr>
                      <w:bCs/>
                      <w:color w:val="auto"/>
                    </w:rPr>
                  </w:pPr>
                  <w:r>
                    <w:rPr>
                      <w:rFonts w:hint="eastAsia"/>
                      <w:bCs/>
                      <w:color w:val="auto"/>
                    </w:rPr>
                    <w:t>43.1</w:t>
                  </w:r>
                </w:p>
              </w:tc>
              <w:tc>
                <w:tcPr>
                  <w:tcW w:w="464" w:type="pct"/>
                  <w:vAlign w:val="center"/>
                </w:tcPr>
                <w:p>
                  <w:pPr>
                    <w:widowControl/>
                    <w:jc w:val="center"/>
                    <w:textAlignment w:val="center"/>
                    <w:rPr>
                      <w:bCs/>
                      <w:color w:val="auto"/>
                    </w:rPr>
                  </w:pPr>
                  <w:r>
                    <w:rPr>
                      <w:rFonts w:hint="eastAsia"/>
                      <w:bCs/>
                      <w:color w:val="auto"/>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厂界11#</w:t>
                  </w:r>
                </w:p>
              </w:tc>
              <w:tc>
                <w:tcPr>
                  <w:tcW w:w="466" w:type="pct"/>
                  <w:vAlign w:val="center"/>
                </w:tcPr>
                <w:p>
                  <w:pPr>
                    <w:jc w:val="center"/>
                    <w:textAlignment w:val="baseline"/>
                    <w:rPr>
                      <w:bCs/>
                      <w:color w:val="auto"/>
                    </w:rPr>
                  </w:pPr>
                  <w:r>
                    <w:rPr>
                      <w:rFonts w:hint="eastAsia"/>
                      <w:bCs/>
                      <w:color w:val="auto"/>
                    </w:rPr>
                    <w:t>53.3</w:t>
                  </w:r>
                </w:p>
              </w:tc>
              <w:tc>
                <w:tcPr>
                  <w:tcW w:w="466" w:type="pct"/>
                  <w:vAlign w:val="center"/>
                </w:tcPr>
                <w:p>
                  <w:pPr>
                    <w:jc w:val="center"/>
                    <w:textAlignment w:val="baseline"/>
                    <w:rPr>
                      <w:bCs/>
                      <w:color w:val="auto"/>
                    </w:rPr>
                  </w:pPr>
                  <w:r>
                    <w:rPr>
                      <w:rFonts w:hint="eastAsia"/>
                      <w:bCs/>
                      <w:color w:val="auto"/>
                    </w:rPr>
                    <w:t>54.3</w:t>
                  </w:r>
                </w:p>
              </w:tc>
              <w:tc>
                <w:tcPr>
                  <w:tcW w:w="466" w:type="pct"/>
                  <w:vAlign w:val="center"/>
                </w:tcPr>
                <w:p>
                  <w:pPr>
                    <w:jc w:val="center"/>
                    <w:textAlignment w:val="baseline"/>
                    <w:rPr>
                      <w:bCs/>
                      <w:color w:val="auto"/>
                    </w:rPr>
                  </w:pPr>
                  <w:r>
                    <w:rPr>
                      <w:rFonts w:hint="eastAsia"/>
                      <w:bCs/>
                      <w:color w:val="auto"/>
                    </w:rPr>
                    <w:t>52.4</w:t>
                  </w:r>
                </w:p>
              </w:tc>
              <w:tc>
                <w:tcPr>
                  <w:tcW w:w="466" w:type="pct"/>
                  <w:vAlign w:val="center"/>
                </w:tcPr>
                <w:p>
                  <w:pPr>
                    <w:jc w:val="center"/>
                    <w:textAlignment w:val="baseline"/>
                    <w:rPr>
                      <w:bCs/>
                      <w:color w:val="auto"/>
                    </w:rPr>
                  </w:pPr>
                  <w:r>
                    <w:rPr>
                      <w:rFonts w:hint="eastAsia"/>
                      <w:bCs/>
                      <w:color w:val="auto"/>
                    </w:rPr>
                    <w:t>51.0</w:t>
                  </w:r>
                </w:p>
              </w:tc>
              <w:tc>
                <w:tcPr>
                  <w:tcW w:w="466" w:type="pct"/>
                  <w:vAlign w:val="center"/>
                </w:tcPr>
                <w:p>
                  <w:pPr>
                    <w:widowControl/>
                    <w:jc w:val="center"/>
                    <w:textAlignment w:val="center"/>
                    <w:rPr>
                      <w:bCs/>
                      <w:color w:val="auto"/>
                    </w:rPr>
                  </w:pPr>
                  <w:r>
                    <w:rPr>
                      <w:rFonts w:hint="eastAsia"/>
                      <w:bCs/>
                      <w:color w:val="auto"/>
                    </w:rPr>
                    <w:t>42.6</w:t>
                  </w:r>
                </w:p>
              </w:tc>
              <w:tc>
                <w:tcPr>
                  <w:tcW w:w="466" w:type="pct"/>
                  <w:vAlign w:val="center"/>
                </w:tcPr>
                <w:p>
                  <w:pPr>
                    <w:widowControl/>
                    <w:jc w:val="center"/>
                    <w:textAlignment w:val="center"/>
                    <w:rPr>
                      <w:bCs/>
                      <w:color w:val="auto"/>
                    </w:rPr>
                  </w:pPr>
                  <w:r>
                    <w:rPr>
                      <w:rFonts w:hint="eastAsia"/>
                      <w:bCs/>
                      <w:color w:val="auto"/>
                    </w:rPr>
                    <w:t>43.7</w:t>
                  </w:r>
                </w:p>
              </w:tc>
              <w:tc>
                <w:tcPr>
                  <w:tcW w:w="466" w:type="pct"/>
                  <w:vAlign w:val="center"/>
                </w:tcPr>
                <w:p>
                  <w:pPr>
                    <w:widowControl/>
                    <w:jc w:val="center"/>
                    <w:textAlignment w:val="center"/>
                    <w:rPr>
                      <w:bCs/>
                      <w:color w:val="auto"/>
                    </w:rPr>
                  </w:pPr>
                  <w:r>
                    <w:rPr>
                      <w:rFonts w:hint="eastAsia"/>
                      <w:bCs/>
                      <w:color w:val="auto"/>
                    </w:rPr>
                    <w:t>41.6</w:t>
                  </w:r>
                </w:p>
              </w:tc>
              <w:tc>
                <w:tcPr>
                  <w:tcW w:w="464" w:type="pct"/>
                  <w:vAlign w:val="center"/>
                </w:tcPr>
                <w:p>
                  <w:pPr>
                    <w:widowControl/>
                    <w:jc w:val="center"/>
                    <w:textAlignment w:val="center"/>
                    <w:rPr>
                      <w:bCs/>
                      <w:color w:val="auto"/>
                    </w:rPr>
                  </w:pPr>
                  <w:r>
                    <w:rPr>
                      <w:rFonts w:hint="eastAsia"/>
                      <w:bCs/>
                      <w:color w:val="aut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厂界12#</w:t>
                  </w:r>
                </w:p>
              </w:tc>
              <w:tc>
                <w:tcPr>
                  <w:tcW w:w="466" w:type="pct"/>
                  <w:vAlign w:val="center"/>
                </w:tcPr>
                <w:p>
                  <w:pPr>
                    <w:jc w:val="center"/>
                    <w:textAlignment w:val="baseline"/>
                    <w:rPr>
                      <w:bCs/>
                      <w:color w:val="auto"/>
                    </w:rPr>
                  </w:pPr>
                  <w:r>
                    <w:rPr>
                      <w:rFonts w:hint="eastAsia"/>
                      <w:bCs/>
                      <w:color w:val="auto"/>
                    </w:rPr>
                    <w:t>51.1</w:t>
                  </w:r>
                </w:p>
              </w:tc>
              <w:tc>
                <w:tcPr>
                  <w:tcW w:w="466" w:type="pct"/>
                  <w:vAlign w:val="center"/>
                </w:tcPr>
                <w:p>
                  <w:pPr>
                    <w:jc w:val="center"/>
                    <w:textAlignment w:val="baseline"/>
                    <w:rPr>
                      <w:bCs/>
                      <w:color w:val="auto"/>
                    </w:rPr>
                  </w:pPr>
                  <w:r>
                    <w:rPr>
                      <w:rFonts w:hint="eastAsia"/>
                      <w:bCs/>
                      <w:color w:val="auto"/>
                    </w:rPr>
                    <w:t>52.5</w:t>
                  </w:r>
                </w:p>
              </w:tc>
              <w:tc>
                <w:tcPr>
                  <w:tcW w:w="466" w:type="pct"/>
                  <w:vAlign w:val="center"/>
                </w:tcPr>
                <w:p>
                  <w:pPr>
                    <w:jc w:val="center"/>
                    <w:textAlignment w:val="baseline"/>
                    <w:rPr>
                      <w:bCs/>
                      <w:color w:val="auto"/>
                    </w:rPr>
                  </w:pPr>
                  <w:r>
                    <w:rPr>
                      <w:rFonts w:hint="eastAsia"/>
                      <w:bCs/>
                      <w:color w:val="auto"/>
                    </w:rPr>
                    <w:t>50.6</w:t>
                  </w:r>
                </w:p>
              </w:tc>
              <w:tc>
                <w:tcPr>
                  <w:tcW w:w="466" w:type="pct"/>
                  <w:vAlign w:val="center"/>
                </w:tcPr>
                <w:p>
                  <w:pPr>
                    <w:jc w:val="center"/>
                    <w:textAlignment w:val="baseline"/>
                    <w:rPr>
                      <w:bCs/>
                      <w:color w:val="auto"/>
                    </w:rPr>
                  </w:pPr>
                  <w:r>
                    <w:rPr>
                      <w:rFonts w:hint="eastAsia"/>
                      <w:bCs/>
                      <w:color w:val="auto"/>
                    </w:rPr>
                    <w:t>49.4</w:t>
                  </w:r>
                </w:p>
              </w:tc>
              <w:tc>
                <w:tcPr>
                  <w:tcW w:w="466" w:type="pct"/>
                  <w:vAlign w:val="center"/>
                </w:tcPr>
                <w:p>
                  <w:pPr>
                    <w:widowControl/>
                    <w:jc w:val="center"/>
                    <w:textAlignment w:val="center"/>
                    <w:rPr>
                      <w:bCs/>
                      <w:color w:val="auto"/>
                    </w:rPr>
                  </w:pPr>
                  <w:r>
                    <w:rPr>
                      <w:rFonts w:hint="eastAsia"/>
                      <w:bCs/>
                      <w:color w:val="auto"/>
                    </w:rPr>
                    <w:t>42.1</w:t>
                  </w:r>
                </w:p>
              </w:tc>
              <w:tc>
                <w:tcPr>
                  <w:tcW w:w="466" w:type="pct"/>
                  <w:vAlign w:val="center"/>
                </w:tcPr>
                <w:p>
                  <w:pPr>
                    <w:widowControl/>
                    <w:jc w:val="center"/>
                    <w:textAlignment w:val="center"/>
                    <w:rPr>
                      <w:bCs/>
                      <w:color w:val="auto"/>
                    </w:rPr>
                  </w:pPr>
                  <w:r>
                    <w:rPr>
                      <w:rFonts w:hint="eastAsia"/>
                      <w:bCs/>
                      <w:color w:val="auto"/>
                    </w:rPr>
                    <w:t>42.7</w:t>
                  </w:r>
                </w:p>
              </w:tc>
              <w:tc>
                <w:tcPr>
                  <w:tcW w:w="466" w:type="pct"/>
                  <w:vAlign w:val="center"/>
                </w:tcPr>
                <w:p>
                  <w:pPr>
                    <w:widowControl/>
                    <w:jc w:val="center"/>
                    <w:textAlignment w:val="center"/>
                    <w:rPr>
                      <w:bCs/>
                      <w:color w:val="auto"/>
                    </w:rPr>
                  </w:pPr>
                  <w:r>
                    <w:rPr>
                      <w:rFonts w:hint="eastAsia"/>
                      <w:bCs/>
                      <w:color w:val="auto"/>
                    </w:rPr>
                    <w:t>40.6</w:t>
                  </w:r>
                </w:p>
              </w:tc>
              <w:tc>
                <w:tcPr>
                  <w:tcW w:w="464" w:type="pct"/>
                  <w:vAlign w:val="center"/>
                </w:tcPr>
                <w:p>
                  <w:pPr>
                    <w:widowControl/>
                    <w:jc w:val="center"/>
                    <w:textAlignment w:val="center"/>
                    <w:rPr>
                      <w:bCs/>
                      <w:color w:val="auto"/>
                    </w:rPr>
                  </w:pPr>
                  <w:r>
                    <w:rPr>
                      <w:rFonts w:hint="eastAsia"/>
                      <w:bCs/>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color w:val="auto"/>
                    </w:rPr>
                  </w:pPr>
                  <w:r>
                    <w:rPr>
                      <w:rFonts w:hint="eastAsia"/>
                      <w:color w:val="auto"/>
                    </w:rPr>
                    <w:t>敏感点云雾峪村13#</w:t>
                  </w:r>
                </w:p>
              </w:tc>
              <w:tc>
                <w:tcPr>
                  <w:tcW w:w="466" w:type="pct"/>
                  <w:vAlign w:val="center"/>
                </w:tcPr>
                <w:p>
                  <w:pPr>
                    <w:jc w:val="center"/>
                    <w:textAlignment w:val="baseline"/>
                    <w:rPr>
                      <w:bCs/>
                      <w:color w:val="auto"/>
                    </w:rPr>
                  </w:pPr>
                  <w:r>
                    <w:rPr>
                      <w:rFonts w:hint="eastAsia"/>
                      <w:bCs/>
                      <w:color w:val="auto"/>
                    </w:rPr>
                    <w:t>53.9</w:t>
                  </w:r>
                </w:p>
              </w:tc>
              <w:tc>
                <w:tcPr>
                  <w:tcW w:w="466" w:type="pct"/>
                  <w:vAlign w:val="center"/>
                </w:tcPr>
                <w:p>
                  <w:pPr>
                    <w:jc w:val="center"/>
                    <w:textAlignment w:val="baseline"/>
                    <w:rPr>
                      <w:bCs/>
                      <w:color w:val="auto"/>
                    </w:rPr>
                  </w:pPr>
                  <w:r>
                    <w:rPr>
                      <w:rFonts w:hint="eastAsia"/>
                      <w:bCs/>
                      <w:color w:val="auto"/>
                    </w:rPr>
                    <w:t>54.9</w:t>
                  </w:r>
                </w:p>
              </w:tc>
              <w:tc>
                <w:tcPr>
                  <w:tcW w:w="466" w:type="pct"/>
                  <w:vAlign w:val="center"/>
                </w:tcPr>
                <w:p>
                  <w:pPr>
                    <w:jc w:val="center"/>
                    <w:textAlignment w:val="baseline"/>
                    <w:rPr>
                      <w:bCs/>
                      <w:color w:val="auto"/>
                    </w:rPr>
                  </w:pPr>
                  <w:r>
                    <w:rPr>
                      <w:rFonts w:hint="eastAsia"/>
                      <w:bCs/>
                      <w:color w:val="auto"/>
                    </w:rPr>
                    <w:t>53.4</w:t>
                  </w:r>
                </w:p>
              </w:tc>
              <w:tc>
                <w:tcPr>
                  <w:tcW w:w="466" w:type="pct"/>
                  <w:vAlign w:val="center"/>
                </w:tcPr>
                <w:p>
                  <w:pPr>
                    <w:jc w:val="center"/>
                    <w:textAlignment w:val="baseline"/>
                    <w:rPr>
                      <w:bCs/>
                      <w:color w:val="auto"/>
                    </w:rPr>
                  </w:pPr>
                  <w:r>
                    <w:rPr>
                      <w:rFonts w:hint="eastAsia"/>
                      <w:bCs/>
                      <w:color w:val="auto"/>
                    </w:rPr>
                    <w:t>51.2</w:t>
                  </w:r>
                </w:p>
              </w:tc>
              <w:tc>
                <w:tcPr>
                  <w:tcW w:w="466" w:type="pct"/>
                  <w:vAlign w:val="center"/>
                </w:tcPr>
                <w:p>
                  <w:pPr>
                    <w:widowControl/>
                    <w:jc w:val="center"/>
                    <w:textAlignment w:val="center"/>
                    <w:rPr>
                      <w:bCs/>
                      <w:color w:val="auto"/>
                    </w:rPr>
                  </w:pPr>
                  <w:r>
                    <w:rPr>
                      <w:rFonts w:hint="eastAsia"/>
                      <w:bCs/>
                      <w:color w:val="auto"/>
                    </w:rPr>
                    <w:t>43.8</w:t>
                  </w:r>
                </w:p>
              </w:tc>
              <w:tc>
                <w:tcPr>
                  <w:tcW w:w="466" w:type="pct"/>
                  <w:vAlign w:val="center"/>
                </w:tcPr>
                <w:p>
                  <w:pPr>
                    <w:widowControl/>
                    <w:jc w:val="center"/>
                    <w:textAlignment w:val="center"/>
                    <w:rPr>
                      <w:bCs/>
                      <w:color w:val="auto"/>
                    </w:rPr>
                  </w:pPr>
                  <w:r>
                    <w:rPr>
                      <w:rFonts w:hint="eastAsia"/>
                      <w:bCs/>
                      <w:color w:val="auto"/>
                    </w:rPr>
                    <w:t>44.4</w:t>
                  </w:r>
                </w:p>
              </w:tc>
              <w:tc>
                <w:tcPr>
                  <w:tcW w:w="466" w:type="pct"/>
                  <w:vAlign w:val="center"/>
                </w:tcPr>
                <w:p>
                  <w:pPr>
                    <w:widowControl/>
                    <w:jc w:val="center"/>
                    <w:textAlignment w:val="center"/>
                    <w:rPr>
                      <w:bCs/>
                      <w:color w:val="auto"/>
                    </w:rPr>
                  </w:pPr>
                  <w:r>
                    <w:rPr>
                      <w:rFonts w:hint="eastAsia"/>
                      <w:bCs/>
                      <w:color w:val="auto"/>
                    </w:rPr>
                    <w:t>42.0</w:t>
                  </w:r>
                </w:p>
              </w:tc>
              <w:tc>
                <w:tcPr>
                  <w:tcW w:w="464" w:type="pct"/>
                  <w:vAlign w:val="center"/>
                </w:tcPr>
                <w:p>
                  <w:pPr>
                    <w:widowControl/>
                    <w:jc w:val="center"/>
                    <w:textAlignment w:val="center"/>
                    <w:rPr>
                      <w:bCs/>
                      <w:color w:val="auto"/>
                    </w:rPr>
                  </w:pPr>
                  <w:r>
                    <w:rPr>
                      <w:rFonts w:hint="eastAsia"/>
                      <w:bCs/>
                      <w:color w:val="auto"/>
                    </w:rPr>
                    <w:t>41.1</w:t>
                  </w:r>
                </w:p>
              </w:tc>
            </w:tr>
          </w:tbl>
          <w:p>
            <w:pPr>
              <w:spacing w:line="480" w:lineRule="exact"/>
              <w:ind w:firstLine="480" w:firstLineChars="200"/>
              <w:rPr>
                <w:bCs/>
                <w:color w:val="auto"/>
                <w:sz w:val="24"/>
              </w:rPr>
            </w:pPr>
            <w:r>
              <w:rPr>
                <w:rFonts w:hint="eastAsia"/>
                <w:color w:val="auto"/>
                <w:sz w:val="24"/>
                <w:szCs w:val="20"/>
              </w:rPr>
              <w:t>根据上表可知：监测期间项目厂界昼间噪声值在51.1-53.6dB(A)，夜间噪声值在42.1-43.9dB(A)；敏感点云雾峪村昼间噪声值为53.9dB(A)，夜间噪声值在43.8dB(A)；均满足《声环境质量标准》(GB3096-2008)2类标准限值要求。</w:t>
            </w:r>
          </w:p>
          <w:p>
            <w:pPr>
              <w:adjustRightInd w:val="0"/>
              <w:snapToGrid w:val="0"/>
              <w:spacing w:line="480" w:lineRule="exact"/>
              <w:ind w:firstLine="482" w:firstLineChars="200"/>
              <w:rPr>
                <w:b/>
                <w:bCs/>
                <w:color w:val="auto"/>
                <w:kern w:val="0"/>
                <w:sz w:val="24"/>
              </w:rPr>
            </w:pPr>
            <w:r>
              <w:rPr>
                <w:rFonts w:hint="eastAsia"/>
                <w:b/>
                <w:bCs/>
                <w:color w:val="auto"/>
                <w:kern w:val="0"/>
                <w:sz w:val="24"/>
              </w:rPr>
              <w:t>4、</w:t>
            </w:r>
            <w:r>
              <w:rPr>
                <w:rFonts w:hint="eastAsia" w:hAnsi="宋体"/>
                <w:b/>
                <w:color w:val="auto"/>
                <w:sz w:val="24"/>
                <w:szCs w:val="32"/>
              </w:rPr>
              <w:t>生态环境现状</w:t>
            </w:r>
          </w:p>
          <w:p>
            <w:pPr>
              <w:spacing w:line="480" w:lineRule="exact"/>
              <w:ind w:firstLine="480" w:firstLineChars="200"/>
              <w:rPr>
                <w:color w:val="auto"/>
                <w:sz w:val="24"/>
              </w:rPr>
            </w:pPr>
            <w:r>
              <w:rPr>
                <w:rFonts w:hint="eastAsia"/>
                <w:color w:val="auto"/>
                <w:sz w:val="24"/>
                <w:lang w:val="zh-CN"/>
              </w:rPr>
              <w:t>本项目评价区处于农村地区，不涉及自然保护区、风景名胜区等环境敏感保护目标。</w:t>
            </w:r>
            <w:r>
              <w:rPr>
                <w:rFonts w:hint="eastAsia"/>
                <w:color w:val="auto"/>
                <w:sz w:val="24"/>
              </w:rPr>
              <w:t>植物主要有绿化树木、草地及当地种植的农作物等，没有国家和省市重点保护及濒危动植物。</w:t>
            </w:r>
          </w:p>
          <w:p>
            <w:pPr>
              <w:adjustRightInd w:val="0"/>
              <w:snapToGrid w:val="0"/>
              <w:spacing w:line="480" w:lineRule="exact"/>
              <w:ind w:firstLine="482" w:firstLineChars="200"/>
              <w:rPr>
                <w:b/>
                <w:bCs/>
                <w:color w:val="auto"/>
                <w:kern w:val="0"/>
                <w:sz w:val="24"/>
              </w:rPr>
            </w:pPr>
            <w:r>
              <w:rPr>
                <w:rFonts w:hint="eastAsia"/>
                <w:b/>
                <w:bCs/>
                <w:color w:val="auto"/>
                <w:kern w:val="0"/>
                <w:sz w:val="24"/>
              </w:rPr>
              <w:t>5、土壤和地下水</w:t>
            </w:r>
          </w:p>
          <w:p>
            <w:pPr>
              <w:spacing w:line="480" w:lineRule="exact"/>
              <w:ind w:firstLine="480" w:firstLineChars="200"/>
              <w:rPr>
                <w:color w:val="auto"/>
                <w:sz w:val="24"/>
              </w:rPr>
            </w:pPr>
            <w:r>
              <w:rPr>
                <w:rFonts w:hint="eastAsia"/>
                <w:color w:val="auto"/>
                <w:sz w:val="24"/>
              </w:rPr>
              <w:t>本项目为煤炭存储，项目生产车间进行防渗处理，项目运营期无地下水和土壤污染源及污染途径，因此，根据《建设项目环境影响评价报告表编制技术指南（污染影响类）》（2021年4月1日起试行）的要求，本次评价无需对地下水和土壤进行现状分析。</w:t>
            </w: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68"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保护</w:t>
            </w:r>
          </w:p>
          <w:p>
            <w:pPr>
              <w:adjustRightInd w:val="0"/>
              <w:snapToGrid w:val="0"/>
              <w:jc w:val="center"/>
              <w:rPr>
                <w:rFonts w:ascii="宋体" w:hAnsi="宋体" w:cs="宋体"/>
                <w:color w:val="auto"/>
                <w:kern w:val="0"/>
              </w:rPr>
            </w:pPr>
            <w:r>
              <w:rPr>
                <w:rFonts w:hint="eastAsia" w:ascii="宋体" w:hAnsi="宋体" w:cs="宋体"/>
                <w:color w:val="auto"/>
                <w:kern w:val="0"/>
              </w:rPr>
              <w:t>目标</w:t>
            </w:r>
          </w:p>
        </w:tc>
        <w:tc>
          <w:tcPr>
            <w:tcW w:w="8574" w:type="dxa"/>
            <w:vAlign w:val="center"/>
          </w:tcPr>
          <w:p>
            <w:pPr>
              <w:adjustRightInd w:val="0"/>
              <w:snapToGrid w:val="0"/>
              <w:spacing w:line="480" w:lineRule="exact"/>
              <w:ind w:firstLine="482" w:firstLineChars="200"/>
              <w:rPr>
                <w:b/>
                <w:bCs/>
                <w:color w:val="auto"/>
                <w:sz w:val="24"/>
              </w:rPr>
            </w:pPr>
            <w:r>
              <w:rPr>
                <w:rFonts w:hint="eastAsia"/>
                <w:b/>
                <w:bCs/>
                <w:color w:val="auto"/>
                <w:sz w:val="24"/>
              </w:rPr>
              <w:t>1、大气环境</w:t>
            </w:r>
          </w:p>
          <w:p>
            <w:pPr>
              <w:adjustRightInd w:val="0"/>
              <w:snapToGrid w:val="0"/>
              <w:spacing w:line="480" w:lineRule="exact"/>
              <w:ind w:firstLine="480" w:firstLineChars="200"/>
              <w:rPr>
                <w:bCs/>
                <w:color w:val="auto"/>
                <w:sz w:val="24"/>
              </w:rPr>
            </w:pPr>
            <w:r>
              <w:rPr>
                <w:rFonts w:hint="eastAsia"/>
                <w:bCs/>
                <w:color w:val="auto"/>
                <w:sz w:val="24"/>
              </w:rPr>
              <w:t>本项目拟建厂址位于山西省忻州市繁峙县平型关镇云雾峪村，距拟建厂址最近的村庄为厂址西北侧50m的</w:t>
            </w:r>
            <w:r>
              <w:rPr>
                <w:rFonts w:hint="eastAsia"/>
                <w:color w:val="auto"/>
                <w:kern w:val="0"/>
                <w:sz w:val="24"/>
              </w:rPr>
              <w:t>云雾峪</w:t>
            </w:r>
            <w:r>
              <w:rPr>
                <w:rFonts w:hint="eastAsia"/>
                <w:bCs/>
                <w:color w:val="auto"/>
                <w:sz w:val="24"/>
              </w:rPr>
              <w:t>村，其余居民区均位于厂界外500m范围外；因此将</w:t>
            </w:r>
            <w:r>
              <w:rPr>
                <w:rFonts w:hint="eastAsia"/>
                <w:color w:val="auto"/>
                <w:kern w:val="0"/>
                <w:sz w:val="24"/>
              </w:rPr>
              <w:t>云雾峪</w:t>
            </w:r>
            <w:r>
              <w:rPr>
                <w:rFonts w:hint="eastAsia"/>
                <w:bCs/>
                <w:color w:val="auto"/>
                <w:sz w:val="24"/>
              </w:rPr>
              <w:t>村作为大气环境保护目标，项目厂界外500m范围内不存在其他</w:t>
            </w:r>
            <w:r>
              <w:rPr>
                <w:rFonts w:hint="eastAsia"/>
                <w:color w:val="auto"/>
                <w:sz w:val="24"/>
                <w:szCs w:val="24"/>
                <w:lang w:bidi="ar"/>
              </w:rPr>
              <w:t>自然保护区、风景名胜区、居住区、文化区和农村地区中人群较集中的区域等保护目标。</w:t>
            </w:r>
          </w:p>
          <w:p>
            <w:pPr>
              <w:adjustRightInd w:val="0"/>
              <w:snapToGrid w:val="0"/>
              <w:spacing w:line="480" w:lineRule="exact"/>
              <w:ind w:firstLine="482" w:firstLineChars="200"/>
              <w:rPr>
                <w:b/>
                <w:bCs/>
                <w:color w:val="auto"/>
                <w:sz w:val="24"/>
              </w:rPr>
            </w:pPr>
            <w:r>
              <w:rPr>
                <w:rFonts w:hint="eastAsia"/>
                <w:b/>
                <w:bCs/>
                <w:color w:val="auto"/>
                <w:sz w:val="24"/>
              </w:rPr>
              <w:t>2、声环境</w:t>
            </w:r>
          </w:p>
          <w:p>
            <w:pPr>
              <w:adjustRightInd w:val="0"/>
              <w:snapToGrid w:val="0"/>
              <w:spacing w:line="480" w:lineRule="exact"/>
              <w:ind w:firstLine="480" w:firstLineChars="200"/>
              <w:rPr>
                <w:color w:val="auto"/>
                <w:sz w:val="24"/>
              </w:rPr>
            </w:pPr>
            <w:r>
              <w:rPr>
                <w:rFonts w:hint="eastAsia"/>
                <w:bCs/>
                <w:color w:val="auto"/>
                <w:sz w:val="24"/>
              </w:rPr>
              <w:t>本项目拟建厂址位于山西省忻州市繁峙县平型关镇云雾峪村，距拟建厂址最近的村庄为厂址西北侧50m的</w:t>
            </w:r>
            <w:r>
              <w:rPr>
                <w:rFonts w:hint="eastAsia"/>
                <w:color w:val="auto"/>
                <w:kern w:val="0"/>
                <w:sz w:val="24"/>
              </w:rPr>
              <w:t>云雾峪</w:t>
            </w:r>
            <w:r>
              <w:rPr>
                <w:rFonts w:hint="eastAsia"/>
                <w:bCs/>
                <w:color w:val="auto"/>
                <w:sz w:val="24"/>
              </w:rPr>
              <w:t>村，作为声环境保护目标</w:t>
            </w:r>
          </w:p>
          <w:p>
            <w:pPr>
              <w:adjustRightInd w:val="0"/>
              <w:snapToGrid w:val="0"/>
              <w:spacing w:line="480" w:lineRule="exact"/>
              <w:ind w:firstLine="482" w:firstLineChars="200"/>
              <w:rPr>
                <w:b/>
                <w:bCs/>
                <w:color w:val="auto"/>
                <w:sz w:val="24"/>
              </w:rPr>
            </w:pPr>
            <w:r>
              <w:rPr>
                <w:rFonts w:hint="eastAsia"/>
                <w:b/>
                <w:bCs/>
                <w:color w:val="auto"/>
                <w:sz w:val="24"/>
              </w:rPr>
              <w:t>3、地下水环境</w:t>
            </w:r>
          </w:p>
          <w:p>
            <w:pPr>
              <w:adjustRightInd w:val="0"/>
              <w:snapToGrid w:val="0"/>
              <w:spacing w:line="480" w:lineRule="exact"/>
              <w:ind w:firstLine="480" w:firstLineChars="200"/>
              <w:rPr>
                <w:color w:val="auto"/>
                <w:sz w:val="24"/>
              </w:rPr>
            </w:pPr>
            <w:r>
              <w:rPr>
                <w:rFonts w:hint="eastAsia"/>
                <w:color w:val="auto"/>
                <w:sz w:val="24"/>
              </w:rPr>
              <w:t>本项目厂界外500米范围内无地下水集中式饮用水水源和热水、矿泉水、温泉等特殊地下水资源。</w:t>
            </w:r>
          </w:p>
          <w:p>
            <w:pPr>
              <w:adjustRightInd w:val="0"/>
              <w:snapToGrid w:val="0"/>
              <w:spacing w:line="480" w:lineRule="exact"/>
              <w:ind w:firstLine="482" w:firstLineChars="200"/>
              <w:rPr>
                <w:b/>
                <w:bCs/>
                <w:color w:val="auto"/>
                <w:sz w:val="24"/>
              </w:rPr>
            </w:pPr>
            <w:r>
              <w:rPr>
                <w:rFonts w:hint="eastAsia"/>
                <w:b/>
                <w:bCs/>
                <w:color w:val="auto"/>
                <w:sz w:val="24"/>
              </w:rPr>
              <w:t>4、生态环境</w:t>
            </w:r>
          </w:p>
          <w:p>
            <w:pPr>
              <w:adjustRightInd w:val="0"/>
              <w:snapToGrid w:val="0"/>
              <w:spacing w:line="480" w:lineRule="exact"/>
              <w:ind w:firstLine="480" w:firstLineChars="200"/>
              <w:rPr>
                <w:color w:val="auto"/>
                <w:sz w:val="24"/>
              </w:rPr>
            </w:pPr>
            <w:r>
              <w:rPr>
                <w:rFonts w:hint="eastAsia"/>
                <w:color w:val="auto"/>
                <w:sz w:val="24"/>
              </w:rPr>
              <w:t>产业园区外建设项目新增用地的，应明确新增用地范围内生态环境保护目标。</w:t>
            </w:r>
            <w:r>
              <w:rPr>
                <w:rFonts w:hint="eastAsia"/>
                <w:bCs/>
                <w:color w:val="auto"/>
                <w:sz w:val="24"/>
              </w:rPr>
              <w:t>本项目拟建厂址位于山西省忻州市繁峙县平型关镇云雾峪村，为承包云雾峪村的荒地，</w:t>
            </w:r>
            <w:r>
              <w:rPr>
                <w:rFonts w:hint="eastAsia"/>
                <w:color w:val="auto"/>
                <w:sz w:val="24"/>
                <w:szCs w:val="24"/>
                <w:lang w:bidi="ar"/>
              </w:rPr>
              <w:t>本项目新增用地范围内无生态环境保护目标。</w:t>
            </w:r>
          </w:p>
          <w:p>
            <w:pPr>
              <w:adjustRightInd w:val="0"/>
              <w:snapToGrid w:val="0"/>
              <w:spacing w:line="480" w:lineRule="exact"/>
              <w:ind w:firstLine="480" w:firstLineChars="200"/>
              <w:rPr>
                <w:color w:val="auto"/>
                <w:sz w:val="24"/>
              </w:rPr>
            </w:pPr>
            <w:r>
              <w:rPr>
                <w:rFonts w:hint="eastAsia"/>
                <w:color w:val="auto"/>
                <w:sz w:val="24"/>
              </w:rPr>
              <w:t>本项目环境保护目标见下表，。</w:t>
            </w:r>
          </w:p>
          <w:p>
            <w:pPr>
              <w:spacing w:line="480" w:lineRule="exact"/>
              <w:jc w:val="center"/>
              <w:rPr>
                <w:rFonts w:ascii="黑体" w:hAnsi="黑体" w:eastAsia="黑体"/>
                <w:bCs/>
                <w:color w:val="auto"/>
                <w:sz w:val="24"/>
              </w:rPr>
            </w:pPr>
            <w:r>
              <w:rPr>
                <w:rFonts w:hint="eastAsia" w:ascii="黑体" w:hAnsi="黑体" w:eastAsia="黑体"/>
                <w:bCs/>
                <w:color w:val="auto"/>
                <w:sz w:val="24"/>
              </w:rPr>
              <w:t>表3-10  环境保护目标一览表</w:t>
            </w:r>
          </w:p>
          <w:tbl>
            <w:tblPr>
              <w:tblStyle w:val="21"/>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138"/>
              <w:gridCol w:w="1701"/>
              <w:gridCol w:w="991"/>
              <w:gridCol w:w="992"/>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类别</w:t>
                  </w:r>
                </w:p>
              </w:tc>
              <w:tc>
                <w:tcPr>
                  <w:tcW w:w="1138" w:type="dxa"/>
                  <w:vAlign w:val="center"/>
                </w:tcPr>
                <w:p>
                  <w:pPr>
                    <w:adjustRightInd w:val="0"/>
                    <w:snapToGrid w:val="0"/>
                    <w:jc w:val="center"/>
                    <w:rPr>
                      <w:color w:val="auto"/>
                    </w:rPr>
                  </w:pPr>
                  <w:r>
                    <w:rPr>
                      <w:rFonts w:hint="eastAsia"/>
                      <w:color w:val="auto"/>
                    </w:rPr>
                    <w:t>保护目标名称</w:t>
                  </w:r>
                </w:p>
              </w:tc>
              <w:tc>
                <w:tcPr>
                  <w:tcW w:w="1701" w:type="dxa"/>
                  <w:vAlign w:val="center"/>
                </w:tcPr>
                <w:p>
                  <w:pPr>
                    <w:adjustRightInd w:val="0"/>
                    <w:snapToGrid w:val="0"/>
                    <w:jc w:val="center"/>
                    <w:rPr>
                      <w:color w:val="auto"/>
                    </w:rPr>
                  </w:pPr>
                  <w:r>
                    <w:rPr>
                      <w:rFonts w:hint="eastAsia"/>
                      <w:color w:val="auto"/>
                    </w:rPr>
                    <w:t>坐标</w:t>
                  </w:r>
                </w:p>
              </w:tc>
              <w:tc>
                <w:tcPr>
                  <w:tcW w:w="991" w:type="dxa"/>
                  <w:vAlign w:val="center"/>
                </w:tcPr>
                <w:p>
                  <w:pPr>
                    <w:adjustRightInd w:val="0"/>
                    <w:snapToGrid w:val="0"/>
                    <w:jc w:val="center"/>
                    <w:rPr>
                      <w:color w:val="auto"/>
                    </w:rPr>
                  </w:pPr>
                  <w:r>
                    <w:rPr>
                      <w:rFonts w:hint="eastAsia"/>
                      <w:color w:val="auto"/>
                    </w:rPr>
                    <w:t>相对厂址方位</w:t>
                  </w:r>
                </w:p>
              </w:tc>
              <w:tc>
                <w:tcPr>
                  <w:tcW w:w="992" w:type="dxa"/>
                  <w:vAlign w:val="center"/>
                </w:tcPr>
                <w:p>
                  <w:pPr>
                    <w:adjustRightInd w:val="0"/>
                    <w:snapToGrid w:val="0"/>
                    <w:jc w:val="center"/>
                    <w:rPr>
                      <w:color w:val="auto"/>
                    </w:rPr>
                  </w:pPr>
                  <w:r>
                    <w:rPr>
                      <w:rFonts w:hint="eastAsia"/>
                      <w:color w:val="auto"/>
                    </w:rPr>
                    <w:t>距离</w:t>
                  </w:r>
                </w:p>
              </w:tc>
              <w:tc>
                <w:tcPr>
                  <w:tcW w:w="2856" w:type="dxa"/>
                  <w:vAlign w:val="center"/>
                </w:tcPr>
                <w:p>
                  <w:pPr>
                    <w:adjustRightInd w:val="0"/>
                    <w:snapToGrid w:val="0"/>
                    <w:jc w:val="center"/>
                    <w:rPr>
                      <w:color w:val="auto"/>
                    </w:rPr>
                  </w:pPr>
                  <w:r>
                    <w:rPr>
                      <w:rFonts w:hint="eastAsia"/>
                      <w:color w:val="auto"/>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环境空气</w:t>
                  </w:r>
                </w:p>
              </w:tc>
              <w:tc>
                <w:tcPr>
                  <w:tcW w:w="1138" w:type="dxa"/>
                  <w:vAlign w:val="center"/>
                </w:tcPr>
                <w:p>
                  <w:pPr>
                    <w:adjustRightInd w:val="0"/>
                    <w:snapToGrid w:val="0"/>
                    <w:jc w:val="center"/>
                    <w:rPr>
                      <w:color w:val="auto"/>
                    </w:rPr>
                  </w:pPr>
                  <w:r>
                    <w:rPr>
                      <w:rFonts w:hint="eastAsia"/>
                      <w:color w:val="auto"/>
                    </w:rPr>
                    <w:t>云雾峪村</w:t>
                  </w:r>
                </w:p>
              </w:tc>
              <w:tc>
                <w:tcPr>
                  <w:tcW w:w="1701" w:type="dxa"/>
                  <w:vAlign w:val="center"/>
                </w:tcPr>
                <w:p>
                  <w:pPr>
                    <w:adjustRightInd w:val="0"/>
                    <w:snapToGrid w:val="0"/>
                    <w:jc w:val="center"/>
                    <w:rPr>
                      <w:color w:val="auto"/>
                    </w:rPr>
                  </w:pPr>
                  <w:r>
                    <w:rPr>
                      <w:rFonts w:hint="eastAsia"/>
                      <w:color w:val="auto"/>
                    </w:rPr>
                    <w:t>E 113.826692°</w:t>
                  </w:r>
                </w:p>
                <w:p>
                  <w:pPr>
                    <w:adjustRightInd w:val="0"/>
                    <w:snapToGrid w:val="0"/>
                    <w:jc w:val="center"/>
                    <w:rPr>
                      <w:color w:val="auto"/>
                    </w:rPr>
                  </w:pPr>
                  <w:r>
                    <w:rPr>
                      <w:rFonts w:hint="eastAsia"/>
                      <w:color w:val="auto"/>
                    </w:rPr>
                    <w:t>N 39.230503°</w:t>
                  </w:r>
                </w:p>
              </w:tc>
              <w:tc>
                <w:tcPr>
                  <w:tcW w:w="991" w:type="dxa"/>
                  <w:vAlign w:val="center"/>
                </w:tcPr>
                <w:p>
                  <w:pPr>
                    <w:adjustRightInd w:val="0"/>
                    <w:snapToGrid w:val="0"/>
                    <w:jc w:val="center"/>
                    <w:rPr>
                      <w:color w:val="auto"/>
                    </w:rPr>
                  </w:pPr>
                  <w:r>
                    <w:rPr>
                      <w:rFonts w:hint="eastAsia"/>
                      <w:color w:val="auto"/>
                    </w:rPr>
                    <w:t>NW</w:t>
                  </w:r>
                </w:p>
              </w:tc>
              <w:tc>
                <w:tcPr>
                  <w:tcW w:w="992" w:type="dxa"/>
                  <w:vAlign w:val="center"/>
                </w:tcPr>
                <w:p>
                  <w:pPr>
                    <w:adjustRightInd w:val="0"/>
                    <w:snapToGrid w:val="0"/>
                    <w:jc w:val="center"/>
                    <w:rPr>
                      <w:color w:val="auto"/>
                    </w:rPr>
                  </w:pPr>
                  <w:r>
                    <w:rPr>
                      <w:rFonts w:hint="eastAsia"/>
                      <w:color w:val="auto"/>
                    </w:rPr>
                    <w:t>50m</w:t>
                  </w:r>
                </w:p>
              </w:tc>
              <w:tc>
                <w:tcPr>
                  <w:tcW w:w="2856" w:type="dxa"/>
                  <w:vAlign w:val="center"/>
                </w:tcPr>
                <w:p>
                  <w:pPr>
                    <w:adjustRightInd w:val="0"/>
                    <w:snapToGrid w:val="0"/>
                    <w:jc w:val="center"/>
                    <w:rPr>
                      <w:color w:val="auto"/>
                    </w:rPr>
                  </w:pPr>
                  <w:r>
                    <w:rPr>
                      <w:rFonts w:hint="eastAsia"/>
                      <w:color w:val="auto"/>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声环境</w:t>
                  </w:r>
                </w:p>
              </w:tc>
              <w:tc>
                <w:tcPr>
                  <w:tcW w:w="1138" w:type="dxa"/>
                  <w:vAlign w:val="center"/>
                </w:tcPr>
                <w:p>
                  <w:pPr>
                    <w:adjustRightInd w:val="0"/>
                    <w:snapToGrid w:val="0"/>
                    <w:jc w:val="center"/>
                    <w:rPr>
                      <w:color w:val="auto"/>
                    </w:rPr>
                  </w:pPr>
                  <w:r>
                    <w:rPr>
                      <w:rFonts w:hint="eastAsia"/>
                      <w:color w:val="auto"/>
                    </w:rPr>
                    <w:t>云雾峪村</w:t>
                  </w:r>
                </w:p>
              </w:tc>
              <w:tc>
                <w:tcPr>
                  <w:tcW w:w="1701" w:type="dxa"/>
                  <w:vAlign w:val="center"/>
                </w:tcPr>
                <w:p>
                  <w:pPr>
                    <w:adjustRightInd w:val="0"/>
                    <w:snapToGrid w:val="0"/>
                    <w:jc w:val="center"/>
                    <w:rPr>
                      <w:color w:val="auto"/>
                    </w:rPr>
                  </w:pPr>
                  <w:r>
                    <w:rPr>
                      <w:rFonts w:hint="eastAsia"/>
                      <w:color w:val="auto"/>
                    </w:rPr>
                    <w:t>E 113.826692°</w:t>
                  </w:r>
                </w:p>
                <w:p>
                  <w:pPr>
                    <w:adjustRightInd w:val="0"/>
                    <w:snapToGrid w:val="0"/>
                    <w:jc w:val="center"/>
                    <w:rPr>
                      <w:color w:val="auto"/>
                    </w:rPr>
                  </w:pPr>
                  <w:r>
                    <w:rPr>
                      <w:rFonts w:hint="eastAsia"/>
                      <w:color w:val="auto"/>
                    </w:rPr>
                    <w:t>N 39.230503°</w:t>
                  </w:r>
                </w:p>
              </w:tc>
              <w:tc>
                <w:tcPr>
                  <w:tcW w:w="991" w:type="dxa"/>
                  <w:vAlign w:val="center"/>
                </w:tcPr>
                <w:p>
                  <w:pPr>
                    <w:adjustRightInd w:val="0"/>
                    <w:snapToGrid w:val="0"/>
                    <w:jc w:val="center"/>
                    <w:rPr>
                      <w:color w:val="auto"/>
                    </w:rPr>
                  </w:pPr>
                  <w:r>
                    <w:rPr>
                      <w:rFonts w:hint="eastAsia"/>
                      <w:color w:val="auto"/>
                    </w:rPr>
                    <w:t>NW</w:t>
                  </w:r>
                </w:p>
              </w:tc>
              <w:tc>
                <w:tcPr>
                  <w:tcW w:w="992" w:type="dxa"/>
                  <w:vAlign w:val="center"/>
                </w:tcPr>
                <w:p>
                  <w:pPr>
                    <w:adjustRightInd w:val="0"/>
                    <w:snapToGrid w:val="0"/>
                    <w:jc w:val="center"/>
                    <w:rPr>
                      <w:color w:val="auto"/>
                    </w:rPr>
                  </w:pPr>
                  <w:r>
                    <w:rPr>
                      <w:rFonts w:hint="eastAsia"/>
                      <w:color w:val="auto"/>
                    </w:rPr>
                    <w:t>50m</w:t>
                  </w:r>
                </w:p>
              </w:tc>
              <w:tc>
                <w:tcPr>
                  <w:tcW w:w="2856" w:type="dxa"/>
                  <w:vAlign w:val="center"/>
                </w:tcPr>
                <w:p>
                  <w:pPr>
                    <w:adjustRightInd w:val="0"/>
                    <w:snapToGrid w:val="0"/>
                    <w:jc w:val="center"/>
                    <w:rPr>
                      <w:color w:val="auto"/>
                    </w:rPr>
                  </w:pPr>
                  <w:r>
                    <w:rPr>
                      <w:rFonts w:hint="eastAsia"/>
                      <w:color w:val="auto"/>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地下水</w:t>
                  </w:r>
                </w:p>
              </w:tc>
              <w:tc>
                <w:tcPr>
                  <w:tcW w:w="7678" w:type="dxa"/>
                  <w:gridSpan w:val="5"/>
                  <w:vAlign w:val="center"/>
                </w:tcPr>
                <w:p>
                  <w:pPr>
                    <w:adjustRightInd w:val="0"/>
                    <w:snapToGrid w:val="0"/>
                    <w:jc w:val="center"/>
                    <w:rPr>
                      <w:color w:val="auto"/>
                    </w:rPr>
                  </w:pPr>
                  <w:r>
                    <w:rPr>
                      <w:rFonts w:hint="eastAsia"/>
                      <w:color w:val="auto"/>
                    </w:rPr>
                    <w:t>厂界外500米范围内无地下水集中式饮用水水源和热水、矿泉水、温泉等特殊地下水资源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生态</w:t>
                  </w:r>
                </w:p>
              </w:tc>
              <w:tc>
                <w:tcPr>
                  <w:tcW w:w="7678" w:type="dxa"/>
                  <w:gridSpan w:val="5"/>
                  <w:vAlign w:val="center"/>
                </w:tcPr>
                <w:p>
                  <w:pPr>
                    <w:adjustRightInd w:val="0"/>
                    <w:snapToGrid w:val="0"/>
                    <w:jc w:val="center"/>
                    <w:rPr>
                      <w:color w:val="auto"/>
                    </w:rPr>
                  </w:pPr>
                  <w:r>
                    <w:rPr>
                      <w:rFonts w:hint="eastAsia"/>
                      <w:color w:val="auto"/>
                    </w:rPr>
                    <w:t>本项目拟建厂址位于山西省忻州市繁峙县平型关镇云雾峪村，为承包云雾峪村的荒地，本项目新增用地范围内无生态环境保护目标</w:t>
                  </w:r>
                </w:p>
              </w:tc>
            </w:tr>
          </w:tbl>
          <w:p>
            <w:pPr>
              <w:adjustRightInd w:val="0"/>
              <w:snapToGrid w:val="0"/>
              <w:spacing w:line="480" w:lineRule="exact"/>
              <w:ind w:firstLine="480" w:firstLineChars="200"/>
              <w:rPr>
                <w:rFonts w:ascii="宋体" w:hAnsi="宋体" w:cs="宋体"/>
                <w:color w:val="auto"/>
                <w:kern w:val="0"/>
              </w:rPr>
            </w:pPr>
            <w:r>
              <w:rPr>
                <w:rFonts w:hint="eastAsia"/>
                <w:color w:val="auto"/>
                <w:sz w:val="24"/>
                <w:szCs w:val="24"/>
                <w:lang w:bidi="ar"/>
              </w:rPr>
              <w:t>本项目环境保护目标图见附图11。</w:t>
            </w:r>
          </w:p>
          <w:p>
            <w:pPr>
              <w:adjustRightInd w:val="0"/>
              <w:snapToGrid w:val="0"/>
              <w:spacing w:line="480" w:lineRule="exact"/>
              <w:rPr>
                <w:rFonts w:ascii="宋体" w:hAnsi="宋体" w:cs="宋体"/>
                <w:color w:val="auto"/>
                <w:kern w:val="0"/>
              </w:rPr>
            </w:pPr>
          </w:p>
          <w:p>
            <w:pPr>
              <w:adjustRightInd w:val="0"/>
              <w:snapToGrid w:val="0"/>
              <w:spacing w:line="480" w:lineRule="exact"/>
              <w:rPr>
                <w:rFonts w:ascii="宋体" w:hAnsi="宋体" w:cs="宋体"/>
                <w:color w:val="auto"/>
                <w:kern w:val="0"/>
              </w:rPr>
            </w:pPr>
          </w:p>
          <w:p>
            <w:pPr>
              <w:adjustRightInd w:val="0"/>
              <w:snapToGrid w:val="0"/>
              <w:spacing w:line="480" w:lineRule="exact"/>
              <w:rPr>
                <w:rFonts w:ascii="宋体" w:hAnsi="宋体"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68" w:type="dxa"/>
            <w:tcMar>
              <w:left w:w="28" w:type="dxa"/>
              <w:right w:w="28" w:type="dxa"/>
            </w:tcMar>
            <w:vAlign w:val="center"/>
          </w:tcPr>
          <w:p>
            <w:pPr>
              <w:adjustRightInd w:val="0"/>
              <w:snapToGrid w:val="0"/>
              <w:jc w:val="center"/>
              <w:rPr>
                <w:rFonts w:ascii="宋体" w:hAnsi="宋体" w:cs="宋体"/>
                <w:color w:val="auto"/>
                <w:kern w:val="0"/>
              </w:rPr>
            </w:pPr>
            <w:r>
              <w:rPr>
                <w:rFonts w:hint="eastAsia" w:ascii="宋体" w:hAnsi="宋体" w:cs="宋体"/>
                <w:color w:val="auto"/>
                <w:kern w:val="0"/>
              </w:rPr>
              <w:t>污染</w:t>
            </w:r>
          </w:p>
          <w:p>
            <w:pPr>
              <w:adjustRightInd w:val="0"/>
              <w:snapToGrid w:val="0"/>
              <w:jc w:val="center"/>
              <w:rPr>
                <w:rFonts w:ascii="宋体" w:hAnsi="宋体" w:cs="宋体"/>
                <w:color w:val="auto"/>
                <w:kern w:val="0"/>
              </w:rPr>
            </w:pPr>
            <w:r>
              <w:rPr>
                <w:rFonts w:hint="eastAsia" w:ascii="宋体" w:hAnsi="宋体" w:cs="宋体"/>
                <w:color w:val="auto"/>
                <w:kern w:val="0"/>
              </w:rPr>
              <w:t>物排</w:t>
            </w:r>
          </w:p>
          <w:p>
            <w:pPr>
              <w:adjustRightInd w:val="0"/>
              <w:snapToGrid w:val="0"/>
              <w:jc w:val="center"/>
              <w:rPr>
                <w:rFonts w:ascii="宋体" w:hAnsi="宋体" w:cs="宋体"/>
                <w:color w:val="auto"/>
                <w:kern w:val="0"/>
              </w:rPr>
            </w:pPr>
            <w:r>
              <w:rPr>
                <w:rFonts w:hint="eastAsia" w:ascii="宋体" w:hAnsi="宋体" w:cs="宋体"/>
                <w:color w:val="auto"/>
                <w:kern w:val="0"/>
              </w:rPr>
              <w:t>放控</w:t>
            </w:r>
          </w:p>
          <w:p>
            <w:pPr>
              <w:adjustRightInd w:val="0"/>
              <w:snapToGrid w:val="0"/>
              <w:jc w:val="center"/>
              <w:rPr>
                <w:rFonts w:ascii="宋体" w:hAnsi="宋体" w:cs="宋体"/>
                <w:color w:val="auto"/>
                <w:kern w:val="0"/>
              </w:rPr>
            </w:pPr>
            <w:r>
              <w:rPr>
                <w:rFonts w:hint="eastAsia" w:ascii="宋体" w:hAnsi="宋体" w:cs="宋体"/>
                <w:color w:val="auto"/>
                <w:kern w:val="0"/>
              </w:rPr>
              <w:t>制标</w:t>
            </w:r>
          </w:p>
          <w:p>
            <w:pPr>
              <w:adjustRightInd w:val="0"/>
              <w:snapToGrid w:val="0"/>
              <w:jc w:val="center"/>
              <w:rPr>
                <w:rFonts w:ascii="宋体" w:hAnsi="宋体" w:cs="宋体"/>
                <w:color w:val="auto"/>
                <w:kern w:val="0"/>
              </w:rPr>
            </w:pPr>
            <w:r>
              <w:rPr>
                <w:rFonts w:hint="eastAsia" w:ascii="宋体" w:hAnsi="宋体" w:cs="宋体"/>
                <w:color w:val="auto"/>
                <w:kern w:val="0"/>
              </w:rPr>
              <w:t>准</w:t>
            </w:r>
          </w:p>
        </w:tc>
        <w:tc>
          <w:tcPr>
            <w:tcW w:w="8574" w:type="dxa"/>
            <w:vAlign w:val="center"/>
          </w:tcPr>
          <w:p>
            <w:pPr>
              <w:spacing w:line="480" w:lineRule="exact"/>
              <w:ind w:firstLine="482" w:firstLineChars="200"/>
              <w:rPr>
                <w:b/>
                <w:color w:val="auto"/>
                <w:sz w:val="24"/>
              </w:rPr>
            </w:pPr>
            <w:r>
              <w:rPr>
                <w:rFonts w:hint="eastAsia"/>
                <w:b/>
                <w:color w:val="auto"/>
                <w:sz w:val="24"/>
              </w:rPr>
              <w:t>1、大气污染物排放标准</w:t>
            </w:r>
          </w:p>
          <w:p>
            <w:pPr>
              <w:spacing w:line="480" w:lineRule="exact"/>
              <w:ind w:firstLine="464" w:firstLineChars="200"/>
              <w:rPr>
                <w:bCs/>
                <w:color w:val="auto"/>
                <w:sz w:val="24"/>
              </w:rPr>
            </w:pPr>
            <w:r>
              <w:rPr>
                <w:rFonts w:hint="eastAsia"/>
                <w:color w:val="auto"/>
                <w:spacing w:val="-4"/>
                <w:sz w:val="24"/>
              </w:rPr>
              <w:t>厂界无组织颗粒物执行</w:t>
            </w:r>
            <w:r>
              <w:rPr>
                <w:rFonts w:hint="eastAsia"/>
                <w:color w:val="auto"/>
                <w:sz w:val="24"/>
                <w:szCs w:val="24"/>
              </w:rPr>
              <w:t>《煤炭洗选行业污染物排放标准》（DB14/2270-2021）中的相关标准。</w:t>
            </w:r>
            <w:r>
              <w:rPr>
                <w:rFonts w:hint="eastAsia"/>
                <w:bCs/>
                <w:color w:val="auto"/>
                <w:sz w:val="24"/>
              </w:rPr>
              <w:t>具体标准值见下表。</w:t>
            </w:r>
          </w:p>
          <w:p>
            <w:pPr>
              <w:spacing w:line="480" w:lineRule="exact"/>
              <w:jc w:val="center"/>
              <w:rPr>
                <w:rFonts w:ascii="黑体" w:hAnsi="黑体" w:eastAsia="黑体"/>
                <w:bCs/>
                <w:color w:val="auto"/>
                <w:sz w:val="24"/>
              </w:rPr>
            </w:pPr>
            <w:r>
              <w:rPr>
                <w:rFonts w:hint="eastAsia" w:ascii="黑体" w:hAnsi="黑体" w:eastAsia="黑体"/>
                <w:bCs/>
                <w:color w:val="auto"/>
                <w:sz w:val="24"/>
              </w:rPr>
              <w:t>表3-11  《煤炭洗选行业污染物排放标准》（DB14/2270-2021）</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7" w:type="pct"/>
                  <w:vAlign w:val="center"/>
                </w:tcPr>
                <w:p>
                  <w:pPr>
                    <w:spacing w:line="0" w:lineRule="atLeast"/>
                    <w:jc w:val="center"/>
                    <w:rPr>
                      <w:color w:val="auto"/>
                    </w:rPr>
                  </w:pPr>
                  <w:r>
                    <w:rPr>
                      <w:color w:val="auto"/>
                    </w:rPr>
                    <w:t>污染物</w:t>
                  </w:r>
                </w:p>
              </w:tc>
              <w:tc>
                <w:tcPr>
                  <w:tcW w:w="3992" w:type="pct"/>
                  <w:vAlign w:val="center"/>
                </w:tcPr>
                <w:p>
                  <w:pPr>
                    <w:spacing w:line="0" w:lineRule="atLeast"/>
                    <w:jc w:val="center"/>
                    <w:rPr>
                      <w:color w:val="auto"/>
                    </w:rPr>
                  </w:pPr>
                  <w:r>
                    <w:rPr>
                      <w:rFonts w:hint="eastAsia"/>
                      <w:color w:val="auto"/>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7" w:type="pct"/>
                  <w:vAlign w:val="center"/>
                </w:tcPr>
                <w:p>
                  <w:pPr>
                    <w:spacing w:line="0" w:lineRule="atLeast"/>
                    <w:jc w:val="center"/>
                    <w:rPr>
                      <w:color w:val="auto"/>
                    </w:rPr>
                  </w:pPr>
                  <w:r>
                    <w:rPr>
                      <w:rFonts w:hint="eastAsia"/>
                      <w:color w:val="auto"/>
                    </w:rPr>
                    <w:t>/</w:t>
                  </w:r>
                </w:p>
              </w:tc>
              <w:tc>
                <w:tcPr>
                  <w:tcW w:w="3992" w:type="pct"/>
                  <w:vAlign w:val="center"/>
                </w:tcPr>
                <w:p>
                  <w:pPr>
                    <w:spacing w:line="0" w:lineRule="atLeast"/>
                    <w:jc w:val="center"/>
                    <w:rPr>
                      <w:color w:val="auto"/>
                    </w:rPr>
                  </w:pPr>
                  <w:r>
                    <w:rPr>
                      <w:rFonts w:hint="eastAsia"/>
                      <w:color w:val="auto"/>
                    </w:rPr>
                    <w:t>周界外浓度任意点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7" w:type="pct"/>
                  <w:vAlign w:val="center"/>
                </w:tcPr>
                <w:p>
                  <w:pPr>
                    <w:spacing w:line="0" w:lineRule="atLeast"/>
                    <w:jc w:val="center"/>
                    <w:rPr>
                      <w:color w:val="auto"/>
                    </w:rPr>
                  </w:pPr>
                  <w:r>
                    <w:rPr>
                      <w:color w:val="auto"/>
                    </w:rPr>
                    <w:t>颗粒物</w:t>
                  </w:r>
                </w:p>
              </w:tc>
              <w:tc>
                <w:tcPr>
                  <w:tcW w:w="3992" w:type="pct"/>
                  <w:vAlign w:val="center"/>
                </w:tcPr>
                <w:p>
                  <w:pPr>
                    <w:spacing w:line="0" w:lineRule="atLeast"/>
                    <w:jc w:val="center"/>
                    <w:rPr>
                      <w:color w:val="auto"/>
                    </w:rPr>
                  </w:pPr>
                  <w:r>
                    <w:rPr>
                      <w:rFonts w:hint="eastAsia"/>
                      <w:color w:val="auto"/>
                    </w:rPr>
                    <w:t>1.0</w:t>
                  </w:r>
                  <w:r>
                    <w:rPr>
                      <w:bCs/>
                      <w:color w:val="auto"/>
                    </w:rPr>
                    <w:t>mg/m³</w:t>
                  </w:r>
                </w:p>
              </w:tc>
            </w:tr>
          </w:tbl>
          <w:p>
            <w:pPr>
              <w:spacing w:line="480" w:lineRule="exact"/>
              <w:ind w:firstLine="482" w:firstLineChars="200"/>
              <w:rPr>
                <w:b/>
                <w:color w:val="auto"/>
                <w:sz w:val="24"/>
              </w:rPr>
            </w:pPr>
            <w:r>
              <w:rPr>
                <w:rFonts w:hint="eastAsia"/>
                <w:b/>
                <w:color w:val="auto"/>
                <w:sz w:val="24"/>
              </w:rPr>
              <w:t>2、水污染物排放标准</w:t>
            </w:r>
          </w:p>
          <w:p>
            <w:pPr>
              <w:spacing w:line="480" w:lineRule="exact"/>
              <w:ind w:firstLine="480" w:firstLineChars="200"/>
              <w:rPr>
                <w:bCs/>
                <w:color w:val="auto"/>
                <w:sz w:val="24"/>
              </w:rPr>
            </w:pPr>
            <w:r>
              <w:rPr>
                <w:rFonts w:hint="eastAsia"/>
                <w:color w:val="auto"/>
                <w:kern w:val="0"/>
                <w:sz w:val="24"/>
                <w:szCs w:val="24"/>
              </w:rPr>
              <w:t>本项目产生的废水主要为储煤场淋控废水、洗车废水、生活污水以及初期雨水；其中</w:t>
            </w:r>
            <w:r>
              <w:rPr>
                <w:rFonts w:hint="eastAsia"/>
                <w:bCs/>
                <w:color w:val="auto"/>
                <w:sz w:val="24"/>
              </w:rPr>
              <w:t>储煤场淋控废水经淋控废水收集池收集沉淀处理后返回清水池回用；</w:t>
            </w:r>
            <w:r>
              <w:rPr>
                <w:rFonts w:hint="eastAsia"/>
                <w:color w:val="auto"/>
                <w:kern w:val="0"/>
                <w:sz w:val="24"/>
                <w:szCs w:val="24"/>
              </w:rPr>
              <w:t>洗车废水经沉淀处理后全部回用；本项目使用旱厕，定期清掏用于农田施肥；生活盥洗废水于厂区泼洒抑尘；初期雨水经初期雨水收集池收集沉淀后回用于厂区道路浇洒抑尘；本项目无废水排放。</w:t>
            </w:r>
          </w:p>
          <w:p>
            <w:pPr>
              <w:adjustRightInd w:val="0"/>
              <w:snapToGrid w:val="0"/>
              <w:spacing w:line="480" w:lineRule="exact"/>
              <w:ind w:firstLine="482" w:firstLineChars="200"/>
              <w:rPr>
                <w:b/>
                <w:color w:val="auto"/>
                <w:sz w:val="24"/>
              </w:rPr>
            </w:pPr>
            <w:r>
              <w:rPr>
                <w:rFonts w:hint="eastAsia"/>
                <w:b/>
                <w:color w:val="auto"/>
                <w:sz w:val="24"/>
              </w:rPr>
              <w:t>3、噪声排放标准</w:t>
            </w:r>
          </w:p>
          <w:p>
            <w:pPr>
              <w:adjustRightInd w:val="0"/>
              <w:snapToGrid w:val="0"/>
              <w:spacing w:line="480" w:lineRule="exact"/>
              <w:ind w:firstLine="480" w:firstLineChars="200"/>
              <w:rPr>
                <w:color w:val="auto"/>
                <w:sz w:val="24"/>
              </w:rPr>
            </w:pPr>
            <w:r>
              <w:rPr>
                <w:rFonts w:hint="eastAsia"/>
                <w:color w:val="auto"/>
                <w:sz w:val="24"/>
              </w:rPr>
              <w:t>施工期厂界噪声执行《建筑施工厂界环境噪声排放标准》（GB12523-2011）排放限值要求；项目运营期执行《工业企业厂界环境噪声排放标准》（GB12348-2008）2类标准；</w:t>
            </w:r>
            <w:r>
              <w:rPr>
                <w:rFonts w:hint="eastAsia"/>
                <w:bCs/>
                <w:color w:val="auto"/>
                <w:sz w:val="24"/>
              </w:rPr>
              <w:t>具体标准值见下表</w:t>
            </w:r>
            <w:r>
              <w:rPr>
                <w:rFonts w:hint="eastAsia"/>
                <w:color w:val="auto"/>
                <w:sz w:val="24"/>
              </w:rPr>
              <w:t>。</w:t>
            </w:r>
          </w:p>
          <w:p>
            <w:pPr>
              <w:adjustRightInd w:val="0"/>
              <w:snapToGrid w:val="0"/>
              <w:spacing w:line="480" w:lineRule="exact"/>
              <w:jc w:val="center"/>
              <w:rPr>
                <w:rFonts w:ascii="黑体" w:hAnsi="黑体" w:eastAsia="黑体"/>
                <w:color w:val="auto"/>
                <w:sz w:val="24"/>
              </w:rPr>
            </w:pPr>
            <w:r>
              <w:rPr>
                <w:rFonts w:hint="eastAsia" w:ascii="黑体" w:hAnsi="黑体" w:eastAsia="黑体"/>
                <w:color w:val="auto"/>
                <w:sz w:val="24"/>
              </w:rPr>
              <w:t>表3-13  建筑施工厂界噪声限值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1"/>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71"/>
                    <w:rPr>
                      <w:color w:val="auto"/>
                      <w:sz w:val="21"/>
                      <w:szCs w:val="21"/>
                    </w:rPr>
                  </w:pPr>
                  <w:r>
                    <w:rPr>
                      <w:rFonts w:hint="eastAsia"/>
                      <w:color w:val="auto"/>
                      <w:sz w:val="21"/>
                      <w:szCs w:val="21"/>
                    </w:rPr>
                    <w:t>昼间</w:t>
                  </w:r>
                </w:p>
              </w:tc>
              <w:tc>
                <w:tcPr>
                  <w:tcW w:w="2526" w:type="pct"/>
                  <w:vAlign w:val="center"/>
                </w:tcPr>
                <w:p>
                  <w:pPr>
                    <w:pStyle w:val="71"/>
                    <w:rPr>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71"/>
                    <w:rPr>
                      <w:color w:val="auto"/>
                      <w:sz w:val="21"/>
                      <w:szCs w:val="21"/>
                    </w:rPr>
                  </w:pPr>
                  <w:r>
                    <w:rPr>
                      <w:rFonts w:hint="eastAsia"/>
                      <w:color w:val="auto"/>
                      <w:sz w:val="21"/>
                      <w:szCs w:val="21"/>
                    </w:rPr>
                    <w:t>70</w:t>
                  </w:r>
                </w:p>
              </w:tc>
              <w:tc>
                <w:tcPr>
                  <w:tcW w:w="2526" w:type="pct"/>
                  <w:vAlign w:val="center"/>
                </w:tcPr>
                <w:p>
                  <w:pPr>
                    <w:pStyle w:val="71"/>
                    <w:rPr>
                      <w:color w:val="auto"/>
                      <w:sz w:val="21"/>
                      <w:szCs w:val="21"/>
                    </w:rPr>
                  </w:pPr>
                  <w:r>
                    <w:rPr>
                      <w:rFonts w:hint="eastAsia"/>
                      <w:color w:val="auto"/>
                      <w:sz w:val="21"/>
                      <w:szCs w:val="21"/>
                    </w:rPr>
                    <w:t>55</w:t>
                  </w:r>
                </w:p>
              </w:tc>
            </w:tr>
          </w:tbl>
          <w:p>
            <w:pPr>
              <w:adjustRightInd w:val="0"/>
              <w:snapToGrid w:val="0"/>
              <w:spacing w:line="480" w:lineRule="exact"/>
              <w:jc w:val="center"/>
              <w:rPr>
                <w:rFonts w:ascii="黑体" w:hAnsi="黑体" w:eastAsia="黑体"/>
                <w:color w:val="auto"/>
                <w:sz w:val="24"/>
              </w:rPr>
            </w:pPr>
            <w:r>
              <w:rPr>
                <w:rFonts w:hint="eastAsia" w:ascii="黑体" w:hAnsi="黑体" w:eastAsia="黑体"/>
                <w:color w:val="auto"/>
                <w:sz w:val="24"/>
              </w:rPr>
              <w:t>表3-14  工业企业厂界环境噪声排放限值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2797"/>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pPr>
                    <w:pStyle w:val="71"/>
                    <w:rPr>
                      <w:color w:val="auto"/>
                      <w:sz w:val="21"/>
                      <w:szCs w:val="21"/>
                    </w:rPr>
                  </w:pPr>
                  <w:r>
                    <w:rPr>
                      <w:rFonts w:hint="eastAsia"/>
                      <w:color w:val="auto"/>
                      <w:sz w:val="21"/>
                      <w:szCs w:val="21"/>
                    </w:rPr>
                    <w:t>厂界外声环境功能区类别</w:t>
                  </w:r>
                </w:p>
              </w:tc>
              <w:tc>
                <w:tcPr>
                  <w:tcW w:w="3334" w:type="pct"/>
                  <w:gridSpan w:val="2"/>
                  <w:vAlign w:val="center"/>
                </w:tcPr>
                <w:p>
                  <w:pPr>
                    <w:pStyle w:val="71"/>
                    <w:rPr>
                      <w:color w:val="auto"/>
                      <w:sz w:val="21"/>
                      <w:szCs w:val="21"/>
                    </w:rPr>
                  </w:pPr>
                  <w:r>
                    <w:rPr>
                      <w:rFonts w:hint="eastAsia"/>
                      <w:color w:val="auto"/>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pPr>
                    <w:pStyle w:val="71"/>
                    <w:rPr>
                      <w:color w:val="auto"/>
                      <w:sz w:val="21"/>
                      <w:szCs w:val="21"/>
                    </w:rPr>
                  </w:pPr>
                </w:p>
              </w:tc>
              <w:tc>
                <w:tcPr>
                  <w:tcW w:w="1667" w:type="pct"/>
                  <w:vAlign w:val="center"/>
                </w:tcPr>
                <w:p>
                  <w:pPr>
                    <w:pStyle w:val="71"/>
                    <w:rPr>
                      <w:color w:val="auto"/>
                      <w:sz w:val="21"/>
                      <w:szCs w:val="21"/>
                    </w:rPr>
                  </w:pPr>
                  <w:r>
                    <w:rPr>
                      <w:rFonts w:hint="eastAsia"/>
                      <w:color w:val="auto"/>
                      <w:sz w:val="21"/>
                      <w:szCs w:val="21"/>
                    </w:rPr>
                    <w:t>昼间</w:t>
                  </w:r>
                </w:p>
              </w:tc>
              <w:tc>
                <w:tcPr>
                  <w:tcW w:w="1667" w:type="pct"/>
                  <w:vAlign w:val="center"/>
                </w:tcPr>
                <w:p>
                  <w:pPr>
                    <w:pStyle w:val="71"/>
                    <w:rPr>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71"/>
                    <w:rPr>
                      <w:color w:val="auto"/>
                      <w:sz w:val="21"/>
                      <w:szCs w:val="21"/>
                    </w:rPr>
                  </w:pPr>
                  <w:r>
                    <w:rPr>
                      <w:rFonts w:hint="eastAsia"/>
                      <w:color w:val="auto"/>
                      <w:sz w:val="21"/>
                      <w:szCs w:val="21"/>
                    </w:rPr>
                    <w:t>2</w:t>
                  </w:r>
                </w:p>
              </w:tc>
              <w:tc>
                <w:tcPr>
                  <w:tcW w:w="1667" w:type="pct"/>
                  <w:vAlign w:val="center"/>
                </w:tcPr>
                <w:p>
                  <w:pPr>
                    <w:pStyle w:val="71"/>
                    <w:rPr>
                      <w:color w:val="auto"/>
                      <w:sz w:val="21"/>
                      <w:szCs w:val="21"/>
                    </w:rPr>
                  </w:pPr>
                  <w:r>
                    <w:rPr>
                      <w:rFonts w:hint="eastAsia"/>
                      <w:color w:val="auto"/>
                      <w:sz w:val="21"/>
                      <w:szCs w:val="21"/>
                    </w:rPr>
                    <w:t>60</w:t>
                  </w:r>
                </w:p>
              </w:tc>
              <w:tc>
                <w:tcPr>
                  <w:tcW w:w="1667" w:type="pct"/>
                  <w:vAlign w:val="center"/>
                </w:tcPr>
                <w:p>
                  <w:pPr>
                    <w:pStyle w:val="71"/>
                    <w:rPr>
                      <w:color w:val="auto"/>
                      <w:sz w:val="21"/>
                      <w:szCs w:val="21"/>
                    </w:rPr>
                  </w:pPr>
                  <w:r>
                    <w:rPr>
                      <w:rFonts w:hint="eastAsia"/>
                      <w:color w:val="auto"/>
                      <w:sz w:val="21"/>
                      <w:szCs w:val="21"/>
                    </w:rPr>
                    <w:t>50</w:t>
                  </w:r>
                </w:p>
              </w:tc>
            </w:tr>
          </w:tbl>
          <w:p>
            <w:pPr>
              <w:adjustRightInd w:val="0"/>
              <w:snapToGrid w:val="0"/>
              <w:spacing w:line="480" w:lineRule="exact"/>
              <w:ind w:firstLine="482" w:firstLineChars="200"/>
              <w:rPr>
                <w:b/>
                <w:color w:val="auto"/>
                <w:sz w:val="24"/>
              </w:rPr>
            </w:pPr>
            <w:r>
              <w:rPr>
                <w:rFonts w:hint="eastAsia"/>
                <w:b/>
                <w:color w:val="auto"/>
                <w:sz w:val="24"/>
              </w:rPr>
              <w:t>4、固体废物标准</w:t>
            </w:r>
          </w:p>
          <w:p>
            <w:pPr>
              <w:adjustRightInd w:val="0"/>
              <w:snapToGrid w:val="0"/>
              <w:spacing w:line="480" w:lineRule="exact"/>
              <w:ind w:firstLine="480" w:firstLineChars="200"/>
              <w:rPr>
                <w:rFonts w:hint="eastAsia"/>
                <w:color w:val="auto"/>
                <w:sz w:val="24"/>
              </w:rPr>
            </w:pPr>
            <w:r>
              <w:rPr>
                <w:rFonts w:hint="eastAsia"/>
                <w:color w:val="auto"/>
                <w:sz w:val="24"/>
              </w:rPr>
              <w:t>一般固体废物执行贮存执行《一般工业固体废物贮存和填埋污染控制标准》(GB 18599-2020)，危险废物暂存参照执行《危险废物贮存污染控制标准》（GB18597-2001）及其2013年修改单。</w:t>
            </w: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68"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总量</w:t>
            </w:r>
          </w:p>
          <w:p>
            <w:pPr>
              <w:adjustRightInd w:val="0"/>
              <w:snapToGrid w:val="0"/>
              <w:jc w:val="center"/>
              <w:rPr>
                <w:rFonts w:ascii="宋体" w:hAnsi="宋体" w:cs="宋体"/>
                <w:color w:val="auto"/>
                <w:kern w:val="0"/>
              </w:rPr>
            </w:pPr>
            <w:r>
              <w:rPr>
                <w:rFonts w:hint="eastAsia" w:ascii="宋体" w:hAnsi="宋体" w:cs="宋体"/>
                <w:color w:val="auto"/>
                <w:kern w:val="0"/>
              </w:rPr>
              <w:t>控制</w:t>
            </w:r>
          </w:p>
          <w:p>
            <w:pPr>
              <w:adjustRightInd w:val="0"/>
              <w:snapToGrid w:val="0"/>
              <w:jc w:val="center"/>
              <w:rPr>
                <w:rFonts w:ascii="宋体" w:hAnsi="宋体" w:cs="宋体"/>
                <w:color w:val="auto"/>
                <w:kern w:val="0"/>
              </w:rPr>
            </w:pPr>
            <w:r>
              <w:rPr>
                <w:rFonts w:hint="eastAsia" w:ascii="宋体" w:hAnsi="宋体" w:cs="宋体"/>
                <w:color w:val="auto"/>
                <w:kern w:val="0"/>
              </w:rPr>
              <w:t>指标</w:t>
            </w:r>
          </w:p>
        </w:tc>
        <w:tc>
          <w:tcPr>
            <w:tcW w:w="8574" w:type="dxa"/>
            <w:vAlign w:val="center"/>
          </w:tcPr>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bCs/>
                <w:color w:val="auto"/>
                <w:sz w:val="24"/>
              </w:rPr>
            </w:pPr>
            <w:r>
              <w:rPr>
                <w:rFonts w:hint="eastAsia"/>
                <w:color w:val="auto"/>
                <w:sz w:val="24"/>
              </w:rPr>
              <w:t>根据“山西省环境保护厅关于印发《山西省环境保护厅建设项目主要污染物排放总量核定办法》的通知”（晋环发</w:t>
            </w:r>
            <w:r>
              <w:rPr>
                <w:rFonts w:hint="eastAsia"/>
                <w:color w:val="auto"/>
                <w:sz w:val="24"/>
                <w:lang w:eastAsia="zh-CN"/>
              </w:rPr>
              <w:t>〔</w:t>
            </w:r>
            <w:r>
              <w:rPr>
                <w:rFonts w:hint="eastAsia"/>
                <w:color w:val="auto"/>
                <w:sz w:val="24"/>
              </w:rPr>
              <w:t>2015</w:t>
            </w:r>
            <w:r>
              <w:rPr>
                <w:rFonts w:hint="eastAsia"/>
                <w:color w:val="auto"/>
                <w:sz w:val="24"/>
                <w:lang w:eastAsia="zh-CN"/>
              </w:rPr>
              <w:t>〕</w:t>
            </w:r>
            <w:r>
              <w:rPr>
                <w:rFonts w:hint="eastAsia"/>
                <w:color w:val="auto"/>
                <w:sz w:val="24"/>
              </w:rPr>
              <w:t>25号）中的相关要求，山西省实施排放总量控制的主要污染物为化学需氧量、氨氮、二氧化硫、氮氧化物、烟尘、工业粉尘；且上一年度环境空气质量年平均浓度不达标的城市、水环境质量未达到要求的市县，相关污染物应按照建设项目核定主要污染物排放总量指标的2倍进行削减替代。</w:t>
            </w:r>
          </w:p>
          <w:p>
            <w:pPr>
              <w:adjustRightInd w:val="0"/>
              <w:snapToGrid w:val="0"/>
              <w:spacing w:line="480" w:lineRule="exact"/>
              <w:ind w:firstLine="480" w:firstLineChars="200"/>
              <w:rPr>
                <w:bCs/>
                <w:color w:val="auto"/>
                <w:sz w:val="24"/>
              </w:rPr>
            </w:pPr>
            <w:r>
              <w:rPr>
                <w:rFonts w:hint="eastAsia"/>
                <w:bCs/>
                <w:color w:val="auto"/>
                <w:sz w:val="24"/>
              </w:rPr>
              <w:t>本项目无有组织排放源，不需申请总量控制指标。</w:t>
            </w: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p>
            <w:pPr>
              <w:adjustRightInd w:val="0"/>
              <w:snapToGrid w:val="0"/>
              <w:spacing w:line="480" w:lineRule="exact"/>
              <w:ind w:firstLine="420" w:firstLineChars="200"/>
              <w:rPr>
                <w:rFonts w:ascii="宋体" w:hAnsi="宋体" w:cs="宋体"/>
                <w:color w:val="auto"/>
                <w:kern w:val="0"/>
              </w:rPr>
            </w:pPr>
          </w:p>
        </w:tc>
      </w:tr>
    </w:tbl>
    <w:p>
      <w:pPr>
        <w:rPr>
          <w:color w:val="auto"/>
        </w:rPr>
      </w:pPr>
    </w:p>
    <w:p>
      <w:pPr>
        <w:rPr>
          <w:color w:val="auto"/>
        </w:rPr>
        <w:sectPr>
          <w:pgSz w:w="11906" w:h="16838"/>
          <w:pgMar w:top="1701" w:right="1531" w:bottom="1701" w:left="1531" w:header="1134" w:footer="992" w:gutter="0"/>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四、</w:t>
      </w:r>
      <w:r>
        <w:rPr>
          <w:rFonts w:hint="eastAsia" w:ascii="黑体" w:hAnsi="黑体" w:eastAsia="黑体"/>
          <w:snapToGrid w:val="0"/>
          <w:color w:val="auto"/>
          <w:sz w:val="30"/>
          <w:szCs w:val="30"/>
        </w:rPr>
        <w:t>主要环境影响和保护措施</w:t>
      </w:r>
    </w:p>
    <w:tbl>
      <w:tblPr>
        <w:tblStyle w:val="20"/>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8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tcMar>
              <w:left w:w="28" w:type="dxa"/>
              <w:right w:w="28" w:type="dxa"/>
            </w:tcMar>
            <w:vAlign w:val="center"/>
          </w:tcPr>
          <w:p>
            <w:pPr>
              <w:pStyle w:val="16"/>
              <w:adjustRightInd w:val="0"/>
              <w:snapToGrid w:val="0"/>
              <w:spacing w:before="0" w:beforeAutospacing="0" w:after="0" w:afterAutospacing="0"/>
              <w:jc w:val="center"/>
              <w:rPr>
                <w:color w:val="auto"/>
                <w:kern w:val="2"/>
                <w:sz w:val="21"/>
                <w:szCs w:val="21"/>
              </w:rPr>
            </w:pPr>
            <w:r>
              <w:rPr>
                <w:rFonts w:hint="eastAsia"/>
                <w:color w:val="auto"/>
                <w:kern w:val="2"/>
                <w:sz w:val="21"/>
                <w:szCs w:val="21"/>
              </w:rPr>
              <w:t>施工</w:t>
            </w:r>
          </w:p>
          <w:p>
            <w:pPr>
              <w:pStyle w:val="16"/>
              <w:adjustRightInd w:val="0"/>
              <w:snapToGrid w:val="0"/>
              <w:spacing w:before="0" w:beforeAutospacing="0" w:after="0" w:afterAutospacing="0"/>
              <w:jc w:val="center"/>
              <w:rPr>
                <w:color w:val="auto"/>
                <w:kern w:val="2"/>
                <w:sz w:val="21"/>
                <w:szCs w:val="21"/>
              </w:rPr>
            </w:pPr>
            <w:r>
              <w:rPr>
                <w:rFonts w:hint="eastAsia"/>
                <w:color w:val="auto"/>
                <w:kern w:val="2"/>
                <w:sz w:val="21"/>
                <w:szCs w:val="21"/>
              </w:rPr>
              <w:t>期环</w:t>
            </w:r>
          </w:p>
          <w:p>
            <w:pPr>
              <w:pStyle w:val="16"/>
              <w:adjustRightInd w:val="0"/>
              <w:snapToGrid w:val="0"/>
              <w:spacing w:before="0" w:beforeAutospacing="0" w:after="0" w:afterAutospacing="0"/>
              <w:jc w:val="center"/>
              <w:rPr>
                <w:color w:val="auto"/>
                <w:kern w:val="2"/>
                <w:sz w:val="21"/>
                <w:szCs w:val="21"/>
              </w:rPr>
            </w:pPr>
            <w:r>
              <w:rPr>
                <w:rFonts w:hint="eastAsia"/>
                <w:color w:val="auto"/>
                <w:kern w:val="2"/>
                <w:sz w:val="21"/>
                <w:szCs w:val="21"/>
              </w:rPr>
              <w:t>境保</w:t>
            </w:r>
          </w:p>
          <w:p>
            <w:pPr>
              <w:pStyle w:val="16"/>
              <w:adjustRightInd w:val="0"/>
              <w:snapToGrid w:val="0"/>
              <w:spacing w:before="0" w:beforeAutospacing="0" w:after="0" w:afterAutospacing="0"/>
              <w:jc w:val="center"/>
              <w:rPr>
                <w:color w:val="auto"/>
                <w:kern w:val="2"/>
                <w:sz w:val="21"/>
                <w:szCs w:val="21"/>
              </w:rPr>
            </w:pPr>
            <w:r>
              <w:rPr>
                <w:rFonts w:hint="eastAsia"/>
                <w:color w:val="auto"/>
                <w:kern w:val="2"/>
                <w:sz w:val="21"/>
                <w:szCs w:val="21"/>
              </w:rPr>
              <w:t>护措</w:t>
            </w:r>
          </w:p>
          <w:p>
            <w:pPr>
              <w:pStyle w:val="16"/>
              <w:adjustRightInd w:val="0"/>
              <w:snapToGrid w:val="0"/>
              <w:spacing w:before="0" w:beforeAutospacing="0" w:after="0" w:afterAutospacing="0"/>
              <w:jc w:val="center"/>
              <w:rPr>
                <w:bCs/>
                <w:color w:val="auto"/>
                <w:kern w:val="2"/>
                <w:sz w:val="21"/>
                <w:szCs w:val="21"/>
              </w:rPr>
            </w:pPr>
            <w:r>
              <w:rPr>
                <w:rFonts w:hint="eastAsia"/>
                <w:color w:val="auto"/>
                <w:kern w:val="2"/>
                <w:sz w:val="21"/>
                <w:szCs w:val="21"/>
              </w:rPr>
              <w:t>施</w:t>
            </w:r>
          </w:p>
        </w:tc>
        <w:tc>
          <w:tcPr>
            <w:tcW w:w="8788" w:type="dxa"/>
            <w:vAlign w:val="center"/>
          </w:tcPr>
          <w:p>
            <w:pPr>
              <w:adjustRightInd w:val="0"/>
              <w:snapToGrid w:val="0"/>
              <w:spacing w:line="480" w:lineRule="exact"/>
              <w:ind w:firstLine="480" w:firstLineChars="200"/>
              <w:rPr>
                <w:color w:val="auto"/>
                <w:sz w:val="24"/>
                <w:szCs w:val="32"/>
              </w:rPr>
            </w:pPr>
            <w:r>
              <w:rPr>
                <w:rFonts w:hint="eastAsia"/>
                <w:bCs/>
                <w:color w:val="auto"/>
                <w:sz w:val="24"/>
              </w:rPr>
              <w:t>本项目尚未开工建设，</w:t>
            </w:r>
            <w:r>
              <w:rPr>
                <w:rFonts w:hint="eastAsia" w:hAnsi="宋体"/>
                <w:color w:val="auto"/>
                <w:sz w:val="24"/>
                <w:szCs w:val="32"/>
              </w:rPr>
              <w:t>项目施工阶段会对周围环境产生一定程度的不利影响，但是在施工结束后，这种影响也将随之消失，且本项目施工期较短，故这一阶段对环境的影响较小，为短期、可逆的影响。</w:t>
            </w:r>
            <w:r>
              <w:rPr>
                <w:rFonts w:hint="eastAsia"/>
                <w:color w:val="auto"/>
                <w:sz w:val="24"/>
                <w:szCs w:val="32"/>
              </w:rPr>
              <w:t>各污染要素的环境影响简要分析如下：</w:t>
            </w:r>
          </w:p>
          <w:p>
            <w:pPr>
              <w:adjustRightInd w:val="0"/>
              <w:snapToGrid w:val="0"/>
              <w:spacing w:line="480" w:lineRule="exact"/>
              <w:ind w:firstLine="482" w:firstLineChars="200"/>
              <w:rPr>
                <w:b/>
                <w:color w:val="auto"/>
                <w:sz w:val="24"/>
                <w:szCs w:val="32"/>
              </w:rPr>
            </w:pPr>
            <w:r>
              <w:rPr>
                <w:rFonts w:hint="eastAsia"/>
                <w:b/>
                <w:color w:val="auto"/>
                <w:sz w:val="24"/>
                <w:szCs w:val="32"/>
              </w:rPr>
              <w:t>1、施工期大气环境影响分析及防治措施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本项目施工期间主要环境问题产生于施工过程中的土建施工、建筑材料的运输、堆存等过程中，产生的污染物主要有施工扬尘、噪声、生活废水和固体废物等。</w:t>
            </w:r>
          </w:p>
          <w:p>
            <w:pPr>
              <w:adjustRightInd w:val="0"/>
              <w:snapToGrid w:val="0"/>
              <w:spacing w:line="480" w:lineRule="exact"/>
              <w:ind w:firstLine="482" w:firstLineChars="200"/>
              <w:rPr>
                <w:b/>
                <w:color w:val="auto"/>
                <w:sz w:val="24"/>
                <w:szCs w:val="32"/>
              </w:rPr>
            </w:pPr>
            <w:r>
              <w:rPr>
                <w:rFonts w:hint="eastAsia"/>
                <w:b/>
                <w:color w:val="auto"/>
                <w:sz w:val="24"/>
                <w:szCs w:val="32"/>
              </w:rPr>
              <w:t>（1）施工大气污染源分析</w:t>
            </w:r>
          </w:p>
          <w:p>
            <w:pPr>
              <w:adjustRightInd w:val="0"/>
              <w:snapToGrid w:val="0"/>
              <w:spacing w:line="480" w:lineRule="exact"/>
              <w:ind w:firstLine="480" w:firstLineChars="200"/>
              <w:rPr>
                <w:color w:val="auto"/>
                <w:sz w:val="24"/>
                <w:szCs w:val="32"/>
              </w:rPr>
            </w:pPr>
            <w:r>
              <w:rPr>
                <w:rFonts w:hint="eastAsia"/>
                <w:color w:val="auto"/>
                <w:sz w:val="24"/>
                <w:szCs w:val="32"/>
              </w:rPr>
              <w:t>施工期间对环境空气影响最大的是施工扬尘，来源于各种无组织排放源。其中场地清理、土方挖掘、土方堆存、物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rFonts w:hint="eastAsia"/>
                <w:color w:val="auto"/>
                <w:sz w:val="24"/>
                <w:szCs w:val="32"/>
                <w:vertAlign w:val="superscript"/>
              </w:rPr>
              <w:t>3</w:t>
            </w:r>
            <w:r>
              <w:rPr>
                <w:rFonts w:hint="eastAsia"/>
                <w:color w:val="auto"/>
                <w:sz w:val="24"/>
                <w:szCs w:val="32"/>
              </w:rPr>
              <w:t>。同时各类燃油动力机械在设备运输等施工作业时，会排出各类燃油废气，排放的主要污染物为CO、NO</w:t>
            </w:r>
            <w:r>
              <w:rPr>
                <w:rFonts w:hint="eastAsia"/>
                <w:color w:val="auto"/>
                <w:sz w:val="24"/>
                <w:szCs w:val="32"/>
                <w:vertAlign w:val="subscript"/>
              </w:rPr>
              <w:t>X</w:t>
            </w:r>
            <w:r>
              <w:rPr>
                <w:rFonts w:hint="eastAsia"/>
                <w:color w:val="auto"/>
                <w:sz w:val="24"/>
                <w:szCs w:val="32"/>
              </w:rPr>
              <w:t>、SO</w:t>
            </w:r>
            <w:r>
              <w:rPr>
                <w:rFonts w:hint="eastAsia"/>
                <w:color w:val="auto"/>
                <w:sz w:val="24"/>
                <w:szCs w:val="32"/>
                <w:vertAlign w:val="subscript"/>
              </w:rPr>
              <w:t>2</w:t>
            </w:r>
            <w:r>
              <w:rPr>
                <w:rFonts w:hint="eastAsia"/>
                <w:color w:val="auto"/>
                <w:sz w:val="24"/>
                <w:szCs w:val="32"/>
              </w:rPr>
              <w:t>、烟尘。</w:t>
            </w:r>
          </w:p>
          <w:p>
            <w:pPr>
              <w:adjustRightInd w:val="0"/>
              <w:snapToGrid w:val="0"/>
              <w:spacing w:line="480" w:lineRule="exact"/>
              <w:ind w:firstLine="482" w:firstLineChars="200"/>
              <w:rPr>
                <w:b/>
                <w:bCs/>
                <w:color w:val="auto"/>
                <w:sz w:val="24"/>
                <w:szCs w:val="32"/>
              </w:rPr>
            </w:pPr>
            <w:r>
              <w:rPr>
                <w:rFonts w:hint="eastAsia"/>
                <w:b/>
                <w:bCs/>
                <w:color w:val="auto"/>
                <w:sz w:val="24"/>
                <w:szCs w:val="32"/>
              </w:rPr>
              <w:t>（2）施工期大气污染防治措施</w:t>
            </w:r>
          </w:p>
          <w:p>
            <w:pPr>
              <w:adjustRightInd w:val="0"/>
              <w:snapToGrid w:val="0"/>
              <w:spacing w:line="480" w:lineRule="exact"/>
              <w:ind w:firstLine="480" w:firstLineChars="200"/>
              <w:rPr>
                <w:color w:val="auto"/>
                <w:sz w:val="24"/>
                <w:szCs w:val="32"/>
              </w:rPr>
            </w:pPr>
            <w:r>
              <w:rPr>
                <w:rFonts w:hint="eastAsia"/>
                <w:color w:val="auto"/>
                <w:sz w:val="24"/>
                <w:szCs w:val="32"/>
              </w:rPr>
              <w:t>据环评现场踏勘，该项目未开始建设。根据“6个100%”的具体要求，本次评价对施工期大气污染防治提如下措施：</w:t>
            </w:r>
          </w:p>
          <w:p>
            <w:pPr>
              <w:adjustRightInd w:val="0"/>
              <w:snapToGrid w:val="0"/>
              <w:spacing w:line="480" w:lineRule="exact"/>
              <w:ind w:firstLine="480" w:firstLineChars="200"/>
              <w:rPr>
                <w:color w:val="auto"/>
                <w:sz w:val="24"/>
                <w:szCs w:val="32"/>
              </w:rPr>
            </w:pPr>
            <w:r>
              <w:rPr>
                <w:rFonts w:hint="eastAsia"/>
                <w:color w:val="auto"/>
                <w:sz w:val="24"/>
                <w:szCs w:val="32"/>
              </w:rPr>
              <w:t>①施工单位应当合理安排工期，在风速达四级及以上的天气情况下，应当停止易产生扬尘污染的施工作业，并采取相应的防尘措施。施工现场堆放的土石方及易产生扬尘污染的灰土、灰浆等物料应以不透水的隔尘布完全覆盖或放置在顶部且四周均密封、遮蔽的设施内。同时在工地建筑结构脚手架外侧设置有效抑尘的密目防尘网。</w:t>
            </w:r>
          </w:p>
          <w:p>
            <w:pPr>
              <w:adjustRightInd w:val="0"/>
              <w:snapToGrid w:val="0"/>
              <w:spacing w:line="480" w:lineRule="exact"/>
              <w:ind w:firstLine="480" w:firstLineChars="200"/>
              <w:rPr>
                <w:color w:val="auto"/>
                <w:sz w:val="24"/>
                <w:szCs w:val="32"/>
              </w:rPr>
            </w:pPr>
            <w:r>
              <w:rPr>
                <w:rFonts w:hint="eastAsia"/>
                <w:color w:val="auto"/>
                <w:sz w:val="24"/>
                <w:szCs w:val="32"/>
              </w:rPr>
              <w:t>②施工现场裸露地面应采取覆盖或临时绿化措施；施工场所要定期喷洒水，保持地面湿润，不起尘。</w:t>
            </w:r>
          </w:p>
          <w:p>
            <w:pPr>
              <w:adjustRightInd w:val="0"/>
              <w:snapToGrid w:val="0"/>
              <w:spacing w:line="480" w:lineRule="exact"/>
              <w:ind w:firstLine="480" w:firstLineChars="200"/>
              <w:rPr>
                <w:color w:val="auto"/>
                <w:sz w:val="24"/>
                <w:szCs w:val="32"/>
              </w:rPr>
            </w:pPr>
            <w:r>
              <w:rPr>
                <w:rFonts w:hint="eastAsia"/>
                <w:color w:val="auto"/>
                <w:sz w:val="24"/>
                <w:szCs w:val="32"/>
              </w:rPr>
              <w:t>③施工工地出入口处必须建设车辆出入口喷淋、冲洗设施，并设置统一格式的环境保护监督牌，标明扬尘防治措施、责任人及环保监督电话等。</w:t>
            </w:r>
          </w:p>
          <w:p>
            <w:pPr>
              <w:adjustRightInd w:val="0"/>
              <w:snapToGrid w:val="0"/>
              <w:spacing w:line="480" w:lineRule="exact"/>
              <w:ind w:firstLine="480" w:firstLineChars="200"/>
              <w:rPr>
                <w:color w:val="auto"/>
                <w:sz w:val="24"/>
                <w:szCs w:val="32"/>
              </w:rPr>
            </w:pPr>
            <w:r>
              <w:rPr>
                <w:rFonts w:hint="eastAsia"/>
                <w:color w:val="auto"/>
                <w:sz w:val="24"/>
                <w:szCs w:val="32"/>
              </w:rPr>
              <w:t>④严禁抛洒建筑垃圾；建筑垃圾应及时清运至环卫部门指定场所，不能及时清运的要定点密闭堆存，并采取防尘措施。</w:t>
            </w:r>
          </w:p>
          <w:p>
            <w:pPr>
              <w:adjustRightInd w:val="0"/>
              <w:snapToGrid w:val="0"/>
              <w:spacing w:line="480" w:lineRule="exact"/>
              <w:ind w:firstLine="480" w:firstLineChars="200"/>
              <w:rPr>
                <w:color w:val="auto"/>
                <w:sz w:val="24"/>
                <w:szCs w:val="32"/>
              </w:rPr>
            </w:pPr>
            <w:r>
              <w:rPr>
                <w:rFonts w:hint="eastAsia"/>
                <w:color w:val="auto"/>
                <w:sz w:val="24"/>
                <w:szCs w:val="32"/>
              </w:rPr>
              <w:t>⑤为减少运输扬尘造成的二次污染，评价要求进出工地的物料、渣土、垃圾运输车辆，装载的物料、垃圾、渣土高度不得超过车辆槽帮上沿，车斗用苫布遮盖或者采用密闭车斗。若车斗用苫布遮盖，应当严实密闭，苫布边缘至少要遮住槽帮上沿以下15公分，保证物料、渣土、垃圾等不露出。车辆应当按照批准的路线和时间进行物料、渣土、垃圾的运输，同时设置一台洒水车进行道路洒水抑尘。</w:t>
            </w:r>
          </w:p>
          <w:p>
            <w:pPr>
              <w:adjustRightInd w:val="0"/>
              <w:snapToGrid w:val="0"/>
              <w:spacing w:line="480" w:lineRule="exact"/>
              <w:ind w:firstLine="480" w:firstLineChars="200"/>
              <w:rPr>
                <w:color w:val="auto"/>
                <w:sz w:val="24"/>
                <w:szCs w:val="32"/>
              </w:rPr>
            </w:pPr>
            <w:r>
              <w:rPr>
                <w:rFonts w:hint="eastAsia"/>
                <w:color w:val="auto"/>
                <w:sz w:val="24"/>
                <w:szCs w:val="32"/>
              </w:rPr>
              <w:t>⑥车辆运输过程中产生的汽车尾气，一般仅局限于施工区域以及施工通道，对施工区域以外的环境空气影响比较小。评价要求施工单位选用符合国家有关卫生标准的施工机械和运输工具，使其排放的废气符合国家有关标准。</w:t>
            </w:r>
          </w:p>
          <w:p>
            <w:pPr>
              <w:adjustRightInd w:val="0"/>
              <w:snapToGrid w:val="0"/>
              <w:spacing w:line="480" w:lineRule="exact"/>
              <w:ind w:firstLine="480" w:firstLineChars="200"/>
              <w:rPr>
                <w:color w:val="auto"/>
                <w:sz w:val="24"/>
                <w:szCs w:val="32"/>
              </w:rPr>
            </w:pPr>
            <w:r>
              <w:rPr>
                <w:rFonts w:hint="eastAsia"/>
                <w:color w:val="auto"/>
                <w:sz w:val="24"/>
                <w:szCs w:val="32"/>
              </w:rPr>
              <w:t>评价要求施工工地必须严格按照项目环境影响评价确定的施工全过程污染防治实施方案要求，组织落实各项污染防治措施，确保建筑工地扬尘污染控制达标，综上所述，按照以上措施进行防治后对施工场地周围环境空气影响较小。</w:t>
            </w:r>
          </w:p>
          <w:p>
            <w:pPr>
              <w:adjustRightInd w:val="0"/>
              <w:snapToGrid w:val="0"/>
              <w:spacing w:line="480" w:lineRule="exact"/>
              <w:ind w:firstLine="482" w:firstLineChars="200"/>
              <w:rPr>
                <w:b/>
                <w:color w:val="auto"/>
                <w:sz w:val="24"/>
                <w:szCs w:val="32"/>
              </w:rPr>
            </w:pPr>
            <w:r>
              <w:rPr>
                <w:rFonts w:hint="eastAsia"/>
                <w:b/>
                <w:color w:val="auto"/>
                <w:sz w:val="24"/>
                <w:szCs w:val="32"/>
              </w:rPr>
              <w:t>2、施工期水环境影响分析及防治措施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施工期产生的废水主要为生活废水、食堂废水，以及机械冲洗废水。</w:t>
            </w:r>
          </w:p>
          <w:p>
            <w:pPr>
              <w:adjustRightInd w:val="0"/>
              <w:snapToGrid w:val="0"/>
              <w:spacing w:line="480" w:lineRule="exact"/>
              <w:ind w:firstLine="480" w:firstLineChars="200"/>
              <w:rPr>
                <w:color w:val="auto"/>
                <w:sz w:val="24"/>
                <w:szCs w:val="32"/>
              </w:rPr>
            </w:pPr>
            <w:r>
              <w:rPr>
                <w:rFonts w:hint="eastAsia"/>
                <w:color w:val="auto"/>
                <w:sz w:val="24"/>
                <w:szCs w:val="32"/>
              </w:rPr>
              <w:t>施工人员生活排水所含污染物主要为COD、BOD及SS等，但产生量较少。施工人员生活污水为盥洗废水，水质简单，可在厂区泼洒抑尘。施工人员食堂的餐饮污水要设置隔油、隔渣池，合格的隔油、隔渣池能去除大部分浮油和较大的悬浮物，减少了动植物油污染物的排放量。餐饮污水经隔油、隔渣池处理后与上述生活污水一同泼洒抑尘。</w:t>
            </w:r>
          </w:p>
          <w:p>
            <w:pPr>
              <w:adjustRightInd w:val="0"/>
              <w:snapToGrid w:val="0"/>
              <w:spacing w:line="480" w:lineRule="exact"/>
              <w:ind w:firstLine="480" w:firstLineChars="200"/>
              <w:rPr>
                <w:color w:val="auto"/>
                <w:sz w:val="24"/>
                <w:szCs w:val="32"/>
              </w:rPr>
            </w:pPr>
            <w:r>
              <w:rPr>
                <w:rFonts w:hint="eastAsia"/>
                <w:color w:val="auto"/>
                <w:sz w:val="24"/>
                <w:szCs w:val="32"/>
              </w:rPr>
              <w:t>施工机械定点冲洗，并在冲洗场地内设置集水沟和简易有效的除油池，将机械冲洗等含油废水进行收集，隔油池除油处理后用于厂区泼洒抑尘。凡在施工场地进行搅拌作业的，在扭拌机前台及运输车清洗处设置沉淀池。排放的废水排入沉淀池内，经沉淀处理后进行回收利用、用于洒水降尘。</w:t>
            </w:r>
          </w:p>
          <w:p>
            <w:pPr>
              <w:adjustRightInd w:val="0"/>
              <w:snapToGrid w:val="0"/>
              <w:spacing w:line="480" w:lineRule="exact"/>
              <w:ind w:firstLine="480" w:firstLineChars="200"/>
              <w:rPr>
                <w:color w:val="auto"/>
                <w:sz w:val="24"/>
                <w:szCs w:val="32"/>
              </w:rPr>
            </w:pPr>
            <w:r>
              <w:rPr>
                <w:rFonts w:hint="eastAsia"/>
                <w:color w:val="auto"/>
                <w:sz w:val="24"/>
                <w:szCs w:val="32"/>
              </w:rPr>
              <w:t>综上所述，按照以上措施进行防治后对施工场地及周边区域的水环境影响较小。</w:t>
            </w:r>
          </w:p>
          <w:p>
            <w:pPr>
              <w:adjustRightInd w:val="0"/>
              <w:snapToGrid w:val="0"/>
              <w:spacing w:line="480" w:lineRule="exact"/>
              <w:ind w:firstLine="482" w:firstLineChars="200"/>
              <w:rPr>
                <w:b/>
                <w:color w:val="auto"/>
                <w:sz w:val="24"/>
                <w:szCs w:val="32"/>
              </w:rPr>
            </w:pPr>
            <w:r>
              <w:rPr>
                <w:rFonts w:hint="eastAsia"/>
                <w:b/>
                <w:color w:val="auto"/>
                <w:sz w:val="24"/>
                <w:szCs w:val="32"/>
              </w:rPr>
              <w:t>3、施工期固体废弃物影响分析及防治措施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施工阶段产生的固体废物主要为建筑弃土、建筑垃圾、生活垃圾。</w:t>
            </w:r>
          </w:p>
          <w:p>
            <w:pPr>
              <w:adjustRightInd w:val="0"/>
              <w:snapToGrid w:val="0"/>
              <w:spacing w:line="480" w:lineRule="exact"/>
              <w:ind w:firstLine="480" w:firstLineChars="200"/>
              <w:rPr>
                <w:color w:val="auto"/>
                <w:sz w:val="24"/>
                <w:szCs w:val="32"/>
              </w:rPr>
            </w:pPr>
            <w:r>
              <w:rPr>
                <w:rFonts w:hint="eastAsia"/>
                <w:color w:val="auto"/>
                <w:sz w:val="24"/>
                <w:szCs w:val="32"/>
              </w:rPr>
              <w:t>施工期间产生的建筑弃土主要为场地平整、基础开挖产生的土方，土方量约为58.77万m</w:t>
            </w:r>
            <w:r>
              <w:rPr>
                <w:rFonts w:hint="eastAsia"/>
                <w:color w:val="auto"/>
                <w:sz w:val="24"/>
                <w:szCs w:val="32"/>
                <w:vertAlign w:val="superscript"/>
              </w:rPr>
              <w:t>3</w:t>
            </w:r>
            <w:r>
              <w:rPr>
                <w:rFonts w:hint="eastAsia"/>
                <w:color w:val="auto"/>
                <w:sz w:val="24"/>
                <w:szCs w:val="32"/>
              </w:rPr>
              <w:t>，本项目场地平整、基础开挖产生的土方</w:t>
            </w:r>
            <w:r>
              <w:rPr>
                <w:rFonts w:hint="eastAsia"/>
                <w:color w:val="auto"/>
                <w:sz w:val="24"/>
                <w:szCs w:val="24"/>
                <w:lang w:bidi="ar"/>
              </w:rPr>
              <w:t>可回填用于厂区平整，无弃方产生，填方量约为</w:t>
            </w:r>
            <w:r>
              <w:rPr>
                <w:rFonts w:hint="eastAsia"/>
                <w:color w:val="auto"/>
                <w:sz w:val="24"/>
                <w:szCs w:val="32"/>
              </w:rPr>
              <w:t>58.77万m</w:t>
            </w:r>
            <w:r>
              <w:rPr>
                <w:rFonts w:hint="eastAsia"/>
                <w:color w:val="auto"/>
                <w:sz w:val="24"/>
                <w:szCs w:val="32"/>
                <w:vertAlign w:val="superscript"/>
              </w:rPr>
              <w:t>3</w:t>
            </w:r>
            <w:r>
              <w:rPr>
                <w:rFonts w:hint="eastAsia"/>
                <w:color w:val="auto"/>
                <w:sz w:val="24"/>
                <w:szCs w:val="32"/>
              </w:rPr>
              <w:t>。</w:t>
            </w:r>
          </w:p>
          <w:p>
            <w:pPr>
              <w:adjustRightInd w:val="0"/>
              <w:snapToGrid w:val="0"/>
              <w:spacing w:line="480" w:lineRule="exact"/>
              <w:ind w:firstLine="480" w:firstLineChars="200"/>
              <w:rPr>
                <w:color w:val="auto"/>
                <w:sz w:val="24"/>
                <w:szCs w:val="32"/>
              </w:rPr>
            </w:pPr>
            <w:r>
              <w:rPr>
                <w:rFonts w:hint="eastAsia"/>
                <w:color w:val="auto"/>
                <w:sz w:val="24"/>
                <w:szCs w:val="32"/>
              </w:rPr>
              <w:t>施工期间产生的建筑垃圾主要包括</w:t>
            </w:r>
            <w:r>
              <w:rPr>
                <w:rFonts w:hint="eastAsia"/>
                <w:color w:val="auto"/>
                <w:sz w:val="24"/>
                <w:szCs w:val="32"/>
                <w:lang w:eastAsia="zh-CN"/>
              </w:rPr>
              <w:t>灰渣</w:t>
            </w:r>
            <w:r>
              <w:rPr>
                <w:rFonts w:hint="eastAsia"/>
                <w:color w:val="auto"/>
                <w:sz w:val="24"/>
                <w:szCs w:val="32"/>
              </w:rPr>
              <w:t>、砂、石、废砖等应首先考虑回收利用，不能回收利用的，按照当地主管部门的要求送至指定地点集中处置，严禁乱堆乱放；垃圾等运输过程中，车辆要装载均衡，货物不得超出车厢体，要采取密闭措施，不得撒漏。</w:t>
            </w:r>
          </w:p>
          <w:p>
            <w:pPr>
              <w:adjustRightInd w:val="0"/>
              <w:snapToGrid w:val="0"/>
              <w:spacing w:line="480" w:lineRule="exact"/>
              <w:ind w:firstLine="480" w:firstLineChars="200"/>
              <w:rPr>
                <w:color w:val="auto"/>
                <w:sz w:val="24"/>
                <w:szCs w:val="32"/>
              </w:rPr>
            </w:pPr>
            <w:r>
              <w:rPr>
                <w:rFonts w:hint="eastAsia"/>
                <w:color w:val="auto"/>
                <w:sz w:val="24"/>
                <w:szCs w:val="32"/>
              </w:rPr>
              <w:t>施工人员生活垃圾主要为生活中遗弃的废弃物，施工高峰期人员约30人，按0.5kg/人•d计，则生活垃圾产生量约15kg/d。在施工区域内设临时集中收集点，运至市政环卫部门指定的地点。</w:t>
            </w:r>
          </w:p>
          <w:p>
            <w:pPr>
              <w:adjustRightInd w:val="0"/>
              <w:snapToGrid w:val="0"/>
              <w:spacing w:line="480" w:lineRule="exact"/>
              <w:ind w:firstLine="482" w:firstLineChars="200"/>
              <w:rPr>
                <w:b/>
                <w:color w:val="auto"/>
                <w:sz w:val="24"/>
                <w:szCs w:val="32"/>
              </w:rPr>
            </w:pPr>
            <w:r>
              <w:rPr>
                <w:rFonts w:hint="eastAsia"/>
                <w:b/>
                <w:color w:val="auto"/>
                <w:sz w:val="24"/>
                <w:szCs w:val="32"/>
              </w:rPr>
              <w:t>4、施工期声环境影晌分析及防治措施</w:t>
            </w:r>
          </w:p>
          <w:p>
            <w:pPr>
              <w:adjustRightInd w:val="0"/>
              <w:snapToGrid w:val="0"/>
              <w:spacing w:line="480" w:lineRule="exact"/>
              <w:ind w:firstLine="480" w:firstLineChars="200"/>
              <w:rPr>
                <w:color w:val="auto"/>
                <w:sz w:val="24"/>
                <w:szCs w:val="32"/>
              </w:rPr>
            </w:pPr>
            <w:r>
              <w:rPr>
                <w:rFonts w:hint="eastAsia"/>
                <w:bCs/>
                <w:color w:val="auto"/>
                <w:sz w:val="24"/>
                <w:szCs w:val="32"/>
              </w:rPr>
              <w:t>施工噪声主要来源于施工机械设备产生的噪声，如装载机、吊车、载重汽车、电钻等，</w:t>
            </w:r>
            <w:r>
              <w:rPr>
                <w:rFonts w:hint="eastAsia"/>
                <w:color w:val="auto"/>
                <w:sz w:val="24"/>
                <w:szCs w:val="32"/>
              </w:rPr>
              <w:t>噪声值为70-110dB（A）。</w:t>
            </w:r>
          </w:p>
          <w:p>
            <w:pPr>
              <w:adjustRightInd w:val="0"/>
              <w:snapToGrid w:val="0"/>
              <w:spacing w:line="480" w:lineRule="exact"/>
              <w:ind w:firstLine="480" w:firstLineChars="200"/>
              <w:rPr>
                <w:color w:val="auto"/>
                <w:sz w:val="24"/>
                <w:szCs w:val="32"/>
              </w:rPr>
            </w:pPr>
            <w:r>
              <w:rPr>
                <w:rFonts w:hint="eastAsia"/>
                <w:color w:val="auto"/>
                <w:sz w:val="24"/>
                <w:szCs w:val="32"/>
              </w:rPr>
              <w:t>本项目施工期不同阶段噪声源及声压等级见下表。</w:t>
            </w:r>
          </w:p>
          <w:p>
            <w:pPr>
              <w:spacing w:line="480" w:lineRule="exact"/>
              <w:jc w:val="center"/>
              <w:rPr>
                <w:rFonts w:ascii="黑体" w:hAnsi="黑体" w:eastAsia="黑体"/>
                <w:color w:val="auto"/>
                <w:sz w:val="24"/>
                <w:szCs w:val="32"/>
              </w:rPr>
            </w:pPr>
            <w:r>
              <w:rPr>
                <w:rFonts w:hint="eastAsia" w:ascii="黑体" w:hAnsi="黑体" w:eastAsia="黑体"/>
                <w:color w:val="auto"/>
                <w:sz w:val="24"/>
                <w:szCs w:val="32"/>
              </w:rPr>
              <w:t>表4-1  施工期主要噪声源及声压等级</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3365"/>
              <w:gridCol w:w="224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施工阶段</w:t>
                  </w:r>
                </w:p>
              </w:tc>
              <w:tc>
                <w:tcPr>
                  <w:tcW w:w="1963" w:type="pct"/>
                  <w:vAlign w:val="center"/>
                </w:tcPr>
                <w:p>
                  <w:pPr>
                    <w:jc w:val="center"/>
                    <w:rPr>
                      <w:bCs/>
                      <w:color w:val="auto"/>
                    </w:rPr>
                  </w:pPr>
                  <w:r>
                    <w:rPr>
                      <w:rFonts w:hint="eastAsia"/>
                      <w:bCs/>
                      <w:color w:val="auto"/>
                    </w:rPr>
                    <w:t>主要噪声源</w:t>
                  </w:r>
                </w:p>
              </w:tc>
              <w:tc>
                <w:tcPr>
                  <w:tcW w:w="1312" w:type="pct"/>
                  <w:vAlign w:val="center"/>
                </w:tcPr>
                <w:p>
                  <w:pPr>
                    <w:jc w:val="center"/>
                    <w:rPr>
                      <w:bCs/>
                      <w:color w:val="auto"/>
                    </w:rPr>
                  </w:pPr>
                  <w:r>
                    <w:rPr>
                      <w:rFonts w:hint="eastAsia"/>
                      <w:bCs/>
                      <w:color w:val="auto"/>
                    </w:rPr>
                    <w:t>噪声级[dB(A)]</w:t>
                  </w:r>
                </w:p>
              </w:tc>
              <w:tc>
                <w:tcPr>
                  <w:tcW w:w="963" w:type="pct"/>
                  <w:vAlign w:val="center"/>
                </w:tcPr>
                <w:p>
                  <w:pPr>
                    <w:jc w:val="center"/>
                    <w:rPr>
                      <w:bCs/>
                      <w:color w:val="auto"/>
                    </w:rPr>
                  </w:pPr>
                  <w:r>
                    <w:rPr>
                      <w:rFonts w:hint="eastAsia"/>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基础阶段</w:t>
                  </w:r>
                </w:p>
              </w:tc>
              <w:tc>
                <w:tcPr>
                  <w:tcW w:w="1963" w:type="pct"/>
                  <w:vAlign w:val="center"/>
                </w:tcPr>
                <w:p>
                  <w:pPr>
                    <w:jc w:val="center"/>
                    <w:rPr>
                      <w:bCs/>
                      <w:color w:val="auto"/>
                    </w:rPr>
                  </w:pPr>
                  <w:r>
                    <w:rPr>
                      <w:rFonts w:hint="eastAsia"/>
                      <w:bCs/>
                      <w:color w:val="auto"/>
                    </w:rPr>
                    <w:t>装载机等</w:t>
                  </w:r>
                </w:p>
              </w:tc>
              <w:tc>
                <w:tcPr>
                  <w:tcW w:w="1312" w:type="pct"/>
                  <w:vAlign w:val="center"/>
                </w:tcPr>
                <w:p>
                  <w:pPr>
                    <w:jc w:val="center"/>
                    <w:rPr>
                      <w:bCs/>
                      <w:color w:val="auto"/>
                    </w:rPr>
                  </w:pPr>
                  <w:r>
                    <w:rPr>
                      <w:rFonts w:hint="eastAsia"/>
                      <w:bCs/>
                      <w:color w:val="auto"/>
                    </w:rPr>
                    <w:t>110</w:t>
                  </w:r>
                </w:p>
              </w:tc>
              <w:tc>
                <w:tcPr>
                  <w:tcW w:w="963" w:type="pct"/>
                  <w:vAlign w:val="center"/>
                </w:tcPr>
                <w:p>
                  <w:pPr>
                    <w:jc w:val="center"/>
                    <w:rPr>
                      <w:bCs/>
                      <w:color w:val="auto"/>
                    </w:rPr>
                  </w:pPr>
                  <w:r>
                    <w:rPr>
                      <w:rFonts w:hint="eastAsia"/>
                      <w:bCs/>
                      <w:color w:val="auto"/>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结构阶段</w:t>
                  </w:r>
                </w:p>
              </w:tc>
              <w:tc>
                <w:tcPr>
                  <w:tcW w:w="1963" w:type="pct"/>
                  <w:vAlign w:val="center"/>
                </w:tcPr>
                <w:p>
                  <w:pPr>
                    <w:jc w:val="center"/>
                    <w:rPr>
                      <w:bCs/>
                      <w:color w:val="auto"/>
                    </w:rPr>
                  </w:pPr>
                  <w:r>
                    <w:rPr>
                      <w:rFonts w:hint="eastAsia"/>
                      <w:bCs/>
                      <w:color w:val="auto"/>
                    </w:rPr>
                    <w:t>吊车、载重汽车等</w:t>
                  </w:r>
                </w:p>
              </w:tc>
              <w:tc>
                <w:tcPr>
                  <w:tcW w:w="1312" w:type="pct"/>
                  <w:vAlign w:val="center"/>
                </w:tcPr>
                <w:p>
                  <w:pPr>
                    <w:jc w:val="center"/>
                    <w:rPr>
                      <w:bCs/>
                      <w:color w:val="auto"/>
                    </w:rPr>
                  </w:pPr>
                  <w:r>
                    <w:rPr>
                      <w:rFonts w:hint="eastAsia"/>
                      <w:bCs/>
                      <w:color w:val="auto"/>
                    </w:rPr>
                    <w:t>95~110</w:t>
                  </w:r>
                </w:p>
              </w:tc>
              <w:tc>
                <w:tcPr>
                  <w:tcW w:w="963" w:type="pct"/>
                  <w:vAlign w:val="center"/>
                </w:tcPr>
                <w:p>
                  <w:pPr>
                    <w:jc w:val="center"/>
                    <w:rPr>
                      <w:bCs/>
                      <w:color w:val="auto"/>
                    </w:rPr>
                  </w:pPr>
                  <w:r>
                    <w:rPr>
                      <w:rFonts w:hint="eastAsia"/>
                      <w:bCs/>
                      <w:color w:val="auto"/>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安装阶段</w:t>
                  </w:r>
                </w:p>
              </w:tc>
              <w:tc>
                <w:tcPr>
                  <w:tcW w:w="1963" w:type="pct"/>
                  <w:vAlign w:val="center"/>
                </w:tcPr>
                <w:p>
                  <w:pPr>
                    <w:jc w:val="center"/>
                    <w:rPr>
                      <w:bCs/>
                      <w:color w:val="auto"/>
                    </w:rPr>
                  </w:pPr>
                  <w:r>
                    <w:rPr>
                      <w:rFonts w:hint="eastAsia"/>
                      <w:bCs/>
                      <w:color w:val="auto"/>
                    </w:rPr>
                    <w:t>无长时间操作的主要噪声源</w:t>
                  </w:r>
                </w:p>
              </w:tc>
              <w:tc>
                <w:tcPr>
                  <w:tcW w:w="1312" w:type="pct"/>
                  <w:vAlign w:val="center"/>
                </w:tcPr>
                <w:p>
                  <w:pPr>
                    <w:jc w:val="center"/>
                    <w:rPr>
                      <w:bCs/>
                      <w:color w:val="auto"/>
                    </w:rPr>
                  </w:pPr>
                  <w:r>
                    <w:rPr>
                      <w:rFonts w:hint="eastAsia"/>
                      <w:bCs/>
                      <w:color w:val="auto"/>
                    </w:rPr>
                    <w:t>85~90</w:t>
                  </w:r>
                </w:p>
              </w:tc>
              <w:tc>
                <w:tcPr>
                  <w:tcW w:w="963" w:type="pct"/>
                  <w:vAlign w:val="center"/>
                </w:tcPr>
                <w:p>
                  <w:pPr>
                    <w:jc w:val="center"/>
                    <w:rPr>
                      <w:bCs/>
                      <w:color w:val="auto"/>
                    </w:rPr>
                  </w:pPr>
                  <w:r>
                    <w:rPr>
                      <w:rFonts w:hint="eastAsia"/>
                      <w:bCs/>
                      <w:color w:val="auto"/>
                    </w:rPr>
                    <w:t>距声源1.5m</w:t>
                  </w:r>
                </w:p>
              </w:tc>
            </w:tr>
          </w:tbl>
          <w:p>
            <w:pPr>
              <w:adjustRightInd w:val="0"/>
              <w:snapToGrid w:val="0"/>
              <w:spacing w:line="480" w:lineRule="exact"/>
              <w:ind w:firstLine="480" w:firstLineChars="200"/>
              <w:rPr>
                <w:color w:val="auto"/>
                <w:sz w:val="24"/>
                <w:szCs w:val="32"/>
              </w:rPr>
            </w:pPr>
            <w:r>
              <w:rPr>
                <w:rFonts w:hint="eastAsia"/>
                <w:color w:val="auto"/>
                <w:sz w:val="24"/>
                <w:szCs w:val="32"/>
              </w:rPr>
              <w:t>评价要求采取以下措施减轻噪声影响：</w:t>
            </w:r>
          </w:p>
          <w:p>
            <w:pPr>
              <w:adjustRightInd w:val="0"/>
              <w:snapToGrid w:val="0"/>
              <w:spacing w:line="480" w:lineRule="exact"/>
              <w:ind w:firstLine="480" w:firstLineChars="200"/>
              <w:rPr>
                <w:color w:val="auto"/>
                <w:sz w:val="24"/>
                <w:szCs w:val="32"/>
              </w:rPr>
            </w:pPr>
            <w:r>
              <w:rPr>
                <w:rFonts w:hint="eastAsia"/>
                <w:color w:val="auto"/>
                <w:sz w:val="24"/>
                <w:szCs w:val="32"/>
              </w:rPr>
              <w:t>①企业在施工过程要合理安排施工时间，所有产噪设备施工时间应尽量安排在日间，严格控制夜间施工，在22时至次日6时不得施工，高噪声设备禁止夜间施工；</w:t>
            </w:r>
          </w:p>
          <w:p>
            <w:pPr>
              <w:adjustRightInd w:val="0"/>
              <w:snapToGrid w:val="0"/>
              <w:spacing w:line="480" w:lineRule="exact"/>
              <w:ind w:firstLine="480" w:firstLineChars="200"/>
              <w:rPr>
                <w:color w:val="auto"/>
                <w:sz w:val="24"/>
                <w:szCs w:val="32"/>
              </w:rPr>
            </w:pPr>
            <w:r>
              <w:rPr>
                <w:rFonts w:hint="eastAsia"/>
                <w:color w:val="auto"/>
                <w:sz w:val="24"/>
                <w:szCs w:val="32"/>
              </w:rPr>
              <w:t>②由于工艺或工程进度要求需在夜间施工时，需事先征得相关部门的同意，并树立公告牌向周边居民说明情况；</w:t>
            </w:r>
          </w:p>
          <w:p>
            <w:pPr>
              <w:adjustRightInd w:val="0"/>
              <w:snapToGrid w:val="0"/>
              <w:spacing w:line="480" w:lineRule="exact"/>
              <w:ind w:firstLine="480" w:firstLineChars="200"/>
              <w:rPr>
                <w:color w:val="auto"/>
                <w:sz w:val="24"/>
                <w:szCs w:val="32"/>
              </w:rPr>
            </w:pPr>
            <w:r>
              <w:rPr>
                <w:rFonts w:hint="eastAsia"/>
                <w:color w:val="auto"/>
                <w:sz w:val="24"/>
                <w:szCs w:val="32"/>
              </w:rPr>
              <w:t>③采用低噪声设备，对动力机械设备进行定期维修、养护，避免因设备松动部件的震动或消声器破坏而加大其工作时的声级；</w:t>
            </w:r>
          </w:p>
          <w:p>
            <w:pPr>
              <w:adjustRightInd w:val="0"/>
              <w:snapToGrid w:val="0"/>
              <w:spacing w:line="480" w:lineRule="exact"/>
              <w:ind w:firstLine="480" w:firstLineChars="200"/>
              <w:rPr>
                <w:color w:val="auto"/>
                <w:sz w:val="24"/>
                <w:szCs w:val="32"/>
              </w:rPr>
            </w:pPr>
            <w:r>
              <w:rPr>
                <w:rFonts w:hint="eastAsia"/>
                <w:color w:val="auto"/>
                <w:sz w:val="24"/>
                <w:szCs w:val="32"/>
              </w:rPr>
              <w:t>④在储煤棚搭建过程中使用的模板、支架的拆卸过程中应遵守作业规定，减少碰撞噪声；</w:t>
            </w:r>
          </w:p>
          <w:p>
            <w:pPr>
              <w:adjustRightInd w:val="0"/>
              <w:snapToGrid w:val="0"/>
              <w:spacing w:line="480" w:lineRule="exact"/>
              <w:ind w:firstLine="480" w:firstLineChars="200"/>
              <w:rPr>
                <w:color w:val="auto"/>
                <w:sz w:val="24"/>
                <w:szCs w:val="32"/>
              </w:rPr>
            </w:pPr>
            <w:r>
              <w:rPr>
                <w:rFonts w:hint="eastAsia"/>
                <w:color w:val="auto"/>
                <w:sz w:val="24"/>
                <w:szCs w:val="32"/>
              </w:rPr>
              <w:t>⑤合理布局，避免在同一地点安排大量动力机械设备，以避免局部声级过高；</w:t>
            </w:r>
          </w:p>
          <w:p>
            <w:pPr>
              <w:adjustRightInd w:val="0"/>
              <w:snapToGrid w:val="0"/>
              <w:spacing w:line="480" w:lineRule="exact"/>
              <w:ind w:firstLine="480" w:firstLineChars="200"/>
              <w:rPr>
                <w:rFonts w:ascii="宋体" w:hAnsi="宋体" w:cs="宋体"/>
                <w:bCs/>
                <w:color w:val="auto"/>
                <w:spacing w:val="-10"/>
              </w:rPr>
            </w:pPr>
            <w:r>
              <w:rPr>
                <w:rFonts w:hint="eastAsia"/>
                <w:color w:val="auto"/>
                <w:sz w:val="24"/>
                <w:szCs w:val="32"/>
              </w:rPr>
              <w:t>⑥为避免设备噪声对施工人员造成影响，评价建议项目施工时要合理安排工作人员，轮流操作机械，减少工人接触高噪音时间；对声源附近工作时间较长的工人，应采取分发防护耳塞保护措施，使工人自身防护得到保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6" w:type="dxa"/>
            <w:tcMar>
              <w:left w:w="28" w:type="dxa"/>
              <w:right w:w="28" w:type="dxa"/>
            </w:tcMar>
            <w:vAlign w:val="center"/>
          </w:tcPr>
          <w:p>
            <w:pPr>
              <w:adjustRightInd w:val="0"/>
              <w:snapToGrid w:val="0"/>
              <w:jc w:val="center"/>
              <w:rPr>
                <w:rFonts w:ascii="宋体" w:hAnsi="宋体" w:cs="宋体"/>
                <w:bCs/>
                <w:color w:val="auto"/>
              </w:rPr>
            </w:pPr>
            <w:r>
              <w:rPr>
                <w:rFonts w:hint="eastAsia" w:ascii="宋体" w:hAnsi="宋体" w:cs="宋体"/>
                <w:bCs/>
                <w:color w:val="auto"/>
              </w:rPr>
              <w:t>运营</w:t>
            </w:r>
          </w:p>
          <w:p>
            <w:pPr>
              <w:adjustRightInd w:val="0"/>
              <w:snapToGrid w:val="0"/>
              <w:jc w:val="center"/>
              <w:rPr>
                <w:rFonts w:ascii="宋体" w:hAnsi="宋体" w:cs="宋体"/>
                <w:bCs/>
                <w:color w:val="auto"/>
              </w:rPr>
            </w:pPr>
            <w:r>
              <w:rPr>
                <w:rFonts w:hint="eastAsia" w:ascii="宋体" w:hAnsi="宋体" w:cs="宋体"/>
                <w:bCs/>
                <w:color w:val="auto"/>
              </w:rPr>
              <w:t>期环</w:t>
            </w:r>
          </w:p>
          <w:p>
            <w:pPr>
              <w:adjustRightInd w:val="0"/>
              <w:snapToGrid w:val="0"/>
              <w:jc w:val="center"/>
              <w:rPr>
                <w:rFonts w:ascii="宋体" w:hAnsi="宋体" w:cs="宋体"/>
                <w:bCs/>
                <w:color w:val="auto"/>
              </w:rPr>
            </w:pPr>
            <w:r>
              <w:rPr>
                <w:rFonts w:hint="eastAsia" w:ascii="宋体" w:hAnsi="宋体" w:cs="宋体"/>
                <w:bCs/>
                <w:color w:val="auto"/>
              </w:rPr>
              <w:t>境影</w:t>
            </w:r>
          </w:p>
          <w:p>
            <w:pPr>
              <w:adjustRightInd w:val="0"/>
              <w:snapToGrid w:val="0"/>
              <w:jc w:val="center"/>
              <w:rPr>
                <w:rFonts w:ascii="宋体" w:hAnsi="宋体" w:cs="宋体"/>
                <w:bCs/>
                <w:color w:val="auto"/>
              </w:rPr>
            </w:pPr>
            <w:r>
              <w:rPr>
                <w:rFonts w:hint="eastAsia" w:ascii="宋体" w:hAnsi="宋体" w:cs="宋体"/>
                <w:bCs/>
                <w:color w:val="auto"/>
              </w:rPr>
              <w:t>响和</w:t>
            </w:r>
          </w:p>
          <w:p>
            <w:pPr>
              <w:adjustRightInd w:val="0"/>
              <w:snapToGrid w:val="0"/>
              <w:jc w:val="center"/>
              <w:rPr>
                <w:rFonts w:ascii="宋体" w:hAnsi="宋体" w:cs="宋体"/>
                <w:bCs/>
                <w:color w:val="auto"/>
              </w:rPr>
            </w:pPr>
            <w:r>
              <w:rPr>
                <w:rFonts w:hint="eastAsia" w:ascii="宋体" w:hAnsi="宋体" w:cs="宋体"/>
                <w:bCs/>
                <w:color w:val="auto"/>
              </w:rPr>
              <w:t>保护</w:t>
            </w:r>
          </w:p>
          <w:p>
            <w:pPr>
              <w:adjustRightInd w:val="0"/>
              <w:snapToGrid w:val="0"/>
              <w:jc w:val="center"/>
              <w:rPr>
                <w:rFonts w:ascii="宋体" w:hAnsi="宋体" w:cs="宋体"/>
                <w:bCs/>
                <w:color w:val="auto"/>
              </w:rPr>
            </w:pPr>
            <w:r>
              <w:rPr>
                <w:rFonts w:hint="eastAsia" w:ascii="宋体" w:hAnsi="宋体" w:cs="宋体"/>
                <w:bCs/>
                <w:color w:val="auto"/>
              </w:rPr>
              <w:t>措施</w:t>
            </w:r>
          </w:p>
        </w:tc>
        <w:tc>
          <w:tcPr>
            <w:tcW w:w="8788" w:type="dxa"/>
            <w:vAlign w:val="center"/>
          </w:tcPr>
          <w:p>
            <w:pPr>
              <w:adjustRightInd w:val="0"/>
              <w:snapToGrid w:val="0"/>
              <w:spacing w:line="480" w:lineRule="exact"/>
              <w:ind w:firstLine="482" w:firstLineChars="200"/>
              <w:rPr>
                <w:b/>
                <w:color w:val="auto"/>
                <w:sz w:val="24"/>
              </w:rPr>
            </w:pPr>
            <w:r>
              <w:rPr>
                <w:rFonts w:hint="eastAsia"/>
                <w:b/>
                <w:color w:val="auto"/>
                <w:sz w:val="24"/>
              </w:rPr>
              <w:t>1、运营期大气污染源强及污染防治措施</w:t>
            </w:r>
          </w:p>
          <w:p>
            <w:pPr>
              <w:adjustRightInd w:val="0"/>
              <w:snapToGrid w:val="0"/>
              <w:spacing w:line="480" w:lineRule="exact"/>
              <w:ind w:firstLine="482" w:firstLineChars="200"/>
              <w:rPr>
                <w:b/>
                <w:bCs/>
                <w:color w:val="auto"/>
                <w:sz w:val="24"/>
              </w:rPr>
            </w:pPr>
            <w:r>
              <w:rPr>
                <w:rFonts w:hint="eastAsia"/>
                <w:b/>
                <w:bCs/>
                <w:color w:val="auto"/>
                <w:sz w:val="24"/>
              </w:rPr>
              <w:t>（1）</w:t>
            </w:r>
            <w:r>
              <w:rPr>
                <w:rFonts w:hint="eastAsia"/>
                <w:b/>
                <w:color w:val="auto"/>
                <w:sz w:val="24"/>
              </w:rPr>
              <w:t>运营期大气</w:t>
            </w:r>
            <w:r>
              <w:rPr>
                <w:rFonts w:hint="eastAsia"/>
                <w:b/>
                <w:bCs/>
                <w:color w:val="auto"/>
                <w:sz w:val="24"/>
              </w:rPr>
              <w:t>污染物源强</w:t>
            </w:r>
          </w:p>
          <w:p>
            <w:pPr>
              <w:adjustRightInd w:val="0"/>
              <w:snapToGrid w:val="0"/>
              <w:spacing w:line="480" w:lineRule="exact"/>
              <w:ind w:firstLine="482" w:firstLineChars="200"/>
              <w:rPr>
                <w:bCs/>
                <w:color w:val="auto"/>
                <w:sz w:val="24"/>
              </w:rPr>
            </w:pPr>
            <w:r>
              <w:rPr>
                <w:rFonts w:hint="eastAsia"/>
                <w:b/>
                <w:color w:val="auto"/>
                <w:sz w:val="24"/>
                <w:szCs w:val="32"/>
              </w:rPr>
              <w:t>本项目大气污染物产排量汇总情况见下表。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表4-2  本项目大气污染物产排量汇总情况表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904"/>
              <w:gridCol w:w="854"/>
              <w:gridCol w:w="2446"/>
              <w:gridCol w:w="777"/>
              <w:gridCol w:w="883"/>
              <w:gridCol w:w="736"/>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污染源</w:t>
                  </w:r>
                </w:p>
              </w:tc>
              <w:tc>
                <w:tcPr>
                  <w:tcW w:w="527"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产生量</w:t>
                  </w:r>
                </w:p>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t/a</w:t>
                  </w:r>
                </w:p>
              </w:tc>
              <w:tc>
                <w:tcPr>
                  <w:tcW w:w="498"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产生</w:t>
                  </w:r>
                </w:p>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浓度mg/m</w:t>
                  </w:r>
                  <w:r>
                    <w:rPr>
                      <w:rFonts w:hint="eastAsia" w:ascii="Times New Roman" w:hAnsi="Times New Roman" w:eastAsia="宋体" w:cs="Times New Roman"/>
                      <w:color w:val="auto"/>
                      <w:sz w:val="21"/>
                      <w:szCs w:val="21"/>
                      <w:vertAlign w:val="superscript"/>
                    </w:rPr>
                    <w:t>3</w:t>
                  </w:r>
                </w:p>
              </w:tc>
              <w:tc>
                <w:tcPr>
                  <w:tcW w:w="1426"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处理方式</w:t>
                  </w:r>
                </w:p>
              </w:tc>
              <w:tc>
                <w:tcPr>
                  <w:tcW w:w="45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排放量</w:t>
                  </w:r>
                </w:p>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t/a</w:t>
                  </w:r>
                </w:p>
              </w:tc>
              <w:tc>
                <w:tcPr>
                  <w:tcW w:w="515"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w:t>
                  </w:r>
                </w:p>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浓度mg/m</w:t>
                  </w:r>
                  <w:r>
                    <w:rPr>
                      <w:rFonts w:hint="eastAsia" w:ascii="Times New Roman" w:hAnsi="Times New Roman" w:eastAsia="宋体" w:cs="Times New Roman"/>
                      <w:color w:val="auto"/>
                      <w:sz w:val="21"/>
                      <w:szCs w:val="21"/>
                      <w:vertAlign w:val="superscript"/>
                    </w:rPr>
                    <w:t>3</w:t>
                  </w:r>
                </w:p>
              </w:tc>
              <w:tc>
                <w:tcPr>
                  <w:tcW w:w="429"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排放强度kg/h</w:t>
                  </w:r>
                </w:p>
              </w:tc>
              <w:tc>
                <w:tcPr>
                  <w:tcW w:w="526"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原料及产品运输产生的扬尘</w:t>
                  </w:r>
                </w:p>
              </w:tc>
              <w:tc>
                <w:tcPr>
                  <w:tcW w:w="527"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21.5</w:t>
                  </w:r>
                </w:p>
              </w:tc>
              <w:tc>
                <w:tcPr>
                  <w:tcW w:w="498"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1426"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运输车辆限制超载，采用篷布苫盖；厂区进出口以及每座煤棚出口处分别设1座车辆清洗平台对车身及轮胎进行冲洗；厂区对地面、道路进行全部硬化和厂界绿化，同时配备移动洒水车进行洒水抑尘</w:t>
                  </w:r>
                </w:p>
              </w:tc>
              <w:tc>
                <w:tcPr>
                  <w:tcW w:w="45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2.15</w:t>
                  </w:r>
                </w:p>
              </w:tc>
              <w:tc>
                <w:tcPr>
                  <w:tcW w:w="515"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429"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526"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煤炭装卸及堆放产生的煤尘</w:t>
                  </w:r>
                </w:p>
              </w:tc>
              <w:tc>
                <w:tcPr>
                  <w:tcW w:w="527"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15.2</w:t>
                  </w:r>
                </w:p>
              </w:tc>
              <w:tc>
                <w:tcPr>
                  <w:tcW w:w="498"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1426" w:type="pct"/>
                  <w:vAlign w:val="center"/>
                </w:tcPr>
                <w:p>
                  <w:pPr>
                    <w:pStyle w:val="67"/>
                    <w:spacing w:before="0" w:after="0"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尽可能缩小装卸时的高差，</w:t>
                  </w:r>
                  <w:r>
                    <w:rPr>
                      <w:rFonts w:ascii="Times New Roman" w:hAnsi="Times New Roman" w:eastAsia="宋体" w:cs="Times New Roman"/>
                      <w:color w:val="auto"/>
                      <w:spacing w:val="4"/>
                      <w:sz w:val="21"/>
                      <w:szCs w:val="21"/>
                    </w:rPr>
                    <w:t>建设全封闭储煤棚，并设</w:t>
                  </w:r>
                  <w:r>
                    <w:rPr>
                      <w:rFonts w:hint="eastAsia" w:ascii="Times New Roman" w:hAnsi="Times New Roman" w:eastAsia="宋体" w:cs="Times New Roman"/>
                      <w:color w:val="auto"/>
                      <w:spacing w:val="4"/>
                      <w:sz w:val="21"/>
                      <w:szCs w:val="21"/>
                    </w:rPr>
                    <w:t>置</w:t>
                  </w:r>
                  <w:r>
                    <w:rPr>
                      <w:rFonts w:ascii="Times New Roman" w:hAnsi="Times New Roman" w:eastAsia="宋体" w:cs="Times New Roman"/>
                      <w:color w:val="auto"/>
                      <w:spacing w:val="4"/>
                      <w:sz w:val="21"/>
                      <w:szCs w:val="21"/>
                    </w:rPr>
                    <w:t>能够覆盖全</w:t>
                  </w:r>
                  <w:r>
                    <w:rPr>
                      <w:rFonts w:hint="eastAsia" w:ascii="Times New Roman" w:hAnsi="Times New Roman" w:eastAsia="宋体" w:cs="Times New Roman"/>
                      <w:color w:val="auto"/>
                      <w:spacing w:val="4"/>
                      <w:sz w:val="21"/>
                      <w:szCs w:val="21"/>
                    </w:rPr>
                    <w:t>库</w:t>
                  </w:r>
                  <w:r>
                    <w:rPr>
                      <w:rFonts w:ascii="Times New Roman" w:hAnsi="Times New Roman" w:eastAsia="宋体" w:cs="Times New Roman"/>
                      <w:color w:val="auto"/>
                      <w:spacing w:val="4"/>
                      <w:sz w:val="21"/>
                      <w:szCs w:val="21"/>
                    </w:rPr>
                    <w:t>的喷雾洒水装置，</w:t>
                  </w:r>
                  <w:r>
                    <w:rPr>
                      <w:rFonts w:hint="eastAsia" w:ascii="Times New Roman" w:hAnsi="Times New Roman" w:eastAsia="宋体" w:cs="Times New Roman"/>
                      <w:color w:val="auto"/>
                      <w:spacing w:val="4"/>
                      <w:sz w:val="21"/>
                      <w:szCs w:val="21"/>
                    </w:rPr>
                    <w:t>每座储库设置1台移动式雾炮，在装卸时采取喷雾抑尘</w:t>
                  </w:r>
                </w:p>
              </w:tc>
              <w:tc>
                <w:tcPr>
                  <w:tcW w:w="453"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0.76</w:t>
                  </w:r>
                </w:p>
              </w:tc>
              <w:tc>
                <w:tcPr>
                  <w:tcW w:w="515"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429"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526" w:type="pct"/>
                  <w:vAlign w:val="center"/>
                </w:tcPr>
                <w:p>
                  <w:pPr>
                    <w:pStyle w:val="67"/>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无组织</w:t>
                  </w:r>
                </w:p>
              </w:tc>
            </w:tr>
          </w:tbl>
          <w:p>
            <w:pPr>
              <w:adjustRightInd w:val="0"/>
              <w:snapToGrid w:val="0"/>
              <w:spacing w:line="480" w:lineRule="exact"/>
              <w:ind w:firstLine="482" w:firstLineChars="200"/>
              <w:rPr>
                <w:b/>
                <w:bCs/>
                <w:color w:val="auto"/>
                <w:sz w:val="24"/>
              </w:rPr>
            </w:pPr>
            <w:r>
              <w:rPr>
                <w:rFonts w:hint="eastAsia"/>
                <w:b/>
                <w:bCs/>
                <w:color w:val="auto"/>
                <w:sz w:val="24"/>
              </w:rPr>
              <w:t>源强核算过程如下：</w:t>
            </w:r>
          </w:p>
          <w:p>
            <w:pPr>
              <w:adjustRightInd w:val="0"/>
              <w:snapToGrid w:val="0"/>
              <w:spacing w:line="480" w:lineRule="exact"/>
              <w:ind w:firstLine="482" w:firstLineChars="200"/>
              <w:rPr>
                <w:b/>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：原料及产品运输产生的扬尘</w:t>
            </w:r>
          </w:p>
          <w:p>
            <w:pPr>
              <w:adjustRightInd w:val="0"/>
              <w:snapToGrid w:val="0"/>
              <w:spacing w:line="480" w:lineRule="exact"/>
              <w:ind w:firstLine="480" w:firstLineChars="200"/>
              <w:rPr>
                <w:bCs/>
                <w:color w:val="auto"/>
                <w:sz w:val="24"/>
              </w:rPr>
            </w:pPr>
            <w:r>
              <w:rPr>
                <w:rFonts w:hint="eastAsia"/>
                <w:color w:val="auto"/>
                <w:sz w:val="24"/>
                <w:szCs w:val="20"/>
              </w:rPr>
              <w:t>原料进厂过程及产品外运过程中均会产生道路扬尘，其产尘量采用下述经验公式估算，经验公式如下：</w:t>
            </w:r>
          </w:p>
          <w:p>
            <w:pPr>
              <w:pStyle w:val="69"/>
              <w:ind w:firstLine="210"/>
              <w:rPr>
                <w:rFonts w:ascii="Times New Roman" w:hAnsi="Times New Roman" w:cs="Times New Roman"/>
                <w:color w:val="auto"/>
                <w:sz w:val="24"/>
              </w:rPr>
            </w:pPr>
            <w:r>
              <w:rPr>
                <w:rFonts w:ascii="Times New Roman" w:hAnsi="Times New Roman" w:cs="Times New Roman"/>
                <w:color w:val="auto"/>
                <w:position w:val="-24"/>
              </w:rPr>
              <w:object>
                <v:shape id="_x0000_i1028" o:spt="75" type="#_x0000_t75" style="height:28.5pt;width:144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ascii="Times New Roman" w:hAnsi="Times New Roman" w:cs="Times New Roman"/>
                <w:color w:val="auto"/>
              </w:rPr>
              <w:t xml:space="preserve">  </w:t>
            </w:r>
            <w:r>
              <w:rPr>
                <w:rFonts w:ascii="Times New Roman" w:hAnsi="Times New Roman" w:cs="Times New Roman"/>
                <w:color w:val="auto"/>
                <w:sz w:val="24"/>
              </w:rPr>
              <w:t>(kg/km</w:t>
            </w:r>
            <w:r>
              <w:rPr>
                <w:rFonts w:ascii="Times New Roman" w:hAnsi="Times New Roman" w:cs="Times New Roman"/>
                <w:color w:val="auto"/>
                <w:sz w:val="24"/>
              </w:rPr>
              <w:sym w:font="Symbol" w:char="F0D7"/>
            </w:r>
            <w:r>
              <w:rPr>
                <w:rFonts w:ascii="Times New Roman" w:hAnsi="Times New Roman" w:cs="Times New Roman"/>
                <w:color w:val="auto"/>
                <w:sz w:val="24"/>
              </w:rPr>
              <w:t>辆)</w:t>
            </w:r>
          </w:p>
          <w:p>
            <w:pPr>
              <w:pStyle w:val="69"/>
              <w:ind w:firstLine="210"/>
              <w:rPr>
                <w:rFonts w:ascii="Times New Roman" w:hAnsi="Times New Roman" w:cs="Times New Roman"/>
                <w:color w:val="auto"/>
                <w:sz w:val="24"/>
              </w:rPr>
            </w:pPr>
            <w:r>
              <w:rPr>
                <w:rFonts w:ascii="Times New Roman" w:hAnsi="Times New Roman" w:cs="Times New Roman"/>
                <w:color w:val="auto"/>
                <w:position w:val="-24"/>
              </w:rPr>
              <w:object>
                <v:shape id="_x0000_i1029" o:spt="75" type="#_x0000_t75" style="height:28.5pt;width:72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ascii="Times New Roman" w:hAnsi="Times New Roman" w:cs="Times New Roman"/>
                <w:color w:val="auto"/>
              </w:rPr>
              <w:t xml:space="preserve"> （kg/a）</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式中：</w:t>
            </w:r>
            <w:r>
              <w:rPr>
                <w:rFonts w:hint="eastAsia" w:ascii="Times New Roman" w:hAnsi="Times New Roman" w:eastAsia="宋体" w:cs="Times New Roman"/>
                <w:color w:val="auto"/>
                <w:position w:val="-14"/>
              </w:rPr>
              <w:object>
                <v:shape id="_x0000_i1030" o:spt="75" type="#_x0000_t75" style="height:21.5pt;width:14.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ascii="Times New Roman" w:hAnsi="Times New Roman" w:eastAsia="宋体" w:cs="Times New Roman"/>
                <w:color w:val="auto"/>
              </w:rPr>
              <w:t>：运输起尘量，kg/km·辆；</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position w:val="-10"/>
              </w:rPr>
              <w:object>
                <v:shape id="_x0000_i1031" o:spt="75" type="#_x0000_t75" style="height:14.5pt;width:21.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rFonts w:hint="eastAsia" w:ascii="Times New Roman" w:hAnsi="Times New Roman" w:eastAsia="宋体" w:cs="Times New Roman"/>
                <w:color w:val="auto"/>
              </w:rPr>
              <w:t>：运输途中起尘总量，kg/a；</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position w:val="-6"/>
              </w:rPr>
              <w:object>
                <v:shape id="_x0000_i1032" o:spt="75" type="#_x0000_t75" style="height:14.5pt;width:14.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ascii="Times New Roman" w:hAnsi="Times New Roman" w:eastAsia="宋体" w:cs="Times New Roman"/>
                <w:color w:val="auto"/>
              </w:rPr>
              <w:t>：车辆行驶速度，km/h；（20 km/h）</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position w:val="-4"/>
              </w:rPr>
              <w:object>
                <v:shape id="_x0000_i1033" o:spt="75" type="#_x0000_t75" style="height:14.5pt;width:14.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ascii="Times New Roman" w:hAnsi="Times New Roman" w:eastAsia="宋体" w:cs="Times New Roman"/>
                <w:color w:val="auto"/>
              </w:rPr>
              <w:t>：车辆载重量，t/辆；（20 t/辆）</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position w:val="-4"/>
              </w:rPr>
              <w:object>
                <v:shape id="_x0000_i1034" o:spt="75" type="#_x0000_t75" style="height:14.5pt;width:14.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rPr>
                <w:rFonts w:hint="eastAsia" w:ascii="Times New Roman" w:hAnsi="Times New Roman" w:eastAsia="宋体" w:cs="Times New Roman"/>
                <w:color w:val="auto"/>
              </w:rPr>
              <w:t>：路面灰尘覆盖率，kg/m</w:t>
            </w:r>
            <w:r>
              <w:rPr>
                <w:rFonts w:hint="eastAsia" w:ascii="Times New Roman" w:hAnsi="Times New Roman" w:eastAsia="宋体" w:cs="Times New Roman"/>
                <w:color w:val="auto"/>
                <w:vertAlign w:val="superscript"/>
              </w:rPr>
              <w:t>2</w:t>
            </w:r>
            <w:r>
              <w:rPr>
                <w:rFonts w:hint="eastAsia" w:ascii="Times New Roman" w:hAnsi="Times New Roman" w:eastAsia="宋体" w:cs="Times New Roman"/>
                <w:color w:val="auto"/>
              </w:rPr>
              <w:t>；（0.5kg/m</w:t>
            </w:r>
            <w:r>
              <w:rPr>
                <w:rFonts w:hint="eastAsia" w:ascii="Times New Roman" w:hAnsi="Times New Roman" w:eastAsia="宋体" w:cs="Times New Roman"/>
                <w:color w:val="auto"/>
                <w:vertAlign w:val="superscript"/>
              </w:rPr>
              <w:t>2</w:t>
            </w:r>
            <w:r>
              <w:rPr>
                <w:rFonts w:hint="eastAsia" w:ascii="Times New Roman" w:hAnsi="Times New Roman" w:eastAsia="宋体" w:cs="Times New Roman"/>
                <w:color w:val="auto"/>
              </w:rPr>
              <w:t>）</w:t>
            </w:r>
          </w:p>
          <w:p>
            <w:pPr>
              <w:pStyle w:val="67"/>
              <w:spacing w:before="0" w:after="0"/>
              <w:ind w:firstLine="480"/>
              <w:rPr>
                <w:rFonts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position w:val="-4"/>
              </w:rPr>
              <w:object>
                <v:shape id="_x0000_i1035" o:spt="75" type="#_x0000_t75" style="height:14.5pt;width:14.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ascii="Times New Roman" w:hAnsi="Times New Roman" w:eastAsia="宋体" w:cs="Times New Roman"/>
                <w:color w:val="auto"/>
              </w:rPr>
              <w:t>：运输距离，km；（0.2km）</w:t>
            </w:r>
          </w:p>
          <w:p>
            <w:pPr>
              <w:adjustRightInd w:val="0"/>
              <w:snapToGrid w:val="0"/>
              <w:spacing w:line="480" w:lineRule="exact"/>
              <w:ind w:firstLine="420" w:firstLineChars="200"/>
              <w:rPr>
                <w:bCs/>
                <w:color w:val="auto"/>
                <w:sz w:val="32"/>
                <w:szCs w:val="32"/>
              </w:rPr>
            </w:pPr>
            <w:r>
              <w:rPr>
                <w:rFonts w:hint="eastAsia"/>
                <w:color w:val="auto"/>
              </w:rPr>
              <w:t xml:space="preserve">        </w:t>
            </w:r>
            <w:r>
              <w:rPr>
                <w:rFonts w:hint="eastAsia"/>
                <w:color w:val="auto"/>
                <w:position w:val="-10"/>
                <w:sz w:val="24"/>
                <w:szCs w:val="32"/>
              </w:rPr>
              <w:object>
                <v:shape id="_x0000_i1036" o:spt="75" type="#_x0000_t75" style="height:14.5pt;width:14.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color w:val="auto"/>
                <w:sz w:val="24"/>
                <w:szCs w:val="32"/>
              </w:rPr>
              <w:t>：运输量，t/a；（48万t/a）</w:t>
            </w:r>
          </w:p>
          <w:p>
            <w:pPr>
              <w:adjustRightInd w:val="0"/>
              <w:snapToGrid w:val="0"/>
              <w:spacing w:line="480" w:lineRule="exact"/>
              <w:ind w:firstLine="480" w:firstLineChars="200"/>
              <w:rPr>
                <w:bCs/>
                <w:color w:val="auto"/>
                <w:sz w:val="24"/>
              </w:rPr>
            </w:pPr>
            <w:r>
              <w:rPr>
                <w:rFonts w:hint="eastAsia"/>
                <w:color w:val="auto"/>
                <w:sz w:val="24"/>
              </w:rPr>
              <w:t>本项目原料、产品运输量约为400万吨/年，</w:t>
            </w:r>
            <w:r>
              <w:rPr>
                <w:rFonts w:hint="eastAsia"/>
                <w:bCs/>
                <w:color w:val="auto"/>
                <w:sz w:val="24"/>
              </w:rPr>
              <w:t>采取以上公式对进厂运输路段扬尘量进行估算，项目年运输次数约为100000次/年，厂内运输距离约为3.5km；则运输起尘总量为21.5t/a。</w:t>
            </w:r>
          </w:p>
          <w:p>
            <w:pPr>
              <w:adjustRightInd w:val="0"/>
              <w:snapToGrid w:val="0"/>
              <w:spacing w:line="480" w:lineRule="exact"/>
              <w:ind w:firstLine="480" w:firstLineChars="200"/>
              <w:rPr>
                <w:bCs/>
                <w:color w:val="auto"/>
                <w:sz w:val="24"/>
              </w:rPr>
            </w:pPr>
            <w:r>
              <w:rPr>
                <w:rFonts w:hint="eastAsia"/>
                <w:bCs/>
                <w:color w:val="auto"/>
                <w:sz w:val="24"/>
              </w:rPr>
              <w:t>为降低对周围环境的影响，对运输扬尘采取以下措施：</w:t>
            </w:r>
          </w:p>
          <w:p>
            <w:pPr>
              <w:adjustRightInd w:val="0"/>
              <w:snapToGrid w:val="0"/>
              <w:spacing w:line="480" w:lineRule="exact"/>
              <w:ind w:firstLine="480" w:firstLineChars="200"/>
              <w:rPr>
                <w:bCs/>
                <w:color w:val="auto"/>
                <w:sz w:val="24"/>
              </w:rPr>
            </w:pPr>
            <w:r>
              <w:rPr>
                <w:rFonts w:hint="eastAsia"/>
                <w:bCs/>
                <w:color w:val="auto"/>
                <w:sz w:val="24"/>
              </w:rPr>
              <w:fldChar w:fldCharType="begin"/>
            </w:r>
            <w:r>
              <w:rPr>
                <w:rFonts w:hint="eastAsia"/>
                <w:bCs/>
                <w:color w:val="auto"/>
                <w:sz w:val="24"/>
              </w:rPr>
              <w:instrText xml:space="preserve"> = 1 \* GB3 </w:instrText>
            </w:r>
            <w:r>
              <w:rPr>
                <w:rFonts w:hint="eastAsia"/>
                <w:bCs/>
                <w:color w:val="auto"/>
                <w:sz w:val="24"/>
              </w:rPr>
              <w:fldChar w:fldCharType="separate"/>
            </w:r>
            <w:r>
              <w:rPr>
                <w:rFonts w:hint="eastAsia"/>
                <w:bCs/>
                <w:color w:val="auto"/>
                <w:sz w:val="24"/>
              </w:rPr>
              <w:t>①</w:t>
            </w:r>
            <w:r>
              <w:rPr>
                <w:rFonts w:hint="eastAsia"/>
                <w:bCs/>
                <w:color w:val="auto"/>
                <w:sz w:val="24"/>
              </w:rPr>
              <w:fldChar w:fldCharType="end"/>
            </w:r>
            <w:r>
              <w:rPr>
                <w:rFonts w:hint="eastAsia"/>
                <w:bCs/>
                <w:color w:val="auto"/>
                <w:sz w:val="24"/>
              </w:rPr>
              <w:t>运输车辆限制超载，采用篷布苫盖；</w:t>
            </w:r>
          </w:p>
          <w:p>
            <w:pPr>
              <w:adjustRightInd w:val="0"/>
              <w:snapToGrid w:val="0"/>
              <w:spacing w:line="480" w:lineRule="exact"/>
              <w:ind w:firstLine="480" w:firstLineChars="200"/>
              <w:rPr>
                <w:bCs/>
                <w:color w:val="auto"/>
                <w:sz w:val="24"/>
              </w:rPr>
            </w:pPr>
            <w:r>
              <w:rPr>
                <w:rFonts w:hint="eastAsia"/>
                <w:bCs/>
                <w:color w:val="auto"/>
                <w:sz w:val="24"/>
              </w:rPr>
              <w:fldChar w:fldCharType="begin"/>
            </w:r>
            <w:r>
              <w:rPr>
                <w:rFonts w:hint="eastAsia"/>
                <w:bCs/>
                <w:color w:val="auto"/>
                <w:sz w:val="24"/>
              </w:rPr>
              <w:instrText xml:space="preserve"> = 2 \* GB3 </w:instrText>
            </w:r>
            <w:r>
              <w:rPr>
                <w:rFonts w:hint="eastAsia"/>
                <w:bCs/>
                <w:color w:val="auto"/>
                <w:sz w:val="24"/>
              </w:rPr>
              <w:fldChar w:fldCharType="separate"/>
            </w:r>
            <w:r>
              <w:rPr>
                <w:rFonts w:hint="eastAsia"/>
                <w:bCs/>
                <w:color w:val="auto"/>
                <w:sz w:val="24"/>
              </w:rPr>
              <w:t>②</w:t>
            </w:r>
            <w:r>
              <w:rPr>
                <w:rFonts w:hint="eastAsia"/>
                <w:bCs/>
                <w:color w:val="auto"/>
                <w:sz w:val="24"/>
              </w:rPr>
              <w:fldChar w:fldCharType="end"/>
            </w:r>
            <w:r>
              <w:rPr>
                <w:rFonts w:hint="eastAsia"/>
                <w:bCs/>
                <w:color w:val="auto"/>
                <w:sz w:val="24"/>
              </w:rPr>
              <w:t>厂区进出口以及每座煤棚出口处分别设1座车辆清洗平台对车身及轮胎进行冲洗，清洗后的废水进入沉淀池进行沉淀，沉淀后循环使用。</w:t>
            </w:r>
          </w:p>
          <w:p>
            <w:pPr>
              <w:adjustRightInd w:val="0"/>
              <w:snapToGrid w:val="0"/>
              <w:spacing w:line="480" w:lineRule="exact"/>
              <w:ind w:firstLine="480" w:firstLineChars="200"/>
              <w:rPr>
                <w:bCs/>
                <w:color w:val="auto"/>
                <w:sz w:val="24"/>
              </w:rPr>
            </w:pPr>
            <w:r>
              <w:rPr>
                <w:rFonts w:hint="eastAsia"/>
                <w:bCs/>
                <w:color w:val="auto"/>
                <w:sz w:val="24"/>
              </w:rPr>
              <w:t>③厂区及运输道路硬化及绿化要求：储煤库内地面全部硬化，对厂区道路进行全部硬化和厂界绿化，要求厂区无裸露地面，储煤场地平整夯实后以灰土和片石为垫层，然后设200mm的混凝土硬化路面，场地硬化强度小于25，同时配备清扫车和洒水车，对进出道路的路面进行洒水抑尘，保持路面清洁和相对湿度；</w:t>
            </w:r>
          </w:p>
          <w:p>
            <w:pPr>
              <w:adjustRightInd w:val="0"/>
              <w:snapToGrid w:val="0"/>
              <w:spacing w:line="480" w:lineRule="exact"/>
              <w:ind w:firstLine="480" w:firstLineChars="200"/>
              <w:rPr>
                <w:bCs/>
                <w:color w:val="auto"/>
                <w:sz w:val="24"/>
              </w:rPr>
            </w:pPr>
            <w:r>
              <w:rPr>
                <w:rFonts w:hint="eastAsia"/>
                <w:bCs/>
                <w:color w:val="auto"/>
                <w:sz w:val="24"/>
              </w:rPr>
              <w:t>④厂区与外部连接的道路两侧种植宽度为0.5m绿化带。</w:t>
            </w:r>
          </w:p>
          <w:p>
            <w:pPr>
              <w:adjustRightInd w:val="0"/>
              <w:snapToGrid w:val="0"/>
              <w:spacing w:line="480" w:lineRule="exact"/>
              <w:ind w:firstLine="480" w:firstLineChars="200"/>
              <w:rPr>
                <w:bCs/>
                <w:color w:val="auto"/>
                <w:sz w:val="24"/>
              </w:rPr>
            </w:pPr>
            <w:r>
              <w:rPr>
                <w:rFonts w:hint="eastAsia"/>
                <w:bCs/>
                <w:color w:val="auto"/>
                <w:sz w:val="24"/>
              </w:rPr>
              <w:t>⑤对厂区的运输道路进行硬化处理，安排专人对道路进行定期清扫和洒水，并按照路面状况调整洒水频次，保持运输过程中厂区道路路面的清洁度和相对湿度，当路面出现损坏时要及时修复。</w:t>
            </w:r>
          </w:p>
          <w:p>
            <w:pPr>
              <w:adjustRightInd w:val="0"/>
              <w:snapToGrid w:val="0"/>
              <w:spacing w:line="480" w:lineRule="exact"/>
              <w:ind w:firstLine="480" w:firstLineChars="200"/>
              <w:rPr>
                <w:bCs/>
                <w:color w:val="auto"/>
                <w:sz w:val="24"/>
              </w:rPr>
            </w:pPr>
            <w:r>
              <w:rPr>
                <w:rFonts w:hint="eastAsia"/>
                <w:bCs/>
                <w:color w:val="auto"/>
                <w:sz w:val="24"/>
              </w:rPr>
              <w:t>采取上述措施后，抑尘效率可达90%，则本项目道路扬尘排放量为2.15t/a。</w:t>
            </w:r>
          </w:p>
          <w:p>
            <w:pPr>
              <w:adjustRightInd w:val="0"/>
              <w:snapToGrid w:val="0"/>
              <w:spacing w:line="480" w:lineRule="exact"/>
              <w:ind w:firstLine="482" w:firstLineChars="200"/>
              <w:rPr>
                <w:b/>
                <w:bCs/>
                <w:color w:val="auto"/>
                <w:sz w:val="24"/>
              </w:rPr>
            </w:pPr>
            <w:r>
              <w:rPr>
                <w:rFonts w:hint="eastAsia"/>
                <w:b/>
                <w:bCs/>
                <w:color w:val="auto"/>
                <w:sz w:val="24"/>
              </w:rPr>
              <w:t>G</w:t>
            </w:r>
            <w:r>
              <w:rPr>
                <w:rFonts w:hint="eastAsia"/>
                <w:b/>
                <w:bCs/>
                <w:color w:val="auto"/>
                <w:sz w:val="24"/>
                <w:vertAlign w:val="subscript"/>
              </w:rPr>
              <w:t>2</w:t>
            </w:r>
            <w:r>
              <w:rPr>
                <w:rFonts w:hint="eastAsia"/>
                <w:b/>
                <w:bCs/>
                <w:color w:val="auto"/>
                <w:sz w:val="24"/>
              </w:rPr>
              <w:t>：</w:t>
            </w:r>
            <w:r>
              <w:rPr>
                <w:rFonts w:hint="eastAsia"/>
                <w:b/>
                <w:bCs/>
                <w:color w:val="auto"/>
                <w:sz w:val="24"/>
                <w:szCs w:val="24"/>
                <w:lang w:bidi="ar"/>
              </w:rPr>
              <w:t>煤炭装卸及堆放产生的煤尘</w:t>
            </w:r>
            <w:r>
              <w:rPr>
                <w:rFonts w:hint="eastAsia"/>
                <w:b/>
                <w:bCs/>
                <w:color w:val="auto"/>
                <w:sz w:val="24"/>
              </w:rPr>
              <w:t>；</w:t>
            </w:r>
          </w:p>
          <w:p>
            <w:pPr>
              <w:adjustRightInd w:val="0"/>
              <w:snapToGrid w:val="0"/>
              <w:spacing w:line="480" w:lineRule="exact"/>
              <w:ind w:firstLine="480" w:firstLineChars="200"/>
              <w:rPr>
                <w:bCs/>
                <w:color w:val="auto"/>
                <w:sz w:val="24"/>
              </w:rPr>
            </w:pPr>
            <w:r>
              <w:rPr>
                <w:rFonts w:hint="eastAsia"/>
                <w:bCs/>
                <w:color w:val="auto"/>
                <w:sz w:val="24"/>
              </w:rPr>
              <w:t>一般情况下堆场起尘主要包括两部分：煤堆放时随风扬尘和煤装卸时的扬尘。由于本项目采取全封闭储煤库，储煤库内风速很难达到料堆最低起尘风速，煤在堆存时起尘量几乎为零。</w:t>
            </w:r>
          </w:p>
          <w:p>
            <w:pPr>
              <w:adjustRightInd w:val="0"/>
              <w:snapToGrid w:val="0"/>
              <w:spacing w:line="480" w:lineRule="exact"/>
              <w:ind w:firstLine="480" w:firstLineChars="200"/>
              <w:rPr>
                <w:bCs/>
                <w:color w:val="auto"/>
                <w:sz w:val="24"/>
              </w:rPr>
            </w:pPr>
            <w:r>
              <w:rPr>
                <w:rFonts w:hint="eastAsia"/>
                <w:bCs/>
                <w:color w:val="auto"/>
                <w:sz w:val="24"/>
              </w:rPr>
              <w:t>因此本次源强计算仅核算煤堆装卸时的起尘量，计算公式如下：</w:t>
            </w:r>
          </w:p>
          <w:p>
            <w:pPr>
              <w:adjustRightInd w:val="0"/>
              <w:snapToGrid w:val="0"/>
              <w:spacing w:line="480" w:lineRule="exact"/>
              <w:ind w:firstLine="480" w:firstLineChars="200"/>
              <w:rPr>
                <w:bCs/>
                <w:color w:val="auto"/>
                <w:sz w:val="24"/>
              </w:rPr>
            </w:pPr>
            <w:r>
              <w:rPr>
                <w:rFonts w:hint="eastAsia"/>
                <w:bCs/>
                <w:color w:val="auto"/>
                <w:sz w:val="24"/>
              </w:rPr>
              <w:t>Q=0.03v</w:t>
            </w:r>
            <w:r>
              <w:rPr>
                <w:rFonts w:hint="eastAsia"/>
                <w:bCs/>
                <w:color w:val="auto"/>
                <w:sz w:val="24"/>
                <w:vertAlign w:val="superscript"/>
              </w:rPr>
              <w:t>1.6</w:t>
            </w:r>
            <w:r>
              <w:rPr>
                <w:rFonts w:hint="eastAsia"/>
                <w:bCs/>
                <w:color w:val="auto"/>
                <w:sz w:val="24"/>
              </w:rPr>
              <w:t>·H</w:t>
            </w:r>
            <w:r>
              <w:rPr>
                <w:rFonts w:hint="eastAsia"/>
                <w:bCs/>
                <w:color w:val="auto"/>
                <w:sz w:val="24"/>
                <w:vertAlign w:val="superscript"/>
              </w:rPr>
              <w:t>1.23</w:t>
            </w:r>
            <w:r>
              <w:rPr>
                <w:rFonts w:hint="eastAsia"/>
                <w:bCs/>
                <w:color w:val="auto"/>
                <w:sz w:val="24"/>
              </w:rPr>
              <w:t>·e</w:t>
            </w:r>
            <w:r>
              <w:rPr>
                <w:rFonts w:hint="eastAsia"/>
                <w:bCs/>
                <w:color w:val="auto"/>
                <w:sz w:val="24"/>
                <w:vertAlign w:val="superscript"/>
              </w:rPr>
              <w:t>-0.23w</w:t>
            </w:r>
            <w:r>
              <w:rPr>
                <w:rFonts w:hint="eastAsia"/>
                <w:bCs/>
                <w:color w:val="auto"/>
                <w:sz w:val="24"/>
              </w:rPr>
              <w:t>·G·α</w:t>
            </w:r>
          </w:p>
          <w:p>
            <w:pPr>
              <w:adjustRightInd w:val="0"/>
              <w:snapToGrid w:val="0"/>
              <w:spacing w:line="480" w:lineRule="exact"/>
              <w:ind w:firstLine="480" w:firstLineChars="200"/>
              <w:rPr>
                <w:bCs/>
                <w:color w:val="auto"/>
                <w:sz w:val="24"/>
              </w:rPr>
            </w:pPr>
            <w:r>
              <w:rPr>
                <w:bCs/>
                <w:color w:val="auto"/>
                <w:sz w:val="24"/>
              </w:rPr>
              <w:t>式中：</w:t>
            </w:r>
          </w:p>
          <w:p>
            <w:pPr>
              <w:adjustRightInd w:val="0"/>
              <w:snapToGrid w:val="0"/>
              <w:spacing w:line="480" w:lineRule="exact"/>
              <w:ind w:firstLine="480" w:firstLineChars="200"/>
              <w:rPr>
                <w:bCs/>
                <w:color w:val="auto"/>
                <w:sz w:val="24"/>
              </w:rPr>
            </w:pPr>
            <w:r>
              <w:rPr>
                <w:bCs/>
                <w:color w:val="auto"/>
                <w:sz w:val="24"/>
              </w:rPr>
              <w:t>Q——煤堆装卸起尘量，kg/a；</w:t>
            </w:r>
          </w:p>
          <w:p>
            <w:pPr>
              <w:adjustRightInd w:val="0"/>
              <w:snapToGrid w:val="0"/>
              <w:spacing w:line="480" w:lineRule="exact"/>
              <w:ind w:firstLine="480" w:firstLineChars="200"/>
              <w:rPr>
                <w:bCs/>
                <w:color w:val="auto"/>
                <w:sz w:val="24"/>
              </w:rPr>
            </w:pPr>
            <w:r>
              <w:rPr>
                <w:bCs/>
                <w:color w:val="auto"/>
                <w:sz w:val="24"/>
              </w:rPr>
              <w:t>v——风速，m/s，项目所在区域平均风速为2m/s；（室外风速的一半）</w:t>
            </w:r>
          </w:p>
          <w:p>
            <w:pPr>
              <w:adjustRightInd w:val="0"/>
              <w:snapToGrid w:val="0"/>
              <w:spacing w:line="480" w:lineRule="exact"/>
              <w:ind w:firstLine="480" w:firstLineChars="200"/>
              <w:rPr>
                <w:bCs/>
                <w:color w:val="auto"/>
                <w:sz w:val="24"/>
              </w:rPr>
            </w:pPr>
            <w:r>
              <w:rPr>
                <w:bCs/>
                <w:color w:val="auto"/>
                <w:sz w:val="24"/>
              </w:rPr>
              <w:t>W——煤物料湿度，%，煤炭含水量约6%。</w:t>
            </w:r>
          </w:p>
          <w:p>
            <w:pPr>
              <w:adjustRightInd w:val="0"/>
              <w:snapToGrid w:val="0"/>
              <w:spacing w:line="480" w:lineRule="exact"/>
              <w:ind w:firstLine="480" w:firstLineChars="200"/>
              <w:rPr>
                <w:bCs/>
                <w:color w:val="auto"/>
                <w:sz w:val="24"/>
              </w:rPr>
            </w:pPr>
            <w:r>
              <w:rPr>
                <w:bCs/>
                <w:color w:val="auto"/>
                <w:sz w:val="24"/>
              </w:rPr>
              <w:t>H——装卸落差高度，m，取平均装卸落差1.5m；</w:t>
            </w:r>
          </w:p>
          <w:p>
            <w:pPr>
              <w:adjustRightInd w:val="0"/>
              <w:snapToGrid w:val="0"/>
              <w:spacing w:line="480" w:lineRule="exact"/>
              <w:ind w:firstLine="480" w:firstLineChars="200"/>
              <w:rPr>
                <w:bCs/>
                <w:color w:val="auto"/>
                <w:sz w:val="24"/>
              </w:rPr>
            </w:pPr>
            <w:r>
              <w:rPr>
                <w:bCs/>
                <w:color w:val="auto"/>
                <w:sz w:val="24"/>
              </w:rPr>
              <w:t>G——煤炭装载量，t/a，年煤炭运输量2000000t/a，装载量取4000000t/a。</w:t>
            </w:r>
          </w:p>
          <w:p>
            <w:pPr>
              <w:adjustRightInd w:val="0"/>
              <w:snapToGrid w:val="0"/>
              <w:spacing w:line="480" w:lineRule="exact"/>
              <w:ind w:firstLine="480" w:firstLineChars="200"/>
              <w:rPr>
                <w:bCs/>
                <w:color w:val="auto"/>
                <w:sz w:val="24"/>
              </w:rPr>
            </w:pPr>
            <w:r>
              <w:rPr>
                <w:bCs/>
                <w:color w:val="auto"/>
                <w:sz w:val="24"/>
              </w:rPr>
              <w:t>α——大气降雨修正系数，取1.0。</w:t>
            </w:r>
          </w:p>
          <w:p>
            <w:pPr>
              <w:adjustRightInd w:val="0"/>
              <w:snapToGrid w:val="0"/>
              <w:spacing w:line="480" w:lineRule="exact"/>
              <w:ind w:firstLine="480" w:firstLineChars="200"/>
              <w:rPr>
                <w:bCs/>
                <w:color w:val="auto"/>
                <w:sz w:val="24"/>
              </w:rPr>
            </w:pPr>
            <w:r>
              <w:rPr>
                <w:rFonts w:hint="eastAsia"/>
                <w:bCs/>
                <w:color w:val="auto"/>
                <w:sz w:val="24"/>
              </w:rPr>
              <w:t>根据公式计算得出本项目储煤库装卸扬尘量为15.2t/a。</w:t>
            </w:r>
          </w:p>
          <w:p>
            <w:pPr>
              <w:adjustRightInd w:val="0"/>
              <w:snapToGrid w:val="0"/>
              <w:spacing w:line="480" w:lineRule="exact"/>
              <w:ind w:firstLine="480" w:firstLineChars="200"/>
              <w:rPr>
                <w:bCs/>
                <w:color w:val="auto"/>
                <w:sz w:val="24"/>
              </w:rPr>
            </w:pPr>
            <w:r>
              <w:rPr>
                <w:rFonts w:hint="eastAsia"/>
                <w:bCs/>
                <w:color w:val="auto"/>
                <w:sz w:val="24"/>
              </w:rPr>
              <w:t>根据《中华人民共和国大气污染防治法》（2015年修订）“第七十二条 贮存煤炭、煤矸石、煤渣、煤灰、水泥、石灰、石膏、砂土等易产生扬尘的物料应当密闭；不能密闭的，应当设置不低于堆放物高度的严密围挡，并采取有效覆盖措施防治扬尘污染”。</w:t>
            </w:r>
          </w:p>
          <w:p>
            <w:pPr>
              <w:adjustRightInd w:val="0"/>
              <w:snapToGrid w:val="0"/>
              <w:spacing w:line="480" w:lineRule="exact"/>
              <w:ind w:firstLine="480" w:firstLineChars="200"/>
              <w:rPr>
                <w:bCs/>
                <w:color w:val="auto"/>
                <w:sz w:val="24"/>
              </w:rPr>
            </w:pPr>
            <w:r>
              <w:rPr>
                <w:rFonts w:hint="eastAsia"/>
                <w:bCs/>
                <w:color w:val="auto"/>
                <w:sz w:val="24"/>
              </w:rPr>
              <w:t>为降低对周围环境的影响，对运输扬尘采取以下措施：</w:t>
            </w:r>
          </w:p>
          <w:p>
            <w:pPr>
              <w:adjustRightInd w:val="0"/>
              <w:snapToGrid w:val="0"/>
              <w:spacing w:line="480" w:lineRule="exact"/>
              <w:ind w:firstLine="480" w:firstLineChars="200"/>
              <w:rPr>
                <w:bCs/>
                <w:color w:val="auto"/>
                <w:sz w:val="24"/>
              </w:rPr>
            </w:pPr>
            <w:r>
              <w:rPr>
                <w:rFonts w:hint="eastAsia"/>
                <w:bCs/>
                <w:color w:val="auto"/>
                <w:sz w:val="24"/>
              </w:rPr>
              <w:t>本项目共设四个全封闭煤库，每个煤库内各配1套顶部喷雾洒水抑尘装置，南北和东西走向每隔8m安装一个喷头，使之形成网格化布局，单个喷头辐射范围为10m-15m之间。喷雾洒水设施覆盖整个煤堆表面，喷头可自动旋转，角度可调，合理布置避免盲区出现，定时洒水，有效抑止煤尘的产生。喷雾洒水整体装置外包保温材料，冬季可继续使用。原料煤和成品煤装卸时，装载机应尽量靠近运输车辆，并尽可能缩小装卸时的高差，同时使用移动式雾炮装置进行喷雾抑尘，加大湿度。采取上述措施后抑尘效率可达95%，有效减少了粉尘排放量。排放量约为0.76t/a，全封闭储煤场颗粒物排放浓度满足《煤炭洗选行业污染物排放标准》（DB 14/2270-2021）中无组织排放限值1.0mg/m</w:t>
            </w:r>
            <w:r>
              <w:rPr>
                <w:rFonts w:hint="eastAsia"/>
                <w:bCs/>
                <w:color w:val="auto"/>
                <w:sz w:val="24"/>
                <w:vertAlign w:val="superscript"/>
              </w:rPr>
              <w:t>3</w:t>
            </w:r>
            <w:r>
              <w:rPr>
                <w:rFonts w:hint="eastAsia"/>
                <w:bCs/>
                <w:color w:val="auto"/>
                <w:sz w:val="24"/>
              </w:rPr>
              <w:t>的标准要求。</w:t>
            </w:r>
          </w:p>
          <w:p>
            <w:pPr>
              <w:adjustRightInd w:val="0"/>
              <w:snapToGrid w:val="0"/>
              <w:spacing w:line="480" w:lineRule="exact"/>
              <w:ind w:firstLine="482" w:firstLineChars="200"/>
              <w:rPr>
                <w:b/>
                <w:bCs/>
                <w:color w:val="auto"/>
                <w:sz w:val="24"/>
              </w:rPr>
            </w:pPr>
            <w:r>
              <w:rPr>
                <w:rFonts w:hint="eastAsia"/>
                <w:b/>
                <w:color w:val="auto"/>
                <w:sz w:val="24"/>
                <w:szCs w:val="32"/>
              </w:rPr>
              <w:t>（2）</w:t>
            </w:r>
            <w:r>
              <w:rPr>
                <w:rFonts w:hint="eastAsia"/>
                <w:b/>
                <w:bCs/>
                <w:color w:val="auto"/>
                <w:sz w:val="24"/>
              </w:rPr>
              <w:t>大气监测计划</w:t>
            </w:r>
          </w:p>
          <w:p>
            <w:pPr>
              <w:adjustRightInd w:val="0"/>
              <w:snapToGrid w:val="0"/>
              <w:spacing w:line="480" w:lineRule="exact"/>
              <w:ind w:firstLine="480" w:firstLineChars="200"/>
              <w:rPr>
                <w:bCs/>
                <w:color w:val="auto"/>
                <w:sz w:val="24"/>
              </w:rPr>
            </w:pPr>
            <w:r>
              <w:rPr>
                <w:rFonts w:hint="eastAsia"/>
                <w:color w:val="auto"/>
                <w:sz w:val="24"/>
              </w:rPr>
              <w:t>根据《排污单位自行监测技术指南 总则》（HJ819-2017）以及本项目具体情况，确定本项目</w:t>
            </w:r>
            <w:r>
              <w:rPr>
                <w:rFonts w:hint="eastAsia"/>
                <w:bCs/>
                <w:color w:val="auto"/>
                <w:sz w:val="24"/>
              </w:rPr>
              <w:t>废气监测内容见下表。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表4-3  有组织废气监测方案</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5"/>
              <w:gridCol w:w="1408"/>
              <w:gridCol w:w="1338"/>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9"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821"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780"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1668"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9" w:type="pct"/>
                  <w:vAlign w:val="center"/>
                </w:tcPr>
                <w:p>
                  <w:pPr>
                    <w:widowControl/>
                    <w:jc w:val="center"/>
                    <w:rPr>
                      <w:bCs/>
                      <w:color w:val="auto"/>
                    </w:rPr>
                  </w:pPr>
                  <w:r>
                    <w:rPr>
                      <w:rFonts w:hint="eastAsia"/>
                      <w:bCs/>
                      <w:color w:val="auto"/>
                    </w:rPr>
                    <w:t>厂界下风向设置4个监测点</w:t>
                  </w:r>
                </w:p>
              </w:tc>
              <w:tc>
                <w:tcPr>
                  <w:tcW w:w="821" w:type="pct"/>
                  <w:vAlign w:val="center"/>
                </w:tcPr>
                <w:p>
                  <w:pPr>
                    <w:pStyle w:val="76"/>
                    <w:snapToGrid/>
                    <w:spacing w:line="240" w:lineRule="auto"/>
                    <w:ind w:firstLine="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颗粒物</w:t>
                  </w:r>
                </w:p>
              </w:tc>
              <w:tc>
                <w:tcPr>
                  <w:tcW w:w="780"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668" w:type="pct"/>
                  <w:vAlign w:val="center"/>
                </w:tcPr>
                <w:p>
                  <w:pPr>
                    <w:pStyle w:val="76"/>
                    <w:snapToGrid/>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rPr>
                    <w:t>《煤炭洗选行业污染物排放标准》（DB14/2270-2021）</w:t>
                  </w:r>
                </w:p>
              </w:tc>
            </w:tr>
          </w:tbl>
          <w:p>
            <w:pPr>
              <w:adjustRightInd w:val="0"/>
              <w:snapToGrid w:val="0"/>
              <w:spacing w:line="480" w:lineRule="exact"/>
              <w:ind w:firstLine="482" w:firstLineChars="200"/>
              <w:rPr>
                <w:b/>
                <w:color w:val="auto"/>
                <w:sz w:val="24"/>
              </w:rPr>
            </w:pPr>
            <w:r>
              <w:rPr>
                <w:rFonts w:hint="eastAsia"/>
                <w:b/>
                <w:color w:val="auto"/>
                <w:sz w:val="24"/>
              </w:rPr>
              <w:t>（3）大气环境影响分析</w:t>
            </w:r>
          </w:p>
          <w:p>
            <w:pPr>
              <w:adjustRightInd w:val="0"/>
              <w:snapToGrid w:val="0"/>
              <w:spacing w:line="480" w:lineRule="exact"/>
              <w:ind w:firstLine="480" w:firstLineChars="200"/>
              <w:rPr>
                <w:bCs/>
                <w:color w:val="auto"/>
                <w:sz w:val="24"/>
              </w:rPr>
            </w:pPr>
            <w:r>
              <w:rPr>
                <w:rFonts w:hint="eastAsia"/>
                <w:color w:val="auto"/>
                <w:sz w:val="24"/>
              </w:rPr>
              <w:t>根据</w:t>
            </w:r>
            <w:r>
              <w:rPr>
                <w:rFonts w:hint="eastAsia"/>
                <w:bCs/>
                <w:color w:val="auto"/>
                <w:sz w:val="24"/>
              </w:rPr>
              <w:t>忻州市繁峙县2021年环境空气质量例行监测资料，繁峙县</w:t>
            </w:r>
            <w:r>
              <w:rPr>
                <w:rFonts w:hint="eastAsia"/>
                <w:color w:val="auto"/>
                <w:sz w:val="24"/>
              </w:rPr>
              <w:t>为不达标区；距厂址最近的村庄为西北侧约50m的</w:t>
            </w:r>
            <w:r>
              <w:rPr>
                <w:rFonts w:hint="eastAsia"/>
                <w:bCs/>
                <w:color w:val="auto"/>
                <w:sz w:val="24"/>
              </w:rPr>
              <w:t>云雾峪村。</w:t>
            </w:r>
          </w:p>
          <w:p>
            <w:pPr>
              <w:adjustRightInd w:val="0"/>
              <w:snapToGrid w:val="0"/>
              <w:spacing w:line="480" w:lineRule="exact"/>
              <w:ind w:firstLine="480" w:firstLineChars="200"/>
              <w:rPr>
                <w:bCs/>
                <w:color w:val="auto"/>
                <w:sz w:val="24"/>
              </w:rPr>
            </w:pPr>
            <w:r>
              <w:rPr>
                <w:rFonts w:hint="eastAsia"/>
                <w:bCs/>
                <w:color w:val="auto"/>
                <w:sz w:val="24"/>
              </w:rPr>
              <w:t>项目在生产过程中的大气污染源主要为：原料及产品品运输产生的扬尘，煤炭装卸及堆放产生的煤尘；项目采取的污染防治措施包括对厂区生产区及运输道路进行水泥硬化，运输车辆采用苫盖封闭；同时配备洒水车、洗车平台，保持车辆与路面清洁和相对湿度；上述无组织粉尘管控措施，基本满足《重污染天气重点行业应急减排措施制定技术指南》中的相关要求；采取以上措施后，对区域大气环境影响较小。</w:t>
            </w:r>
          </w:p>
          <w:p>
            <w:pPr>
              <w:adjustRightInd w:val="0"/>
              <w:snapToGrid w:val="0"/>
              <w:spacing w:line="480" w:lineRule="exact"/>
              <w:ind w:firstLine="482" w:firstLineChars="200"/>
              <w:rPr>
                <w:color w:val="auto"/>
                <w:sz w:val="24"/>
              </w:rPr>
            </w:pPr>
            <w:r>
              <w:rPr>
                <w:rFonts w:hint="eastAsia"/>
                <w:b/>
                <w:bCs/>
                <w:color w:val="auto"/>
                <w:sz w:val="24"/>
              </w:rPr>
              <w:t>2、运营期</w:t>
            </w:r>
            <w:r>
              <w:rPr>
                <w:rFonts w:hint="eastAsia"/>
                <w:b/>
                <w:color w:val="auto"/>
                <w:sz w:val="24"/>
              </w:rPr>
              <w:t>水污染源强及污染防治措施</w:t>
            </w:r>
          </w:p>
          <w:p>
            <w:pPr>
              <w:adjustRightInd w:val="0"/>
              <w:snapToGrid w:val="0"/>
              <w:spacing w:line="480" w:lineRule="exact"/>
              <w:ind w:firstLine="480" w:firstLineChars="200"/>
              <w:rPr>
                <w:color w:val="auto"/>
                <w:sz w:val="24"/>
              </w:rPr>
            </w:pPr>
            <w:r>
              <w:rPr>
                <w:rFonts w:hint="eastAsia"/>
                <w:color w:val="auto"/>
                <w:sz w:val="24"/>
              </w:rPr>
              <w:t>本项目产生的废水主要为储煤库淋控废水、洗车废水、生活污水和初期雨水；其中</w:t>
            </w:r>
            <w:r>
              <w:rPr>
                <w:rFonts w:hint="eastAsia"/>
                <w:color w:val="auto"/>
                <w:sz w:val="24"/>
                <w:lang w:bidi="ar"/>
              </w:rPr>
              <w:t>洗车废水</w:t>
            </w:r>
            <w:r>
              <w:rPr>
                <w:rFonts w:hint="eastAsia"/>
                <w:bCs/>
                <w:color w:val="auto"/>
                <w:sz w:val="24"/>
                <w:lang w:bidi="ar"/>
              </w:rPr>
              <w:t>排至沉淀池沉淀处理后排入清水池循环使用，不外排；</w:t>
            </w:r>
            <w:r>
              <w:rPr>
                <w:rFonts w:hint="eastAsia"/>
                <w:color w:val="auto"/>
                <w:sz w:val="24"/>
                <w:lang w:bidi="ar"/>
              </w:rPr>
              <w:t>生活污水经自建的一体化生活污水处理站处理，处理达标后用于洗车用水、道路抑尘用水、绿化用水，不外排；初期雨水经初期雨水池收集后用于厂区泼洒抑尘，不外排；</w:t>
            </w:r>
            <w:r>
              <w:rPr>
                <w:rFonts w:hint="eastAsia"/>
                <w:bCs/>
                <w:color w:val="auto"/>
                <w:sz w:val="24"/>
              </w:rPr>
              <w:t>本项目无废水外排，对区域水环境基本无影响。</w:t>
            </w:r>
          </w:p>
          <w:p>
            <w:pPr>
              <w:adjustRightInd w:val="0"/>
              <w:snapToGrid w:val="0"/>
              <w:spacing w:line="480" w:lineRule="exact"/>
              <w:ind w:firstLine="482" w:firstLineChars="200"/>
              <w:rPr>
                <w:bCs/>
                <w:color w:val="auto"/>
                <w:sz w:val="24"/>
              </w:rPr>
            </w:pPr>
            <w:r>
              <w:rPr>
                <w:rFonts w:hint="eastAsia"/>
                <w:b/>
                <w:color w:val="auto"/>
                <w:sz w:val="24"/>
                <w:szCs w:val="32"/>
              </w:rPr>
              <w:t>本项目水污染物产排量汇总情况见下表。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表4-4  本项目水污染物产排量汇总情况表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569"/>
              <w:gridCol w:w="4771"/>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vAlign w:val="center"/>
                </w:tcPr>
                <w:p>
                  <w:pPr>
                    <w:autoSpaceDE w:val="0"/>
                    <w:autoSpaceDN w:val="0"/>
                    <w:adjustRightInd w:val="0"/>
                    <w:jc w:val="center"/>
                    <w:rPr>
                      <w:color w:val="auto"/>
                    </w:rPr>
                  </w:pPr>
                  <w:bookmarkStart w:id="4" w:name="_Hlk30077533"/>
                  <w:r>
                    <w:rPr>
                      <w:rFonts w:hint="eastAsia" w:hAnsi="宋体"/>
                      <w:color w:val="auto"/>
                    </w:rPr>
                    <w:t>项目</w:t>
                  </w:r>
                </w:p>
              </w:tc>
              <w:tc>
                <w:tcPr>
                  <w:tcW w:w="915" w:type="pct"/>
                  <w:vAlign w:val="center"/>
                </w:tcPr>
                <w:p>
                  <w:pPr>
                    <w:autoSpaceDE w:val="0"/>
                    <w:autoSpaceDN w:val="0"/>
                    <w:adjustRightInd w:val="0"/>
                    <w:jc w:val="center"/>
                    <w:rPr>
                      <w:color w:val="auto"/>
                    </w:rPr>
                  </w:pPr>
                  <w:r>
                    <w:rPr>
                      <w:rFonts w:hint="eastAsia" w:hAnsi="宋体"/>
                      <w:color w:val="auto"/>
                    </w:rPr>
                    <w:t>产生量</w:t>
                  </w:r>
                </w:p>
              </w:tc>
              <w:tc>
                <w:tcPr>
                  <w:tcW w:w="2782" w:type="pct"/>
                  <w:vAlign w:val="center"/>
                </w:tcPr>
                <w:p>
                  <w:pPr>
                    <w:autoSpaceDE w:val="0"/>
                    <w:autoSpaceDN w:val="0"/>
                    <w:adjustRightInd w:val="0"/>
                    <w:jc w:val="center"/>
                    <w:rPr>
                      <w:color w:val="auto"/>
                    </w:rPr>
                  </w:pPr>
                  <w:r>
                    <w:rPr>
                      <w:rFonts w:hint="eastAsia" w:hAnsi="宋体"/>
                      <w:color w:val="auto"/>
                    </w:rPr>
                    <w:t>处理方式</w:t>
                  </w:r>
                </w:p>
              </w:tc>
              <w:tc>
                <w:tcPr>
                  <w:tcW w:w="603" w:type="pct"/>
                  <w:vAlign w:val="center"/>
                </w:tcPr>
                <w:p>
                  <w:pPr>
                    <w:autoSpaceDE w:val="0"/>
                    <w:autoSpaceDN w:val="0"/>
                    <w:adjustRightInd w:val="0"/>
                    <w:jc w:val="center"/>
                    <w:rPr>
                      <w:color w:val="auto"/>
                    </w:rPr>
                  </w:pPr>
                  <w:r>
                    <w:rPr>
                      <w:rFonts w:hint="eastAsia" w:hAnsi="宋体"/>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vAlign w:val="center"/>
                </w:tcPr>
                <w:p>
                  <w:pPr>
                    <w:autoSpaceDE w:val="0"/>
                    <w:autoSpaceDN w:val="0"/>
                    <w:adjustRightInd w:val="0"/>
                    <w:jc w:val="center"/>
                    <w:rPr>
                      <w:rFonts w:hAnsi="宋体"/>
                      <w:color w:val="auto"/>
                    </w:rPr>
                  </w:pPr>
                  <w:r>
                    <w:rPr>
                      <w:rFonts w:hint="eastAsia" w:hAnsi="宋体"/>
                      <w:color w:val="auto"/>
                    </w:rPr>
                    <w:t>储煤库淋控废水</w:t>
                  </w:r>
                </w:p>
              </w:tc>
              <w:tc>
                <w:tcPr>
                  <w:tcW w:w="915" w:type="pct"/>
                  <w:vAlign w:val="center"/>
                </w:tcPr>
                <w:p>
                  <w:pPr>
                    <w:autoSpaceDE w:val="0"/>
                    <w:autoSpaceDN w:val="0"/>
                    <w:adjustRightInd w:val="0"/>
                    <w:jc w:val="center"/>
                    <w:rPr>
                      <w:rFonts w:hAnsi="宋体"/>
                      <w:color w:val="auto"/>
                    </w:rPr>
                  </w:pPr>
                  <w:r>
                    <w:rPr>
                      <w:rFonts w:hint="eastAsia"/>
                      <w:bCs/>
                      <w:color w:val="auto"/>
                    </w:rPr>
                    <w:t>417.92 m</w:t>
                  </w:r>
                  <w:r>
                    <w:rPr>
                      <w:rFonts w:hint="eastAsia"/>
                      <w:bCs/>
                      <w:color w:val="auto"/>
                      <w:vertAlign w:val="superscript"/>
                    </w:rPr>
                    <w:t>3</w:t>
                  </w:r>
                  <w:r>
                    <w:rPr>
                      <w:rFonts w:hint="eastAsia"/>
                      <w:bCs/>
                      <w:color w:val="auto"/>
                    </w:rPr>
                    <w:t>/d</w:t>
                  </w:r>
                </w:p>
              </w:tc>
              <w:tc>
                <w:tcPr>
                  <w:tcW w:w="2782" w:type="pct"/>
                  <w:vAlign w:val="center"/>
                </w:tcPr>
                <w:p>
                  <w:pPr>
                    <w:autoSpaceDE w:val="0"/>
                    <w:autoSpaceDN w:val="0"/>
                    <w:adjustRightInd w:val="0"/>
                    <w:jc w:val="center"/>
                    <w:rPr>
                      <w:rFonts w:hAnsi="宋体"/>
                      <w:color w:val="auto"/>
                    </w:rPr>
                  </w:pPr>
                  <w:r>
                    <w:rPr>
                      <w:rFonts w:hint="eastAsia" w:hAnsi="宋体"/>
                      <w:color w:val="auto"/>
                    </w:rPr>
                    <w:t>淋控废水经淋控废水收集池收集沉淀处理后返回清水池回用，不外排</w:t>
                  </w:r>
                </w:p>
              </w:tc>
              <w:tc>
                <w:tcPr>
                  <w:tcW w:w="603" w:type="pct"/>
                  <w:vAlign w:val="center"/>
                </w:tcPr>
                <w:p>
                  <w:pPr>
                    <w:autoSpaceDE w:val="0"/>
                    <w:autoSpaceDN w:val="0"/>
                    <w:adjustRightInd w:val="0"/>
                    <w:jc w:val="center"/>
                    <w:rPr>
                      <w:rFonts w:hAnsi="宋体"/>
                      <w:color w:val="auto"/>
                    </w:rPr>
                  </w:pPr>
                  <w:r>
                    <w:rPr>
                      <w:rFonts w:hint="eastAsia" w:hAnsi="宋体"/>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vAlign w:val="center"/>
                </w:tcPr>
                <w:p>
                  <w:pPr>
                    <w:autoSpaceDE w:val="0"/>
                    <w:autoSpaceDN w:val="0"/>
                    <w:jc w:val="center"/>
                    <w:rPr>
                      <w:color w:val="auto"/>
                    </w:rPr>
                  </w:pPr>
                  <w:r>
                    <w:rPr>
                      <w:rFonts w:hint="eastAsia"/>
                      <w:color w:val="auto"/>
                    </w:rPr>
                    <w:t>洗车废水</w:t>
                  </w:r>
                </w:p>
              </w:tc>
              <w:tc>
                <w:tcPr>
                  <w:tcW w:w="915" w:type="pct"/>
                  <w:vAlign w:val="center"/>
                </w:tcPr>
                <w:p>
                  <w:pPr>
                    <w:autoSpaceDE w:val="0"/>
                    <w:autoSpaceDN w:val="0"/>
                    <w:jc w:val="center"/>
                    <w:rPr>
                      <w:color w:val="auto"/>
                    </w:rPr>
                  </w:pPr>
                  <w:r>
                    <w:rPr>
                      <w:rFonts w:hint="eastAsia"/>
                      <w:bCs/>
                      <w:color w:val="auto"/>
                    </w:rPr>
                    <w:t>48 m</w:t>
                  </w:r>
                  <w:r>
                    <w:rPr>
                      <w:rFonts w:hint="eastAsia"/>
                      <w:bCs/>
                      <w:color w:val="auto"/>
                      <w:vertAlign w:val="superscript"/>
                    </w:rPr>
                    <w:t>3</w:t>
                  </w:r>
                  <w:r>
                    <w:rPr>
                      <w:rFonts w:hint="eastAsia"/>
                      <w:bCs/>
                      <w:color w:val="auto"/>
                    </w:rPr>
                    <w:t>/d</w:t>
                  </w:r>
                </w:p>
              </w:tc>
              <w:tc>
                <w:tcPr>
                  <w:tcW w:w="2782" w:type="pct"/>
                  <w:vAlign w:val="center"/>
                </w:tcPr>
                <w:p>
                  <w:pPr>
                    <w:jc w:val="center"/>
                    <w:rPr>
                      <w:rFonts w:hAnsi="宋体"/>
                      <w:color w:val="auto"/>
                    </w:rPr>
                  </w:pPr>
                  <w:r>
                    <w:rPr>
                      <w:rFonts w:hint="eastAsia" w:hAnsi="宋体"/>
                      <w:bCs/>
                      <w:color w:val="auto"/>
                    </w:rPr>
                    <w:t>洗车废水排至沉淀池沉淀处理后排入清水池循环使用，不外排</w:t>
                  </w:r>
                </w:p>
              </w:tc>
              <w:tc>
                <w:tcPr>
                  <w:tcW w:w="603"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vAlign w:val="center"/>
                </w:tcPr>
                <w:p>
                  <w:pPr>
                    <w:autoSpaceDE w:val="0"/>
                    <w:autoSpaceDN w:val="0"/>
                    <w:jc w:val="center"/>
                    <w:rPr>
                      <w:color w:val="auto"/>
                    </w:rPr>
                  </w:pPr>
                  <w:r>
                    <w:rPr>
                      <w:rFonts w:hint="eastAsia"/>
                      <w:color w:val="auto"/>
                    </w:rPr>
                    <w:t>生活污水</w:t>
                  </w:r>
                </w:p>
              </w:tc>
              <w:tc>
                <w:tcPr>
                  <w:tcW w:w="915" w:type="pct"/>
                  <w:vAlign w:val="center"/>
                </w:tcPr>
                <w:p>
                  <w:pPr>
                    <w:autoSpaceDE w:val="0"/>
                    <w:autoSpaceDN w:val="0"/>
                    <w:jc w:val="center"/>
                    <w:rPr>
                      <w:bCs/>
                      <w:color w:val="auto"/>
                    </w:rPr>
                  </w:pPr>
                  <w:r>
                    <w:rPr>
                      <w:rFonts w:hint="eastAsia"/>
                      <w:color w:val="auto"/>
                    </w:rPr>
                    <w:t xml:space="preserve">2 </w:t>
                  </w:r>
                  <w:r>
                    <w:rPr>
                      <w:rFonts w:hint="eastAsia"/>
                      <w:bCs/>
                      <w:color w:val="auto"/>
                    </w:rPr>
                    <w:t>m</w:t>
                  </w:r>
                  <w:r>
                    <w:rPr>
                      <w:rFonts w:hint="eastAsia"/>
                      <w:bCs/>
                      <w:color w:val="auto"/>
                      <w:vertAlign w:val="superscript"/>
                    </w:rPr>
                    <w:t>3</w:t>
                  </w:r>
                  <w:r>
                    <w:rPr>
                      <w:rFonts w:hint="eastAsia"/>
                      <w:bCs/>
                      <w:color w:val="auto"/>
                    </w:rPr>
                    <w:t>/d</w:t>
                  </w:r>
                </w:p>
              </w:tc>
              <w:tc>
                <w:tcPr>
                  <w:tcW w:w="2782" w:type="pct"/>
                  <w:vAlign w:val="center"/>
                </w:tcPr>
                <w:p>
                  <w:pPr>
                    <w:jc w:val="center"/>
                    <w:rPr>
                      <w:rFonts w:hAnsi="宋体"/>
                      <w:bCs/>
                      <w:color w:val="auto"/>
                    </w:rPr>
                  </w:pPr>
                  <w:r>
                    <w:rPr>
                      <w:rFonts w:hint="eastAsia" w:hAnsi="宋体"/>
                      <w:bCs/>
                      <w:color w:val="auto"/>
                    </w:rPr>
                    <w:t>本项目使用旱厕，定期清掏用于农田施肥；生活盥洗废水于厂区泼洒抑尘，不外排</w:t>
                  </w:r>
                </w:p>
              </w:tc>
              <w:tc>
                <w:tcPr>
                  <w:tcW w:w="603"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vAlign w:val="center"/>
                </w:tcPr>
                <w:p>
                  <w:pPr>
                    <w:autoSpaceDE w:val="0"/>
                    <w:autoSpaceDN w:val="0"/>
                    <w:jc w:val="center"/>
                    <w:rPr>
                      <w:color w:val="auto"/>
                    </w:rPr>
                  </w:pPr>
                  <w:r>
                    <w:rPr>
                      <w:rFonts w:hint="eastAsia"/>
                      <w:color w:val="auto"/>
                    </w:rPr>
                    <w:t>初期雨水</w:t>
                  </w:r>
                </w:p>
              </w:tc>
              <w:tc>
                <w:tcPr>
                  <w:tcW w:w="915" w:type="pct"/>
                  <w:vAlign w:val="center"/>
                </w:tcPr>
                <w:p>
                  <w:pPr>
                    <w:autoSpaceDE w:val="0"/>
                    <w:autoSpaceDN w:val="0"/>
                    <w:jc w:val="center"/>
                    <w:rPr>
                      <w:color w:val="auto"/>
                    </w:rPr>
                  </w:pPr>
                  <w:r>
                    <w:rPr>
                      <w:rFonts w:hint="eastAsia"/>
                      <w:bCs/>
                      <w:color w:val="auto"/>
                    </w:rPr>
                    <w:t>2300.6 m</w:t>
                  </w:r>
                  <w:r>
                    <w:rPr>
                      <w:rFonts w:hint="eastAsia"/>
                      <w:bCs/>
                      <w:color w:val="auto"/>
                      <w:vertAlign w:val="superscript"/>
                    </w:rPr>
                    <w:t>3</w:t>
                  </w:r>
                  <w:r>
                    <w:rPr>
                      <w:rFonts w:hint="eastAsia"/>
                      <w:bCs/>
                      <w:color w:val="auto"/>
                    </w:rPr>
                    <w:t>/次</w:t>
                  </w:r>
                </w:p>
              </w:tc>
              <w:tc>
                <w:tcPr>
                  <w:tcW w:w="2782" w:type="pct"/>
                  <w:vAlign w:val="center"/>
                </w:tcPr>
                <w:p>
                  <w:pPr>
                    <w:jc w:val="center"/>
                    <w:rPr>
                      <w:color w:val="auto"/>
                    </w:rPr>
                  </w:pPr>
                  <w:r>
                    <w:rPr>
                      <w:rFonts w:hint="eastAsia"/>
                      <w:color w:val="auto"/>
                    </w:rPr>
                    <w:t>厂区地块1内建设1座不小于300m</w:t>
                  </w:r>
                  <w:r>
                    <w:rPr>
                      <w:rFonts w:hint="eastAsia"/>
                      <w:color w:val="auto"/>
                      <w:vertAlign w:val="superscript"/>
                    </w:rPr>
                    <w:t>3</w:t>
                  </w:r>
                  <w:r>
                    <w:rPr>
                      <w:rFonts w:hint="eastAsia"/>
                      <w:color w:val="auto"/>
                    </w:rPr>
                    <w:t>的初期雨水池，收集厂区内产生的初期雨水；收集15min的初期雨水后，经切换装置将雨水由厂区北侧排出厂区；收集的初期雨水经沉淀后回用于厂区道路浇洒抑尘，不外排</w:t>
                  </w:r>
                </w:p>
              </w:tc>
              <w:tc>
                <w:tcPr>
                  <w:tcW w:w="603" w:type="pct"/>
                  <w:vAlign w:val="center"/>
                </w:tcPr>
                <w:p>
                  <w:pPr>
                    <w:autoSpaceDE w:val="0"/>
                    <w:autoSpaceDN w:val="0"/>
                    <w:jc w:val="center"/>
                    <w:rPr>
                      <w:color w:val="auto"/>
                    </w:rPr>
                  </w:pPr>
                  <w:r>
                    <w:rPr>
                      <w:rFonts w:hint="eastAsia"/>
                      <w:color w:val="auto"/>
                    </w:rPr>
                    <w:t>0</w:t>
                  </w:r>
                </w:p>
              </w:tc>
            </w:tr>
            <w:bookmarkEnd w:id="4"/>
          </w:tbl>
          <w:p>
            <w:pPr>
              <w:adjustRightInd w:val="0"/>
              <w:snapToGrid w:val="0"/>
              <w:spacing w:line="480" w:lineRule="exact"/>
              <w:ind w:firstLine="482" w:firstLineChars="200"/>
              <w:rPr>
                <w:b/>
                <w:bCs/>
                <w:color w:val="auto"/>
                <w:sz w:val="24"/>
              </w:rPr>
            </w:pPr>
            <w:r>
              <w:rPr>
                <w:rFonts w:hint="eastAsia"/>
                <w:b/>
                <w:bCs/>
                <w:color w:val="auto"/>
                <w:sz w:val="24"/>
              </w:rPr>
              <w:t>源强核算过程如下：</w:t>
            </w:r>
          </w:p>
          <w:p>
            <w:pPr>
              <w:adjustRightInd w:val="0"/>
              <w:snapToGrid w:val="0"/>
              <w:spacing w:line="480" w:lineRule="exact"/>
              <w:ind w:firstLine="482" w:firstLineChars="200"/>
              <w:rPr>
                <w:b/>
                <w:bCs/>
                <w:color w:val="auto"/>
                <w:sz w:val="24"/>
                <w:szCs w:val="24"/>
              </w:rPr>
            </w:pPr>
            <w:r>
              <w:rPr>
                <w:rFonts w:hint="eastAsia"/>
                <w:b/>
                <w:bCs/>
                <w:color w:val="auto"/>
                <w:sz w:val="24"/>
                <w:szCs w:val="24"/>
              </w:rPr>
              <w:t>W</w:t>
            </w:r>
            <w:r>
              <w:rPr>
                <w:rFonts w:hint="eastAsia"/>
                <w:b/>
                <w:bCs/>
                <w:color w:val="auto"/>
                <w:sz w:val="24"/>
                <w:szCs w:val="24"/>
                <w:vertAlign w:val="subscript"/>
              </w:rPr>
              <w:t>1</w:t>
            </w:r>
            <w:r>
              <w:rPr>
                <w:rFonts w:hint="eastAsia"/>
                <w:b/>
                <w:bCs/>
                <w:color w:val="auto"/>
                <w:sz w:val="24"/>
                <w:szCs w:val="24"/>
              </w:rPr>
              <w:t>：储煤库淋控废水，主要污染物为SS；</w:t>
            </w:r>
          </w:p>
          <w:p>
            <w:pPr>
              <w:adjustRightInd w:val="0"/>
              <w:snapToGrid w:val="0"/>
              <w:spacing w:line="480" w:lineRule="exact"/>
              <w:ind w:firstLine="480" w:firstLineChars="200"/>
              <w:rPr>
                <w:color w:val="auto"/>
                <w:sz w:val="24"/>
                <w:szCs w:val="24"/>
              </w:rPr>
            </w:pPr>
            <w:r>
              <w:rPr>
                <w:rFonts w:hint="eastAsia"/>
                <w:color w:val="auto"/>
                <w:sz w:val="24"/>
                <w:szCs w:val="24"/>
              </w:rPr>
              <w:t>全封闭煤棚喷雾抑尘用水指标按1L/（m</w:t>
            </w:r>
            <w:r>
              <w:rPr>
                <w:rFonts w:hint="eastAsia"/>
                <w:color w:val="auto"/>
                <w:sz w:val="24"/>
                <w:szCs w:val="24"/>
                <w:vertAlign w:val="superscript"/>
              </w:rPr>
              <w:t>2</w:t>
            </w:r>
            <w:r>
              <w:rPr>
                <w:rFonts w:hint="eastAsia"/>
                <w:color w:val="auto"/>
                <w:sz w:val="24"/>
                <w:szCs w:val="24"/>
              </w:rPr>
              <w:t>·次）计，以每天喷雾4次计，本项目四个储煤库总面积为130600m</w:t>
            </w:r>
            <w:r>
              <w:rPr>
                <w:rFonts w:hint="eastAsia"/>
                <w:color w:val="auto"/>
                <w:sz w:val="24"/>
                <w:szCs w:val="24"/>
                <w:vertAlign w:val="superscript"/>
              </w:rPr>
              <w:t>2</w:t>
            </w:r>
            <w:r>
              <w:rPr>
                <w:rFonts w:hint="eastAsia"/>
                <w:color w:val="auto"/>
                <w:sz w:val="24"/>
                <w:szCs w:val="24"/>
              </w:rPr>
              <w:t>，则每天用水量为522.4m</w:t>
            </w:r>
            <w:r>
              <w:rPr>
                <w:rFonts w:hint="eastAsia"/>
                <w:color w:val="auto"/>
                <w:sz w:val="24"/>
                <w:szCs w:val="24"/>
                <w:vertAlign w:val="superscript"/>
              </w:rPr>
              <w:t>3</w:t>
            </w:r>
            <w:r>
              <w:rPr>
                <w:rFonts w:hint="eastAsia"/>
                <w:color w:val="auto"/>
                <w:sz w:val="24"/>
                <w:szCs w:val="24"/>
              </w:rPr>
              <w:t>/d，储煤场淋控废水产生量按用水量的80%计，则淋控废水产生量为417.92m</w:t>
            </w:r>
            <w:r>
              <w:rPr>
                <w:rFonts w:hint="eastAsia"/>
                <w:color w:val="auto"/>
                <w:sz w:val="24"/>
                <w:szCs w:val="24"/>
                <w:vertAlign w:val="superscript"/>
              </w:rPr>
              <w:t>3</w:t>
            </w:r>
            <w:r>
              <w:rPr>
                <w:rFonts w:hint="eastAsia"/>
                <w:color w:val="auto"/>
                <w:sz w:val="24"/>
                <w:szCs w:val="24"/>
              </w:rPr>
              <w:t>/d，淋控废水经淋控废水收集池收集沉淀处理后返回清水池回用，不外排。</w:t>
            </w:r>
          </w:p>
          <w:p>
            <w:pPr>
              <w:adjustRightInd w:val="0"/>
              <w:snapToGrid w:val="0"/>
              <w:spacing w:line="480" w:lineRule="exact"/>
              <w:ind w:firstLine="480" w:firstLineChars="200"/>
              <w:rPr>
                <w:color w:val="auto"/>
                <w:sz w:val="24"/>
                <w:szCs w:val="24"/>
              </w:rPr>
            </w:pPr>
            <w:r>
              <w:rPr>
                <w:rFonts w:hint="eastAsia"/>
                <w:color w:val="auto"/>
                <w:sz w:val="24"/>
                <w:szCs w:val="24"/>
              </w:rPr>
              <w:t>环评要求每座储煤库外均设置1座100m</w:t>
            </w:r>
            <w:r>
              <w:rPr>
                <w:rFonts w:hint="eastAsia"/>
                <w:color w:val="auto"/>
                <w:sz w:val="24"/>
                <w:szCs w:val="24"/>
                <w:vertAlign w:val="superscript"/>
              </w:rPr>
              <w:t>3</w:t>
            </w:r>
            <w:r>
              <w:rPr>
                <w:rFonts w:hint="eastAsia"/>
                <w:color w:val="auto"/>
                <w:sz w:val="24"/>
                <w:szCs w:val="24"/>
              </w:rPr>
              <w:t>淋控废水收集池、1座100m</w:t>
            </w:r>
            <w:r>
              <w:rPr>
                <w:rFonts w:hint="eastAsia"/>
                <w:color w:val="auto"/>
                <w:sz w:val="24"/>
                <w:szCs w:val="24"/>
                <w:vertAlign w:val="superscript"/>
              </w:rPr>
              <w:t>3</w:t>
            </w:r>
            <w:r>
              <w:rPr>
                <w:rFonts w:hint="eastAsia"/>
                <w:color w:val="auto"/>
                <w:sz w:val="24"/>
                <w:szCs w:val="24"/>
              </w:rPr>
              <w:t>清水池，储煤场淋控废水经淋控废水收集池收集沉淀处理后返回清水池回用，不外排。</w:t>
            </w:r>
          </w:p>
          <w:p>
            <w:pPr>
              <w:adjustRightInd w:val="0"/>
              <w:snapToGrid w:val="0"/>
              <w:spacing w:line="480" w:lineRule="exact"/>
              <w:ind w:firstLine="482" w:firstLineChars="200"/>
              <w:rPr>
                <w:b/>
                <w:bCs/>
                <w:color w:val="auto"/>
                <w:sz w:val="24"/>
                <w:szCs w:val="24"/>
              </w:rPr>
            </w:pPr>
            <w:r>
              <w:rPr>
                <w:rFonts w:hint="eastAsia"/>
                <w:b/>
                <w:bCs/>
                <w:color w:val="auto"/>
                <w:sz w:val="24"/>
                <w:szCs w:val="24"/>
              </w:rPr>
              <w:t>W</w:t>
            </w:r>
            <w:r>
              <w:rPr>
                <w:rFonts w:hint="eastAsia"/>
                <w:b/>
                <w:bCs/>
                <w:color w:val="auto"/>
                <w:sz w:val="24"/>
                <w:szCs w:val="24"/>
                <w:vertAlign w:val="subscript"/>
              </w:rPr>
              <w:t>2</w:t>
            </w:r>
            <w:r>
              <w:rPr>
                <w:rFonts w:hint="eastAsia"/>
                <w:b/>
                <w:bCs/>
                <w:color w:val="auto"/>
                <w:sz w:val="24"/>
                <w:szCs w:val="24"/>
              </w:rPr>
              <w:t>：洗车废水，主要污染物为SS；</w:t>
            </w:r>
          </w:p>
          <w:p>
            <w:pPr>
              <w:adjustRightInd w:val="0"/>
              <w:snapToGrid w:val="0"/>
              <w:spacing w:line="480" w:lineRule="exact"/>
              <w:ind w:firstLine="480" w:firstLineChars="200"/>
              <w:rPr>
                <w:color w:val="auto"/>
                <w:sz w:val="24"/>
              </w:rPr>
            </w:pPr>
            <w:r>
              <w:rPr>
                <w:rFonts w:hint="eastAsia"/>
                <w:color w:val="auto"/>
                <w:sz w:val="24"/>
              </w:rPr>
              <w:t>参考《山西省用水定额第3部分：服务业用水定额》（DB14/T1049.3-2021）汽车冲洗用水定额中公共汽车、载重汽车冲洗用水定额，本项目运输车辆清洗用水按60L/辆·次计，清洗次数按300000次/年计，则本项目运输车辆清洗用水量为18000m</w:t>
            </w:r>
            <w:r>
              <w:rPr>
                <w:rFonts w:hint="eastAsia"/>
                <w:color w:val="auto"/>
                <w:sz w:val="24"/>
                <w:vertAlign w:val="superscript"/>
              </w:rPr>
              <w:t>3</w:t>
            </w:r>
            <w:r>
              <w:rPr>
                <w:rFonts w:hint="eastAsia"/>
                <w:color w:val="auto"/>
                <w:sz w:val="24"/>
              </w:rPr>
              <w:t>/a（60m</w:t>
            </w:r>
            <w:r>
              <w:rPr>
                <w:rFonts w:hint="eastAsia"/>
                <w:color w:val="auto"/>
                <w:sz w:val="24"/>
                <w:vertAlign w:val="superscript"/>
              </w:rPr>
              <w:t>3</w:t>
            </w:r>
            <w:r>
              <w:rPr>
                <w:rFonts w:hint="eastAsia"/>
                <w:color w:val="auto"/>
                <w:sz w:val="24"/>
              </w:rPr>
              <w:t>/d）。产污系数按用水量的80%计，则污水产生量为14400m³/a（48m³/d）；运输车辆清洗废水排入沉淀池进行沉淀处理后排入清水池回用，补水量为12m³/d。</w:t>
            </w:r>
          </w:p>
          <w:p>
            <w:pPr>
              <w:adjustRightInd w:val="0"/>
              <w:snapToGrid w:val="0"/>
              <w:spacing w:line="480" w:lineRule="exact"/>
              <w:ind w:firstLine="480" w:firstLineChars="200"/>
              <w:rPr>
                <w:color w:val="auto"/>
                <w:sz w:val="24"/>
              </w:rPr>
            </w:pPr>
            <w:r>
              <w:rPr>
                <w:rFonts w:hint="eastAsia"/>
                <w:color w:val="auto"/>
                <w:sz w:val="24"/>
              </w:rPr>
              <w:t>环评要求厂区进出口以及每座煤棚出口处分别设1座车辆清洗平台对车身及轮胎进行冲洗；洗车平台设置收集池、清水池、沉淀池各1座，每个水池10m</w:t>
            </w:r>
            <w:r>
              <w:rPr>
                <w:rFonts w:hint="eastAsia"/>
                <w:color w:val="auto"/>
                <w:sz w:val="24"/>
                <w:vertAlign w:val="superscript"/>
              </w:rPr>
              <w:t>3</w:t>
            </w:r>
            <w:r>
              <w:rPr>
                <w:rFonts w:hint="eastAsia"/>
                <w:color w:val="auto"/>
                <w:sz w:val="24"/>
              </w:rPr>
              <w:t>，洗车废水经收集池收集后由溢流口进入沉淀池沉淀，沉淀后的清水再由沉淀池南侧的溢流口进入清水池循环使用，不外排。</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表4-5  洗车平台配置及主要参数表</w:t>
            </w:r>
          </w:p>
          <w:tbl>
            <w:tblPr>
              <w:tblStyle w:val="21"/>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3246"/>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序号</w:t>
                  </w:r>
                </w:p>
              </w:tc>
              <w:tc>
                <w:tcPr>
                  <w:tcW w:w="3246" w:type="dxa"/>
                  <w:vAlign w:val="center"/>
                </w:tcPr>
                <w:p>
                  <w:pPr>
                    <w:jc w:val="center"/>
                    <w:rPr>
                      <w:color w:val="auto"/>
                      <w:sz w:val="24"/>
                    </w:rPr>
                  </w:pPr>
                  <w:r>
                    <w:rPr>
                      <w:color w:val="auto"/>
                    </w:rPr>
                    <w:t>主要指标</w:t>
                  </w:r>
                </w:p>
              </w:tc>
              <w:tc>
                <w:tcPr>
                  <w:tcW w:w="3426" w:type="dxa"/>
                  <w:vAlign w:val="center"/>
                </w:tcPr>
                <w:p>
                  <w:pPr>
                    <w:jc w:val="center"/>
                    <w:rPr>
                      <w:color w:val="auto"/>
                      <w:sz w:val="24"/>
                    </w:rPr>
                  </w:pPr>
                  <w:r>
                    <w:rPr>
                      <w:color w:val="auto"/>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1</w:t>
                  </w:r>
                </w:p>
              </w:tc>
              <w:tc>
                <w:tcPr>
                  <w:tcW w:w="3246" w:type="dxa"/>
                </w:tcPr>
                <w:p>
                  <w:pPr>
                    <w:jc w:val="center"/>
                    <w:rPr>
                      <w:color w:val="auto"/>
                      <w:sz w:val="24"/>
                    </w:rPr>
                  </w:pPr>
                  <w:r>
                    <w:rPr>
                      <w:color w:val="auto"/>
                    </w:rPr>
                    <w:t>尺寸</w:t>
                  </w:r>
                </w:p>
              </w:tc>
              <w:tc>
                <w:tcPr>
                  <w:tcW w:w="3426" w:type="dxa"/>
                  <w:vAlign w:val="center"/>
                </w:tcPr>
                <w:p>
                  <w:pPr>
                    <w:jc w:val="center"/>
                    <w:rPr>
                      <w:color w:val="auto"/>
                      <w:sz w:val="24"/>
                    </w:rPr>
                  </w:pPr>
                  <w:r>
                    <w:rPr>
                      <w:rFonts w:hint="eastAsia"/>
                      <w:color w:val="auto"/>
                    </w:rPr>
                    <w:t>11440</w:t>
                  </w:r>
                  <w:r>
                    <w:rPr>
                      <w:color w:val="auto"/>
                    </w:rPr>
                    <w:t>*</w:t>
                  </w:r>
                  <w:r>
                    <w:rPr>
                      <w:rFonts w:hint="eastAsia"/>
                      <w:color w:val="auto"/>
                    </w:rPr>
                    <w:t>7240</w:t>
                  </w:r>
                  <w:r>
                    <w:rPr>
                      <w:color w:val="auto"/>
                    </w:rPr>
                    <w:t>*20</w:t>
                  </w:r>
                  <w:r>
                    <w:rPr>
                      <w:rFonts w:hint="eastAsia"/>
                      <w:color w:val="auto"/>
                    </w:rPr>
                    <w:t>4</w:t>
                  </w:r>
                  <w:r>
                    <w:rPr>
                      <w:color w:val="auto"/>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2</w:t>
                  </w:r>
                </w:p>
              </w:tc>
              <w:tc>
                <w:tcPr>
                  <w:tcW w:w="3246" w:type="dxa"/>
                  <w:vAlign w:val="center"/>
                </w:tcPr>
                <w:p>
                  <w:pPr>
                    <w:jc w:val="center"/>
                    <w:rPr>
                      <w:color w:val="auto"/>
                      <w:sz w:val="24"/>
                    </w:rPr>
                  </w:pPr>
                  <w:r>
                    <w:rPr>
                      <w:color w:val="auto"/>
                    </w:rPr>
                    <w:t>冲洗压力</w:t>
                  </w:r>
                </w:p>
              </w:tc>
              <w:tc>
                <w:tcPr>
                  <w:tcW w:w="3426" w:type="dxa"/>
                  <w:vAlign w:val="center"/>
                </w:tcPr>
                <w:p>
                  <w:pPr>
                    <w:snapToGrid w:val="0"/>
                    <w:jc w:val="center"/>
                    <w:rPr>
                      <w:color w:val="auto"/>
                      <w:sz w:val="24"/>
                    </w:rPr>
                  </w:pPr>
                  <w:r>
                    <w:rPr>
                      <w:color w:val="auto"/>
                    </w:rPr>
                    <w:t>4 Kg/cm</w:t>
                  </w:r>
                  <w:r>
                    <w:rPr>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3</w:t>
                  </w:r>
                </w:p>
              </w:tc>
              <w:tc>
                <w:tcPr>
                  <w:tcW w:w="3246" w:type="dxa"/>
                  <w:vAlign w:val="center"/>
                </w:tcPr>
                <w:p>
                  <w:pPr>
                    <w:jc w:val="center"/>
                    <w:rPr>
                      <w:color w:val="auto"/>
                      <w:sz w:val="24"/>
                    </w:rPr>
                  </w:pPr>
                  <w:r>
                    <w:rPr>
                      <w:color w:val="auto"/>
                    </w:rPr>
                    <w:t>冲洗时间</w:t>
                  </w:r>
                </w:p>
              </w:tc>
              <w:tc>
                <w:tcPr>
                  <w:tcW w:w="3426" w:type="dxa"/>
                  <w:vAlign w:val="center"/>
                </w:tcPr>
                <w:p>
                  <w:pPr>
                    <w:snapToGrid w:val="0"/>
                    <w:jc w:val="center"/>
                    <w:rPr>
                      <w:color w:val="auto"/>
                      <w:sz w:val="24"/>
                    </w:rPr>
                  </w:pPr>
                  <w:r>
                    <w:rPr>
                      <w:color w:val="auto"/>
                    </w:rPr>
                    <w:t>1-60S（可调节）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4</w:t>
                  </w:r>
                </w:p>
              </w:tc>
              <w:tc>
                <w:tcPr>
                  <w:tcW w:w="3246" w:type="dxa"/>
                  <w:vAlign w:val="center"/>
                </w:tcPr>
                <w:p>
                  <w:pPr>
                    <w:jc w:val="center"/>
                    <w:rPr>
                      <w:color w:val="auto"/>
                      <w:sz w:val="24"/>
                    </w:rPr>
                  </w:pPr>
                  <w:r>
                    <w:rPr>
                      <w:color w:val="auto"/>
                    </w:rPr>
                    <w:t>冲洗</w:t>
                  </w:r>
                  <w:r>
                    <w:rPr>
                      <w:rFonts w:hint="eastAsia"/>
                      <w:color w:val="auto"/>
                    </w:rPr>
                    <w:t>用</w:t>
                  </w:r>
                  <w:r>
                    <w:rPr>
                      <w:color w:val="auto"/>
                    </w:rPr>
                    <w:t>水量</w:t>
                  </w:r>
                </w:p>
              </w:tc>
              <w:tc>
                <w:tcPr>
                  <w:tcW w:w="3426" w:type="dxa"/>
                  <w:vAlign w:val="center"/>
                </w:tcPr>
                <w:p>
                  <w:pPr>
                    <w:snapToGrid w:val="0"/>
                    <w:jc w:val="center"/>
                    <w:rPr>
                      <w:color w:val="auto"/>
                      <w:sz w:val="24"/>
                    </w:rPr>
                  </w:pPr>
                  <w:r>
                    <w:rPr>
                      <w:rFonts w:hint="eastAsia"/>
                      <w:color w:val="auto"/>
                    </w:rPr>
                    <w:t>60</w:t>
                  </w:r>
                  <w:r>
                    <w:rPr>
                      <w:color w:val="auto"/>
                    </w:rPr>
                    <w:t>L/每辆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Align w:val="center"/>
                </w:tcPr>
                <w:p>
                  <w:pPr>
                    <w:jc w:val="center"/>
                    <w:rPr>
                      <w:color w:val="auto"/>
                      <w:sz w:val="24"/>
                    </w:rPr>
                  </w:pPr>
                  <w:r>
                    <w:rPr>
                      <w:color w:val="auto"/>
                    </w:rPr>
                    <w:t>5</w:t>
                  </w:r>
                </w:p>
              </w:tc>
              <w:tc>
                <w:tcPr>
                  <w:tcW w:w="3246" w:type="dxa"/>
                  <w:vAlign w:val="center"/>
                </w:tcPr>
                <w:p>
                  <w:pPr>
                    <w:jc w:val="center"/>
                    <w:rPr>
                      <w:color w:val="auto"/>
                      <w:sz w:val="24"/>
                    </w:rPr>
                  </w:pPr>
                  <w:r>
                    <w:rPr>
                      <w:color w:val="auto"/>
                    </w:rPr>
                    <w:t>冲洗方式</w:t>
                  </w:r>
                </w:p>
              </w:tc>
              <w:tc>
                <w:tcPr>
                  <w:tcW w:w="3426" w:type="dxa"/>
                  <w:vAlign w:val="center"/>
                </w:tcPr>
                <w:p>
                  <w:pPr>
                    <w:snapToGrid w:val="0"/>
                    <w:jc w:val="center"/>
                    <w:rPr>
                      <w:color w:val="auto"/>
                      <w:sz w:val="24"/>
                    </w:rPr>
                  </w:pPr>
                  <w:r>
                    <w:rPr>
                      <w:color w:val="auto"/>
                    </w:rPr>
                    <w:t>无接触喷水</w:t>
                  </w:r>
                </w:p>
              </w:tc>
            </w:tr>
          </w:tbl>
          <w:p>
            <w:pPr>
              <w:adjustRightInd w:val="0"/>
              <w:snapToGrid w:val="0"/>
              <w:jc w:val="center"/>
              <w:rPr>
                <w:bCs/>
                <w:color w:val="auto"/>
                <w:sz w:val="24"/>
                <w:szCs w:val="28"/>
              </w:rPr>
            </w:pPr>
          </w:p>
          <w:p>
            <w:pPr>
              <w:adjustRightInd w:val="0"/>
              <w:snapToGrid w:val="0"/>
              <w:jc w:val="center"/>
              <w:rPr>
                <w:bCs/>
                <w:color w:val="auto"/>
                <w:sz w:val="24"/>
                <w:szCs w:val="28"/>
              </w:rPr>
            </w:pPr>
          </w:p>
          <w:p>
            <w:pPr>
              <w:adjustRightInd w:val="0"/>
              <w:snapToGrid w:val="0"/>
              <w:jc w:val="center"/>
              <w:rPr>
                <w:bCs/>
                <w:color w:val="auto"/>
                <w:sz w:val="24"/>
                <w:szCs w:val="28"/>
              </w:rPr>
            </w:pPr>
          </w:p>
          <w:p>
            <w:pPr>
              <w:adjustRightInd w:val="0"/>
              <w:snapToGrid w:val="0"/>
              <w:jc w:val="center"/>
              <w:rPr>
                <w:color w:val="auto"/>
                <w:sz w:val="24"/>
              </w:rPr>
            </w:pPr>
            <w:r>
              <w:rPr>
                <w:rFonts w:hint="eastAsia"/>
                <w:bCs/>
                <w:color w:val="auto"/>
                <w:sz w:val="24"/>
                <w:szCs w:val="28"/>
              </w:rPr>
              <w:drawing>
                <wp:inline distT="0" distB="0" distL="114300" distR="114300">
                  <wp:extent cx="5387340" cy="3808730"/>
                  <wp:effectExtent l="0" t="0" r="3810" b="1270"/>
                  <wp:docPr id="30" name="图片 3" descr="洗车平台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洗车平台_副本"/>
                          <pic:cNvPicPr>
                            <a:picLocks noChangeAspect="1"/>
                          </pic:cNvPicPr>
                        </pic:nvPicPr>
                        <pic:blipFill>
                          <a:blip r:embed="rId41"/>
                          <a:stretch>
                            <a:fillRect/>
                          </a:stretch>
                        </pic:blipFill>
                        <pic:spPr>
                          <a:xfrm>
                            <a:off x="0" y="0"/>
                            <a:ext cx="5387340" cy="3808730"/>
                          </a:xfrm>
                          <a:prstGeom prst="rect">
                            <a:avLst/>
                          </a:prstGeom>
                          <a:noFill/>
                          <a:ln>
                            <a:noFill/>
                          </a:ln>
                        </pic:spPr>
                      </pic:pic>
                    </a:graphicData>
                  </a:graphic>
                </wp:inline>
              </w:drawing>
            </w:r>
          </w:p>
          <w:p>
            <w:pPr>
              <w:adjustRightInd w:val="0"/>
              <w:snapToGrid w:val="0"/>
              <w:spacing w:line="480" w:lineRule="exact"/>
              <w:jc w:val="center"/>
              <w:rPr>
                <w:rFonts w:eastAsia="黑体"/>
                <w:color w:val="auto"/>
                <w:sz w:val="24"/>
              </w:rPr>
            </w:pPr>
            <w:r>
              <w:rPr>
                <w:rFonts w:hint="eastAsia" w:ascii="黑体" w:hAnsi="黑体" w:eastAsia="黑体"/>
                <w:bCs/>
                <w:color w:val="auto"/>
                <w:sz w:val="24"/>
              </w:rPr>
              <w:t>图4-7  洗车平台结构示意图</w:t>
            </w:r>
          </w:p>
          <w:p>
            <w:pPr>
              <w:pStyle w:val="67"/>
              <w:spacing w:before="0" w:after="0"/>
              <w:ind w:firstLine="482"/>
              <w:rPr>
                <w:rFonts w:ascii="Times New Roman" w:hAnsi="Times New Roman" w:eastAsia="宋体" w:cs="Times New Roman"/>
                <w:b/>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rPr>
              <w:t>3</w:t>
            </w:r>
            <w:r>
              <w:rPr>
                <w:rFonts w:hint="eastAsia" w:ascii="Times New Roman" w:hAnsi="Times New Roman" w:eastAsia="宋体" w:cs="Times New Roman"/>
                <w:b/>
                <w:color w:val="auto"/>
              </w:rPr>
              <w:t>：</w:t>
            </w:r>
            <w:r>
              <w:rPr>
                <w:rFonts w:hint="eastAsia" w:ascii="Times New Roman" w:hAnsi="Times New Roman" w:eastAsia="宋体" w:cs="Times New Roman"/>
                <w:b/>
                <w:color w:val="auto"/>
                <w:spacing w:val="4"/>
              </w:rPr>
              <w:t>生活污水，</w:t>
            </w:r>
            <w:r>
              <w:rPr>
                <w:rFonts w:hint="eastAsia" w:ascii="Times New Roman" w:hAnsi="Times New Roman" w:eastAsia="宋体" w:cs="Times New Roman"/>
                <w:b/>
                <w:color w:val="auto"/>
              </w:rPr>
              <w:t>主要</w:t>
            </w:r>
            <w:r>
              <w:rPr>
                <w:rFonts w:hint="eastAsia" w:ascii="Times New Roman" w:hAnsi="Times New Roman" w:eastAsia="宋体" w:cs="Times New Roman"/>
                <w:b/>
                <w:color w:val="auto"/>
                <w:spacing w:val="4"/>
              </w:rPr>
              <w:t>污染物主要有COD</w:t>
            </w:r>
            <w:r>
              <w:rPr>
                <w:rFonts w:hint="eastAsia" w:ascii="Times New Roman" w:hAnsi="Times New Roman" w:eastAsia="宋体" w:cs="Times New Roman"/>
                <w:b/>
                <w:color w:val="auto"/>
                <w:spacing w:val="4"/>
                <w:vertAlign w:val="subscript"/>
              </w:rPr>
              <w:t>Cr</w:t>
            </w:r>
            <w:r>
              <w:rPr>
                <w:rFonts w:hint="eastAsia" w:ascii="Times New Roman" w:hAnsi="Times New Roman" w:eastAsia="宋体" w:cs="Times New Roman"/>
                <w:b/>
                <w:color w:val="auto"/>
                <w:spacing w:val="4"/>
              </w:rPr>
              <w:t>、BOD</w:t>
            </w:r>
            <w:r>
              <w:rPr>
                <w:rFonts w:hint="eastAsia" w:ascii="Times New Roman" w:hAnsi="Times New Roman" w:eastAsia="宋体" w:cs="Times New Roman"/>
                <w:b/>
                <w:color w:val="auto"/>
                <w:spacing w:val="4"/>
                <w:vertAlign w:val="subscript"/>
              </w:rPr>
              <w:t>5</w:t>
            </w:r>
            <w:r>
              <w:rPr>
                <w:rFonts w:hint="eastAsia" w:ascii="Times New Roman" w:hAnsi="Times New Roman" w:eastAsia="宋体" w:cs="Times New Roman"/>
                <w:b/>
                <w:color w:val="auto"/>
                <w:spacing w:val="4"/>
              </w:rPr>
              <w:t>、SS、氨氮等</w:t>
            </w:r>
            <w:r>
              <w:rPr>
                <w:rFonts w:hint="eastAsia" w:ascii="Times New Roman" w:hAnsi="Times New Roman" w:eastAsia="宋体" w:cs="Times New Roman"/>
                <w:b/>
                <w:color w:val="auto"/>
                <w:szCs w:val="21"/>
              </w:rPr>
              <w:t>；</w:t>
            </w:r>
          </w:p>
          <w:p>
            <w:pPr>
              <w:adjustRightInd w:val="0"/>
              <w:snapToGrid w:val="0"/>
              <w:spacing w:line="480" w:lineRule="exact"/>
              <w:ind w:firstLine="480" w:firstLineChars="200"/>
              <w:rPr>
                <w:color w:val="auto"/>
                <w:sz w:val="24"/>
              </w:rPr>
            </w:pPr>
            <w:r>
              <w:rPr>
                <w:rFonts w:hint="eastAsia"/>
                <w:color w:val="auto"/>
                <w:sz w:val="24"/>
              </w:rPr>
              <w:t>根据《山西省用水定额 第4部分：居民生活用水定额》（DB14/T 1049.4-2021），50万以下人口小城市中室内有给水排水卫生设备但无淋浴设备的用水定额为：90L/(p·d)；本项目劳动定员50人，且无室内给水排水卫生设备，因此用水定额按50L/(p·d)计，</w:t>
            </w:r>
            <w:r>
              <w:rPr>
                <w:rFonts w:hint="eastAsia"/>
                <w:bCs/>
                <w:color w:val="auto"/>
                <w:sz w:val="24"/>
              </w:rPr>
              <w:t>则生活日用水量为2.5m</w:t>
            </w:r>
            <w:r>
              <w:rPr>
                <w:rFonts w:hint="eastAsia"/>
                <w:bCs/>
                <w:color w:val="auto"/>
                <w:sz w:val="24"/>
                <w:vertAlign w:val="superscript"/>
              </w:rPr>
              <w:t>3</w:t>
            </w:r>
            <w:r>
              <w:rPr>
                <w:rFonts w:hint="eastAsia"/>
                <w:bCs/>
                <w:color w:val="auto"/>
                <w:sz w:val="24"/>
              </w:rPr>
              <w:t>/d；</w:t>
            </w:r>
            <w:r>
              <w:rPr>
                <w:rFonts w:hint="eastAsia"/>
                <w:color w:val="auto"/>
                <w:sz w:val="24"/>
              </w:rPr>
              <w:t>生活污水产生量按用水量的80%计，则生活污水产生量为2</w:t>
            </w:r>
            <w:r>
              <w:rPr>
                <w:rFonts w:hint="eastAsia"/>
                <w:bCs/>
                <w:color w:val="auto"/>
                <w:sz w:val="24"/>
              </w:rPr>
              <w:t>m</w:t>
            </w:r>
            <w:r>
              <w:rPr>
                <w:rFonts w:hint="eastAsia"/>
                <w:bCs/>
                <w:color w:val="auto"/>
                <w:sz w:val="24"/>
                <w:vertAlign w:val="superscript"/>
              </w:rPr>
              <w:t>3</w:t>
            </w:r>
            <w:r>
              <w:rPr>
                <w:rFonts w:hint="eastAsia"/>
                <w:bCs/>
                <w:color w:val="auto"/>
                <w:sz w:val="24"/>
              </w:rPr>
              <w:t>/d</w:t>
            </w:r>
            <w:r>
              <w:rPr>
                <w:rFonts w:hint="eastAsia"/>
                <w:color w:val="auto"/>
                <w:sz w:val="24"/>
              </w:rPr>
              <w:t>；本项目使用旱厕，定期清掏用于农田施肥；生活盥洗废水于厂区泼洒抑尘不外排。</w:t>
            </w:r>
          </w:p>
          <w:p>
            <w:pPr>
              <w:adjustRightInd w:val="0"/>
              <w:snapToGrid w:val="0"/>
              <w:spacing w:line="480" w:lineRule="exact"/>
              <w:ind w:firstLine="482" w:firstLineChars="200"/>
              <w:rPr>
                <w:b/>
                <w:bCs/>
                <w:color w:val="auto"/>
                <w:sz w:val="24"/>
                <w:szCs w:val="24"/>
              </w:rPr>
            </w:pPr>
            <w:r>
              <w:rPr>
                <w:rFonts w:hint="eastAsia"/>
                <w:b/>
                <w:bCs/>
                <w:color w:val="auto"/>
                <w:sz w:val="24"/>
                <w:szCs w:val="24"/>
              </w:rPr>
              <w:t>W</w:t>
            </w:r>
            <w:r>
              <w:rPr>
                <w:rFonts w:hint="eastAsia"/>
                <w:b/>
                <w:bCs/>
                <w:color w:val="auto"/>
                <w:sz w:val="24"/>
                <w:szCs w:val="24"/>
                <w:vertAlign w:val="subscript"/>
              </w:rPr>
              <w:t>4</w:t>
            </w:r>
            <w:r>
              <w:rPr>
                <w:rFonts w:hint="eastAsia"/>
                <w:b/>
                <w:bCs/>
                <w:color w:val="auto"/>
                <w:sz w:val="24"/>
                <w:szCs w:val="24"/>
              </w:rPr>
              <w:t>：初期雨水，主要污染物为SS；</w:t>
            </w:r>
          </w:p>
          <w:p>
            <w:pPr>
              <w:adjustRightInd w:val="0"/>
              <w:snapToGrid w:val="0"/>
              <w:spacing w:line="480" w:lineRule="exact"/>
              <w:ind w:firstLine="480" w:firstLineChars="200"/>
              <w:rPr>
                <w:color w:val="auto"/>
                <w:sz w:val="24"/>
              </w:rPr>
            </w:pPr>
            <w:r>
              <w:rPr>
                <w:bCs/>
                <w:color w:val="auto"/>
                <w:sz w:val="24"/>
              </w:rPr>
              <w:t>厂区内降雨初期会产生初期雨水，为防止初期雨水夹带煤尘外排，评价要求在厂区设置初期雨水收集池一座。</w:t>
            </w:r>
          </w:p>
          <w:p>
            <w:pPr>
              <w:adjustRightInd w:val="0"/>
              <w:snapToGrid w:val="0"/>
              <w:spacing w:line="480" w:lineRule="exact"/>
              <w:ind w:firstLine="480" w:firstLineChars="200"/>
              <w:rPr>
                <w:color w:val="auto"/>
                <w:sz w:val="24"/>
              </w:rPr>
            </w:pPr>
            <w:r>
              <w:rPr>
                <w:color w:val="auto"/>
                <w:sz w:val="24"/>
              </w:rPr>
              <w:t>评价根据太原工业大学采用数理统计法编的计算公式（公式采用了原平地区的参数）对本项目工业场地应设置的初期雨水收集池容积进行了计算：</w:t>
            </w:r>
          </w:p>
          <w:p>
            <w:pPr>
              <w:adjustRightInd w:val="0"/>
              <w:snapToGrid w:val="0"/>
              <w:spacing w:line="480" w:lineRule="exact"/>
              <w:ind w:firstLine="480" w:firstLineChars="200"/>
              <w:rPr>
                <w:color w:val="auto"/>
                <w:sz w:val="24"/>
              </w:rPr>
            </w:pPr>
            <w:r>
              <w:rPr>
                <w:color w:val="auto"/>
                <w:sz w:val="24"/>
              </w:rPr>
              <w:t>q=1803.6(1+1.04 lgT)/(t+8.64)</w:t>
            </w:r>
            <w:r>
              <w:rPr>
                <w:color w:val="auto"/>
                <w:sz w:val="24"/>
                <w:vertAlign w:val="superscript"/>
              </w:rPr>
              <w:t>0.8</w:t>
            </w:r>
          </w:p>
          <w:p>
            <w:pPr>
              <w:adjustRightInd w:val="0"/>
              <w:snapToGrid w:val="0"/>
              <w:spacing w:line="480" w:lineRule="exact"/>
              <w:ind w:firstLine="480" w:firstLineChars="200"/>
              <w:rPr>
                <w:color w:val="auto"/>
                <w:sz w:val="24"/>
              </w:rPr>
            </w:pPr>
            <w:r>
              <w:rPr>
                <w:color w:val="auto"/>
                <w:sz w:val="24"/>
              </w:rPr>
              <w:t>式中：</w:t>
            </w:r>
          </w:p>
          <w:p>
            <w:pPr>
              <w:adjustRightInd w:val="0"/>
              <w:snapToGrid w:val="0"/>
              <w:spacing w:line="480" w:lineRule="exact"/>
              <w:ind w:firstLine="480" w:firstLineChars="200"/>
              <w:rPr>
                <w:color w:val="auto"/>
                <w:sz w:val="24"/>
              </w:rPr>
            </w:pPr>
            <w:r>
              <w:rPr>
                <w:color w:val="auto"/>
                <w:sz w:val="24"/>
              </w:rPr>
              <w:t>t—降雨历时15（min）；</w:t>
            </w:r>
          </w:p>
          <w:p>
            <w:pPr>
              <w:adjustRightInd w:val="0"/>
              <w:snapToGrid w:val="0"/>
              <w:spacing w:line="480" w:lineRule="exact"/>
              <w:ind w:firstLine="480" w:firstLineChars="200"/>
              <w:rPr>
                <w:color w:val="auto"/>
                <w:sz w:val="24"/>
              </w:rPr>
            </w:pPr>
            <w:r>
              <w:rPr>
                <w:color w:val="auto"/>
                <w:sz w:val="24"/>
              </w:rPr>
              <w:t>P—重现期，取2年。</w:t>
            </w:r>
          </w:p>
          <w:p>
            <w:pPr>
              <w:adjustRightInd w:val="0"/>
              <w:snapToGrid w:val="0"/>
              <w:spacing w:line="480" w:lineRule="exact"/>
              <w:ind w:firstLine="480" w:firstLineChars="200"/>
              <w:rPr>
                <w:color w:val="auto"/>
                <w:sz w:val="24"/>
              </w:rPr>
            </w:pPr>
            <w:r>
              <w:rPr>
                <w:color w:val="auto"/>
                <w:sz w:val="24"/>
              </w:rPr>
              <w:t>计算得q=188.59 L/s·hm</w:t>
            </w:r>
            <w:r>
              <w:rPr>
                <w:color w:val="auto"/>
                <w:sz w:val="24"/>
                <w:vertAlign w:val="superscript"/>
              </w:rPr>
              <w:t>2</w:t>
            </w:r>
          </w:p>
          <w:p>
            <w:pPr>
              <w:adjustRightInd w:val="0"/>
              <w:snapToGrid w:val="0"/>
              <w:spacing w:line="480" w:lineRule="exact"/>
              <w:ind w:firstLine="480" w:firstLineChars="200"/>
              <w:rPr>
                <w:color w:val="auto"/>
                <w:sz w:val="24"/>
              </w:rPr>
            </w:pPr>
            <w:r>
              <w:rPr>
                <w:color w:val="auto"/>
                <w:sz w:val="24"/>
              </w:rPr>
              <w:t>雨水设计流量</w:t>
            </w:r>
          </w:p>
          <w:p>
            <w:pPr>
              <w:adjustRightInd w:val="0"/>
              <w:snapToGrid w:val="0"/>
              <w:spacing w:line="480" w:lineRule="exact"/>
              <w:ind w:firstLine="480" w:firstLineChars="200"/>
              <w:rPr>
                <w:color w:val="auto"/>
                <w:sz w:val="24"/>
              </w:rPr>
            </w:pPr>
            <w:r>
              <w:rPr>
                <w:color w:val="auto"/>
                <w:sz w:val="24"/>
              </w:rPr>
              <w:t>Q＝φ×q×F×900</w:t>
            </w:r>
          </w:p>
          <w:p>
            <w:pPr>
              <w:adjustRightInd w:val="0"/>
              <w:snapToGrid w:val="0"/>
              <w:spacing w:line="480" w:lineRule="exact"/>
              <w:ind w:firstLine="480" w:firstLineChars="200"/>
              <w:rPr>
                <w:color w:val="auto"/>
                <w:sz w:val="24"/>
              </w:rPr>
            </w:pPr>
            <w:r>
              <w:rPr>
                <w:color w:val="auto"/>
                <w:sz w:val="24"/>
              </w:rPr>
              <w:t>式中：</w:t>
            </w:r>
          </w:p>
          <w:p>
            <w:pPr>
              <w:adjustRightInd w:val="0"/>
              <w:snapToGrid w:val="0"/>
              <w:spacing w:line="480" w:lineRule="exact"/>
              <w:ind w:firstLine="480" w:firstLineChars="200"/>
              <w:rPr>
                <w:color w:val="auto"/>
                <w:sz w:val="24"/>
              </w:rPr>
            </w:pPr>
            <w:r>
              <w:rPr>
                <w:color w:val="auto"/>
                <w:sz w:val="24"/>
              </w:rPr>
              <w:t>φ—径流系数，取0.9；</w:t>
            </w:r>
          </w:p>
          <w:p>
            <w:pPr>
              <w:adjustRightInd w:val="0"/>
              <w:snapToGrid w:val="0"/>
              <w:spacing w:line="480" w:lineRule="exact"/>
              <w:ind w:firstLine="480" w:firstLineChars="200"/>
              <w:rPr>
                <w:color w:val="auto"/>
                <w:sz w:val="24"/>
              </w:rPr>
            </w:pPr>
            <w:r>
              <w:rPr>
                <w:color w:val="auto"/>
                <w:sz w:val="24"/>
              </w:rPr>
              <w:t>q—暴雨强度（188.5 L/s·hm</w:t>
            </w:r>
            <w:r>
              <w:rPr>
                <w:color w:val="auto"/>
                <w:sz w:val="24"/>
                <w:vertAlign w:val="superscript"/>
              </w:rPr>
              <w:t>2</w:t>
            </w:r>
            <w:r>
              <w:rPr>
                <w:color w:val="auto"/>
                <w:sz w:val="24"/>
              </w:rPr>
              <w:t>）；</w:t>
            </w:r>
          </w:p>
          <w:p>
            <w:pPr>
              <w:adjustRightInd w:val="0"/>
              <w:snapToGrid w:val="0"/>
              <w:spacing w:line="480" w:lineRule="exact"/>
              <w:ind w:firstLine="480" w:firstLineChars="200"/>
              <w:rPr>
                <w:color w:val="auto"/>
                <w:sz w:val="24"/>
              </w:rPr>
            </w:pPr>
            <w:r>
              <w:rPr>
                <w:color w:val="auto"/>
                <w:sz w:val="24"/>
              </w:rPr>
              <w:t>F—汇水面积，（</w:t>
            </w:r>
            <w:r>
              <w:rPr>
                <w:rFonts w:hint="eastAsia"/>
                <w:color w:val="auto"/>
                <w:sz w:val="24"/>
              </w:rPr>
              <w:t>取厂区内道路面积，为1.8</w:t>
            </w:r>
            <w:r>
              <w:rPr>
                <w:color w:val="auto"/>
                <w:sz w:val="24"/>
              </w:rPr>
              <w:t>hm</w:t>
            </w:r>
            <w:r>
              <w:rPr>
                <w:color w:val="auto"/>
                <w:sz w:val="24"/>
                <w:vertAlign w:val="superscript"/>
              </w:rPr>
              <w:t>2</w:t>
            </w:r>
            <w:r>
              <w:rPr>
                <w:rFonts w:hint="eastAsia"/>
                <w:color w:val="auto"/>
                <w:sz w:val="24"/>
              </w:rPr>
              <w:t>）</w:t>
            </w:r>
            <w:r>
              <w:rPr>
                <w:color w:val="auto"/>
                <w:sz w:val="24"/>
              </w:rPr>
              <w:t>。</w:t>
            </w:r>
          </w:p>
          <w:p>
            <w:pPr>
              <w:adjustRightInd w:val="0"/>
              <w:snapToGrid w:val="0"/>
              <w:spacing w:line="480" w:lineRule="exact"/>
              <w:ind w:firstLine="480" w:firstLineChars="200"/>
              <w:rPr>
                <w:color w:val="auto"/>
                <w:sz w:val="24"/>
              </w:rPr>
            </w:pPr>
            <w:r>
              <w:rPr>
                <w:color w:val="auto"/>
                <w:sz w:val="24"/>
              </w:rPr>
              <w:t>经计算，</w:t>
            </w:r>
            <w:r>
              <w:rPr>
                <w:rFonts w:hint="eastAsia"/>
                <w:color w:val="auto"/>
                <w:sz w:val="24"/>
              </w:rPr>
              <w:t>厂区内</w:t>
            </w:r>
            <w:r>
              <w:rPr>
                <w:color w:val="auto"/>
                <w:sz w:val="24"/>
              </w:rPr>
              <w:t>降雨历时15min的初期雨水量为</w:t>
            </w:r>
            <w:r>
              <w:rPr>
                <w:rFonts w:hint="eastAsia"/>
                <w:color w:val="auto"/>
                <w:sz w:val="24"/>
              </w:rPr>
              <w:t>274.8</w:t>
            </w:r>
            <w:r>
              <w:rPr>
                <w:color w:val="auto"/>
                <w:sz w:val="24"/>
              </w:rPr>
              <w:t>m</w:t>
            </w:r>
            <w:r>
              <w:rPr>
                <w:color w:val="auto"/>
                <w:sz w:val="24"/>
                <w:vertAlign w:val="superscript"/>
              </w:rPr>
              <w:t>3</w:t>
            </w:r>
            <w:r>
              <w:rPr>
                <w:color w:val="auto"/>
                <w:sz w:val="24"/>
              </w:rPr>
              <w:t>；</w:t>
            </w:r>
            <w:r>
              <w:rPr>
                <w:rFonts w:hint="eastAsia"/>
                <w:color w:val="auto"/>
                <w:sz w:val="24"/>
              </w:rPr>
              <w:t>评价要求于厂区内地块1内建设1座不小于300</w:t>
            </w:r>
            <w:r>
              <w:rPr>
                <w:color w:val="auto"/>
                <w:sz w:val="24"/>
              </w:rPr>
              <w:t>m</w:t>
            </w:r>
            <w:r>
              <w:rPr>
                <w:color w:val="auto"/>
                <w:sz w:val="24"/>
                <w:vertAlign w:val="superscript"/>
              </w:rPr>
              <w:t>3</w:t>
            </w:r>
            <w:r>
              <w:rPr>
                <w:rFonts w:hint="eastAsia"/>
                <w:color w:val="auto"/>
                <w:sz w:val="24"/>
              </w:rPr>
              <w:t>的初期雨水池，收集厂区内产生的初期雨水；</w:t>
            </w:r>
            <w:r>
              <w:rPr>
                <w:color w:val="auto"/>
                <w:sz w:val="24"/>
              </w:rPr>
              <w:t>收集15min的初期雨水后，经切换装置将雨水由厂区</w:t>
            </w:r>
            <w:r>
              <w:rPr>
                <w:rFonts w:hint="eastAsia"/>
                <w:color w:val="auto"/>
                <w:sz w:val="24"/>
              </w:rPr>
              <w:t>北</w:t>
            </w:r>
            <w:r>
              <w:rPr>
                <w:color w:val="auto"/>
                <w:sz w:val="24"/>
              </w:rPr>
              <w:t>侧排出厂区；收集的初期雨水经沉淀后回用于</w:t>
            </w:r>
            <w:r>
              <w:rPr>
                <w:rFonts w:hint="eastAsia"/>
                <w:color w:val="auto"/>
                <w:sz w:val="24"/>
              </w:rPr>
              <w:t>厂区道路浇洒抑尘</w:t>
            </w:r>
            <w:r>
              <w:rPr>
                <w:color w:val="auto"/>
                <w:sz w:val="24"/>
              </w:rPr>
              <w:t>，不外排。</w:t>
            </w:r>
          </w:p>
          <w:p>
            <w:pPr>
              <w:adjustRightInd w:val="0"/>
              <w:snapToGrid w:val="0"/>
              <w:spacing w:line="480" w:lineRule="exact"/>
              <w:ind w:firstLine="480" w:firstLineChars="200"/>
              <w:rPr>
                <w:color w:val="auto"/>
                <w:sz w:val="24"/>
              </w:rPr>
            </w:pPr>
            <w:r>
              <w:rPr>
                <w:color w:val="auto"/>
                <w:sz w:val="24"/>
              </w:rPr>
              <w:t>综上所述，采取以上措施后，本项目的建设不会对当地地表水环境造成影响。</w:t>
            </w:r>
          </w:p>
          <w:p>
            <w:pPr>
              <w:adjustRightInd w:val="0"/>
              <w:snapToGrid w:val="0"/>
              <w:spacing w:line="480" w:lineRule="exact"/>
              <w:ind w:firstLine="482" w:firstLineChars="200"/>
              <w:rPr>
                <w:color w:val="auto"/>
                <w:sz w:val="24"/>
              </w:rPr>
            </w:pPr>
            <w:r>
              <w:rPr>
                <w:rFonts w:hint="eastAsia"/>
                <w:b/>
                <w:bCs/>
                <w:color w:val="auto"/>
                <w:sz w:val="24"/>
              </w:rPr>
              <w:t>3、运营期</w:t>
            </w:r>
            <w:r>
              <w:rPr>
                <w:rFonts w:hint="eastAsia"/>
                <w:b/>
                <w:color w:val="auto"/>
                <w:sz w:val="24"/>
              </w:rPr>
              <w:t>固体废物源强及污染防治措施</w:t>
            </w:r>
          </w:p>
          <w:p>
            <w:pPr>
              <w:adjustRightInd w:val="0"/>
              <w:snapToGrid w:val="0"/>
              <w:spacing w:line="480" w:lineRule="exact"/>
              <w:ind w:firstLine="482" w:firstLineChars="200"/>
              <w:rPr>
                <w:b/>
                <w:bCs/>
                <w:color w:val="auto"/>
                <w:sz w:val="24"/>
              </w:rPr>
            </w:pPr>
            <w:r>
              <w:rPr>
                <w:rFonts w:hint="eastAsia"/>
                <w:b/>
                <w:bCs/>
                <w:color w:val="auto"/>
                <w:sz w:val="24"/>
              </w:rPr>
              <w:t>（1）</w:t>
            </w:r>
            <w:r>
              <w:rPr>
                <w:rFonts w:hint="eastAsia"/>
                <w:b/>
                <w:color w:val="auto"/>
                <w:sz w:val="24"/>
              </w:rPr>
              <w:t>运营期固体废物</w:t>
            </w:r>
            <w:r>
              <w:rPr>
                <w:rFonts w:hint="eastAsia"/>
                <w:b/>
                <w:bCs/>
                <w:color w:val="auto"/>
                <w:sz w:val="24"/>
              </w:rPr>
              <w:t>污染物源强</w:t>
            </w:r>
          </w:p>
          <w:p>
            <w:pPr>
              <w:adjustRightInd w:val="0"/>
              <w:snapToGrid w:val="0"/>
              <w:spacing w:line="480" w:lineRule="exact"/>
              <w:ind w:firstLine="480" w:firstLineChars="200"/>
              <w:rPr>
                <w:bCs/>
                <w:color w:val="auto"/>
                <w:sz w:val="24"/>
                <w:szCs w:val="32"/>
              </w:rPr>
            </w:pPr>
            <w:r>
              <w:rPr>
                <w:rFonts w:hint="eastAsia"/>
                <w:bCs/>
                <w:color w:val="auto"/>
                <w:sz w:val="24"/>
                <w:szCs w:val="32"/>
              </w:rPr>
              <w:t>本项目产生的固体废物主要包括：淋控水池、</w:t>
            </w:r>
            <w:r>
              <w:rPr>
                <w:rFonts w:hint="eastAsia"/>
                <w:bCs/>
                <w:color w:val="auto"/>
                <w:sz w:val="24"/>
                <w:lang w:bidi="ar"/>
              </w:rPr>
              <w:t>洗车废水池、初期雨水池沉淀的底泥；</w:t>
            </w:r>
            <w:r>
              <w:rPr>
                <w:rFonts w:hint="eastAsia"/>
                <w:bCs/>
                <w:color w:val="auto"/>
                <w:sz w:val="24"/>
                <w:szCs w:val="32"/>
              </w:rPr>
              <w:t>设备维修、保养产生的废矿物油、废棉纱、废手套、废机油桶；厂区内生活办公产生的生活垃圾等；本项目所产生的固体废物均得到了综合利用或合理处置，对周围环境影响较小。</w:t>
            </w:r>
          </w:p>
          <w:p>
            <w:pPr>
              <w:adjustRightInd w:val="0"/>
              <w:snapToGrid w:val="0"/>
              <w:spacing w:line="480" w:lineRule="exact"/>
              <w:ind w:firstLine="482" w:firstLineChars="200"/>
              <w:rPr>
                <w:bCs/>
                <w:color w:val="auto"/>
                <w:sz w:val="24"/>
              </w:rPr>
            </w:pPr>
            <w:r>
              <w:rPr>
                <w:rFonts w:hint="eastAsia"/>
                <w:b/>
                <w:color w:val="auto"/>
                <w:sz w:val="24"/>
                <w:szCs w:val="32"/>
              </w:rPr>
              <w:t>本项目固废污染物产排量汇总情况见下表。</w:t>
            </w: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表4-7  本项目固废污染物产排量汇总情况表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378"/>
              <w:gridCol w:w="1036"/>
              <w:gridCol w:w="3360"/>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1" w:type="pct"/>
                  <w:vAlign w:val="center"/>
                </w:tcPr>
                <w:p>
                  <w:pPr>
                    <w:autoSpaceDE w:val="0"/>
                    <w:autoSpaceDN w:val="0"/>
                    <w:adjustRightInd w:val="0"/>
                    <w:jc w:val="center"/>
                    <w:rPr>
                      <w:color w:val="auto"/>
                    </w:rPr>
                  </w:pPr>
                  <w:r>
                    <w:rPr>
                      <w:rFonts w:hint="eastAsia"/>
                      <w:color w:val="auto"/>
                    </w:rPr>
                    <w:t>类别</w:t>
                  </w:r>
                </w:p>
              </w:tc>
              <w:tc>
                <w:tcPr>
                  <w:tcW w:w="1386" w:type="pct"/>
                  <w:vAlign w:val="center"/>
                </w:tcPr>
                <w:p>
                  <w:pPr>
                    <w:autoSpaceDE w:val="0"/>
                    <w:autoSpaceDN w:val="0"/>
                    <w:adjustRightInd w:val="0"/>
                    <w:jc w:val="center"/>
                    <w:rPr>
                      <w:rFonts w:hAnsi="宋体"/>
                      <w:color w:val="auto"/>
                    </w:rPr>
                  </w:pPr>
                  <w:r>
                    <w:rPr>
                      <w:rFonts w:hint="eastAsia" w:hAnsi="宋体"/>
                      <w:color w:val="auto"/>
                    </w:rPr>
                    <w:t>项目</w:t>
                  </w:r>
                </w:p>
              </w:tc>
              <w:tc>
                <w:tcPr>
                  <w:tcW w:w="604" w:type="pct"/>
                  <w:vAlign w:val="center"/>
                </w:tcPr>
                <w:p>
                  <w:pPr>
                    <w:autoSpaceDE w:val="0"/>
                    <w:autoSpaceDN w:val="0"/>
                    <w:adjustRightInd w:val="0"/>
                    <w:jc w:val="center"/>
                    <w:rPr>
                      <w:color w:val="auto"/>
                    </w:rPr>
                  </w:pPr>
                  <w:r>
                    <w:rPr>
                      <w:rFonts w:hint="eastAsia" w:hAnsi="宋体"/>
                      <w:color w:val="auto"/>
                    </w:rPr>
                    <w:t>产生量</w:t>
                  </w:r>
                </w:p>
              </w:tc>
              <w:tc>
                <w:tcPr>
                  <w:tcW w:w="1959" w:type="pct"/>
                  <w:vAlign w:val="center"/>
                </w:tcPr>
                <w:p>
                  <w:pPr>
                    <w:autoSpaceDE w:val="0"/>
                    <w:autoSpaceDN w:val="0"/>
                    <w:adjustRightInd w:val="0"/>
                    <w:jc w:val="center"/>
                    <w:rPr>
                      <w:color w:val="auto"/>
                    </w:rPr>
                  </w:pPr>
                  <w:r>
                    <w:rPr>
                      <w:rFonts w:hint="eastAsia" w:hAnsi="宋体"/>
                      <w:color w:val="auto"/>
                    </w:rPr>
                    <w:t>处理方式</w:t>
                  </w:r>
                </w:p>
              </w:tc>
              <w:tc>
                <w:tcPr>
                  <w:tcW w:w="617" w:type="pct"/>
                  <w:vAlign w:val="center"/>
                </w:tcPr>
                <w:p>
                  <w:pPr>
                    <w:autoSpaceDE w:val="0"/>
                    <w:autoSpaceDN w:val="0"/>
                    <w:adjustRightInd w:val="0"/>
                    <w:jc w:val="center"/>
                    <w:rPr>
                      <w:color w:val="auto"/>
                    </w:rPr>
                  </w:pPr>
                  <w:r>
                    <w:rPr>
                      <w:rFonts w:hint="eastAsia" w:hAnsi="宋体"/>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Align w:val="center"/>
                </w:tcPr>
                <w:p>
                  <w:pPr>
                    <w:autoSpaceDE w:val="0"/>
                    <w:autoSpaceDN w:val="0"/>
                    <w:jc w:val="center"/>
                    <w:rPr>
                      <w:color w:val="auto"/>
                    </w:rPr>
                  </w:pPr>
                  <w:r>
                    <w:rPr>
                      <w:rFonts w:hint="eastAsia"/>
                      <w:color w:val="auto"/>
                    </w:rPr>
                    <w:t>一般固废</w:t>
                  </w:r>
                </w:p>
              </w:tc>
              <w:tc>
                <w:tcPr>
                  <w:tcW w:w="1386" w:type="pct"/>
                  <w:vAlign w:val="center"/>
                </w:tcPr>
                <w:p>
                  <w:pPr>
                    <w:autoSpaceDE w:val="0"/>
                    <w:autoSpaceDN w:val="0"/>
                    <w:jc w:val="center"/>
                    <w:rPr>
                      <w:color w:val="auto"/>
                    </w:rPr>
                  </w:pPr>
                  <w:r>
                    <w:rPr>
                      <w:rFonts w:hint="eastAsia"/>
                      <w:color w:val="auto"/>
                    </w:rPr>
                    <w:t>淋控水池、洗车废水池、初期雨水池沉淀的底泥</w:t>
                  </w:r>
                </w:p>
              </w:tc>
              <w:tc>
                <w:tcPr>
                  <w:tcW w:w="604" w:type="pct"/>
                  <w:vAlign w:val="center"/>
                </w:tcPr>
                <w:p>
                  <w:pPr>
                    <w:autoSpaceDE w:val="0"/>
                    <w:autoSpaceDN w:val="0"/>
                    <w:jc w:val="center"/>
                    <w:rPr>
                      <w:color w:val="auto"/>
                    </w:rPr>
                  </w:pPr>
                  <w:r>
                    <w:rPr>
                      <w:rFonts w:hint="eastAsia"/>
                      <w:color w:val="auto"/>
                    </w:rPr>
                    <w:t>12 t/a</w:t>
                  </w:r>
                </w:p>
              </w:tc>
              <w:tc>
                <w:tcPr>
                  <w:tcW w:w="1959" w:type="pct"/>
                  <w:vAlign w:val="center"/>
                </w:tcPr>
                <w:p>
                  <w:pPr>
                    <w:jc w:val="center"/>
                    <w:rPr>
                      <w:color w:val="auto"/>
                    </w:rPr>
                  </w:pPr>
                  <w:r>
                    <w:rPr>
                      <w:rFonts w:hint="eastAsia"/>
                      <w:color w:val="auto"/>
                    </w:rPr>
                    <w:t>主要成分为煤泥，收集后作为产品外售。</w:t>
                  </w:r>
                </w:p>
              </w:tc>
              <w:tc>
                <w:tcPr>
                  <w:tcW w:w="617"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1" w:type="pct"/>
                  <w:vMerge w:val="restart"/>
                  <w:vAlign w:val="center"/>
                </w:tcPr>
                <w:p>
                  <w:pPr>
                    <w:autoSpaceDE w:val="0"/>
                    <w:autoSpaceDN w:val="0"/>
                    <w:jc w:val="center"/>
                    <w:rPr>
                      <w:color w:val="auto"/>
                    </w:rPr>
                  </w:pPr>
                  <w:r>
                    <w:rPr>
                      <w:rFonts w:hint="eastAsia"/>
                      <w:color w:val="auto"/>
                    </w:rPr>
                    <w:t>危险废物</w:t>
                  </w:r>
                </w:p>
              </w:tc>
              <w:tc>
                <w:tcPr>
                  <w:tcW w:w="1386" w:type="pct"/>
                  <w:vAlign w:val="center"/>
                </w:tcPr>
                <w:p>
                  <w:pPr>
                    <w:autoSpaceDE w:val="0"/>
                    <w:autoSpaceDN w:val="0"/>
                    <w:jc w:val="center"/>
                    <w:rPr>
                      <w:color w:val="auto"/>
                    </w:rPr>
                  </w:pPr>
                  <w:r>
                    <w:rPr>
                      <w:rFonts w:hint="eastAsia"/>
                      <w:color w:val="auto"/>
                    </w:rPr>
                    <w:t>设备维修、保养产生的废矿物油（HW08-900-214-08）</w:t>
                  </w:r>
                </w:p>
              </w:tc>
              <w:tc>
                <w:tcPr>
                  <w:tcW w:w="604" w:type="pct"/>
                  <w:vAlign w:val="center"/>
                </w:tcPr>
                <w:p>
                  <w:pPr>
                    <w:autoSpaceDE w:val="0"/>
                    <w:autoSpaceDN w:val="0"/>
                    <w:jc w:val="center"/>
                    <w:rPr>
                      <w:color w:val="auto"/>
                    </w:rPr>
                  </w:pPr>
                  <w:r>
                    <w:rPr>
                      <w:rFonts w:hint="eastAsia"/>
                      <w:color w:val="auto"/>
                    </w:rPr>
                    <w:t>0.5 t/a</w:t>
                  </w:r>
                </w:p>
              </w:tc>
              <w:tc>
                <w:tcPr>
                  <w:tcW w:w="1959" w:type="pct"/>
                  <w:vMerge w:val="restart"/>
                  <w:vAlign w:val="center"/>
                </w:tcPr>
                <w:p>
                  <w:pPr>
                    <w:jc w:val="center"/>
                    <w:rPr>
                      <w:rFonts w:hAnsi="宋体"/>
                      <w:color w:val="auto"/>
                    </w:rPr>
                  </w:pPr>
                  <w:r>
                    <w:rPr>
                      <w:rFonts w:hint="eastAsia" w:hAnsi="宋体"/>
                      <w:color w:val="auto"/>
                    </w:rPr>
                    <w:t>收集后在厂区内新建的危险废物暂存间进行暂存，最后由有资质的单位进行收集处置；设置1座20m</w:t>
                  </w:r>
                  <w:r>
                    <w:rPr>
                      <w:rFonts w:hint="eastAsia" w:hAnsi="宋体"/>
                      <w:color w:val="auto"/>
                      <w:vertAlign w:val="superscript"/>
                    </w:rPr>
                    <w:t>2</w:t>
                  </w:r>
                  <w:r>
                    <w:rPr>
                      <w:rFonts w:hint="eastAsia" w:hAnsi="宋体"/>
                      <w:color w:val="auto"/>
                    </w:rPr>
                    <w:t>危废暂存间。</w:t>
                  </w:r>
                </w:p>
              </w:tc>
              <w:tc>
                <w:tcPr>
                  <w:tcW w:w="617"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1" w:type="pct"/>
                  <w:vMerge w:val="continue"/>
                  <w:vAlign w:val="center"/>
                </w:tcPr>
                <w:p>
                  <w:pPr>
                    <w:autoSpaceDE w:val="0"/>
                    <w:autoSpaceDN w:val="0"/>
                    <w:jc w:val="center"/>
                    <w:rPr>
                      <w:color w:val="auto"/>
                    </w:rPr>
                  </w:pPr>
                </w:p>
              </w:tc>
              <w:tc>
                <w:tcPr>
                  <w:tcW w:w="1386" w:type="pct"/>
                  <w:vAlign w:val="center"/>
                </w:tcPr>
                <w:p>
                  <w:pPr>
                    <w:autoSpaceDE w:val="0"/>
                    <w:autoSpaceDN w:val="0"/>
                    <w:jc w:val="center"/>
                    <w:rPr>
                      <w:color w:val="auto"/>
                    </w:rPr>
                  </w:pPr>
                  <w:r>
                    <w:rPr>
                      <w:rFonts w:hint="eastAsia"/>
                      <w:color w:val="auto"/>
                    </w:rPr>
                    <w:t>设备维修、保养产生的废棉纱、废手套、废机油桶（HW08-900-249-08）</w:t>
                  </w:r>
                </w:p>
              </w:tc>
              <w:tc>
                <w:tcPr>
                  <w:tcW w:w="604" w:type="pct"/>
                  <w:vAlign w:val="center"/>
                </w:tcPr>
                <w:p>
                  <w:pPr>
                    <w:autoSpaceDE w:val="0"/>
                    <w:autoSpaceDN w:val="0"/>
                    <w:jc w:val="center"/>
                    <w:rPr>
                      <w:color w:val="auto"/>
                    </w:rPr>
                  </w:pPr>
                  <w:r>
                    <w:rPr>
                      <w:rFonts w:hint="eastAsia"/>
                      <w:color w:val="auto"/>
                    </w:rPr>
                    <w:t>0.05 t/a</w:t>
                  </w:r>
                </w:p>
              </w:tc>
              <w:tc>
                <w:tcPr>
                  <w:tcW w:w="1959" w:type="pct"/>
                  <w:vMerge w:val="continue"/>
                  <w:vAlign w:val="center"/>
                </w:tcPr>
                <w:p>
                  <w:pPr>
                    <w:jc w:val="center"/>
                    <w:rPr>
                      <w:rFonts w:hAnsi="宋体"/>
                      <w:color w:val="auto"/>
                    </w:rPr>
                  </w:pPr>
                </w:p>
              </w:tc>
              <w:tc>
                <w:tcPr>
                  <w:tcW w:w="617"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1" w:type="pct"/>
                  <w:vAlign w:val="center"/>
                </w:tcPr>
                <w:p>
                  <w:pPr>
                    <w:autoSpaceDE w:val="0"/>
                    <w:autoSpaceDN w:val="0"/>
                    <w:jc w:val="center"/>
                    <w:rPr>
                      <w:color w:val="auto"/>
                    </w:rPr>
                  </w:pPr>
                  <w:r>
                    <w:rPr>
                      <w:rFonts w:hint="eastAsia"/>
                      <w:color w:val="auto"/>
                    </w:rPr>
                    <w:t>生活垃圾</w:t>
                  </w:r>
                </w:p>
              </w:tc>
              <w:tc>
                <w:tcPr>
                  <w:tcW w:w="1386" w:type="pct"/>
                  <w:vAlign w:val="center"/>
                </w:tcPr>
                <w:p>
                  <w:pPr>
                    <w:autoSpaceDE w:val="0"/>
                    <w:autoSpaceDN w:val="0"/>
                    <w:jc w:val="center"/>
                    <w:rPr>
                      <w:color w:val="auto"/>
                    </w:rPr>
                  </w:pPr>
                  <w:r>
                    <w:rPr>
                      <w:rFonts w:hint="eastAsia"/>
                      <w:color w:val="auto"/>
                    </w:rPr>
                    <w:t>生活垃圾、</w:t>
                  </w:r>
                  <w:r>
                    <w:rPr>
                      <w:rFonts w:hint="eastAsia"/>
                      <w:bCs/>
                      <w:color w:val="auto"/>
                    </w:rPr>
                    <w:t>厨余垃圾</w:t>
                  </w:r>
                </w:p>
              </w:tc>
              <w:tc>
                <w:tcPr>
                  <w:tcW w:w="604" w:type="pct"/>
                  <w:vAlign w:val="center"/>
                </w:tcPr>
                <w:p>
                  <w:pPr>
                    <w:autoSpaceDE w:val="0"/>
                    <w:autoSpaceDN w:val="0"/>
                    <w:jc w:val="center"/>
                    <w:rPr>
                      <w:color w:val="auto"/>
                    </w:rPr>
                  </w:pPr>
                  <w:r>
                    <w:rPr>
                      <w:rFonts w:hint="eastAsia"/>
                      <w:color w:val="auto"/>
                    </w:rPr>
                    <w:t>7.5 t/a</w:t>
                  </w:r>
                </w:p>
              </w:tc>
              <w:tc>
                <w:tcPr>
                  <w:tcW w:w="1959" w:type="pct"/>
                  <w:vAlign w:val="center"/>
                </w:tcPr>
                <w:p>
                  <w:pPr>
                    <w:jc w:val="center"/>
                    <w:rPr>
                      <w:color w:val="auto"/>
                    </w:rPr>
                  </w:pPr>
                  <w:r>
                    <w:rPr>
                      <w:color w:val="auto"/>
                      <w:lang w:bidi="ar"/>
                    </w:rPr>
                    <w:t>在厂区内设封闭式垃圾收集箱，收集后送当地环卫部门指定地点统一处理</w:t>
                  </w:r>
                  <w:r>
                    <w:rPr>
                      <w:rFonts w:hint="eastAsia"/>
                      <w:bCs/>
                      <w:color w:val="auto"/>
                    </w:rPr>
                    <w:t>。</w:t>
                  </w:r>
                </w:p>
              </w:tc>
              <w:tc>
                <w:tcPr>
                  <w:tcW w:w="617" w:type="pct"/>
                  <w:vAlign w:val="center"/>
                </w:tcPr>
                <w:p>
                  <w:pPr>
                    <w:autoSpaceDE w:val="0"/>
                    <w:autoSpaceDN w:val="0"/>
                    <w:jc w:val="center"/>
                    <w:rPr>
                      <w:color w:val="auto"/>
                    </w:rPr>
                  </w:pPr>
                  <w:r>
                    <w:rPr>
                      <w:rFonts w:hint="eastAsia"/>
                      <w:color w:val="auto"/>
                    </w:rPr>
                    <w:t>0</w:t>
                  </w:r>
                </w:p>
              </w:tc>
            </w:tr>
          </w:tbl>
          <w:p>
            <w:pPr>
              <w:adjustRightInd w:val="0"/>
              <w:snapToGrid w:val="0"/>
              <w:spacing w:line="480" w:lineRule="exact"/>
              <w:ind w:firstLine="482" w:firstLineChars="200"/>
              <w:rPr>
                <w:b/>
                <w:bCs/>
                <w:color w:val="auto"/>
                <w:sz w:val="24"/>
              </w:rPr>
            </w:pPr>
            <w:r>
              <w:rPr>
                <w:rFonts w:hint="eastAsia"/>
                <w:b/>
                <w:bCs/>
                <w:color w:val="auto"/>
                <w:sz w:val="24"/>
              </w:rPr>
              <w:t>源强核算过程如下：</w:t>
            </w:r>
          </w:p>
          <w:p>
            <w:pPr>
              <w:adjustRightInd w:val="0"/>
              <w:snapToGrid w:val="0"/>
              <w:spacing w:line="480" w:lineRule="exact"/>
              <w:ind w:firstLine="482" w:firstLineChars="200"/>
              <w:rPr>
                <w:b/>
                <w:bCs/>
                <w:color w:val="auto"/>
                <w:sz w:val="24"/>
              </w:rPr>
            </w:pPr>
            <w:r>
              <w:rPr>
                <w:rFonts w:hint="eastAsia"/>
                <w:b/>
                <w:bCs/>
                <w:color w:val="auto"/>
                <w:sz w:val="24"/>
              </w:rPr>
              <w:t>S</w:t>
            </w:r>
            <w:r>
              <w:rPr>
                <w:rFonts w:hint="eastAsia"/>
                <w:b/>
                <w:bCs/>
                <w:color w:val="auto"/>
                <w:sz w:val="24"/>
                <w:vertAlign w:val="subscript"/>
              </w:rPr>
              <w:t>1</w:t>
            </w:r>
            <w:r>
              <w:rPr>
                <w:rFonts w:hint="eastAsia"/>
                <w:b/>
                <w:bCs/>
                <w:color w:val="auto"/>
                <w:sz w:val="24"/>
              </w:rPr>
              <w:t>：淋控水池、洗车废水池、初期雨水池沉淀的底泥</w:t>
            </w:r>
          </w:p>
          <w:p>
            <w:pPr>
              <w:adjustRightInd w:val="0"/>
              <w:snapToGrid w:val="0"/>
              <w:spacing w:line="480" w:lineRule="exact"/>
              <w:ind w:firstLine="480" w:firstLineChars="200"/>
              <w:rPr>
                <w:bCs/>
                <w:color w:val="auto"/>
                <w:sz w:val="24"/>
                <w:szCs w:val="28"/>
              </w:rPr>
            </w:pPr>
            <w:r>
              <w:rPr>
                <w:rFonts w:hint="eastAsia"/>
                <w:bCs/>
                <w:color w:val="auto"/>
                <w:sz w:val="24"/>
                <w:szCs w:val="28"/>
              </w:rPr>
              <w:t>本项目淋控水池、洗车平台沉淀池、雨水收集池沉淀产生的底泥产生量约为12t/a，主要成分为煤泥，收集后作为产品外售。</w:t>
            </w:r>
          </w:p>
          <w:p>
            <w:pPr>
              <w:adjustRightInd w:val="0"/>
              <w:snapToGrid w:val="0"/>
              <w:spacing w:line="480" w:lineRule="exact"/>
              <w:ind w:firstLine="480" w:firstLineChars="200"/>
              <w:rPr>
                <w:bCs/>
                <w:color w:val="auto"/>
                <w:sz w:val="24"/>
                <w:szCs w:val="28"/>
              </w:rPr>
            </w:pPr>
            <w:r>
              <w:rPr>
                <w:rFonts w:hint="eastAsia"/>
                <w:bCs/>
                <w:color w:val="auto"/>
                <w:sz w:val="24"/>
                <w:szCs w:val="28"/>
              </w:rPr>
              <w:t>底泥经收集后分区堆放于4座储煤库内，储煤库均进行了地面硬化防渗处理，同时储煤库设置有喷雾抑尘及淋控废水收集系统，可有效防止底泥堆存过程中粉尘、淋控水外排。</w:t>
            </w:r>
          </w:p>
          <w:p>
            <w:pPr>
              <w:adjustRightInd w:val="0"/>
              <w:snapToGrid w:val="0"/>
              <w:spacing w:line="480" w:lineRule="exact"/>
              <w:ind w:firstLine="482" w:firstLineChars="200"/>
              <w:rPr>
                <w:b/>
                <w:bCs/>
                <w:color w:val="auto"/>
                <w:sz w:val="24"/>
              </w:rPr>
            </w:pPr>
            <w:r>
              <w:rPr>
                <w:rFonts w:hint="eastAsia"/>
                <w:b/>
                <w:bCs/>
                <w:color w:val="auto"/>
                <w:sz w:val="24"/>
              </w:rPr>
              <w:t>S</w:t>
            </w:r>
            <w:r>
              <w:rPr>
                <w:rFonts w:hint="eastAsia"/>
                <w:b/>
                <w:bCs/>
                <w:color w:val="auto"/>
                <w:sz w:val="24"/>
                <w:vertAlign w:val="subscript"/>
              </w:rPr>
              <w:t>2</w:t>
            </w:r>
            <w:r>
              <w:rPr>
                <w:rFonts w:hint="eastAsia"/>
                <w:b/>
                <w:bCs/>
                <w:color w:val="auto"/>
                <w:sz w:val="24"/>
              </w:rPr>
              <w:t>：设备维修保养产生的废机油、废棉纱手套、废机油桶</w:t>
            </w:r>
          </w:p>
          <w:p>
            <w:pPr>
              <w:adjustRightInd w:val="0"/>
              <w:snapToGrid w:val="0"/>
              <w:spacing w:line="480" w:lineRule="exact"/>
              <w:ind w:firstLine="480" w:firstLineChars="200"/>
              <w:rPr>
                <w:color w:val="auto"/>
                <w:sz w:val="24"/>
              </w:rPr>
            </w:pPr>
            <w:r>
              <w:rPr>
                <w:rFonts w:hint="eastAsia"/>
                <w:color w:val="auto"/>
                <w:sz w:val="24"/>
              </w:rPr>
              <w:t>本项目生产设备检修、保养过程会产生的废机油、废棉纱、废手套、废机油桶，按照《国家危险废物名录》（2021年版），废机油属于危险废物（编号：HW08，废物代码：900-214-08，车辆、轮船及其他机械维修过程中产生的废发动机油、制动器油、自动变速器油、齿轮油等废润滑油），废棉纱、废手套、废机油桶属于危险废物（编号HW08，900-249-08，其他生产、销售、使用过程中产生的废矿</w:t>
            </w:r>
            <w:r>
              <w:rPr>
                <w:rFonts w:hint="eastAsia"/>
                <w:color w:val="auto"/>
                <w:sz w:val="24"/>
                <w:lang w:eastAsia="zh-CN"/>
              </w:rPr>
              <w:t>油</w:t>
            </w:r>
            <w:r>
              <w:rPr>
                <w:rFonts w:hint="eastAsia"/>
                <w:color w:val="auto"/>
                <w:sz w:val="24"/>
              </w:rPr>
              <w:t>及沾染矿物油的废弃包装物）；废机油产生量约为0.5t/a，废棉纱、废手套、废机油桶产生量约为0.05t/a。废机油、废棉纱、废手套、废机油桶收集后在厂区内新建的危险废物暂存间进行暂存，最后由有资质的单位进行收集处置。</w:t>
            </w:r>
          </w:p>
          <w:p>
            <w:pPr>
              <w:pStyle w:val="76"/>
              <w:jc w:val="both"/>
              <w:rPr>
                <w:rFonts w:ascii="Times New Roman" w:hAnsi="宋体" w:eastAsia="宋体"/>
                <w:color w:val="auto"/>
              </w:rPr>
            </w:pPr>
            <w:r>
              <w:rPr>
                <w:rFonts w:hint="eastAsia" w:ascii="Times New Roman" w:hAnsi="宋体" w:eastAsia="宋体"/>
                <w:color w:val="auto"/>
                <w:szCs w:val="20"/>
              </w:rPr>
              <w:t>本项目危险废物产生情况见下表。</w:t>
            </w:r>
          </w:p>
          <w:p>
            <w:pPr>
              <w:spacing w:line="480" w:lineRule="exact"/>
              <w:jc w:val="center"/>
              <w:rPr>
                <w:rFonts w:ascii="黑体" w:hAnsi="黑体" w:eastAsia="黑体"/>
                <w:color w:val="auto"/>
                <w:sz w:val="24"/>
                <w:szCs w:val="32"/>
              </w:rPr>
            </w:pPr>
          </w:p>
          <w:p>
            <w:pPr>
              <w:spacing w:line="480" w:lineRule="exact"/>
              <w:jc w:val="center"/>
              <w:rPr>
                <w:rFonts w:ascii="黑体" w:hAnsi="黑体" w:eastAsia="黑体"/>
                <w:color w:val="auto"/>
                <w:sz w:val="24"/>
                <w:szCs w:val="32"/>
              </w:rPr>
            </w:pPr>
            <w:r>
              <w:rPr>
                <w:rFonts w:hint="eastAsia" w:ascii="黑体" w:hAnsi="黑体" w:eastAsia="黑体"/>
                <w:color w:val="auto"/>
                <w:sz w:val="24"/>
                <w:szCs w:val="32"/>
              </w:rPr>
              <w:t>表4-8  危险废物汇总表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791"/>
              <w:gridCol w:w="863"/>
              <w:gridCol w:w="1246"/>
              <w:gridCol w:w="953"/>
              <w:gridCol w:w="1025"/>
              <w:gridCol w:w="609"/>
              <w:gridCol w:w="1164"/>
              <w:gridCol w:w="70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序号</w:t>
                  </w:r>
                </w:p>
              </w:tc>
              <w:tc>
                <w:tcPr>
                  <w:tcW w:w="461"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危险废物名称</w:t>
                  </w:r>
                </w:p>
              </w:tc>
              <w:tc>
                <w:tcPr>
                  <w:tcW w:w="503"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危险废物类别</w:t>
                  </w:r>
                </w:p>
              </w:tc>
              <w:tc>
                <w:tcPr>
                  <w:tcW w:w="72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危险废物代码</w:t>
                  </w:r>
                </w:p>
              </w:tc>
              <w:tc>
                <w:tcPr>
                  <w:tcW w:w="55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产生量(吨/年)</w:t>
                  </w:r>
                </w:p>
              </w:tc>
              <w:tc>
                <w:tcPr>
                  <w:tcW w:w="597"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产生工序及装置</w:t>
                  </w:r>
                </w:p>
              </w:tc>
              <w:tc>
                <w:tcPr>
                  <w:tcW w:w="35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形态</w:t>
                  </w:r>
                </w:p>
              </w:tc>
              <w:tc>
                <w:tcPr>
                  <w:tcW w:w="67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主要成分/有害成分</w:t>
                  </w:r>
                </w:p>
              </w:tc>
              <w:tc>
                <w:tcPr>
                  <w:tcW w:w="40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产废周期</w:t>
                  </w:r>
                </w:p>
              </w:tc>
              <w:tc>
                <w:tcPr>
                  <w:tcW w:w="44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危险</w:t>
                  </w:r>
                </w:p>
                <w:p>
                  <w:pPr>
                    <w:pStyle w:val="77"/>
                    <w:widowControl/>
                    <w:snapToGrid/>
                    <w:spacing w:line="240" w:lineRule="auto"/>
                    <w:ind w:firstLine="0" w:firstLineChars="0"/>
                    <w:rPr>
                      <w:color w:val="auto"/>
                      <w:sz w:val="21"/>
                      <w:szCs w:val="21"/>
                    </w:rPr>
                  </w:pPr>
                  <w:r>
                    <w:rPr>
                      <w:rFonts w:hint="eastAsia"/>
                      <w:color w:val="auto"/>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1</w:t>
                  </w:r>
                </w:p>
              </w:tc>
              <w:tc>
                <w:tcPr>
                  <w:tcW w:w="461"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废机油</w:t>
                  </w:r>
                </w:p>
              </w:tc>
              <w:tc>
                <w:tcPr>
                  <w:tcW w:w="503"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HW08</w:t>
                  </w:r>
                </w:p>
              </w:tc>
              <w:tc>
                <w:tcPr>
                  <w:tcW w:w="72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900-214-08</w:t>
                  </w:r>
                </w:p>
              </w:tc>
              <w:tc>
                <w:tcPr>
                  <w:tcW w:w="555"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color w:val="auto"/>
                      <w:kern w:val="32"/>
                      <w:sz w:val="21"/>
                      <w:szCs w:val="21"/>
                    </w:rPr>
                  </w:pPr>
                  <w:r>
                    <w:rPr>
                      <w:rFonts w:hint="eastAsia" w:ascii="Times New Roman" w:hAnsi="Times New Roman"/>
                      <w:bCs/>
                      <w:color w:val="auto"/>
                      <w:kern w:val="32"/>
                      <w:sz w:val="21"/>
                      <w:szCs w:val="21"/>
                    </w:rPr>
                    <w:t>0.5</w:t>
                  </w:r>
                </w:p>
              </w:tc>
              <w:tc>
                <w:tcPr>
                  <w:tcW w:w="597" w:type="pct"/>
                  <w:shd w:val="clear" w:color="auto" w:fill="auto"/>
                  <w:vAlign w:val="center"/>
                </w:tcPr>
                <w:p>
                  <w:pPr>
                    <w:pStyle w:val="77"/>
                    <w:snapToGrid/>
                    <w:spacing w:line="240" w:lineRule="auto"/>
                    <w:ind w:firstLine="0" w:firstLineChars="0"/>
                    <w:rPr>
                      <w:color w:val="auto"/>
                      <w:sz w:val="21"/>
                      <w:szCs w:val="21"/>
                    </w:rPr>
                  </w:pPr>
                  <w:r>
                    <w:rPr>
                      <w:rFonts w:hint="eastAsia"/>
                      <w:color w:val="auto"/>
                      <w:sz w:val="21"/>
                      <w:szCs w:val="21"/>
                    </w:rPr>
                    <w:t>设备维修保养</w:t>
                  </w:r>
                </w:p>
              </w:tc>
              <w:tc>
                <w:tcPr>
                  <w:tcW w:w="35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液态</w:t>
                  </w:r>
                </w:p>
              </w:tc>
              <w:tc>
                <w:tcPr>
                  <w:tcW w:w="67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有机物</w:t>
                  </w:r>
                </w:p>
              </w:tc>
              <w:tc>
                <w:tcPr>
                  <w:tcW w:w="40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间歇</w:t>
                  </w:r>
                </w:p>
              </w:tc>
              <w:tc>
                <w:tcPr>
                  <w:tcW w:w="44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2</w:t>
                  </w:r>
                </w:p>
              </w:tc>
              <w:tc>
                <w:tcPr>
                  <w:tcW w:w="461"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废棉纱、废手套、废机油桶</w:t>
                  </w:r>
                </w:p>
              </w:tc>
              <w:tc>
                <w:tcPr>
                  <w:tcW w:w="503"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HW08</w:t>
                  </w:r>
                </w:p>
              </w:tc>
              <w:tc>
                <w:tcPr>
                  <w:tcW w:w="72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900-249-08</w:t>
                  </w:r>
                </w:p>
              </w:tc>
              <w:tc>
                <w:tcPr>
                  <w:tcW w:w="555"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color w:val="auto"/>
                      <w:kern w:val="32"/>
                      <w:sz w:val="21"/>
                      <w:szCs w:val="21"/>
                    </w:rPr>
                  </w:pPr>
                  <w:r>
                    <w:rPr>
                      <w:rFonts w:hint="eastAsia" w:ascii="Times New Roman" w:hAnsi="Times New Roman"/>
                      <w:color w:val="auto"/>
                      <w:kern w:val="32"/>
                      <w:sz w:val="21"/>
                      <w:szCs w:val="21"/>
                    </w:rPr>
                    <w:t>0.05</w:t>
                  </w:r>
                </w:p>
              </w:tc>
              <w:tc>
                <w:tcPr>
                  <w:tcW w:w="597" w:type="pct"/>
                  <w:shd w:val="clear" w:color="auto" w:fill="auto"/>
                  <w:vAlign w:val="center"/>
                </w:tcPr>
                <w:p>
                  <w:pPr>
                    <w:pStyle w:val="77"/>
                    <w:snapToGrid/>
                    <w:spacing w:line="240" w:lineRule="auto"/>
                    <w:ind w:firstLine="0" w:firstLineChars="0"/>
                    <w:rPr>
                      <w:color w:val="auto"/>
                      <w:sz w:val="21"/>
                      <w:szCs w:val="21"/>
                    </w:rPr>
                  </w:pPr>
                  <w:r>
                    <w:rPr>
                      <w:rFonts w:hint="eastAsia"/>
                      <w:color w:val="auto"/>
                      <w:sz w:val="21"/>
                      <w:szCs w:val="21"/>
                    </w:rPr>
                    <w:t>设备维修保养</w:t>
                  </w:r>
                </w:p>
              </w:tc>
              <w:tc>
                <w:tcPr>
                  <w:tcW w:w="355"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固态</w:t>
                  </w:r>
                </w:p>
              </w:tc>
              <w:tc>
                <w:tcPr>
                  <w:tcW w:w="67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有机物</w:t>
                  </w:r>
                </w:p>
              </w:tc>
              <w:tc>
                <w:tcPr>
                  <w:tcW w:w="408"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间歇</w:t>
                  </w:r>
                </w:p>
              </w:tc>
              <w:tc>
                <w:tcPr>
                  <w:tcW w:w="446" w:type="pct"/>
                  <w:shd w:val="clear" w:color="auto" w:fill="auto"/>
                  <w:vAlign w:val="center"/>
                </w:tcPr>
                <w:p>
                  <w:pPr>
                    <w:pStyle w:val="77"/>
                    <w:widowControl/>
                    <w:snapToGrid/>
                    <w:spacing w:line="240" w:lineRule="auto"/>
                    <w:ind w:firstLine="0" w:firstLineChars="0"/>
                    <w:rPr>
                      <w:color w:val="auto"/>
                      <w:sz w:val="21"/>
                      <w:szCs w:val="21"/>
                    </w:rPr>
                  </w:pPr>
                  <w:r>
                    <w:rPr>
                      <w:rFonts w:hint="eastAsia"/>
                      <w:color w:val="auto"/>
                      <w:sz w:val="21"/>
                      <w:szCs w:val="21"/>
                    </w:rPr>
                    <w:t>有毒</w:t>
                  </w:r>
                </w:p>
              </w:tc>
            </w:tr>
          </w:tbl>
          <w:p>
            <w:pPr>
              <w:adjustRightInd w:val="0"/>
              <w:snapToGrid w:val="0"/>
              <w:spacing w:line="480" w:lineRule="exact"/>
              <w:ind w:firstLine="482" w:firstLineChars="200"/>
              <w:rPr>
                <w:bCs/>
                <w:color w:val="auto"/>
                <w:sz w:val="24"/>
              </w:rPr>
            </w:pPr>
            <w:r>
              <w:rPr>
                <w:rFonts w:hint="eastAsia"/>
                <w:b/>
                <w:bCs/>
                <w:color w:val="auto"/>
                <w:sz w:val="24"/>
              </w:rPr>
              <w:t>S</w:t>
            </w:r>
            <w:r>
              <w:rPr>
                <w:rFonts w:hint="eastAsia"/>
                <w:b/>
                <w:bCs/>
                <w:color w:val="auto"/>
                <w:sz w:val="24"/>
                <w:vertAlign w:val="subscript"/>
              </w:rPr>
              <w:t>3</w:t>
            </w:r>
            <w:r>
              <w:rPr>
                <w:rFonts w:hint="eastAsia"/>
                <w:b/>
                <w:bCs/>
                <w:color w:val="auto"/>
                <w:sz w:val="24"/>
              </w:rPr>
              <w:t>：</w:t>
            </w:r>
            <w:r>
              <w:rPr>
                <w:rFonts w:hint="eastAsia"/>
                <w:b/>
                <w:color w:val="auto"/>
                <w:sz w:val="24"/>
              </w:rPr>
              <w:t>员工生产生活中产生的生活垃圾</w:t>
            </w:r>
          </w:p>
          <w:p>
            <w:pPr>
              <w:adjustRightInd w:val="0"/>
              <w:snapToGrid w:val="0"/>
              <w:spacing w:line="480" w:lineRule="exact"/>
              <w:ind w:firstLine="480" w:firstLineChars="200"/>
              <w:rPr>
                <w:bCs/>
                <w:color w:val="auto"/>
                <w:sz w:val="24"/>
              </w:rPr>
            </w:pPr>
            <w:r>
              <w:rPr>
                <w:rFonts w:hint="eastAsia"/>
                <w:bCs/>
                <w:color w:val="auto"/>
                <w:sz w:val="24"/>
              </w:rPr>
              <w:t>本项目运营期间的生活垃圾产生系数为按0.5kg/（d•人）计，劳动定员50人，则本项目生活垃圾产生量为7.5t/a。本项目在办公区均设置</w:t>
            </w:r>
            <w:r>
              <w:rPr>
                <w:rFonts w:hint="eastAsia"/>
                <w:bCs/>
                <w:color w:val="auto"/>
                <w:sz w:val="24"/>
                <w:lang w:eastAsia="zh-CN"/>
              </w:rPr>
              <w:t>垃圾桶</w:t>
            </w:r>
            <w:r>
              <w:rPr>
                <w:rFonts w:hint="eastAsia"/>
                <w:bCs/>
                <w:color w:val="auto"/>
                <w:sz w:val="24"/>
              </w:rPr>
              <w:t>，垃圾经收集后运至环卫不部门指定的地点处理。垃圾在运输过程中应注意遮盖、封闭，防止造成二次污染。</w:t>
            </w:r>
          </w:p>
          <w:p>
            <w:pPr>
              <w:adjustRightInd w:val="0"/>
              <w:snapToGrid w:val="0"/>
              <w:spacing w:line="480" w:lineRule="exact"/>
              <w:ind w:firstLine="482" w:firstLineChars="200"/>
              <w:rPr>
                <w:bCs/>
                <w:color w:val="auto"/>
                <w:sz w:val="24"/>
              </w:rPr>
            </w:pPr>
            <w:r>
              <w:rPr>
                <w:rFonts w:hint="eastAsia"/>
                <w:b/>
                <w:color w:val="auto"/>
                <w:sz w:val="24"/>
              </w:rPr>
              <w:t>（2）危险废物贮存、处置管理要求</w:t>
            </w:r>
          </w:p>
          <w:p>
            <w:pPr>
              <w:adjustRightInd w:val="0"/>
              <w:snapToGrid w:val="0"/>
              <w:spacing w:line="480" w:lineRule="exact"/>
              <w:ind w:firstLine="480" w:firstLineChars="200"/>
              <w:rPr>
                <w:color w:val="auto"/>
                <w:sz w:val="24"/>
              </w:rPr>
            </w:pPr>
            <w:r>
              <w:rPr>
                <w:rFonts w:hint="eastAsia"/>
                <w:color w:val="auto"/>
                <w:sz w:val="24"/>
                <w:szCs w:val="24"/>
              </w:rPr>
              <w:t>根据《建设项目危险废物环境影响评价指南》、《危险废物贮存污染控制标准》（GB18597-2001）及标准修改单（</w:t>
            </w:r>
            <w:r>
              <w:rPr>
                <w:rFonts w:hint="eastAsia"/>
                <w:color w:val="auto"/>
                <w:sz w:val="24"/>
                <w:szCs w:val="24"/>
                <w:lang w:eastAsia="zh-CN"/>
              </w:rPr>
              <w:t>〔</w:t>
            </w:r>
            <w:r>
              <w:rPr>
                <w:rFonts w:hint="eastAsia"/>
                <w:color w:val="auto"/>
                <w:sz w:val="24"/>
                <w:szCs w:val="24"/>
              </w:rPr>
              <w:t>2013</w:t>
            </w:r>
            <w:r>
              <w:rPr>
                <w:rFonts w:hint="eastAsia"/>
                <w:color w:val="auto"/>
                <w:sz w:val="24"/>
                <w:szCs w:val="24"/>
                <w:lang w:eastAsia="zh-CN"/>
              </w:rPr>
              <w:t>〕</w:t>
            </w:r>
            <w:r>
              <w:rPr>
                <w:rFonts w:hint="eastAsia"/>
                <w:color w:val="auto"/>
                <w:sz w:val="24"/>
                <w:szCs w:val="24"/>
              </w:rPr>
              <w:t>第36号）及《危险废物转移管理办法》（生态环境部、公安部、交通运输部令第23号）中的的规定，环评对本工程中危险废物的收集、运输、转移及储存等提出以下要求：</w:t>
            </w:r>
          </w:p>
          <w:p>
            <w:pPr>
              <w:adjustRightInd w:val="0"/>
              <w:snapToGrid w:val="0"/>
              <w:spacing w:line="480" w:lineRule="exact"/>
              <w:ind w:firstLine="482" w:firstLineChars="200"/>
              <w:rPr>
                <w:b/>
                <w:color w:val="auto"/>
                <w:sz w:val="24"/>
              </w:rPr>
            </w:pPr>
            <w:r>
              <w:rPr>
                <w:rFonts w:hint="eastAsia"/>
                <w:b/>
                <w:color w:val="auto"/>
                <w:sz w:val="24"/>
              </w:rPr>
              <w:t>①暂存要求：</w:t>
            </w:r>
          </w:p>
          <w:p>
            <w:pPr>
              <w:adjustRightInd w:val="0"/>
              <w:snapToGrid w:val="0"/>
              <w:spacing w:line="480" w:lineRule="exact"/>
              <w:ind w:firstLine="480" w:firstLineChars="200"/>
              <w:rPr>
                <w:color w:val="auto"/>
                <w:sz w:val="24"/>
              </w:rPr>
            </w:pPr>
            <w:r>
              <w:rPr>
                <w:rFonts w:hint="eastAsia"/>
                <w:color w:val="auto"/>
                <w:sz w:val="24"/>
                <w:szCs w:val="24"/>
              </w:rPr>
              <w:t>A根据本项目的工序特点，建设单位拟在办公区域西侧设置一座危废暂存间，面积为20m</w:t>
            </w:r>
            <w:r>
              <w:rPr>
                <w:rFonts w:hint="eastAsia"/>
                <w:color w:val="auto"/>
                <w:sz w:val="24"/>
                <w:szCs w:val="24"/>
                <w:vertAlign w:val="superscript"/>
              </w:rPr>
              <w:t>2</w:t>
            </w:r>
            <w:r>
              <w:rPr>
                <w:rFonts w:hint="eastAsia"/>
                <w:color w:val="auto"/>
                <w:sz w:val="24"/>
                <w:szCs w:val="24"/>
              </w:rPr>
              <w:t>；危废暂存间要求地面与裙角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角，地面与裙角所围建的容积不低于堵截最大容器的最大储量或总储量的1/5；不相容的危险废物必须分开存放，并设有隔离间隔断。</w:t>
            </w:r>
          </w:p>
          <w:p>
            <w:pPr>
              <w:spacing w:line="480" w:lineRule="exact"/>
              <w:jc w:val="center"/>
              <w:rPr>
                <w:rFonts w:eastAsia="黑体"/>
                <w:color w:val="auto"/>
                <w:kern w:val="0"/>
                <w:sz w:val="24"/>
                <w:szCs w:val="24"/>
              </w:rPr>
            </w:pPr>
          </w:p>
          <w:p>
            <w:pPr>
              <w:spacing w:line="480" w:lineRule="exact"/>
              <w:jc w:val="center"/>
              <w:rPr>
                <w:rFonts w:eastAsia="黑体"/>
                <w:color w:val="auto"/>
                <w:kern w:val="0"/>
                <w:sz w:val="24"/>
                <w:szCs w:val="24"/>
              </w:rPr>
            </w:pPr>
          </w:p>
          <w:p>
            <w:pPr>
              <w:spacing w:line="480" w:lineRule="exact"/>
              <w:jc w:val="center"/>
              <w:rPr>
                <w:rFonts w:eastAsia="黑体"/>
                <w:color w:val="auto"/>
                <w:kern w:val="0"/>
                <w:sz w:val="24"/>
                <w:szCs w:val="24"/>
              </w:rPr>
            </w:pPr>
            <w:r>
              <w:rPr>
                <w:rFonts w:hint="eastAsia" w:eastAsia="黑体"/>
                <w:color w:val="auto"/>
                <w:kern w:val="0"/>
                <w:sz w:val="24"/>
                <w:szCs w:val="24"/>
              </w:rPr>
              <w:t>表4-9  危险废物贮存场所基本情况表</w:t>
            </w:r>
          </w:p>
          <w:tbl>
            <w:tblPr>
              <w:tblStyle w:val="20"/>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51"/>
              <w:gridCol w:w="1125"/>
              <w:gridCol w:w="859"/>
              <w:gridCol w:w="1217"/>
              <w:gridCol w:w="783"/>
              <w:gridCol w:w="706"/>
              <w:gridCol w:w="619"/>
              <w:gridCol w:w="101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Align w:val="center"/>
                </w:tcPr>
                <w:p>
                  <w:pPr>
                    <w:topLinePunct/>
                    <w:adjustRightInd w:val="0"/>
                    <w:snapToGrid w:val="0"/>
                    <w:jc w:val="center"/>
                    <w:rPr>
                      <w:color w:val="auto"/>
                      <w:kern w:val="0"/>
                    </w:rPr>
                  </w:pPr>
                  <w:r>
                    <w:rPr>
                      <w:rFonts w:hint="eastAsia"/>
                      <w:color w:val="auto"/>
                      <w:kern w:val="0"/>
                    </w:rPr>
                    <w:t>序号</w:t>
                  </w:r>
                </w:p>
              </w:tc>
              <w:tc>
                <w:tcPr>
                  <w:tcW w:w="380" w:type="pct"/>
                  <w:vAlign w:val="center"/>
                </w:tcPr>
                <w:p>
                  <w:pPr>
                    <w:topLinePunct/>
                    <w:adjustRightInd w:val="0"/>
                    <w:snapToGrid w:val="0"/>
                    <w:jc w:val="center"/>
                    <w:rPr>
                      <w:color w:val="auto"/>
                      <w:kern w:val="0"/>
                    </w:rPr>
                  </w:pPr>
                  <w:r>
                    <w:rPr>
                      <w:rFonts w:hint="eastAsia"/>
                      <w:color w:val="auto"/>
                      <w:kern w:val="0"/>
                    </w:rPr>
                    <w:t>贮存场所名称</w:t>
                  </w:r>
                </w:p>
              </w:tc>
              <w:tc>
                <w:tcPr>
                  <w:tcW w:w="656" w:type="pct"/>
                  <w:vAlign w:val="center"/>
                </w:tcPr>
                <w:p>
                  <w:pPr>
                    <w:topLinePunct/>
                    <w:adjustRightInd w:val="0"/>
                    <w:snapToGrid w:val="0"/>
                    <w:jc w:val="center"/>
                    <w:rPr>
                      <w:color w:val="auto"/>
                      <w:kern w:val="0"/>
                    </w:rPr>
                  </w:pPr>
                  <w:r>
                    <w:rPr>
                      <w:rFonts w:hint="eastAsia"/>
                      <w:color w:val="auto"/>
                      <w:kern w:val="0"/>
                    </w:rPr>
                    <w:t>危险废物名称</w:t>
                  </w:r>
                </w:p>
              </w:tc>
              <w:tc>
                <w:tcPr>
                  <w:tcW w:w="501" w:type="pct"/>
                  <w:vAlign w:val="center"/>
                </w:tcPr>
                <w:p>
                  <w:pPr>
                    <w:topLinePunct/>
                    <w:adjustRightInd w:val="0"/>
                    <w:snapToGrid w:val="0"/>
                    <w:jc w:val="center"/>
                    <w:rPr>
                      <w:color w:val="auto"/>
                      <w:kern w:val="0"/>
                    </w:rPr>
                  </w:pPr>
                  <w:r>
                    <w:rPr>
                      <w:rFonts w:hint="eastAsia"/>
                      <w:color w:val="auto"/>
                      <w:kern w:val="0"/>
                    </w:rPr>
                    <w:t>危险废物类别</w:t>
                  </w:r>
                </w:p>
              </w:tc>
              <w:tc>
                <w:tcPr>
                  <w:tcW w:w="710" w:type="pct"/>
                  <w:vAlign w:val="center"/>
                </w:tcPr>
                <w:p>
                  <w:pPr>
                    <w:topLinePunct/>
                    <w:adjustRightInd w:val="0"/>
                    <w:snapToGrid w:val="0"/>
                    <w:jc w:val="center"/>
                    <w:rPr>
                      <w:color w:val="auto"/>
                      <w:kern w:val="0"/>
                    </w:rPr>
                  </w:pPr>
                  <w:r>
                    <w:rPr>
                      <w:rFonts w:hint="eastAsia"/>
                      <w:color w:val="auto"/>
                      <w:kern w:val="0"/>
                    </w:rPr>
                    <w:t>危险废物代码</w:t>
                  </w:r>
                </w:p>
              </w:tc>
              <w:tc>
                <w:tcPr>
                  <w:tcW w:w="457" w:type="pct"/>
                  <w:vAlign w:val="center"/>
                </w:tcPr>
                <w:p>
                  <w:pPr>
                    <w:topLinePunct/>
                    <w:adjustRightInd w:val="0"/>
                    <w:snapToGrid w:val="0"/>
                    <w:jc w:val="center"/>
                    <w:rPr>
                      <w:color w:val="auto"/>
                      <w:kern w:val="0"/>
                    </w:rPr>
                  </w:pPr>
                  <w:r>
                    <w:rPr>
                      <w:rFonts w:hint="eastAsia"/>
                      <w:color w:val="auto"/>
                      <w:kern w:val="0"/>
                    </w:rPr>
                    <w:t>位置</w:t>
                  </w:r>
                </w:p>
              </w:tc>
              <w:tc>
                <w:tcPr>
                  <w:tcW w:w="412" w:type="pct"/>
                  <w:vAlign w:val="center"/>
                </w:tcPr>
                <w:p>
                  <w:pPr>
                    <w:topLinePunct/>
                    <w:adjustRightInd w:val="0"/>
                    <w:snapToGrid w:val="0"/>
                    <w:jc w:val="center"/>
                    <w:rPr>
                      <w:color w:val="auto"/>
                      <w:kern w:val="0"/>
                    </w:rPr>
                  </w:pPr>
                  <w:r>
                    <w:rPr>
                      <w:rFonts w:hint="eastAsia"/>
                      <w:color w:val="auto"/>
                      <w:kern w:val="0"/>
                    </w:rPr>
                    <w:t>占地面积</w:t>
                  </w:r>
                </w:p>
              </w:tc>
              <w:tc>
                <w:tcPr>
                  <w:tcW w:w="361" w:type="pct"/>
                  <w:vAlign w:val="center"/>
                </w:tcPr>
                <w:p>
                  <w:pPr>
                    <w:topLinePunct/>
                    <w:adjustRightInd w:val="0"/>
                    <w:snapToGrid w:val="0"/>
                    <w:jc w:val="center"/>
                    <w:rPr>
                      <w:color w:val="auto"/>
                      <w:kern w:val="0"/>
                    </w:rPr>
                  </w:pPr>
                  <w:r>
                    <w:rPr>
                      <w:rFonts w:hint="eastAsia"/>
                      <w:color w:val="auto"/>
                      <w:kern w:val="0"/>
                    </w:rPr>
                    <w:t>贮存方式</w:t>
                  </w:r>
                </w:p>
              </w:tc>
              <w:tc>
                <w:tcPr>
                  <w:tcW w:w="593" w:type="pct"/>
                  <w:vAlign w:val="center"/>
                </w:tcPr>
                <w:p>
                  <w:pPr>
                    <w:topLinePunct/>
                    <w:adjustRightInd w:val="0"/>
                    <w:snapToGrid w:val="0"/>
                    <w:jc w:val="center"/>
                    <w:rPr>
                      <w:color w:val="auto"/>
                      <w:kern w:val="0"/>
                    </w:rPr>
                  </w:pPr>
                  <w:r>
                    <w:rPr>
                      <w:rFonts w:hint="eastAsia"/>
                      <w:color w:val="auto"/>
                      <w:kern w:val="0"/>
                    </w:rPr>
                    <w:t>贮存</w:t>
                  </w:r>
                </w:p>
                <w:p>
                  <w:pPr>
                    <w:topLinePunct/>
                    <w:adjustRightInd w:val="0"/>
                    <w:snapToGrid w:val="0"/>
                    <w:jc w:val="center"/>
                    <w:rPr>
                      <w:color w:val="auto"/>
                      <w:kern w:val="0"/>
                    </w:rPr>
                  </w:pPr>
                  <w:r>
                    <w:rPr>
                      <w:rFonts w:hint="eastAsia"/>
                      <w:color w:val="auto"/>
                      <w:kern w:val="0"/>
                    </w:rPr>
                    <w:t>能力</w:t>
                  </w:r>
                </w:p>
              </w:tc>
              <w:tc>
                <w:tcPr>
                  <w:tcW w:w="676" w:type="pct"/>
                  <w:vAlign w:val="center"/>
                </w:tcPr>
                <w:p>
                  <w:pPr>
                    <w:topLinePunct/>
                    <w:adjustRightInd w:val="0"/>
                    <w:snapToGrid w:val="0"/>
                    <w:jc w:val="center"/>
                    <w:rPr>
                      <w:color w:val="auto"/>
                      <w:kern w:val="0"/>
                    </w:rPr>
                  </w:pPr>
                  <w:r>
                    <w:rPr>
                      <w:rFonts w:hint="eastAsia"/>
                      <w:color w:val="auto"/>
                      <w:kern w:val="0"/>
                    </w:rPr>
                    <w:t>贮存</w:t>
                  </w:r>
                </w:p>
                <w:p>
                  <w:pPr>
                    <w:topLinePunct/>
                    <w:adjustRightInd w:val="0"/>
                    <w:snapToGrid w:val="0"/>
                    <w:jc w:val="center"/>
                    <w:rPr>
                      <w:color w:val="auto"/>
                      <w:kern w:val="0"/>
                    </w:rPr>
                  </w:pPr>
                  <w:r>
                    <w:rPr>
                      <w:rFonts w:hint="eastAsia"/>
                      <w:color w:val="auto"/>
                      <w:kern w:val="0"/>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restart"/>
                  <w:vAlign w:val="center"/>
                </w:tcPr>
                <w:p>
                  <w:pPr>
                    <w:topLinePunct/>
                    <w:adjustRightInd w:val="0"/>
                    <w:snapToGrid w:val="0"/>
                    <w:jc w:val="center"/>
                    <w:rPr>
                      <w:color w:val="auto"/>
                      <w:kern w:val="0"/>
                    </w:rPr>
                  </w:pPr>
                  <w:r>
                    <w:rPr>
                      <w:rFonts w:hint="eastAsia"/>
                      <w:color w:val="auto"/>
                      <w:kern w:val="0"/>
                    </w:rPr>
                    <w:t>1</w:t>
                  </w:r>
                </w:p>
              </w:tc>
              <w:tc>
                <w:tcPr>
                  <w:tcW w:w="380" w:type="pct"/>
                  <w:vMerge w:val="restart"/>
                  <w:vAlign w:val="center"/>
                </w:tcPr>
                <w:p>
                  <w:pPr>
                    <w:topLinePunct/>
                    <w:adjustRightInd w:val="0"/>
                    <w:snapToGrid w:val="0"/>
                    <w:jc w:val="center"/>
                    <w:rPr>
                      <w:color w:val="auto"/>
                      <w:kern w:val="0"/>
                    </w:rPr>
                  </w:pPr>
                  <w:r>
                    <w:rPr>
                      <w:rFonts w:hint="eastAsia"/>
                      <w:color w:val="auto"/>
                      <w:kern w:val="0"/>
                    </w:rPr>
                    <w:t>危废暂存间</w:t>
                  </w:r>
                </w:p>
              </w:tc>
              <w:tc>
                <w:tcPr>
                  <w:tcW w:w="1125"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废机油</w:t>
                  </w:r>
                </w:p>
              </w:tc>
              <w:tc>
                <w:tcPr>
                  <w:tcW w:w="859"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HW08</w:t>
                  </w:r>
                </w:p>
              </w:tc>
              <w:tc>
                <w:tcPr>
                  <w:tcW w:w="1217"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900-214-08</w:t>
                  </w:r>
                </w:p>
              </w:tc>
              <w:tc>
                <w:tcPr>
                  <w:tcW w:w="457" w:type="pct"/>
                  <w:vMerge w:val="restart"/>
                  <w:vAlign w:val="center"/>
                </w:tcPr>
                <w:p>
                  <w:pPr>
                    <w:topLinePunct/>
                    <w:adjustRightInd w:val="0"/>
                    <w:snapToGrid w:val="0"/>
                    <w:jc w:val="center"/>
                    <w:rPr>
                      <w:color w:val="auto"/>
                      <w:kern w:val="0"/>
                    </w:rPr>
                  </w:pPr>
                  <w:r>
                    <w:rPr>
                      <w:rFonts w:hint="eastAsia"/>
                      <w:color w:val="auto"/>
                      <w:kern w:val="0"/>
                    </w:rPr>
                    <w:t>位于办公区域西侧</w:t>
                  </w:r>
                </w:p>
              </w:tc>
              <w:tc>
                <w:tcPr>
                  <w:tcW w:w="412" w:type="pct"/>
                  <w:vMerge w:val="restart"/>
                  <w:vAlign w:val="center"/>
                </w:tcPr>
                <w:p>
                  <w:pPr>
                    <w:topLinePunct/>
                    <w:adjustRightInd w:val="0"/>
                    <w:snapToGrid w:val="0"/>
                    <w:jc w:val="center"/>
                    <w:rPr>
                      <w:color w:val="auto"/>
                      <w:kern w:val="0"/>
                    </w:rPr>
                  </w:pPr>
                  <w:r>
                    <w:rPr>
                      <w:rFonts w:hint="eastAsia"/>
                      <w:color w:val="auto"/>
                      <w:kern w:val="0"/>
                    </w:rPr>
                    <w:t>20</w:t>
                  </w:r>
                </w:p>
                <w:p>
                  <w:pPr>
                    <w:topLinePunct/>
                    <w:adjustRightInd w:val="0"/>
                    <w:snapToGrid w:val="0"/>
                    <w:jc w:val="center"/>
                    <w:rPr>
                      <w:color w:val="auto"/>
                      <w:kern w:val="0"/>
                    </w:rPr>
                  </w:pPr>
                  <w:r>
                    <w:rPr>
                      <w:rFonts w:hint="eastAsia"/>
                      <w:color w:val="auto"/>
                      <w:kern w:val="0"/>
                    </w:rPr>
                    <w:t>m</w:t>
                  </w:r>
                  <w:r>
                    <w:rPr>
                      <w:rFonts w:hint="eastAsia"/>
                      <w:color w:val="auto"/>
                      <w:kern w:val="0"/>
                      <w:vertAlign w:val="superscript"/>
                    </w:rPr>
                    <w:t>2</w:t>
                  </w:r>
                </w:p>
              </w:tc>
              <w:tc>
                <w:tcPr>
                  <w:tcW w:w="361" w:type="pct"/>
                  <w:vAlign w:val="center"/>
                </w:tcPr>
                <w:p>
                  <w:pPr>
                    <w:topLinePunct/>
                    <w:adjustRightInd w:val="0"/>
                    <w:snapToGrid w:val="0"/>
                    <w:jc w:val="center"/>
                    <w:rPr>
                      <w:color w:val="auto"/>
                      <w:kern w:val="0"/>
                    </w:rPr>
                  </w:pPr>
                  <w:r>
                    <w:rPr>
                      <w:rFonts w:hint="eastAsia"/>
                      <w:color w:val="auto"/>
                      <w:kern w:val="0"/>
                    </w:rPr>
                    <w:t>桶装</w:t>
                  </w:r>
                </w:p>
              </w:tc>
              <w:tc>
                <w:tcPr>
                  <w:tcW w:w="593" w:type="pct"/>
                  <w:vAlign w:val="center"/>
                </w:tcPr>
                <w:p>
                  <w:pPr>
                    <w:topLinePunct/>
                    <w:adjustRightInd w:val="0"/>
                    <w:snapToGrid w:val="0"/>
                    <w:jc w:val="center"/>
                    <w:rPr>
                      <w:color w:val="auto"/>
                      <w:kern w:val="0"/>
                    </w:rPr>
                  </w:pPr>
                  <w:r>
                    <w:rPr>
                      <w:rFonts w:hint="eastAsia"/>
                      <w:color w:val="auto"/>
                      <w:kern w:val="0"/>
                    </w:rPr>
                    <w:t>3t</w:t>
                  </w:r>
                </w:p>
              </w:tc>
              <w:tc>
                <w:tcPr>
                  <w:tcW w:w="676" w:type="pct"/>
                  <w:vAlign w:val="center"/>
                </w:tcPr>
                <w:p>
                  <w:pPr>
                    <w:topLinePunct/>
                    <w:adjustRightInd w:val="0"/>
                    <w:snapToGrid w:val="0"/>
                    <w:jc w:val="center"/>
                    <w:rPr>
                      <w:color w:val="auto"/>
                      <w:kern w:val="0"/>
                    </w:rPr>
                  </w:pPr>
                  <w:r>
                    <w:rPr>
                      <w:rFonts w:hint="eastAsia"/>
                      <w:color w:val="auto"/>
                      <w:kern w:val="0"/>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vAlign w:val="center"/>
                </w:tcPr>
                <w:p>
                  <w:pPr>
                    <w:topLinePunct/>
                    <w:adjustRightInd w:val="0"/>
                    <w:snapToGrid w:val="0"/>
                    <w:jc w:val="center"/>
                    <w:rPr>
                      <w:color w:val="auto"/>
                      <w:kern w:val="0"/>
                    </w:rPr>
                  </w:pPr>
                </w:p>
              </w:tc>
              <w:tc>
                <w:tcPr>
                  <w:tcW w:w="380" w:type="pct"/>
                  <w:vMerge w:val="continue"/>
                  <w:vAlign w:val="center"/>
                </w:tcPr>
                <w:p>
                  <w:pPr>
                    <w:topLinePunct/>
                    <w:adjustRightInd w:val="0"/>
                    <w:snapToGrid w:val="0"/>
                    <w:jc w:val="center"/>
                    <w:rPr>
                      <w:color w:val="auto"/>
                      <w:kern w:val="0"/>
                    </w:rPr>
                  </w:pPr>
                </w:p>
              </w:tc>
              <w:tc>
                <w:tcPr>
                  <w:tcW w:w="1125"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废棉纱、废手套、废机油桶</w:t>
                  </w:r>
                </w:p>
              </w:tc>
              <w:tc>
                <w:tcPr>
                  <w:tcW w:w="859"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HW08</w:t>
                  </w:r>
                </w:p>
              </w:tc>
              <w:tc>
                <w:tcPr>
                  <w:tcW w:w="1217" w:type="dxa"/>
                  <w:vAlign w:val="center"/>
                </w:tcPr>
                <w:p>
                  <w:pPr>
                    <w:pStyle w:val="77"/>
                    <w:widowControl/>
                    <w:snapToGrid/>
                    <w:spacing w:line="240" w:lineRule="auto"/>
                    <w:ind w:firstLine="0" w:firstLineChars="0"/>
                    <w:rPr>
                      <w:color w:val="auto"/>
                      <w:kern w:val="0"/>
                      <w:szCs w:val="21"/>
                    </w:rPr>
                  </w:pPr>
                  <w:r>
                    <w:rPr>
                      <w:rFonts w:hint="eastAsia"/>
                      <w:color w:val="auto"/>
                      <w:sz w:val="21"/>
                      <w:szCs w:val="21"/>
                    </w:rPr>
                    <w:t>900-249-08</w:t>
                  </w:r>
                </w:p>
              </w:tc>
              <w:tc>
                <w:tcPr>
                  <w:tcW w:w="457" w:type="pct"/>
                  <w:vMerge w:val="continue"/>
                  <w:vAlign w:val="center"/>
                </w:tcPr>
                <w:p>
                  <w:pPr>
                    <w:topLinePunct/>
                    <w:adjustRightInd w:val="0"/>
                    <w:snapToGrid w:val="0"/>
                    <w:jc w:val="center"/>
                    <w:rPr>
                      <w:color w:val="auto"/>
                      <w:kern w:val="0"/>
                    </w:rPr>
                  </w:pPr>
                </w:p>
              </w:tc>
              <w:tc>
                <w:tcPr>
                  <w:tcW w:w="412" w:type="pct"/>
                  <w:vMerge w:val="continue"/>
                  <w:vAlign w:val="center"/>
                </w:tcPr>
                <w:p>
                  <w:pPr>
                    <w:topLinePunct/>
                    <w:adjustRightInd w:val="0"/>
                    <w:snapToGrid w:val="0"/>
                    <w:jc w:val="center"/>
                    <w:rPr>
                      <w:color w:val="auto"/>
                      <w:kern w:val="0"/>
                    </w:rPr>
                  </w:pPr>
                </w:p>
              </w:tc>
              <w:tc>
                <w:tcPr>
                  <w:tcW w:w="361" w:type="pct"/>
                  <w:vAlign w:val="center"/>
                </w:tcPr>
                <w:p>
                  <w:pPr>
                    <w:topLinePunct/>
                    <w:adjustRightInd w:val="0"/>
                    <w:snapToGrid w:val="0"/>
                    <w:jc w:val="center"/>
                    <w:rPr>
                      <w:color w:val="auto"/>
                      <w:kern w:val="0"/>
                    </w:rPr>
                  </w:pPr>
                  <w:r>
                    <w:rPr>
                      <w:rFonts w:hint="eastAsia"/>
                      <w:color w:val="auto"/>
                      <w:kern w:val="0"/>
                    </w:rPr>
                    <w:t>桶装</w:t>
                  </w:r>
                </w:p>
              </w:tc>
              <w:tc>
                <w:tcPr>
                  <w:tcW w:w="593" w:type="pct"/>
                  <w:vAlign w:val="center"/>
                </w:tcPr>
                <w:p>
                  <w:pPr>
                    <w:topLinePunct/>
                    <w:adjustRightInd w:val="0"/>
                    <w:snapToGrid w:val="0"/>
                    <w:jc w:val="center"/>
                    <w:rPr>
                      <w:color w:val="auto"/>
                      <w:kern w:val="0"/>
                    </w:rPr>
                  </w:pPr>
                  <w:r>
                    <w:rPr>
                      <w:rFonts w:hint="eastAsia"/>
                      <w:color w:val="auto"/>
                      <w:kern w:val="0"/>
                    </w:rPr>
                    <w:t>0.5t</w:t>
                  </w:r>
                </w:p>
              </w:tc>
              <w:tc>
                <w:tcPr>
                  <w:tcW w:w="676" w:type="pct"/>
                  <w:vAlign w:val="center"/>
                </w:tcPr>
                <w:p>
                  <w:pPr>
                    <w:topLinePunct/>
                    <w:adjustRightInd w:val="0"/>
                    <w:snapToGrid w:val="0"/>
                    <w:jc w:val="center"/>
                    <w:rPr>
                      <w:color w:val="auto"/>
                      <w:kern w:val="0"/>
                    </w:rPr>
                  </w:pPr>
                  <w:r>
                    <w:rPr>
                      <w:rFonts w:hint="eastAsia"/>
                      <w:color w:val="auto"/>
                      <w:kern w:val="0"/>
                    </w:rPr>
                    <w:t>1a</w:t>
                  </w:r>
                </w:p>
              </w:tc>
            </w:tr>
          </w:tbl>
          <w:p>
            <w:pPr>
              <w:spacing w:line="480" w:lineRule="exact"/>
              <w:ind w:firstLine="480" w:firstLineChars="200"/>
              <w:rPr>
                <w:color w:val="auto"/>
                <w:sz w:val="24"/>
                <w:szCs w:val="24"/>
              </w:rPr>
            </w:pPr>
            <w:r>
              <w:rPr>
                <w:rFonts w:hint="eastAsia"/>
                <w:color w:val="auto"/>
                <w:sz w:val="24"/>
                <w:szCs w:val="24"/>
              </w:rPr>
              <w:t>B危险废物暂存间基础必须防渗，防渗层采用2mm厚高密度聚乙烯，或至少2mm厚的其它人工材料，渗透系数≤10</w:t>
            </w:r>
            <w:r>
              <w:rPr>
                <w:rFonts w:hint="eastAsia"/>
                <w:color w:val="auto"/>
                <w:sz w:val="24"/>
                <w:szCs w:val="24"/>
                <w:vertAlign w:val="superscript"/>
              </w:rPr>
              <w:t>-10</w:t>
            </w:r>
            <w:r>
              <w:rPr>
                <w:rFonts w:hint="eastAsia"/>
                <w:color w:val="auto"/>
                <w:sz w:val="24"/>
                <w:szCs w:val="24"/>
              </w:rPr>
              <w:t>cm/s。</w:t>
            </w:r>
          </w:p>
          <w:p>
            <w:pPr>
              <w:spacing w:line="480" w:lineRule="exact"/>
              <w:ind w:firstLine="480" w:firstLineChars="200"/>
              <w:rPr>
                <w:color w:val="auto"/>
                <w:sz w:val="24"/>
                <w:szCs w:val="24"/>
              </w:rPr>
            </w:pPr>
            <w:r>
              <w:rPr>
                <w:rFonts w:hint="eastAsia"/>
                <w:color w:val="auto"/>
                <w:sz w:val="24"/>
                <w:szCs w:val="24"/>
              </w:rPr>
              <w:t>C盛装危险废物的容器上必须粘贴符合《危险废物贮存污染控制标准》（GB18597-2001）附录A所示的标签，具体如下图。应当使用符合标准的容器盛装危险废物；装载危险废物的容器及材质要满足相应的强度要求，必须完好无损；容器材质与衬里要与危险废物相容；液体危险废物可注入开孔直径不超过70mm并有放气孔的桶中；</w:t>
            </w:r>
          </w:p>
          <w:p>
            <w:pPr>
              <w:jc w:val="center"/>
              <w:rPr>
                <w:color w:val="auto"/>
                <w:sz w:val="24"/>
                <w:szCs w:val="24"/>
              </w:rPr>
            </w:pPr>
            <w:r>
              <w:rPr>
                <w:rFonts w:hint="eastAsia"/>
                <w:color w:val="auto"/>
                <w:sz w:val="24"/>
                <w:szCs w:val="24"/>
              </w:rPr>
              <w:drawing>
                <wp:inline distT="0" distB="0" distL="0" distR="0">
                  <wp:extent cx="4329430" cy="2451735"/>
                  <wp:effectExtent l="0" t="0" r="13970" b="571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42">
                            <a:extLst>
                              <a:ext uri="{28A0092B-C50C-407E-A947-70E740481C1C}">
                                <a14:useLocalDpi xmlns:a14="http://schemas.microsoft.com/office/drawing/2010/main" val="0"/>
                              </a:ext>
                            </a:extLst>
                          </a:blip>
                          <a:srcRect r="1169" b="1653"/>
                          <a:stretch>
                            <a:fillRect/>
                          </a:stretch>
                        </pic:blipFill>
                        <pic:spPr>
                          <a:xfrm>
                            <a:off x="0" y="0"/>
                            <a:ext cx="4329430" cy="2451735"/>
                          </a:xfrm>
                          <a:prstGeom prst="rect">
                            <a:avLst/>
                          </a:prstGeom>
                          <a:noFill/>
                          <a:ln>
                            <a:noFill/>
                          </a:ln>
                        </pic:spPr>
                      </pic:pic>
                    </a:graphicData>
                  </a:graphic>
                </wp:inline>
              </w:drawing>
            </w:r>
          </w:p>
          <w:p>
            <w:pPr>
              <w:spacing w:line="480" w:lineRule="exact"/>
              <w:jc w:val="center"/>
              <w:rPr>
                <w:rFonts w:eastAsia="黑体"/>
                <w:color w:val="auto"/>
                <w:sz w:val="24"/>
                <w:szCs w:val="24"/>
              </w:rPr>
            </w:pPr>
            <w:r>
              <w:rPr>
                <w:rFonts w:hint="eastAsia" w:eastAsia="黑体"/>
                <w:color w:val="auto"/>
                <w:sz w:val="24"/>
                <w:szCs w:val="24"/>
              </w:rPr>
              <w:t>图4-3  危险废物容器标签</w:t>
            </w:r>
          </w:p>
          <w:p>
            <w:pPr>
              <w:spacing w:line="480" w:lineRule="exact"/>
              <w:jc w:val="center"/>
              <w:rPr>
                <w:rFonts w:eastAsia="黑体"/>
                <w:color w:val="auto"/>
                <w:sz w:val="24"/>
                <w:szCs w:val="24"/>
              </w:rPr>
            </w:pPr>
          </w:p>
          <w:p>
            <w:pPr>
              <w:spacing w:line="480" w:lineRule="exact"/>
              <w:jc w:val="center"/>
              <w:rPr>
                <w:rFonts w:eastAsia="黑体"/>
                <w:color w:val="auto"/>
                <w:sz w:val="24"/>
                <w:szCs w:val="24"/>
              </w:rPr>
            </w:pPr>
          </w:p>
          <w:p>
            <w:pPr>
              <w:spacing w:line="480" w:lineRule="exact"/>
              <w:jc w:val="center"/>
              <w:rPr>
                <w:rFonts w:eastAsia="黑体"/>
                <w:color w:val="auto"/>
                <w:sz w:val="24"/>
                <w:szCs w:val="24"/>
              </w:rPr>
            </w:pPr>
          </w:p>
          <w:p>
            <w:pPr>
              <w:spacing w:line="480" w:lineRule="exact"/>
              <w:jc w:val="center"/>
              <w:rPr>
                <w:rFonts w:eastAsia="黑体"/>
                <w:color w:val="auto"/>
                <w:sz w:val="24"/>
                <w:szCs w:val="24"/>
              </w:rPr>
            </w:pPr>
          </w:p>
          <w:p>
            <w:pPr>
              <w:spacing w:line="480" w:lineRule="exact"/>
              <w:jc w:val="center"/>
              <w:rPr>
                <w:rFonts w:eastAsia="黑体"/>
                <w:color w:val="auto"/>
                <w:sz w:val="24"/>
                <w:szCs w:val="24"/>
              </w:rPr>
            </w:pPr>
          </w:p>
          <w:p>
            <w:pPr>
              <w:spacing w:line="480" w:lineRule="exact"/>
              <w:jc w:val="center"/>
              <w:rPr>
                <w:rFonts w:eastAsia="黑体"/>
                <w:color w:val="auto"/>
                <w:sz w:val="24"/>
                <w:szCs w:val="24"/>
              </w:rPr>
            </w:pPr>
          </w:p>
          <w:p>
            <w:pPr>
              <w:jc w:val="center"/>
              <w:rPr>
                <w:color w:val="auto"/>
                <w:sz w:val="24"/>
                <w:szCs w:val="24"/>
              </w:rPr>
            </w:pPr>
            <w:r>
              <w:rPr>
                <w:rFonts w:hint="eastAsia"/>
                <w:color w:val="auto"/>
                <w:sz w:val="24"/>
                <w:szCs w:val="24"/>
              </w:rPr>
              <w:drawing>
                <wp:inline distT="0" distB="0" distL="0" distR="0">
                  <wp:extent cx="5002530" cy="1971675"/>
                  <wp:effectExtent l="0" t="0" r="7620"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02530" cy="1971675"/>
                          </a:xfrm>
                          <a:prstGeom prst="rect">
                            <a:avLst/>
                          </a:prstGeom>
                          <a:noFill/>
                          <a:ln>
                            <a:noFill/>
                          </a:ln>
                        </pic:spPr>
                      </pic:pic>
                    </a:graphicData>
                  </a:graphic>
                </wp:inline>
              </w:drawing>
            </w:r>
          </w:p>
          <w:p>
            <w:pPr>
              <w:spacing w:line="480" w:lineRule="exact"/>
              <w:jc w:val="center"/>
              <w:rPr>
                <w:rFonts w:eastAsia="黑体"/>
                <w:color w:val="auto"/>
                <w:sz w:val="24"/>
                <w:szCs w:val="24"/>
              </w:rPr>
            </w:pPr>
            <w:r>
              <w:rPr>
                <w:rFonts w:hint="eastAsia" w:eastAsia="黑体"/>
                <w:color w:val="auto"/>
                <w:sz w:val="24"/>
                <w:szCs w:val="24"/>
              </w:rPr>
              <w:t>图4-4  警示标志及要求</w:t>
            </w:r>
          </w:p>
          <w:p>
            <w:pPr>
              <w:spacing w:line="480" w:lineRule="exact"/>
              <w:ind w:firstLine="480" w:firstLineChars="200"/>
              <w:rPr>
                <w:color w:val="auto"/>
                <w:sz w:val="24"/>
                <w:szCs w:val="24"/>
              </w:rPr>
            </w:pPr>
            <w:r>
              <w:rPr>
                <w:rFonts w:hint="eastAsia"/>
                <w:color w:val="auto"/>
                <w:sz w:val="24"/>
                <w:szCs w:val="24"/>
              </w:rPr>
              <w:t>D危险废物暂存库房不得接收未粘贴上述规定的标签或标签填写不规范的危险废物；</w:t>
            </w:r>
          </w:p>
          <w:p>
            <w:pPr>
              <w:spacing w:line="480" w:lineRule="exact"/>
              <w:ind w:firstLine="480" w:firstLineChars="200"/>
              <w:rPr>
                <w:color w:val="auto"/>
                <w:sz w:val="24"/>
                <w:szCs w:val="24"/>
              </w:rPr>
            </w:pPr>
            <w:r>
              <w:rPr>
                <w:rFonts w:hint="eastAsia"/>
                <w:color w:val="auto"/>
                <w:sz w:val="24"/>
                <w:szCs w:val="24"/>
              </w:rPr>
              <w:t>E必须作好危险废物记录，记录上须注明危险废物的名称、来源、数量、特性和包装容器的类别、入库日期、存放库位、废物出库日期及接收单位名称；危险废物的记录和货单在危险废物回取后应继续保留五年；所有危险废物在厂内暂存不得超过一年。</w:t>
            </w:r>
          </w:p>
          <w:p>
            <w:pPr>
              <w:spacing w:line="480" w:lineRule="exact"/>
              <w:ind w:firstLine="480" w:firstLineChars="200"/>
              <w:rPr>
                <w:color w:val="auto"/>
                <w:sz w:val="24"/>
                <w:szCs w:val="24"/>
              </w:rPr>
            </w:pPr>
            <w:r>
              <w:rPr>
                <w:rFonts w:hint="eastAsia"/>
                <w:color w:val="auto"/>
                <w:sz w:val="24"/>
                <w:szCs w:val="24"/>
              </w:rPr>
              <w:t>F必须定期对所贮存的危险废物包装容器及贮存设施进行检查，发现破损，应及时采取措施清理更换；</w:t>
            </w:r>
          </w:p>
          <w:p>
            <w:pPr>
              <w:spacing w:line="480" w:lineRule="exact"/>
              <w:ind w:firstLine="480" w:firstLineChars="200"/>
              <w:rPr>
                <w:color w:val="auto"/>
                <w:sz w:val="24"/>
                <w:szCs w:val="24"/>
              </w:rPr>
            </w:pPr>
            <w:r>
              <w:rPr>
                <w:rFonts w:hint="eastAsia"/>
                <w:color w:val="auto"/>
                <w:sz w:val="24"/>
                <w:szCs w:val="24"/>
              </w:rPr>
              <w:t xml:space="preserve">G危险废物贮存库房设置灭火器等防火设备，做好火灾的预防工作。 </w:t>
            </w:r>
          </w:p>
          <w:p>
            <w:pPr>
              <w:spacing w:line="480" w:lineRule="exact"/>
              <w:ind w:firstLine="482" w:firstLineChars="200"/>
              <w:rPr>
                <w:b/>
                <w:bCs/>
                <w:color w:val="auto"/>
                <w:sz w:val="24"/>
                <w:szCs w:val="24"/>
              </w:rPr>
            </w:pPr>
            <w:r>
              <w:rPr>
                <w:rFonts w:hint="eastAsia"/>
                <w:b/>
                <w:bCs/>
                <w:color w:val="auto"/>
                <w:sz w:val="24"/>
                <w:szCs w:val="24"/>
              </w:rPr>
              <w:fldChar w:fldCharType="begin"/>
            </w:r>
            <w:r>
              <w:rPr>
                <w:rFonts w:hint="eastAsia"/>
                <w:b/>
                <w:bCs/>
                <w:color w:val="auto"/>
                <w:sz w:val="24"/>
                <w:szCs w:val="24"/>
              </w:rPr>
              <w:instrText xml:space="preserve"> = 2 \* GB3 </w:instrText>
            </w:r>
            <w:r>
              <w:rPr>
                <w:rFonts w:hint="eastAsia"/>
                <w:b/>
                <w:bCs/>
                <w:color w:val="auto"/>
                <w:sz w:val="24"/>
                <w:szCs w:val="24"/>
              </w:rPr>
              <w:fldChar w:fldCharType="separate"/>
            </w:r>
            <w:r>
              <w:rPr>
                <w:rFonts w:hint="eastAsia"/>
                <w:b/>
                <w:bCs/>
                <w:color w:val="auto"/>
                <w:sz w:val="24"/>
                <w:szCs w:val="24"/>
                <w:lang w:val="zh-CN"/>
              </w:rPr>
              <w:t>②</w:t>
            </w:r>
            <w:r>
              <w:rPr>
                <w:rFonts w:hint="eastAsia"/>
                <w:b/>
                <w:bCs/>
                <w:color w:val="auto"/>
                <w:sz w:val="24"/>
                <w:szCs w:val="24"/>
              </w:rPr>
              <w:fldChar w:fldCharType="end"/>
            </w:r>
            <w:r>
              <w:rPr>
                <w:rFonts w:hint="eastAsia"/>
                <w:b/>
                <w:bCs/>
                <w:color w:val="auto"/>
                <w:sz w:val="24"/>
                <w:szCs w:val="24"/>
              </w:rPr>
              <w:t>转移要求：</w:t>
            </w:r>
          </w:p>
          <w:p>
            <w:pPr>
              <w:spacing w:line="480" w:lineRule="exact"/>
              <w:ind w:firstLine="480" w:firstLineChars="200"/>
              <w:rPr>
                <w:color w:val="auto"/>
                <w:sz w:val="24"/>
                <w:szCs w:val="24"/>
              </w:rPr>
            </w:pPr>
            <w:r>
              <w:rPr>
                <w:rFonts w:hint="eastAsia"/>
                <w:color w:val="auto"/>
                <w:sz w:val="24"/>
                <w:szCs w:val="24"/>
              </w:rPr>
              <w:t xml:space="preserve">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spacing w:line="480" w:lineRule="exact"/>
              <w:ind w:firstLine="480" w:firstLineChars="200"/>
              <w:rPr>
                <w:color w:val="auto"/>
                <w:sz w:val="24"/>
                <w:szCs w:val="24"/>
              </w:rPr>
            </w:pPr>
            <w:r>
              <w:rPr>
                <w:rFonts w:hint="eastAsia"/>
                <w:color w:val="auto"/>
                <w:sz w:val="24"/>
                <w:szCs w:val="24"/>
              </w:rPr>
              <w:t>B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480" w:lineRule="exact"/>
              <w:ind w:firstLine="480" w:firstLineChars="200"/>
              <w:rPr>
                <w:color w:val="auto"/>
                <w:sz w:val="24"/>
                <w:szCs w:val="24"/>
              </w:rPr>
            </w:pPr>
            <w:r>
              <w:rPr>
                <w:rFonts w:hint="eastAsia"/>
                <w:color w:val="auto"/>
                <w:sz w:val="24"/>
                <w:szCs w:val="24"/>
              </w:rPr>
              <w:t>C联单保存期限为五年；贮存危险废物的，其联单保存期限与危险废物贮存期限相同。</w:t>
            </w:r>
          </w:p>
          <w:p>
            <w:pPr>
              <w:spacing w:line="480" w:lineRule="exact"/>
              <w:ind w:firstLine="482" w:firstLineChars="200"/>
              <w:rPr>
                <w:b/>
                <w:bCs/>
                <w:color w:val="auto"/>
                <w:sz w:val="24"/>
                <w:szCs w:val="24"/>
              </w:rPr>
            </w:pPr>
            <w:r>
              <w:rPr>
                <w:rFonts w:hint="eastAsia"/>
                <w:b/>
                <w:bCs/>
                <w:color w:val="auto"/>
                <w:sz w:val="24"/>
                <w:szCs w:val="24"/>
              </w:rPr>
              <w:t>③处置要求：</w:t>
            </w:r>
          </w:p>
          <w:p>
            <w:pPr>
              <w:spacing w:line="480" w:lineRule="exact"/>
              <w:ind w:firstLine="480" w:firstLineChars="200"/>
              <w:rPr>
                <w:color w:val="auto"/>
                <w:sz w:val="24"/>
                <w:szCs w:val="24"/>
              </w:rPr>
            </w:pPr>
            <w:r>
              <w:rPr>
                <w:rFonts w:hint="eastAsia"/>
                <w:color w:val="auto"/>
                <w:sz w:val="24"/>
                <w:szCs w:val="24"/>
              </w:rPr>
              <w:t>建设单位拟委托有资质单位对项目运行期间产生的危险废物进行处置。</w:t>
            </w:r>
          </w:p>
          <w:p>
            <w:pPr>
              <w:adjustRightInd w:val="0"/>
              <w:snapToGrid w:val="0"/>
              <w:spacing w:line="480" w:lineRule="exact"/>
              <w:ind w:firstLine="482" w:firstLineChars="200"/>
              <w:rPr>
                <w:color w:val="auto"/>
                <w:sz w:val="24"/>
              </w:rPr>
            </w:pPr>
            <w:r>
              <w:rPr>
                <w:rFonts w:hint="eastAsia"/>
                <w:b/>
                <w:bCs/>
                <w:color w:val="auto"/>
                <w:sz w:val="24"/>
              </w:rPr>
              <w:t>4、运营期</w:t>
            </w:r>
            <w:r>
              <w:rPr>
                <w:rFonts w:hint="eastAsia"/>
                <w:b/>
                <w:color w:val="auto"/>
                <w:sz w:val="24"/>
              </w:rPr>
              <w:t>噪声源及污染防治措施</w:t>
            </w:r>
          </w:p>
          <w:p>
            <w:pPr>
              <w:adjustRightInd w:val="0"/>
              <w:snapToGrid w:val="0"/>
              <w:spacing w:line="480" w:lineRule="exact"/>
              <w:ind w:firstLine="482" w:firstLineChars="200"/>
              <w:rPr>
                <w:bCs/>
                <w:color w:val="auto"/>
                <w:sz w:val="24"/>
              </w:rPr>
            </w:pPr>
            <w:r>
              <w:rPr>
                <w:rFonts w:hint="eastAsia"/>
                <w:b/>
                <w:color w:val="auto"/>
                <w:sz w:val="24"/>
              </w:rPr>
              <w:t>（1）噪声源及污染防治措施</w:t>
            </w:r>
          </w:p>
          <w:p>
            <w:pPr>
              <w:adjustRightInd w:val="0"/>
              <w:snapToGrid w:val="0"/>
              <w:spacing w:line="480" w:lineRule="exact"/>
              <w:ind w:firstLine="480" w:firstLineChars="200"/>
              <w:rPr>
                <w:bCs/>
                <w:color w:val="auto"/>
                <w:sz w:val="24"/>
              </w:rPr>
            </w:pPr>
            <w:r>
              <w:rPr>
                <w:rFonts w:hint="eastAsia"/>
                <w:bCs/>
                <w:color w:val="auto"/>
                <w:sz w:val="24"/>
              </w:rPr>
              <w:t>本项目主要噪声源为装载机及运输车辆</w:t>
            </w:r>
            <w:r>
              <w:rPr>
                <w:rFonts w:hint="eastAsia"/>
                <w:bCs/>
                <w:color w:val="auto"/>
                <w:sz w:val="24"/>
                <w:lang w:eastAsia="zh-CN"/>
              </w:rPr>
              <w:t>、</w:t>
            </w:r>
            <w:r>
              <w:rPr>
                <w:rFonts w:hint="eastAsia"/>
                <w:bCs/>
                <w:color w:val="auto"/>
                <w:sz w:val="24"/>
              </w:rPr>
              <w:t>泵类等设备运行噪声，这些噪声源强为70～95dB(A)。</w:t>
            </w:r>
          </w:p>
          <w:p>
            <w:pPr>
              <w:adjustRightInd w:val="0"/>
              <w:snapToGrid w:val="0"/>
              <w:spacing w:line="480" w:lineRule="exact"/>
              <w:ind w:firstLine="480" w:firstLineChars="200"/>
              <w:rPr>
                <w:bCs/>
                <w:color w:val="auto"/>
                <w:sz w:val="24"/>
              </w:rPr>
            </w:pPr>
            <w:r>
              <w:rPr>
                <w:rFonts w:hint="eastAsia"/>
                <w:color w:val="auto"/>
                <w:sz w:val="24"/>
                <w:lang w:bidi="ar"/>
              </w:rPr>
              <w:t>营运期主要噪声源位置及源强见下表。</w:t>
            </w:r>
          </w:p>
          <w:p>
            <w:pPr>
              <w:pStyle w:val="16"/>
              <w:widowControl w:val="0"/>
              <w:spacing w:before="0" w:beforeAutospacing="0" w:after="0" w:afterAutospacing="0" w:line="480" w:lineRule="exact"/>
              <w:jc w:val="center"/>
              <w:rPr>
                <w:rFonts w:ascii="黑体" w:hAnsi="黑体" w:eastAsia="黑体"/>
                <w:bCs/>
                <w:color w:val="auto"/>
                <w:kern w:val="2"/>
                <w:lang w:bidi="ar"/>
              </w:rPr>
            </w:pPr>
            <w:r>
              <w:rPr>
                <w:rFonts w:hint="eastAsia" w:ascii="黑体" w:hAnsi="黑体" w:eastAsia="黑体"/>
                <w:bCs/>
                <w:color w:val="auto"/>
                <w:kern w:val="2"/>
                <w:lang w:bidi="ar"/>
              </w:rPr>
              <w:t>表4-10  营运期主要噪声源及源强</w:t>
            </w:r>
          </w:p>
          <w:tbl>
            <w:tblPr>
              <w:tblStyle w:val="20"/>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323"/>
              <w:gridCol w:w="734"/>
              <w:gridCol w:w="1921"/>
              <w:gridCol w:w="1921"/>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9" w:type="pct"/>
                  <w:vAlign w:val="center"/>
                </w:tcPr>
                <w:p>
                  <w:pPr>
                    <w:spacing w:line="320" w:lineRule="exact"/>
                    <w:ind w:left="-105" w:leftChars="-50" w:right="-105" w:rightChars="-50"/>
                    <w:jc w:val="center"/>
                    <w:rPr>
                      <w:color w:val="auto"/>
                    </w:rPr>
                  </w:pPr>
                  <w:r>
                    <w:rPr>
                      <w:rFonts w:hint="eastAsia"/>
                      <w:color w:val="auto"/>
                    </w:rPr>
                    <w:t>序号</w:t>
                  </w:r>
                </w:p>
              </w:tc>
              <w:tc>
                <w:tcPr>
                  <w:tcW w:w="782" w:type="pct"/>
                  <w:vAlign w:val="center"/>
                </w:tcPr>
                <w:p>
                  <w:pPr>
                    <w:spacing w:line="320" w:lineRule="exact"/>
                    <w:jc w:val="center"/>
                    <w:rPr>
                      <w:color w:val="auto"/>
                    </w:rPr>
                  </w:pPr>
                  <w:r>
                    <w:rPr>
                      <w:rFonts w:hint="eastAsia"/>
                      <w:color w:val="auto"/>
                    </w:rPr>
                    <w:t>噪声源</w:t>
                  </w:r>
                </w:p>
              </w:tc>
              <w:tc>
                <w:tcPr>
                  <w:tcW w:w="434" w:type="pct"/>
                  <w:vAlign w:val="center"/>
                </w:tcPr>
                <w:p>
                  <w:pPr>
                    <w:spacing w:line="320" w:lineRule="exact"/>
                    <w:jc w:val="center"/>
                    <w:rPr>
                      <w:color w:val="auto"/>
                    </w:rPr>
                  </w:pPr>
                  <w:r>
                    <w:rPr>
                      <w:rFonts w:hint="eastAsia"/>
                      <w:color w:val="auto"/>
                    </w:rPr>
                    <w:t>数量</w:t>
                  </w:r>
                </w:p>
              </w:tc>
              <w:tc>
                <w:tcPr>
                  <w:tcW w:w="1136" w:type="pct"/>
                  <w:vAlign w:val="center"/>
                </w:tcPr>
                <w:p>
                  <w:pPr>
                    <w:spacing w:line="320" w:lineRule="exact"/>
                    <w:jc w:val="center"/>
                    <w:rPr>
                      <w:color w:val="auto"/>
                    </w:rPr>
                  </w:pPr>
                  <w:r>
                    <w:rPr>
                      <w:rFonts w:hint="eastAsia"/>
                      <w:color w:val="auto"/>
                    </w:rPr>
                    <w:t>噪声值dB(A)</w:t>
                  </w:r>
                </w:p>
              </w:tc>
              <w:tc>
                <w:tcPr>
                  <w:tcW w:w="1136" w:type="pct"/>
                  <w:vAlign w:val="center"/>
                </w:tcPr>
                <w:p>
                  <w:pPr>
                    <w:spacing w:line="320" w:lineRule="exact"/>
                    <w:jc w:val="center"/>
                    <w:rPr>
                      <w:color w:val="auto"/>
                    </w:rPr>
                  </w:pPr>
                  <w:r>
                    <w:rPr>
                      <w:rFonts w:hint="eastAsia"/>
                      <w:color w:val="auto"/>
                    </w:rPr>
                    <w:t>措施</w:t>
                  </w:r>
                </w:p>
              </w:tc>
              <w:tc>
                <w:tcPr>
                  <w:tcW w:w="1171" w:type="pct"/>
                  <w:vAlign w:val="center"/>
                </w:tcPr>
                <w:p>
                  <w:pPr>
                    <w:spacing w:line="320" w:lineRule="exact"/>
                    <w:jc w:val="center"/>
                    <w:rPr>
                      <w:color w:val="auto"/>
                    </w:rPr>
                  </w:pPr>
                  <w:r>
                    <w:rPr>
                      <w:rFonts w:hint="eastAsia"/>
                      <w:color w:val="auto"/>
                    </w:rPr>
                    <w:t>采取措施后噪声值dB(A)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39" w:type="pct"/>
                  <w:vAlign w:val="center"/>
                </w:tcPr>
                <w:p>
                  <w:pPr>
                    <w:pStyle w:val="6"/>
                    <w:spacing w:line="320" w:lineRule="exact"/>
                    <w:ind w:firstLine="0"/>
                    <w:jc w:val="center"/>
                    <w:rPr>
                      <w:color w:val="auto"/>
                      <w:sz w:val="21"/>
                      <w:szCs w:val="16"/>
                    </w:rPr>
                  </w:pPr>
                  <w:r>
                    <w:rPr>
                      <w:rFonts w:hint="eastAsia"/>
                      <w:color w:val="auto"/>
                      <w:sz w:val="21"/>
                      <w:szCs w:val="16"/>
                    </w:rPr>
                    <w:t>1</w:t>
                  </w:r>
                </w:p>
              </w:tc>
              <w:tc>
                <w:tcPr>
                  <w:tcW w:w="782" w:type="pct"/>
                </w:tcPr>
                <w:p>
                  <w:pPr>
                    <w:spacing w:line="320" w:lineRule="exact"/>
                    <w:jc w:val="center"/>
                    <w:rPr>
                      <w:color w:val="auto"/>
                    </w:rPr>
                  </w:pPr>
                  <w:r>
                    <w:rPr>
                      <w:rFonts w:hint="eastAsia"/>
                      <w:color w:val="auto"/>
                    </w:rPr>
                    <w:t>装载机</w:t>
                  </w:r>
                </w:p>
              </w:tc>
              <w:tc>
                <w:tcPr>
                  <w:tcW w:w="434" w:type="pct"/>
                  <w:vAlign w:val="center"/>
                </w:tcPr>
                <w:p>
                  <w:pPr>
                    <w:snapToGrid w:val="0"/>
                    <w:spacing w:line="320" w:lineRule="exact"/>
                    <w:jc w:val="center"/>
                    <w:rPr>
                      <w:color w:val="auto"/>
                    </w:rPr>
                  </w:pPr>
                  <w:r>
                    <w:rPr>
                      <w:rFonts w:hint="eastAsia"/>
                      <w:color w:val="auto"/>
                    </w:rPr>
                    <w:t>16辆</w:t>
                  </w:r>
                </w:p>
              </w:tc>
              <w:tc>
                <w:tcPr>
                  <w:tcW w:w="1136" w:type="pct"/>
                </w:tcPr>
                <w:p>
                  <w:pPr>
                    <w:snapToGrid w:val="0"/>
                    <w:spacing w:line="320" w:lineRule="exact"/>
                    <w:jc w:val="center"/>
                    <w:rPr>
                      <w:color w:val="auto"/>
                    </w:rPr>
                  </w:pPr>
                  <w:r>
                    <w:rPr>
                      <w:rFonts w:hint="eastAsia"/>
                      <w:color w:val="auto"/>
                    </w:rPr>
                    <w:t>95</w:t>
                  </w:r>
                </w:p>
              </w:tc>
              <w:tc>
                <w:tcPr>
                  <w:tcW w:w="1136" w:type="pct"/>
                  <w:vMerge w:val="restart"/>
                  <w:vAlign w:val="center"/>
                </w:tcPr>
                <w:p>
                  <w:pPr>
                    <w:snapToGrid w:val="0"/>
                    <w:spacing w:line="320" w:lineRule="exact"/>
                    <w:jc w:val="center"/>
                    <w:rPr>
                      <w:color w:val="auto"/>
                    </w:rPr>
                  </w:pPr>
                  <w:r>
                    <w:rPr>
                      <w:rFonts w:hint="eastAsia"/>
                      <w:color w:val="auto"/>
                    </w:rPr>
                    <w:t>对设备加装减震垫，加强厂房的隔声强度</w:t>
                  </w:r>
                </w:p>
              </w:tc>
              <w:tc>
                <w:tcPr>
                  <w:tcW w:w="1171" w:type="pct"/>
                  <w:vAlign w:val="center"/>
                </w:tcPr>
                <w:p>
                  <w:pPr>
                    <w:snapToGrid w:val="0"/>
                    <w:spacing w:line="320" w:lineRule="exact"/>
                    <w:jc w:val="center"/>
                    <w:rPr>
                      <w:color w:val="auto"/>
                    </w:rPr>
                  </w:pPr>
                  <w:r>
                    <w:rPr>
                      <w:rFonts w:hint="eastAsia"/>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Align w:val="center"/>
                </w:tcPr>
                <w:p>
                  <w:pPr>
                    <w:pStyle w:val="6"/>
                    <w:spacing w:line="320" w:lineRule="exact"/>
                    <w:ind w:firstLine="0"/>
                    <w:jc w:val="center"/>
                    <w:rPr>
                      <w:color w:val="auto"/>
                      <w:sz w:val="21"/>
                      <w:szCs w:val="16"/>
                    </w:rPr>
                  </w:pPr>
                  <w:r>
                    <w:rPr>
                      <w:rFonts w:hint="eastAsia"/>
                      <w:color w:val="auto"/>
                      <w:sz w:val="21"/>
                      <w:szCs w:val="16"/>
                    </w:rPr>
                    <w:t>2</w:t>
                  </w:r>
                </w:p>
              </w:tc>
              <w:tc>
                <w:tcPr>
                  <w:tcW w:w="782" w:type="pct"/>
                  <w:vAlign w:val="center"/>
                </w:tcPr>
                <w:p>
                  <w:pPr>
                    <w:spacing w:line="320" w:lineRule="exact"/>
                    <w:jc w:val="center"/>
                    <w:rPr>
                      <w:color w:val="auto"/>
                    </w:rPr>
                  </w:pPr>
                  <w:r>
                    <w:rPr>
                      <w:rFonts w:hint="eastAsia"/>
                      <w:color w:val="auto"/>
                    </w:rPr>
                    <w:t>运输车辆</w:t>
                  </w:r>
                </w:p>
              </w:tc>
              <w:tc>
                <w:tcPr>
                  <w:tcW w:w="434" w:type="pct"/>
                  <w:vAlign w:val="center"/>
                </w:tcPr>
                <w:p>
                  <w:pPr>
                    <w:snapToGrid w:val="0"/>
                    <w:spacing w:line="320" w:lineRule="exact"/>
                    <w:jc w:val="center"/>
                    <w:rPr>
                      <w:color w:val="auto"/>
                    </w:rPr>
                  </w:pPr>
                  <w:r>
                    <w:rPr>
                      <w:rFonts w:hint="eastAsia"/>
                      <w:color w:val="auto"/>
                    </w:rPr>
                    <w:t>若干</w:t>
                  </w:r>
                </w:p>
              </w:tc>
              <w:tc>
                <w:tcPr>
                  <w:tcW w:w="1136" w:type="pct"/>
                </w:tcPr>
                <w:p>
                  <w:pPr>
                    <w:snapToGrid w:val="0"/>
                    <w:spacing w:line="320" w:lineRule="exact"/>
                    <w:jc w:val="center"/>
                    <w:rPr>
                      <w:color w:val="auto"/>
                    </w:rPr>
                  </w:pPr>
                  <w:r>
                    <w:rPr>
                      <w:rFonts w:hint="eastAsia"/>
                      <w:color w:val="auto"/>
                    </w:rPr>
                    <w:t>90</w:t>
                  </w:r>
                </w:p>
              </w:tc>
              <w:tc>
                <w:tcPr>
                  <w:tcW w:w="1136" w:type="pct"/>
                  <w:vMerge w:val="continue"/>
                  <w:vAlign w:val="center"/>
                </w:tcPr>
                <w:p>
                  <w:pPr>
                    <w:snapToGrid w:val="0"/>
                    <w:spacing w:line="320" w:lineRule="exact"/>
                    <w:jc w:val="center"/>
                    <w:rPr>
                      <w:color w:val="auto"/>
                    </w:rPr>
                  </w:pPr>
                </w:p>
              </w:tc>
              <w:tc>
                <w:tcPr>
                  <w:tcW w:w="1171" w:type="pct"/>
                  <w:vAlign w:val="center"/>
                </w:tcPr>
                <w:p>
                  <w:pPr>
                    <w:snapToGrid w:val="0"/>
                    <w:spacing w:line="320" w:lineRule="exact"/>
                    <w:jc w:val="center"/>
                    <w:rPr>
                      <w:color w:val="auto"/>
                    </w:rPr>
                  </w:pPr>
                  <w:r>
                    <w:rPr>
                      <w:rFonts w:hint="eastAsia"/>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Align w:val="center"/>
                </w:tcPr>
                <w:p>
                  <w:pPr>
                    <w:pStyle w:val="6"/>
                    <w:spacing w:line="320" w:lineRule="exact"/>
                    <w:ind w:firstLine="0"/>
                    <w:jc w:val="center"/>
                    <w:rPr>
                      <w:color w:val="auto"/>
                      <w:sz w:val="21"/>
                      <w:szCs w:val="16"/>
                    </w:rPr>
                  </w:pPr>
                  <w:r>
                    <w:rPr>
                      <w:rFonts w:hint="eastAsia"/>
                      <w:color w:val="auto"/>
                      <w:sz w:val="21"/>
                      <w:szCs w:val="16"/>
                    </w:rPr>
                    <w:t>3</w:t>
                  </w:r>
                </w:p>
              </w:tc>
              <w:tc>
                <w:tcPr>
                  <w:tcW w:w="782" w:type="pct"/>
                  <w:vAlign w:val="center"/>
                </w:tcPr>
                <w:p>
                  <w:pPr>
                    <w:spacing w:line="320" w:lineRule="exact"/>
                    <w:jc w:val="center"/>
                    <w:rPr>
                      <w:color w:val="auto"/>
                    </w:rPr>
                  </w:pPr>
                  <w:r>
                    <w:rPr>
                      <w:rFonts w:hint="eastAsia"/>
                      <w:color w:val="auto"/>
                    </w:rPr>
                    <w:t>水泵</w:t>
                  </w:r>
                </w:p>
              </w:tc>
              <w:tc>
                <w:tcPr>
                  <w:tcW w:w="434" w:type="pct"/>
                  <w:vAlign w:val="center"/>
                </w:tcPr>
                <w:p>
                  <w:pPr>
                    <w:snapToGrid w:val="0"/>
                    <w:spacing w:line="320" w:lineRule="exact"/>
                    <w:jc w:val="center"/>
                    <w:rPr>
                      <w:color w:val="auto"/>
                    </w:rPr>
                  </w:pPr>
                  <w:r>
                    <w:rPr>
                      <w:rFonts w:hint="eastAsia"/>
                      <w:color w:val="auto"/>
                    </w:rPr>
                    <w:t>10台</w:t>
                  </w:r>
                </w:p>
              </w:tc>
              <w:tc>
                <w:tcPr>
                  <w:tcW w:w="1136" w:type="pct"/>
                </w:tcPr>
                <w:p>
                  <w:pPr>
                    <w:snapToGrid w:val="0"/>
                    <w:spacing w:line="320" w:lineRule="exact"/>
                    <w:jc w:val="center"/>
                    <w:rPr>
                      <w:color w:val="auto"/>
                    </w:rPr>
                  </w:pPr>
                  <w:r>
                    <w:rPr>
                      <w:rFonts w:hint="eastAsia"/>
                      <w:color w:val="auto"/>
                    </w:rPr>
                    <w:t>70</w:t>
                  </w:r>
                </w:p>
              </w:tc>
              <w:tc>
                <w:tcPr>
                  <w:tcW w:w="1136" w:type="pct"/>
                  <w:vMerge w:val="continue"/>
                  <w:vAlign w:val="center"/>
                </w:tcPr>
                <w:p>
                  <w:pPr>
                    <w:snapToGrid w:val="0"/>
                    <w:spacing w:line="320" w:lineRule="exact"/>
                    <w:jc w:val="center"/>
                    <w:rPr>
                      <w:color w:val="auto"/>
                    </w:rPr>
                  </w:pPr>
                </w:p>
              </w:tc>
              <w:tc>
                <w:tcPr>
                  <w:tcW w:w="1171" w:type="pct"/>
                  <w:vAlign w:val="center"/>
                </w:tcPr>
                <w:p>
                  <w:pPr>
                    <w:snapToGrid w:val="0"/>
                    <w:spacing w:line="320" w:lineRule="exact"/>
                    <w:jc w:val="center"/>
                    <w:rPr>
                      <w:color w:val="auto"/>
                    </w:rPr>
                  </w:pPr>
                  <w:r>
                    <w:rPr>
                      <w:rFonts w:hint="eastAsia"/>
                      <w:color w:val="auto"/>
                    </w:rPr>
                    <w:t>60</w:t>
                  </w:r>
                </w:p>
              </w:tc>
            </w:tr>
          </w:tbl>
          <w:p>
            <w:pPr>
              <w:pStyle w:val="6"/>
              <w:spacing w:line="480" w:lineRule="exact"/>
              <w:ind w:firstLine="480" w:firstLineChars="200"/>
              <w:rPr>
                <w:color w:val="auto"/>
                <w:sz w:val="24"/>
                <w:szCs w:val="24"/>
              </w:rPr>
            </w:pPr>
            <w:r>
              <w:rPr>
                <w:rFonts w:hint="eastAsia" w:ascii="宋体" w:hAnsi="宋体"/>
                <w:color w:val="auto"/>
                <w:sz w:val="24"/>
                <w:szCs w:val="24"/>
              </w:rPr>
              <w:t>为降低噪声对周围环境的影响，防止噪声影响职工及周围居民正常的生产、生活。针对本工程生产的特点，本次评价提出噪声的防治措施包括以下几方面：</w:t>
            </w:r>
          </w:p>
          <w:p>
            <w:pPr>
              <w:pStyle w:val="6"/>
              <w:spacing w:line="480" w:lineRule="exact"/>
              <w:ind w:firstLine="480" w:firstLineChars="200"/>
              <w:rPr>
                <w:rFonts w:ascii="宋体" w:hAnsi="宋体"/>
                <w:color w:val="auto"/>
                <w:sz w:val="24"/>
                <w:szCs w:val="24"/>
              </w:rPr>
            </w:pPr>
            <w:r>
              <w:rPr>
                <w:rFonts w:hint="eastAsia" w:ascii="宋体" w:hAnsi="宋体"/>
                <w:color w:val="auto"/>
                <w:sz w:val="24"/>
                <w:szCs w:val="24"/>
              </w:rPr>
              <w:t>①从源头上控制噪声产生的级别，设计时应尽可能选择辐射较小、振动小的低噪声设备；同时产噪设备尽量设置于生产车间内，利用车间隔声；以及优化生产布局，使高噪声设备远离噪声敏感点。</w:t>
            </w:r>
          </w:p>
          <w:p>
            <w:pPr>
              <w:pStyle w:val="6"/>
              <w:spacing w:line="480" w:lineRule="exact"/>
              <w:ind w:firstLine="480" w:firstLineChars="200"/>
              <w:rPr>
                <w:rFonts w:ascii="宋体" w:hAnsi="宋体"/>
                <w:color w:val="auto"/>
                <w:sz w:val="24"/>
                <w:szCs w:val="24"/>
              </w:rPr>
            </w:pPr>
            <w:r>
              <w:rPr>
                <w:rFonts w:hint="eastAsia" w:ascii="宋体" w:hAnsi="宋体"/>
                <w:color w:val="auto"/>
                <w:sz w:val="24"/>
                <w:szCs w:val="24"/>
              </w:rPr>
              <w:t>②本工程生产装置中含有泵类等产噪设备，对循环水泵要采用柔性接头和基础减振等措施，安装减振基座、弹簧减振器等。设备应采用橡胶材料等软性连接，避免用钢性接头；</w:t>
            </w:r>
          </w:p>
          <w:p>
            <w:pPr>
              <w:pStyle w:val="6"/>
              <w:spacing w:line="480" w:lineRule="exact"/>
              <w:ind w:firstLine="480" w:firstLineChars="200"/>
              <w:rPr>
                <w:rFonts w:ascii="宋体" w:hAnsi="宋体"/>
                <w:color w:val="auto"/>
                <w:sz w:val="24"/>
                <w:szCs w:val="24"/>
              </w:rPr>
            </w:pPr>
            <w:r>
              <w:rPr>
                <w:rFonts w:hint="eastAsia" w:ascii="宋体" w:hAnsi="宋体"/>
                <w:color w:val="auto"/>
                <w:sz w:val="24"/>
                <w:szCs w:val="24"/>
              </w:rPr>
              <w:t>③对运输车辆采取减速行驶、禁止鸣笛，加强管理等措施；</w:t>
            </w:r>
          </w:p>
          <w:p>
            <w:pPr>
              <w:pStyle w:val="6"/>
              <w:spacing w:line="480" w:lineRule="exact"/>
              <w:ind w:firstLine="480" w:firstLineChars="200"/>
              <w:rPr>
                <w:rFonts w:ascii="宋体" w:hAnsi="宋体"/>
                <w:color w:val="auto"/>
                <w:sz w:val="24"/>
                <w:szCs w:val="24"/>
              </w:rPr>
            </w:pPr>
            <w:r>
              <w:rPr>
                <w:rFonts w:hint="eastAsia" w:ascii="宋体" w:hAnsi="宋体" w:cs="宋体"/>
                <w:color w:val="auto"/>
                <w:sz w:val="24"/>
              </w:rPr>
              <w:t>④</w:t>
            </w:r>
            <w:r>
              <w:rPr>
                <w:rFonts w:hint="eastAsia" w:ascii="宋体" w:hAnsi="宋体"/>
                <w:color w:val="auto"/>
                <w:sz w:val="24"/>
                <w:szCs w:val="24"/>
              </w:rPr>
              <w:t>除采取以上防治措施外，工程还应充分重视操作人员的劳动保护，为其发放耳塞、耳罩，并设置操作人员值班室，避免操作人员长期处于高噪声环境中，从噪声受体保护方面减轻噪声对操作人员的直接影响；</w:t>
            </w:r>
          </w:p>
          <w:p>
            <w:pPr>
              <w:adjustRightInd w:val="0"/>
              <w:snapToGrid w:val="0"/>
              <w:spacing w:line="480" w:lineRule="exact"/>
              <w:ind w:firstLine="480" w:firstLineChars="200"/>
              <w:rPr>
                <w:color w:val="auto"/>
                <w:sz w:val="24"/>
              </w:rPr>
            </w:pPr>
            <w:r>
              <w:rPr>
                <w:rFonts w:hint="eastAsia"/>
                <w:color w:val="auto"/>
                <w:sz w:val="24"/>
              </w:rPr>
              <w:t>⑤重视绿化工作也是噪声防治的一项积极措施。绿化不仅可以美化环境、调节气候，而且还可阻滞噪声传播、吸收尘等污染物，减轻污染。工程应根据当地的气候特点，选取适宜当地生产的树种，种植于高噪声源及厂界四周。</w:t>
            </w:r>
          </w:p>
          <w:p>
            <w:pPr>
              <w:adjustRightInd w:val="0"/>
              <w:snapToGrid w:val="0"/>
              <w:spacing w:line="480" w:lineRule="exact"/>
              <w:ind w:firstLine="480" w:firstLineChars="200"/>
              <w:rPr>
                <w:bCs/>
                <w:color w:val="auto"/>
                <w:sz w:val="24"/>
              </w:rPr>
            </w:pPr>
            <w:r>
              <w:rPr>
                <w:rFonts w:hint="eastAsia"/>
                <w:color w:val="auto"/>
                <w:sz w:val="24"/>
              </w:rPr>
              <w:t>通过采取以上措施后，可降噪10-20dB(A)。</w:t>
            </w:r>
          </w:p>
          <w:p>
            <w:pPr>
              <w:adjustRightInd w:val="0"/>
              <w:snapToGrid w:val="0"/>
              <w:spacing w:line="480" w:lineRule="exact"/>
              <w:ind w:firstLine="482" w:firstLineChars="200"/>
              <w:rPr>
                <w:color w:val="auto"/>
                <w:sz w:val="24"/>
              </w:rPr>
            </w:pPr>
            <w:r>
              <w:rPr>
                <w:rFonts w:hint="eastAsia"/>
                <w:b/>
                <w:bCs/>
                <w:color w:val="auto"/>
                <w:sz w:val="24"/>
              </w:rPr>
              <w:t>（2）</w:t>
            </w:r>
            <w:r>
              <w:rPr>
                <w:rFonts w:hint="eastAsia" w:hAnsi="宋体"/>
                <w:b/>
                <w:color w:val="auto"/>
                <w:sz w:val="24"/>
                <w:szCs w:val="32"/>
              </w:rPr>
              <w:t>声环境影响预测与分析</w:t>
            </w:r>
          </w:p>
          <w:p>
            <w:pPr>
              <w:adjustRightInd w:val="0"/>
              <w:snapToGrid w:val="0"/>
              <w:spacing w:line="480" w:lineRule="exact"/>
              <w:ind w:firstLine="480" w:firstLineChars="200"/>
              <w:rPr>
                <w:bCs/>
                <w:color w:val="auto"/>
                <w:sz w:val="24"/>
              </w:rPr>
            </w:pPr>
            <w:r>
              <w:rPr>
                <w:rFonts w:hint="eastAsia"/>
                <w:bCs/>
                <w:color w:val="auto"/>
                <w:sz w:val="24"/>
              </w:rPr>
              <w:t>本次评价采用《环境影响评价技术导则—声环境》（HJ/T2.4—2009）中推荐的工业噪声预测计算模式，具体如下：</w:t>
            </w:r>
          </w:p>
          <w:p>
            <w:pPr>
              <w:adjustRightInd w:val="0"/>
              <w:snapToGrid w:val="0"/>
              <w:spacing w:line="480" w:lineRule="exact"/>
              <w:ind w:firstLine="480" w:firstLineChars="200"/>
              <w:rPr>
                <w:bCs/>
                <w:color w:val="auto"/>
                <w:sz w:val="24"/>
              </w:rPr>
            </w:pPr>
            <w:r>
              <w:rPr>
                <w:rFonts w:hint="eastAsia"/>
                <w:bCs/>
                <w:color w:val="auto"/>
                <w:sz w:val="24"/>
              </w:rPr>
              <w:t>①室外点声源在预测点产生的声级计算公式</w:t>
            </w:r>
          </w:p>
          <w:p>
            <w:pPr>
              <w:adjustRightInd w:val="0"/>
              <w:snapToGrid w:val="0"/>
              <w:spacing w:line="480" w:lineRule="exact"/>
              <w:ind w:firstLine="480" w:firstLineChars="200"/>
              <w:rPr>
                <w:bCs/>
                <w:color w:val="auto"/>
                <w:sz w:val="24"/>
              </w:rPr>
            </w:pPr>
            <w:r>
              <w:rPr>
                <w:rFonts w:hint="eastAsia"/>
                <w:bCs/>
                <w:color w:val="auto"/>
                <w:sz w:val="24"/>
              </w:rPr>
              <w:t>已知声源的倍频带声功率级，预测点位置的倍频带声压级L</w:t>
            </w:r>
            <w:r>
              <w:rPr>
                <w:rFonts w:hint="eastAsia"/>
                <w:bCs/>
                <w:color w:val="auto"/>
                <w:sz w:val="24"/>
                <w:vertAlign w:val="subscript"/>
              </w:rPr>
              <w:t>p</w:t>
            </w:r>
            <w:r>
              <w:rPr>
                <w:rFonts w:hint="eastAsia"/>
                <w:bCs/>
                <w:color w:val="auto"/>
                <w:sz w:val="24"/>
              </w:rPr>
              <w:t>(r)可按下式计算：</w:t>
            </w:r>
          </w:p>
          <w:p>
            <w:pPr>
              <w:adjustRightInd w:val="0"/>
              <w:snapToGrid w:val="0"/>
              <w:spacing w:line="480" w:lineRule="exact"/>
              <w:ind w:firstLine="480" w:firstLineChars="200"/>
              <w:rPr>
                <w:bCs/>
                <w:color w:val="auto"/>
                <w:sz w:val="24"/>
              </w:rPr>
            </w:pPr>
            <w:r>
              <w:rPr>
                <w:rFonts w:hint="eastAsia"/>
                <w:bCs/>
                <w:color w:val="auto"/>
                <w:sz w:val="24"/>
              </w:rPr>
              <w:t>L</w:t>
            </w:r>
            <w:r>
              <w:rPr>
                <w:rFonts w:hint="eastAsia"/>
                <w:bCs/>
                <w:color w:val="auto"/>
                <w:sz w:val="24"/>
                <w:vertAlign w:val="subscript"/>
              </w:rPr>
              <w:t>p</w:t>
            </w:r>
            <w:r>
              <w:rPr>
                <w:rFonts w:hint="eastAsia"/>
                <w:bCs/>
                <w:color w:val="auto"/>
                <w:sz w:val="24"/>
              </w:rPr>
              <w:t>(r)= L</w:t>
            </w:r>
            <w:r>
              <w:rPr>
                <w:rFonts w:hint="eastAsia"/>
                <w:bCs/>
                <w:color w:val="auto"/>
                <w:sz w:val="24"/>
                <w:vertAlign w:val="subscript"/>
              </w:rPr>
              <w:t xml:space="preserve">w </w:t>
            </w:r>
            <w:r>
              <w:rPr>
                <w:rFonts w:hint="eastAsia"/>
                <w:bCs/>
                <w:color w:val="auto"/>
                <w:sz w:val="24"/>
              </w:rPr>
              <w:t>+ D</w:t>
            </w:r>
            <w:r>
              <w:rPr>
                <w:rFonts w:hint="eastAsia"/>
                <w:bCs/>
                <w:color w:val="auto"/>
                <w:sz w:val="24"/>
                <w:vertAlign w:val="subscript"/>
              </w:rPr>
              <w:t>c</w:t>
            </w:r>
            <w:r>
              <w:rPr>
                <w:rFonts w:hint="eastAsia"/>
                <w:bCs/>
                <w:color w:val="auto"/>
                <w:sz w:val="24"/>
              </w:rPr>
              <w:t>－(A</w:t>
            </w:r>
            <w:r>
              <w:rPr>
                <w:rFonts w:hint="eastAsia"/>
                <w:bCs/>
                <w:color w:val="auto"/>
                <w:sz w:val="24"/>
                <w:vertAlign w:val="subscript"/>
              </w:rPr>
              <w:t>div</w:t>
            </w:r>
            <w:r>
              <w:rPr>
                <w:rFonts w:hint="eastAsia"/>
                <w:bCs/>
                <w:color w:val="auto"/>
                <w:sz w:val="24"/>
              </w:rPr>
              <w:t>+A</w:t>
            </w:r>
            <w:r>
              <w:rPr>
                <w:rFonts w:hint="eastAsia"/>
                <w:bCs/>
                <w:color w:val="auto"/>
                <w:sz w:val="24"/>
                <w:vertAlign w:val="subscript"/>
              </w:rPr>
              <w:t>atm</w:t>
            </w:r>
            <w:r>
              <w:rPr>
                <w:rFonts w:hint="eastAsia"/>
                <w:bCs/>
                <w:color w:val="auto"/>
                <w:sz w:val="24"/>
              </w:rPr>
              <w:t>+A</w:t>
            </w:r>
            <w:r>
              <w:rPr>
                <w:rFonts w:hint="eastAsia"/>
                <w:bCs/>
                <w:color w:val="auto"/>
                <w:sz w:val="24"/>
                <w:vertAlign w:val="subscript"/>
              </w:rPr>
              <w:t>gr</w:t>
            </w:r>
            <w:r>
              <w:rPr>
                <w:rFonts w:hint="eastAsia"/>
                <w:bCs/>
                <w:color w:val="auto"/>
                <w:sz w:val="24"/>
              </w:rPr>
              <w:t>+A</w:t>
            </w:r>
            <w:r>
              <w:rPr>
                <w:rFonts w:hint="eastAsia"/>
                <w:bCs/>
                <w:color w:val="auto"/>
                <w:sz w:val="24"/>
                <w:vertAlign w:val="subscript"/>
              </w:rPr>
              <w:t>bar</w:t>
            </w:r>
            <w:r>
              <w:rPr>
                <w:rFonts w:hint="eastAsia"/>
                <w:bCs/>
                <w:color w:val="auto"/>
                <w:sz w:val="24"/>
              </w:rPr>
              <w:t>+A</w:t>
            </w:r>
            <w:r>
              <w:rPr>
                <w:rFonts w:hint="eastAsia"/>
                <w:bCs/>
                <w:color w:val="auto"/>
                <w:sz w:val="24"/>
                <w:vertAlign w:val="subscript"/>
              </w:rPr>
              <w:t>misc</w:t>
            </w:r>
            <w:r>
              <w:rPr>
                <w:rFonts w:hint="eastAsia"/>
                <w:bCs/>
                <w:color w:val="auto"/>
                <w:sz w:val="24"/>
              </w:rPr>
              <w:t>)</w:t>
            </w:r>
          </w:p>
          <w:p>
            <w:pPr>
              <w:adjustRightInd w:val="0"/>
              <w:snapToGrid w:val="0"/>
              <w:spacing w:line="480" w:lineRule="exact"/>
              <w:ind w:firstLine="480" w:firstLineChars="200"/>
              <w:rPr>
                <w:bCs/>
                <w:color w:val="auto"/>
                <w:sz w:val="24"/>
              </w:rPr>
            </w:pPr>
            <w:r>
              <w:rPr>
                <w:rFonts w:hint="eastAsia"/>
                <w:bCs/>
                <w:color w:val="auto"/>
                <w:sz w:val="24"/>
              </w:rPr>
              <w:t>A</w:t>
            </w:r>
            <w:r>
              <w:rPr>
                <w:rFonts w:hint="eastAsia"/>
                <w:bCs/>
                <w:color w:val="auto"/>
                <w:sz w:val="24"/>
                <w:vertAlign w:val="subscript"/>
              </w:rPr>
              <w:t>div</w:t>
            </w:r>
            <w:r>
              <w:rPr>
                <w:rFonts w:hint="eastAsia"/>
                <w:bCs/>
                <w:color w:val="auto"/>
                <w:sz w:val="24"/>
              </w:rPr>
              <w:t>——几何发散引起的倍频带衰减，dB；</w:t>
            </w:r>
          </w:p>
          <w:p>
            <w:pPr>
              <w:adjustRightInd w:val="0"/>
              <w:snapToGrid w:val="0"/>
              <w:spacing w:line="480" w:lineRule="exact"/>
              <w:ind w:firstLine="480" w:firstLineChars="200"/>
              <w:rPr>
                <w:bCs/>
                <w:color w:val="auto"/>
                <w:sz w:val="24"/>
              </w:rPr>
            </w:pPr>
            <w:r>
              <w:rPr>
                <w:rFonts w:hint="eastAsia"/>
                <w:bCs/>
                <w:color w:val="auto"/>
                <w:sz w:val="24"/>
              </w:rPr>
              <w:t>A</w:t>
            </w:r>
            <w:r>
              <w:rPr>
                <w:rFonts w:hint="eastAsia"/>
                <w:bCs/>
                <w:color w:val="auto"/>
                <w:sz w:val="24"/>
                <w:vertAlign w:val="subscript"/>
              </w:rPr>
              <w:t>atm</w:t>
            </w:r>
            <w:r>
              <w:rPr>
                <w:rFonts w:hint="eastAsia"/>
                <w:bCs/>
                <w:color w:val="auto"/>
                <w:sz w:val="24"/>
              </w:rPr>
              <w:t>——大气吸收引起的倍频带衰减，dB；</w:t>
            </w:r>
          </w:p>
          <w:p>
            <w:pPr>
              <w:adjustRightInd w:val="0"/>
              <w:snapToGrid w:val="0"/>
              <w:spacing w:line="480" w:lineRule="exact"/>
              <w:ind w:firstLine="480" w:firstLineChars="200"/>
              <w:rPr>
                <w:bCs/>
                <w:color w:val="auto"/>
                <w:sz w:val="24"/>
              </w:rPr>
            </w:pPr>
            <w:r>
              <w:rPr>
                <w:rFonts w:hint="eastAsia"/>
                <w:bCs/>
                <w:color w:val="auto"/>
                <w:sz w:val="24"/>
              </w:rPr>
              <w:t>A</w:t>
            </w:r>
            <w:r>
              <w:rPr>
                <w:rFonts w:hint="eastAsia"/>
                <w:bCs/>
                <w:color w:val="auto"/>
                <w:sz w:val="24"/>
                <w:vertAlign w:val="subscript"/>
              </w:rPr>
              <w:t>g</w:t>
            </w:r>
            <w:r>
              <w:rPr>
                <w:rFonts w:hint="eastAsia"/>
                <w:bCs/>
                <w:color w:val="auto"/>
                <w:sz w:val="24"/>
              </w:rPr>
              <w:t>——地面效应引起的倍频带衰减，dB；</w:t>
            </w:r>
          </w:p>
          <w:p>
            <w:pPr>
              <w:adjustRightInd w:val="0"/>
              <w:snapToGrid w:val="0"/>
              <w:spacing w:line="480" w:lineRule="exact"/>
              <w:ind w:firstLine="480" w:firstLineChars="200"/>
              <w:rPr>
                <w:bCs/>
                <w:color w:val="auto"/>
                <w:sz w:val="24"/>
              </w:rPr>
            </w:pPr>
            <w:r>
              <w:rPr>
                <w:rFonts w:hint="eastAsia"/>
                <w:bCs/>
                <w:color w:val="auto"/>
                <w:sz w:val="24"/>
              </w:rPr>
              <w:t>A</w:t>
            </w:r>
            <w:r>
              <w:rPr>
                <w:rFonts w:hint="eastAsia"/>
                <w:bCs/>
                <w:color w:val="auto"/>
                <w:sz w:val="24"/>
                <w:vertAlign w:val="subscript"/>
              </w:rPr>
              <w:t>bar</w:t>
            </w:r>
            <w:r>
              <w:rPr>
                <w:rFonts w:hint="eastAsia"/>
                <w:bCs/>
                <w:color w:val="auto"/>
                <w:sz w:val="24"/>
              </w:rPr>
              <w:t>——声屏障引起的倍频带衰减，dB；</w:t>
            </w:r>
          </w:p>
          <w:p>
            <w:pPr>
              <w:adjustRightInd w:val="0"/>
              <w:snapToGrid w:val="0"/>
              <w:spacing w:line="480" w:lineRule="exact"/>
              <w:ind w:firstLine="480" w:firstLineChars="200"/>
              <w:rPr>
                <w:bCs/>
                <w:color w:val="auto"/>
                <w:sz w:val="24"/>
              </w:rPr>
            </w:pPr>
            <w:r>
              <w:rPr>
                <w:rFonts w:hint="eastAsia"/>
                <w:bCs/>
                <w:color w:val="auto"/>
                <w:sz w:val="24"/>
              </w:rPr>
              <w:t>A</w:t>
            </w:r>
            <w:r>
              <w:rPr>
                <w:rFonts w:hint="eastAsia"/>
                <w:bCs/>
                <w:color w:val="auto"/>
                <w:sz w:val="24"/>
                <w:vertAlign w:val="subscript"/>
              </w:rPr>
              <w:t>misc</w:t>
            </w:r>
            <w:r>
              <w:rPr>
                <w:rFonts w:hint="eastAsia"/>
                <w:bCs/>
                <w:color w:val="auto"/>
                <w:sz w:val="24"/>
              </w:rPr>
              <w:t>——其他多方面效应引起的倍频带衰减，dB；</w:t>
            </w:r>
          </w:p>
          <w:p>
            <w:pPr>
              <w:adjustRightInd w:val="0"/>
              <w:snapToGrid w:val="0"/>
              <w:spacing w:line="480" w:lineRule="exact"/>
              <w:ind w:firstLine="480" w:firstLineChars="200"/>
              <w:rPr>
                <w:bCs/>
                <w:color w:val="auto"/>
                <w:sz w:val="24"/>
              </w:rPr>
            </w:pPr>
            <w:r>
              <w:rPr>
                <w:rFonts w:hint="eastAsia"/>
                <w:bCs/>
                <w:color w:val="auto"/>
                <w:sz w:val="24"/>
              </w:rPr>
              <w:t>预测点的A声级L</w:t>
            </w:r>
            <w:r>
              <w:rPr>
                <w:rFonts w:hint="eastAsia"/>
                <w:bCs/>
                <w:color w:val="auto"/>
                <w:sz w:val="24"/>
                <w:vertAlign w:val="subscript"/>
              </w:rPr>
              <w:t>A</w:t>
            </w:r>
            <w:r>
              <w:rPr>
                <w:rFonts w:hint="eastAsia"/>
                <w:bCs/>
                <w:color w:val="auto"/>
                <w:sz w:val="24"/>
              </w:rPr>
              <w:t>(r)可利用8个倍频带的声压级按下式计算：</w:t>
            </w:r>
          </w:p>
          <w:p>
            <w:pPr>
              <w:adjustRightInd w:val="0"/>
              <w:snapToGrid w:val="0"/>
              <w:spacing w:line="480" w:lineRule="exact"/>
              <w:ind w:firstLine="480" w:firstLineChars="200"/>
              <w:rPr>
                <w:bCs/>
                <w:color w:val="auto"/>
                <w:sz w:val="24"/>
              </w:rPr>
            </w:pPr>
            <w:r>
              <w:rPr>
                <w:rFonts w:hint="eastAsia"/>
                <w:bCs/>
                <w:color w:val="auto"/>
                <w:sz w:val="24"/>
              </w:rPr>
              <w:t>L</w:t>
            </w:r>
            <w:r>
              <w:rPr>
                <w:rFonts w:hint="eastAsia"/>
                <w:bCs/>
                <w:color w:val="auto"/>
                <w:sz w:val="24"/>
                <w:vertAlign w:val="subscript"/>
              </w:rPr>
              <w:t>A</w:t>
            </w:r>
            <w:r>
              <w:rPr>
                <w:rFonts w:hint="eastAsia"/>
                <w:bCs/>
                <w:color w:val="auto"/>
                <w:sz w:val="24"/>
              </w:rPr>
              <w:t>(r)=10lg（∑10</w:t>
            </w:r>
            <w:r>
              <w:rPr>
                <w:rFonts w:hint="eastAsia"/>
                <w:bCs/>
                <w:color w:val="auto"/>
                <w:sz w:val="24"/>
                <w:vertAlign w:val="superscript"/>
              </w:rPr>
              <w:t>0.1Lpi(r)-</w:t>
            </w:r>
            <w:r>
              <w:rPr>
                <w:rFonts w:hint="eastAsia"/>
                <w:bCs/>
                <w:color w:val="auto"/>
                <w:sz w:val="24"/>
              </w:rPr>
              <w:t xml:space="preserve"> </w:t>
            </w:r>
            <w:r>
              <w:rPr>
                <w:rFonts w:hint="eastAsia" w:ascii="微软雅黑" w:hAnsi="微软雅黑" w:eastAsia="微软雅黑" w:cs="微软雅黑"/>
                <w:bCs/>
                <w:color w:val="auto"/>
                <w:sz w:val="24"/>
                <w:vertAlign w:val="superscript"/>
              </w:rPr>
              <w:t>∆</w:t>
            </w:r>
            <w:r>
              <w:rPr>
                <w:rFonts w:hint="eastAsia"/>
                <w:bCs/>
                <w:color w:val="auto"/>
                <w:sz w:val="24"/>
                <w:vertAlign w:val="superscript"/>
              </w:rPr>
              <w:t>Li</w:t>
            </w:r>
            <w:r>
              <w:rPr>
                <w:rFonts w:hint="eastAsia"/>
                <w:bCs/>
                <w:color w:val="auto"/>
                <w:sz w:val="24"/>
              </w:rPr>
              <w:t>）</w:t>
            </w:r>
          </w:p>
          <w:p>
            <w:pPr>
              <w:adjustRightInd w:val="0"/>
              <w:snapToGrid w:val="0"/>
              <w:spacing w:line="480" w:lineRule="exact"/>
              <w:ind w:firstLine="480" w:firstLineChars="200"/>
              <w:rPr>
                <w:bCs/>
                <w:color w:val="auto"/>
                <w:sz w:val="24"/>
              </w:rPr>
            </w:pPr>
            <w:r>
              <w:rPr>
                <w:rFonts w:hint="eastAsia"/>
                <w:bCs/>
                <w:color w:val="auto"/>
                <w:sz w:val="24"/>
              </w:rPr>
              <w:t>③噪声贡献值计算</w:t>
            </w:r>
          </w:p>
          <w:p>
            <w:pPr>
              <w:adjustRightInd w:val="0"/>
              <w:snapToGrid w:val="0"/>
              <w:spacing w:line="480" w:lineRule="exact"/>
              <w:ind w:firstLine="480" w:firstLineChars="200"/>
              <w:rPr>
                <w:bCs/>
                <w:color w:val="auto"/>
                <w:sz w:val="24"/>
              </w:rPr>
            </w:pPr>
            <w:r>
              <w:rPr>
                <w:rFonts w:hint="eastAsia"/>
                <w:bCs/>
                <w:color w:val="auto"/>
                <w:sz w:val="24"/>
              </w:rPr>
              <w:t>设第i个室外声源在预测点产生的A声级为L</w:t>
            </w:r>
            <w:r>
              <w:rPr>
                <w:rFonts w:hint="eastAsia"/>
                <w:bCs/>
                <w:color w:val="auto"/>
                <w:sz w:val="24"/>
                <w:vertAlign w:val="subscript"/>
              </w:rPr>
              <w:t>Ai</w:t>
            </w:r>
            <w:r>
              <w:rPr>
                <w:rFonts w:hint="eastAsia"/>
                <w:bCs/>
                <w:color w:val="auto"/>
                <w:sz w:val="24"/>
              </w:rPr>
              <w:t>，在T时间内该声源工作时间为t</w:t>
            </w:r>
            <w:r>
              <w:rPr>
                <w:rFonts w:hint="eastAsia"/>
                <w:bCs/>
                <w:color w:val="auto"/>
                <w:sz w:val="24"/>
                <w:vertAlign w:val="subscript"/>
              </w:rPr>
              <w:t>i</w:t>
            </w:r>
            <w:r>
              <w:rPr>
                <w:rFonts w:hint="eastAsia"/>
                <w:bCs/>
                <w:color w:val="auto"/>
                <w:sz w:val="24"/>
              </w:rPr>
              <w:t>；第j个等效室外声源在预测点产生的A声级为L</w:t>
            </w:r>
            <w:r>
              <w:rPr>
                <w:rFonts w:hint="eastAsia"/>
                <w:bCs/>
                <w:color w:val="auto"/>
                <w:sz w:val="24"/>
                <w:vertAlign w:val="subscript"/>
              </w:rPr>
              <w:t>Aj</w:t>
            </w:r>
            <w:r>
              <w:rPr>
                <w:rFonts w:hint="eastAsia"/>
                <w:bCs/>
                <w:color w:val="auto"/>
                <w:sz w:val="24"/>
              </w:rPr>
              <w:t>，在T时间内该声源工作时间为t</w:t>
            </w:r>
            <w:r>
              <w:rPr>
                <w:rFonts w:hint="eastAsia"/>
                <w:bCs/>
                <w:color w:val="auto"/>
                <w:sz w:val="24"/>
                <w:vertAlign w:val="subscript"/>
              </w:rPr>
              <w:t>j</w:t>
            </w:r>
            <w:r>
              <w:rPr>
                <w:rFonts w:hint="eastAsia"/>
                <w:bCs/>
                <w:color w:val="auto"/>
                <w:sz w:val="24"/>
              </w:rPr>
              <w:t>，则拟建工程声源对预测点产生的贡献值（L</w:t>
            </w:r>
            <w:r>
              <w:rPr>
                <w:rFonts w:hint="eastAsia"/>
                <w:bCs/>
                <w:color w:val="auto"/>
                <w:sz w:val="24"/>
                <w:vertAlign w:val="subscript"/>
              </w:rPr>
              <w:t>eqg</w:t>
            </w:r>
            <w:r>
              <w:rPr>
                <w:rFonts w:hint="eastAsia"/>
                <w:bCs/>
                <w:color w:val="auto"/>
                <w:sz w:val="24"/>
              </w:rPr>
              <w:t>）为：</w:t>
            </w:r>
          </w:p>
          <w:p>
            <w:pPr>
              <w:adjustRightInd w:val="0"/>
              <w:snapToGrid w:val="0"/>
              <w:spacing w:line="480" w:lineRule="exact"/>
              <w:ind w:firstLine="480" w:firstLineChars="200"/>
              <w:rPr>
                <w:bCs/>
                <w:color w:val="auto"/>
                <w:sz w:val="24"/>
              </w:rPr>
            </w:pPr>
            <w:r>
              <w:rPr>
                <w:rFonts w:hint="eastAsia"/>
                <w:bCs/>
                <w:color w:val="auto"/>
                <w:sz w:val="24"/>
              </w:rPr>
              <w:t>L</w:t>
            </w:r>
            <w:r>
              <w:rPr>
                <w:rFonts w:hint="eastAsia"/>
                <w:bCs/>
                <w:color w:val="auto"/>
                <w:sz w:val="24"/>
                <w:vertAlign w:val="subscript"/>
              </w:rPr>
              <w:t>eqg</w:t>
            </w:r>
            <w:r>
              <w:rPr>
                <w:rFonts w:hint="eastAsia"/>
                <w:bCs/>
                <w:color w:val="auto"/>
                <w:sz w:val="24"/>
              </w:rPr>
              <w:t>=10lg[1/T（∑t</w:t>
            </w:r>
            <w:r>
              <w:rPr>
                <w:rFonts w:hint="eastAsia"/>
                <w:bCs/>
                <w:color w:val="auto"/>
                <w:sz w:val="24"/>
                <w:vertAlign w:val="subscript"/>
              </w:rPr>
              <w:t>i</w:t>
            </w:r>
            <w:r>
              <w:rPr>
                <w:rFonts w:hint="eastAsia"/>
                <w:bCs/>
                <w:color w:val="auto"/>
                <w:sz w:val="24"/>
              </w:rPr>
              <w:t>10</w:t>
            </w:r>
            <w:r>
              <w:rPr>
                <w:rFonts w:hint="eastAsia"/>
                <w:bCs/>
                <w:color w:val="auto"/>
                <w:sz w:val="24"/>
                <w:vertAlign w:val="superscript"/>
              </w:rPr>
              <w:t>0.1LAi</w:t>
            </w:r>
            <w:r>
              <w:rPr>
                <w:rFonts w:hint="eastAsia"/>
                <w:bCs/>
                <w:color w:val="auto"/>
                <w:sz w:val="24"/>
              </w:rPr>
              <w:t>+∑t</w:t>
            </w:r>
            <w:r>
              <w:rPr>
                <w:rFonts w:hint="eastAsia"/>
                <w:bCs/>
                <w:color w:val="auto"/>
                <w:sz w:val="24"/>
                <w:vertAlign w:val="subscript"/>
              </w:rPr>
              <w:t>j</w:t>
            </w:r>
            <w:r>
              <w:rPr>
                <w:rFonts w:hint="eastAsia"/>
                <w:bCs/>
                <w:color w:val="auto"/>
                <w:sz w:val="24"/>
              </w:rPr>
              <w:t>10</w:t>
            </w:r>
            <w:r>
              <w:rPr>
                <w:rFonts w:hint="eastAsia"/>
                <w:bCs/>
                <w:color w:val="auto"/>
                <w:sz w:val="24"/>
                <w:vertAlign w:val="superscript"/>
              </w:rPr>
              <w:t>0.1LAj</w:t>
            </w:r>
            <w:r>
              <w:rPr>
                <w:rFonts w:hint="eastAsia"/>
                <w:bCs/>
                <w:color w:val="auto"/>
                <w:sz w:val="24"/>
              </w:rPr>
              <w:t>）]</w:t>
            </w:r>
          </w:p>
          <w:p>
            <w:pPr>
              <w:adjustRightInd w:val="0"/>
              <w:snapToGrid w:val="0"/>
              <w:spacing w:line="480" w:lineRule="exact"/>
              <w:ind w:firstLine="480" w:firstLineChars="200"/>
              <w:rPr>
                <w:bCs/>
                <w:color w:val="auto"/>
                <w:sz w:val="24"/>
              </w:rPr>
            </w:pPr>
            <w:r>
              <w:rPr>
                <w:rFonts w:hint="eastAsia"/>
                <w:bCs/>
                <w:color w:val="auto"/>
                <w:sz w:val="24"/>
              </w:rPr>
              <w:t>式中：t</w:t>
            </w:r>
            <w:r>
              <w:rPr>
                <w:rFonts w:hint="eastAsia"/>
                <w:bCs/>
                <w:color w:val="auto"/>
                <w:sz w:val="24"/>
                <w:vertAlign w:val="subscript"/>
              </w:rPr>
              <w:t>j</w:t>
            </w:r>
            <w:r>
              <w:rPr>
                <w:rFonts w:hint="eastAsia"/>
                <w:bCs/>
                <w:color w:val="auto"/>
                <w:sz w:val="24"/>
              </w:rPr>
              <w:t>——在T时间内j声源工作时间，s；</w:t>
            </w:r>
          </w:p>
          <w:p>
            <w:pPr>
              <w:adjustRightInd w:val="0"/>
              <w:snapToGrid w:val="0"/>
              <w:spacing w:line="480" w:lineRule="exact"/>
              <w:ind w:firstLine="480" w:firstLineChars="200"/>
              <w:rPr>
                <w:bCs/>
                <w:color w:val="auto"/>
                <w:sz w:val="24"/>
              </w:rPr>
            </w:pPr>
            <w:r>
              <w:rPr>
                <w:rFonts w:hint="eastAsia"/>
                <w:bCs/>
                <w:color w:val="auto"/>
                <w:sz w:val="24"/>
              </w:rPr>
              <w:t xml:space="preserve">      t</w:t>
            </w:r>
            <w:r>
              <w:rPr>
                <w:rFonts w:hint="eastAsia"/>
                <w:bCs/>
                <w:color w:val="auto"/>
                <w:sz w:val="24"/>
                <w:vertAlign w:val="subscript"/>
              </w:rPr>
              <w:t>i</w:t>
            </w:r>
            <w:r>
              <w:rPr>
                <w:rFonts w:hint="eastAsia"/>
                <w:bCs/>
                <w:color w:val="auto"/>
                <w:sz w:val="24"/>
              </w:rPr>
              <w:t>——在T时间内i声源工作时间，s；</w:t>
            </w:r>
          </w:p>
          <w:p>
            <w:pPr>
              <w:adjustRightInd w:val="0"/>
              <w:snapToGrid w:val="0"/>
              <w:spacing w:line="480" w:lineRule="exact"/>
              <w:ind w:firstLine="480" w:firstLineChars="200"/>
              <w:rPr>
                <w:bCs/>
                <w:color w:val="auto"/>
                <w:sz w:val="24"/>
              </w:rPr>
            </w:pPr>
            <w:r>
              <w:rPr>
                <w:rFonts w:hint="eastAsia"/>
                <w:bCs/>
                <w:color w:val="auto"/>
                <w:sz w:val="24"/>
              </w:rPr>
              <w:t xml:space="preserve">      T——用于计算等效声级的时间，s；</w:t>
            </w:r>
          </w:p>
          <w:p>
            <w:pPr>
              <w:adjustRightInd w:val="0"/>
              <w:snapToGrid w:val="0"/>
              <w:spacing w:line="480" w:lineRule="exact"/>
              <w:ind w:firstLine="480" w:firstLineChars="200"/>
              <w:rPr>
                <w:bCs/>
                <w:color w:val="auto"/>
                <w:sz w:val="24"/>
              </w:rPr>
            </w:pPr>
            <w:r>
              <w:rPr>
                <w:rFonts w:hint="eastAsia"/>
                <w:bCs/>
                <w:color w:val="auto"/>
                <w:sz w:val="24"/>
              </w:rPr>
              <w:t xml:space="preserve">      N——室外声源个数；</w:t>
            </w:r>
          </w:p>
          <w:p>
            <w:pPr>
              <w:adjustRightInd w:val="0"/>
              <w:snapToGrid w:val="0"/>
              <w:spacing w:line="480" w:lineRule="exact"/>
              <w:ind w:firstLine="480" w:firstLineChars="200"/>
              <w:rPr>
                <w:bCs/>
                <w:color w:val="auto"/>
                <w:sz w:val="24"/>
              </w:rPr>
            </w:pPr>
            <w:r>
              <w:rPr>
                <w:rFonts w:hint="eastAsia"/>
                <w:bCs/>
                <w:color w:val="auto"/>
                <w:sz w:val="24"/>
              </w:rPr>
              <w:t xml:space="preserve">      M——等效室外声源个数。</w:t>
            </w:r>
          </w:p>
          <w:p>
            <w:pPr>
              <w:adjustRightInd w:val="0"/>
              <w:snapToGrid w:val="0"/>
              <w:spacing w:line="480" w:lineRule="exact"/>
              <w:ind w:firstLine="480" w:firstLineChars="200"/>
              <w:rPr>
                <w:bCs/>
                <w:color w:val="auto"/>
                <w:sz w:val="24"/>
              </w:rPr>
            </w:pPr>
            <w:r>
              <w:rPr>
                <w:rFonts w:hint="eastAsia"/>
                <w:bCs/>
                <w:color w:val="auto"/>
                <w:sz w:val="24"/>
              </w:rPr>
              <w:t>根据本项目工程噪声源的分布，对厂区四周边界噪声排放量进行了预测计算，预测结果见下表。</w:t>
            </w:r>
          </w:p>
          <w:p>
            <w:pPr>
              <w:adjustRightInd w:val="0"/>
              <w:snapToGrid w:val="0"/>
              <w:spacing w:line="480" w:lineRule="exact"/>
              <w:jc w:val="center"/>
              <w:rPr>
                <w:rFonts w:ascii="黑体" w:hAnsi="黑体" w:eastAsia="黑体"/>
                <w:bCs/>
                <w:color w:val="auto"/>
                <w:sz w:val="24"/>
              </w:rPr>
            </w:pP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表4-11  项目噪声预测结果  dB（A）</w:t>
            </w:r>
          </w:p>
          <w:tbl>
            <w:tblPr>
              <w:tblStyle w:val="20"/>
              <w:tblW w:w="4992"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79"/>
              <w:gridCol w:w="2313"/>
              <w:gridCol w:w="2075"/>
              <w:gridCol w:w="941"/>
              <w:gridCol w:w="968"/>
              <w:gridCol w:w="14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1350"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预测点位</w:t>
                  </w:r>
                </w:p>
              </w:tc>
              <w:tc>
                <w:tcPr>
                  <w:tcW w:w="1211" w:type="pct"/>
                  <w:vMerge w:val="restart"/>
                  <w:tcBorders>
                    <w:top w:val="single" w:color="auto" w:sz="2" w:space="0"/>
                    <w:left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贡献值</w:t>
                  </w:r>
                </w:p>
              </w:tc>
              <w:tc>
                <w:tcPr>
                  <w:tcW w:w="1114" w:type="pct"/>
                  <w:gridSpan w:val="2"/>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标准值</w:t>
                  </w:r>
                </w:p>
              </w:tc>
              <w:tc>
                <w:tcPr>
                  <w:tcW w:w="868"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vMerge w:val="continue"/>
                  <w:tcBorders>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1350" w:type="pct"/>
                  <w:vMerge w:val="continue"/>
                  <w:tcBorders>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1211" w:type="pct"/>
                  <w:vMerge w:val="continue"/>
                  <w:tcBorders>
                    <w:left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49"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昼间</w:t>
                  </w:r>
                </w:p>
              </w:tc>
              <w:tc>
                <w:tcPr>
                  <w:tcW w:w="564"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夜间</w:t>
                  </w:r>
                </w:p>
              </w:tc>
              <w:tc>
                <w:tcPr>
                  <w:tcW w:w="868" w:type="pct"/>
                  <w:vMerge w:val="continue"/>
                  <w:tcBorders>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厂界1#</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44.5</w:t>
                  </w:r>
                </w:p>
              </w:tc>
              <w:tc>
                <w:tcPr>
                  <w:tcW w:w="549"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60</w:t>
                  </w:r>
                </w:p>
              </w:tc>
              <w:tc>
                <w:tcPr>
                  <w:tcW w:w="564"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w:t>
                  </w: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厂界2#</w:t>
                  </w:r>
                </w:p>
              </w:tc>
              <w:tc>
                <w:tcPr>
                  <w:tcW w:w="1211" w:type="pct"/>
                  <w:tcBorders>
                    <w:top w:val="single" w:color="auto" w:sz="2" w:space="0"/>
                    <w:left w:val="single" w:color="auto" w:sz="4" w:space="0"/>
                    <w:bottom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46.8</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厂界3#</w:t>
                  </w:r>
                </w:p>
              </w:tc>
              <w:tc>
                <w:tcPr>
                  <w:tcW w:w="1211" w:type="pct"/>
                  <w:tcBorders>
                    <w:top w:val="single" w:color="auto" w:sz="4"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47.4</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厂界4#</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46.1</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厂界5#</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45.1</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厂界6#</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45.7</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厂界7#</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46.1</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厂界8#</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45.3</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9</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厂界9#</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46.3</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厂界10#</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44.7</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11</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厂界11#</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44.9</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color w:val="auto"/>
                      <w:spacing w:val="-10"/>
                    </w:rPr>
                  </w:pPr>
                  <w:r>
                    <w:rPr>
                      <w:rFonts w:hint="eastAsia"/>
                      <w:color w:val="auto"/>
                      <w:spacing w:val="-10"/>
                    </w:rPr>
                    <w:t>厂界12#</w:t>
                  </w:r>
                </w:p>
              </w:tc>
              <w:tc>
                <w:tcPr>
                  <w:tcW w:w="12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45.1</w:t>
                  </w:r>
                </w:p>
              </w:tc>
              <w:tc>
                <w:tcPr>
                  <w:tcW w:w="549"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564" w:type="pct"/>
                  <w:vMerge w:val="continue"/>
                  <w:tcBorders>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bl>
          <w:p>
            <w:pPr>
              <w:adjustRightInd w:val="0"/>
              <w:snapToGrid w:val="0"/>
              <w:spacing w:line="480" w:lineRule="exact"/>
              <w:ind w:firstLine="480" w:firstLineChars="200"/>
              <w:rPr>
                <w:rFonts w:hAnsi="宋体"/>
                <w:color w:val="auto"/>
                <w:sz w:val="24"/>
                <w:szCs w:val="20"/>
              </w:rPr>
            </w:pPr>
            <w:r>
              <w:rPr>
                <w:rFonts w:hint="eastAsia" w:hAnsi="宋体"/>
                <w:color w:val="auto"/>
                <w:sz w:val="24"/>
                <w:szCs w:val="20"/>
              </w:rPr>
              <w:t>由表4-16中噪声预测结果可知：厂界贡献值范围在44.5～47.4dB(A)，均未超过《工业企业厂界环境噪声排放标准》(GB12348-2008)中2类标准值，厂界噪声达标排放。</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表4-12  项目噪声预测结果  dB（A）</w:t>
            </w:r>
          </w:p>
          <w:tbl>
            <w:tblPr>
              <w:tblStyle w:val="20"/>
              <w:tblW w:w="499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90"/>
              <w:gridCol w:w="1706"/>
              <w:gridCol w:w="876"/>
              <w:gridCol w:w="1137"/>
              <w:gridCol w:w="1137"/>
              <w:gridCol w:w="995"/>
              <w:gridCol w:w="995"/>
              <w:gridCol w:w="11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44"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995"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预测点位</w:t>
                  </w:r>
                </w:p>
              </w:tc>
              <w:tc>
                <w:tcPr>
                  <w:tcW w:w="511" w:type="pct"/>
                  <w:tcBorders>
                    <w:top w:val="single" w:color="auto" w:sz="2" w:space="0"/>
                    <w:left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时段</w:t>
                  </w:r>
                </w:p>
              </w:tc>
              <w:tc>
                <w:tcPr>
                  <w:tcW w:w="663" w:type="pct"/>
                  <w:tcBorders>
                    <w:top w:val="single" w:color="auto" w:sz="2" w:space="0"/>
                    <w:left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现状值</w:t>
                  </w:r>
                </w:p>
              </w:tc>
              <w:tc>
                <w:tcPr>
                  <w:tcW w:w="663" w:type="pct"/>
                  <w:tcBorders>
                    <w:top w:val="single" w:color="auto" w:sz="2" w:space="0"/>
                    <w:left w:val="single" w:color="auto" w:sz="4"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贡献值</w:t>
                  </w:r>
                </w:p>
              </w:tc>
              <w:tc>
                <w:tcPr>
                  <w:tcW w:w="580"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预测值</w:t>
                  </w:r>
                </w:p>
              </w:tc>
              <w:tc>
                <w:tcPr>
                  <w:tcW w:w="580"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标准值</w:t>
                  </w:r>
                </w:p>
              </w:tc>
              <w:tc>
                <w:tcPr>
                  <w:tcW w:w="660"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44" w:type="pct"/>
                  <w:vMerge w:val="restar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995" w:type="pct"/>
                  <w:vMerge w:val="restart"/>
                  <w:tcBorders>
                    <w:top w:val="single" w:color="auto" w:sz="2" w:space="0"/>
                    <w:left w:val="single" w:color="auto" w:sz="2" w:space="0"/>
                    <w:right w:val="single" w:color="auto" w:sz="2" w:space="0"/>
                  </w:tcBorders>
                  <w:vAlign w:val="center"/>
                </w:tcPr>
                <w:p>
                  <w:pPr>
                    <w:jc w:val="center"/>
                    <w:rPr>
                      <w:color w:val="auto"/>
                      <w:spacing w:val="-10"/>
                    </w:rPr>
                  </w:pPr>
                  <w:r>
                    <w:rPr>
                      <w:rFonts w:hint="eastAsia"/>
                      <w:color w:val="auto"/>
                      <w:spacing w:val="-10"/>
                    </w:rPr>
                    <w:t>云雾峪村13#</w:t>
                  </w:r>
                </w:p>
              </w:tc>
              <w:tc>
                <w:tcPr>
                  <w:tcW w:w="5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昼间</w:t>
                  </w:r>
                </w:p>
              </w:tc>
              <w:tc>
                <w:tcPr>
                  <w:tcW w:w="663"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53.9</w:t>
                  </w:r>
                </w:p>
              </w:tc>
              <w:tc>
                <w:tcPr>
                  <w:tcW w:w="663"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38.5</w:t>
                  </w:r>
                </w:p>
              </w:tc>
              <w:tc>
                <w:tcPr>
                  <w:tcW w:w="580"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54.02</w:t>
                  </w:r>
                </w:p>
              </w:tc>
              <w:tc>
                <w:tcPr>
                  <w:tcW w:w="580"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60</w:t>
                  </w:r>
                </w:p>
              </w:tc>
              <w:tc>
                <w:tcPr>
                  <w:tcW w:w="660"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44" w:type="pct"/>
                  <w:vMerge w:val="continue"/>
                  <w:tcBorders>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p>
              </w:tc>
              <w:tc>
                <w:tcPr>
                  <w:tcW w:w="995" w:type="pct"/>
                  <w:vMerge w:val="continue"/>
                  <w:tcBorders>
                    <w:left w:val="single" w:color="auto" w:sz="2" w:space="0"/>
                    <w:bottom w:val="single" w:color="auto" w:sz="2" w:space="0"/>
                    <w:right w:val="single" w:color="auto" w:sz="2" w:space="0"/>
                  </w:tcBorders>
                  <w:vAlign w:val="center"/>
                </w:tcPr>
                <w:p>
                  <w:pPr>
                    <w:jc w:val="center"/>
                    <w:rPr>
                      <w:color w:val="auto"/>
                      <w:spacing w:val="-10"/>
                    </w:rPr>
                  </w:pPr>
                </w:p>
              </w:tc>
              <w:tc>
                <w:tcPr>
                  <w:tcW w:w="511"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夜间</w:t>
                  </w:r>
                </w:p>
              </w:tc>
              <w:tc>
                <w:tcPr>
                  <w:tcW w:w="663"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43.8</w:t>
                  </w:r>
                </w:p>
              </w:tc>
              <w:tc>
                <w:tcPr>
                  <w:tcW w:w="663" w:type="pct"/>
                  <w:tcBorders>
                    <w:top w:val="single" w:color="auto" w:sz="2" w:space="0"/>
                    <w:left w:val="single" w:color="auto" w:sz="4"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38.5</w:t>
                  </w:r>
                </w:p>
              </w:tc>
              <w:tc>
                <w:tcPr>
                  <w:tcW w:w="580"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44.92</w:t>
                  </w:r>
                </w:p>
              </w:tc>
              <w:tc>
                <w:tcPr>
                  <w:tcW w:w="580" w:type="pct"/>
                  <w:tcBorders>
                    <w:top w:val="single" w:color="auto" w:sz="2" w:space="0"/>
                    <w:left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w:t>
                  </w:r>
                </w:p>
              </w:tc>
              <w:tc>
                <w:tcPr>
                  <w:tcW w:w="660" w:type="pct"/>
                  <w:tcBorders>
                    <w:top w:val="single" w:color="auto" w:sz="2" w:space="0"/>
                    <w:left w:val="single" w:color="auto" w:sz="2" w:space="0"/>
                    <w:bottom w:val="single" w:color="auto" w:sz="2" w:space="0"/>
                    <w:right w:val="single" w:color="auto" w:sz="2" w:space="0"/>
                  </w:tcBorders>
                  <w:vAlign w:val="center"/>
                </w:tcPr>
                <w:p>
                  <w:pPr>
                    <w:pStyle w:val="67"/>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bl>
          <w:p>
            <w:pPr>
              <w:adjustRightInd w:val="0"/>
              <w:snapToGrid w:val="0"/>
              <w:spacing w:line="480" w:lineRule="exact"/>
              <w:ind w:firstLine="480" w:firstLineChars="200"/>
              <w:rPr>
                <w:rFonts w:hAnsi="宋体"/>
                <w:color w:val="auto"/>
                <w:sz w:val="24"/>
                <w:szCs w:val="20"/>
              </w:rPr>
            </w:pPr>
            <w:r>
              <w:rPr>
                <w:rFonts w:hint="eastAsia" w:hAnsi="宋体"/>
                <w:color w:val="auto"/>
                <w:sz w:val="24"/>
                <w:szCs w:val="20"/>
              </w:rPr>
              <w:t>由表4-17中噪声预测结果可知：项目对敏感点云雾峪村贡献值为38.5dB(A)，昼间预测值为54.02dB(A)，夜间预测值为44.92dB(A)，未超过</w:t>
            </w:r>
            <w:r>
              <w:rPr>
                <w:rFonts w:hint="eastAsia"/>
                <w:color w:val="auto"/>
                <w:sz w:val="24"/>
                <w:szCs w:val="20"/>
                <w:lang w:bidi="ar"/>
              </w:rPr>
              <w:t>《声环境质量标准》</w:t>
            </w:r>
            <w:r>
              <w:rPr>
                <w:color w:val="auto"/>
                <w:sz w:val="24"/>
                <w:szCs w:val="20"/>
                <w:lang w:bidi="ar"/>
              </w:rPr>
              <w:t>(GB3096-2008)2</w:t>
            </w:r>
            <w:r>
              <w:rPr>
                <w:rFonts w:hint="eastAsia"/>
                <w:color w:val="auto"/>
                <w:sz w:val="24"/>
                <w:szCs w:val="20"/>
                <w:lang w:bidi="ar"/>
              </w:rPr>
              <w:t>类标准限值要求</w:t>
            </w:r>
            <w:r>
              <w:rPr>
                <w:rFonts w:hint="eastAsia" w:hAnsi="宋体"/>
                <w:color w:val="auto"/>
                <w:sz w:val="24"/>
                <w:szCs w:val="20"/>
              </w:rPr>
              <w:t>。</w:t>
            </w:r>
          </w:p>
          <w:p>
            <w:pPr>
              <w:adjustRightInd w:val="0"/>
              <w:snapToGrid w:val="0"/>
              <w:spacing w:line="480" w:lineRule="exact"/>
              <w:ind w:firstLine="482" w:firstLineChars="200"/>
              <w:rPr>
                <w:b/>
                <w:bCs/>
                <w:color w:val="auto"/>
                <w:sz w:val="24"/>
              </w:rPr>
            </w:pPr>
            <w:r>
              <w:rPr>
                <w:rFonts w:hint="eastAsia"/>
                <w:b/>
                <w:bCs/>
                <w:color w:val="auto"/>
                <w:sz w:val="24"/>
              </w:rPr>
              <w:t>声环境监测计划：</w:t>
            </w:r>
          </w:p>
          <w:p>
            <w:pPr>
              <w:adjustRightInd w:val="0"/>
              <w:snapToGrid w:val="0"/>
              <w:spacing w:line="480" w:lineRule="exact"/>
              <w:ind w:firstLine="480" w:firstLineChars="200"/>
              <w:rPr>
                <w:color w:val="auto"/>
                <w:sz w:val="24"/>
              </w:rPr>
            </w:pPr>
            <w:r>
              <w:rPr>
                <w:rFonts w:hint="eastAsia"/>
                <w:color w:val="auto"/>
                <w:sz w:val="24"/>
              </w:rPr>
              <w:t>根据《排污单位自行监测技术指南 总则》（HJ 819-2017），</w:t>
            </w:r>
            <w:r>
              <w:rPr>
                <w:rFonts w:hint="eastAsia"/>
                <w:bCs/>
                <w:color w:val="auto"/>
                <w:sz w:val="24"/>
              </w:rPr>
              <w:t>本项目声环境监测内容见下表。</w:t>
            </w:r>
          </w:p>
          <w:p>
            <w:pPr>
              <w:spacing w:line="480" w:lineRule="exact"/>
              <w:jc w:val="center"/>
              <w:rPr>
                <w:rFonts w:ascii="黑体" w:hAnsi="黑体" w:eastAsia="黑体"/>
                <w:color w:val="auto"/>
                <w:kern w:val="0"/>
                <w:sz w:val="24"/>
                <w:szCs w:val="32"/>
              </w:rPr>
            </w:pPr>
            <w:r>
              <w:rPr>
                <w:rFonts w:hint="eastAsia" w:ascii="黑体" w:hAnsi="黑体" w:eastAsia="黑体"/>
                <w:color w:val="auto"/>
                <w:kern w:val="0"/>
                <w:sz w:val="24"/>
                <w:szCs w:val="32"/>
              </w:rPr>
              <w:t>表</w:t>
            </w:r>
            <w:r>
              <w:rPr>
                <w:rFonts w:hint="eastAsia" w:ascii="黑体" w:hAnsi="黑体" w:eastAsia="黑体"/>
                <w:bCs/>
                <w:color w:val="auto"/>
                <w:sz w:val="24"/>
                <w:szCs w:val="32"/>
              </w:rPr>
              <w:t xml:space="preserve">4-13 </w:t>
            </w:r>
            <w:r>
              <w:rPr>
                <w:rFonts w:hint="eastAsia" w:ascii="黑体" w:hAnsi="黑体" w:eastAsia="黑体"/>
                <w:color w:val="auto"/>
                <w:kern w:val="0"/>
                <w:sz w:val="24"/>
                <w:szCs w:val="32"/>
              </w:rPr>
              <w:t xml:space="preserve"> 噪声监测方案</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689"/>
              <w:gridCol w:w="2312"/>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color w:val="auto"/>
                      <w:kern w:val="0"/>
                    </w:rPr>
                  </w:pPr>
                  <w:r>
                    <w:rPr>
                      <w:rFonts w:hint="eastAsia"/>
                      <w:color w:val="auto"/>
                      <w:kern w:val="0"/>
                    </w:rPr>
                    <w:t>监测点位</w:t>
                  </w:r>
                </w:p>
              </w:tc>
              <w:tc>
                <w:tcPr>
                  <w:tcW w:w="985" w:type="pct"/>
                  <w:vAlign w:val="center"/>
                </w:tcPr>
                <w:p>
                  <w:pPr>
                    <w:widowControl/>
                    <w:jc w:val="center"/>
                    <w:rPr>
                      <w:color w:val="auto"/>
                      <w:kern w:val="0"/>
                    </w:rPr>
                  </w:pPr>
                  <w:r>
                    <w:rPr>
                      <w:rFonts w:hint="eastAsia"/>
                      <w:color w:val="auto"/>
                      <w:kern w:val="0"/>
                    </w:rPr>
                    <w:t>监测指标</w:t>
                  </w:r>
                </w:p>
              </w:tc>
              <w:tc>
                <w:tcPr>
                  <w:tcW w:w="1348" w:type="pct"/>
                  <w:vAlign w:val="center"/>
                </w:tcPr>
                <w:p>
                  <w:pPr>
                    <w:widowControl/>
                    <w:jc w:val="center"/>
                    <w:rPr>
                      <w:color w:val="auto"/>
                      <w:kern w:val="0"/>
                    </w:rPr>
                  </w:pPr>
                  <w:r>
                    <w:rPr>
                      <w:rFonts w:hint="eastAsia"/>
                      <w:color w:val="auto"/>
                      <w:kern w:val="0"/>
                    </w:rPr>
                    <w:t>监测频次</w:t>
                  </w:r>
                </w:p>
              </w:tc>
              <w:tc>
                <w:tcPr>
                  <w:tcW w:w="1951" w:type="pct"/>
                  <w:vAlign w:val="center"/>
                </w:tcPr>
                <w:p>
                  <w:pPr>
                    <w:widowControl/>
                    <w:jc w:val="center"/>
                    <w:rPr>
                      <w:color w:val="auto"/>
                      <w:kern w:val="0"/>
                    </w:rPr>
                  </w:pPr>
                  <w:r>
                    <w:rPr>
                      <w:rFonts w:hint="eastAsia"/>
                      <w:color w:val="auto"/>
                      <w:kern w:val="0"/>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color w:val="auto"/>
                      <w:kern w:val="0"/>
                    </w:rPr>
                  </w:pPr>
                  <w:r>
                    <w:rPr>
                      <w:rFonts w:hint="eastAsia"/>
                      <w:color w:val="auto"/>
                    </w:rPr>
                    <w:t>厂界</w:t>
                  </w:r>
                </w:p>
              </w:tc>
              <w:tc>
                <w:tcPr>
                  <w:tcW w:w="985" w:type="pct"/>
                  <w:vAlign w:val="center"/>
                </w:tcPr>
                <w:p>
                  <w:pPr>
                    <w:widowControl/>
                    <w:jc w:val="center"/>
                    <w:rPr>
                      <w:color w:val="auto"/>
                      <w:kern w:val="0"/>
                    </w:rPr>
                  </w:pPr>
                  <w:r>
                    <w:rPr>
                      <w:rFonts w:hint="eastAsia"/>
                      <w:color w:val="auto"/>
                    </w:rPr>
                    <w:t>Leq，同时统计L</w:t>
                  </w:r>
                  <w:r>
                    <w:rPr>
                      <w:rFonts w:hint="eastAsia"/>
                      <w:color w:val="auto"/>
                      <w:vertAlign w:val="subscript"/>
                    </w:rPr>
                    <w:t>10</w:t>
                  </w:r>
                  <w:r>
                    <w:rPr>
                      <w:rFonts w:hint="eastAsia"/>
                      <w:color w:val="auto"/>
                    </w:rPr>
                    <w:t>、L</w:t>
                  </w:r>
                  <w:r>
                    <w:rPr>
                      <w:rFonts w:hint="eastAsia"/>
                      <w:color w:val="auto"/>
                      <w:vertAlign w:val="subscript"/>
                    </w:rPr>
                    <w:t>50</w:t>
                  </w:r>
                  <w:r>
                    <w:rPr>
                      <w:rFonts w:hint="eastAsia"/>
                      <w:color w:val="auto"/>
                    </w:rPr>
                    <w:t>、L</w:t>
                  </w:r>
                  <w:r>
                    <w:rPr>
                      <w:rFonts w:hint="eastAsia"/>
                      <w:color w:val="auto"/>
                      <w:vertAlign w:val="subscript"/>
                    </w:rPr>
                    <w:t>90</w:t>
                  </w:r>
                </w:p>
              </w:tc>
              <w:tc>
                <w:tcPr>
                  <w:tcW w:w="1348" w:type="pct"/>
                  <w:vAlign w:val="center"/>
                </w:tcPr>
                <w:p>
                  <w:pPr>
                    <w:widowControl/>
                    <w:jc w:val="center"/>
                    <w:rPr>
                      <w:color w:val="auto"/>
                      <w:kern w:val="0"/>
                    </w:rPr>
                  </w:pPr>
                  <w:r>
                    <w:rPr>
                      <w:rFonts w:hint="eastAsia"/>
                      <w:color w:val="auto"/>
                      <w:spacing w:val="4"/>
                    </w:rPr>
                    <w:t>每季度进行一次监测，每次昼夜各监测一次</w:t>
                  </w:r>
                </w:p>
              </w:tc>
              <w:tc>
                <w:tcPr>
                  <w:tcW w:w="1951" w:type="pct"/>
                  <w:vAlign w:val="center"/>
                </w:tcPr>
                <w:p>
                  <w:pPr>
                    <w:jc w:val="center"/>
                    <w:rPr>
                      <w:color w:val="auto"/>
                      <w:kern w:val="0"/>
                    </w:rPr>
                  </w:pPr>
                  <w:r>
                    <w:rPr>
                      <w:rFonts w:hint="eastAsia"/>
                      <w:color w:val="auto"/>
                    </w:rPr>
                    <w:t>《工业企业厂界环境噪声排放标准》（GB12348-2008）中2类</w:t>
                  </w:r>
                </w:p>
              </w:tc>
            </w:tr>
          </w:tbl>
          <w:p>
            <w:pPr>
              <w:adjustRightInd w:val="0"/>
              <w:snapToGrid w:val="0"/>
              <w:spacing w:line="480" w:lineRule="exact"/>
              <w:ind w:firstLine="482" w:firstLineChars="200"/>
              <w:rPr>
                <w:color w:val="auto"/>
                <w:sz w:val="24"/>
              </w:rPr>
            </w:pPr>
            <w:r>
              <w:rPr>
                <w:rFonts w:hint="eastAsia"/>
                <w:b/>
                <w:bCs/>
                <w:color w:val="auto"/>
                <w:sz w:val="24"/>
              </w:rPr>
              <w:t>5、运营期</w:t>
            </w:r>
            <w:r>
              <w:rPr>
                <w:rFonts w:hint="eastAsia"/>
                <w:b/>
                <w:color w:val="auto"/>
                <w:sz w:val="24"/>
              </w:rPr>
              <w:t>生态影响分析</w:t>
            </w:r>
          </w:p>
          <w:p>
            <w:pPr>
              <w:adjustRightInd w:val="0"/>
              <w:snapToGrid w:val="0"/>
              <w:spacing w:line="480" w:lineRule="exact"/>
              <w:ind w:firstLine="480" w:firstLineChars="200"/>
              <w:rPr>
                <w:color w:val="auto"/>
                <w:sz w:val="24"/>
              </w:rPr>
            </w:pPr>
            <w:r>
              <w:rPr>
                <w:rFonts w:hint="eastAsia"/>
                <w:color w:val="auto"/>
                <w:sz w:val="24"/>
                <w:lang w:bidi="ar"/>
              </w:rPr>
              <w:t>拟建厂址位于山西省忻州市繁峙县平型关镇云雾峪村，占地面积为</w:t>
            </w:r>
            <w:r>
              <w:rPr>
                <w:color w:val="auto"/>
                <w:sz w:val="24"/>
                <w:lang w:bidi="ar"/>
              </w:rPr>
              <w:t>320</w:t>
            </w:r>
            <w:r>
              <w:rPr>
                <w:rFonts w:hint="eastAsia"/>
                <w:color w:val="auto"/>
                <w:sz w:val="24"/>
                <w:lang w:bidi="ar"/>
              </w:rPr>
              <w:t>亩（约</w:t>
            </w:r>
            <w:r>
              <w:rPr>
                <w:color w:val="auto"/>
                <w:sz w:val="24"/>
                <w:lang w:bidi="ar"/>
              </w:rPr>
              <w:t>213333m</w:t>
            </w:r>
            <w:r>
              <w:rPr>
                <w:color w:val="auto"/>
                <w:sz w:val="24"/>
                <w:vertAlign w:val="superscript"/>
                <w:lang w:bidi="ar"/>
              </w:rPr>
              <w:t>2</w:t>
            </w:r>
            <w:r>
              <w:rPr>
                <w:rFonts w:hint="eastAsia"/>
                <w:color w:val="auto"/>
                <w:sz w:val="24"/>
                <w:lang w:bidi="ar"/>
              </w:rPr>
              <w:t>），为不相连的</w:t>
            </w:r>
            <w:r>
              <w:rPr>
                <w:color w:val="auto"/>
                <w:sz w:val="24"/>
                <w:lang w:bidi="ar"/>
              </w:rPr>
              <w:t>4</w:t>
            </w:r>
            <w:r>
              <w:rPr>
                <w:rFonts w:hint="eastAsia"/>
                <w:color w:val="auto"/>
                <w:sz w:val="24"/>
                <w:lang w:bidi="ar"/>
              </w:rPr>
              <w:t>个地块，</w:t>
            </w:r>
            <w:r>
              <w:rPr>
                <w:rFonts w:hint="eastAsia"/>
                <w:bCs/>
                <w:color w:val="auto"/>
                <w:sz w:val="24"/>
              </w:rPr>
              <w:t>用地性质为未利用地（其他草地和内陆滩涂）；项目附近以农业生态环境为主，植被类型比较单一，自然环境一般，主要是农业生态环境为主，无天然林及珍稀植被。区域内生物多样性程度较低，无需要特殊保护的动植物资源。</w:t>
            </w:r>
          </w:p>
          <w:p>
            <w:pPr>
              <w:adjustRightInd w:val="0"/>
              <w:snapToGrid w:val="0"/>
              <w:spacing w:line="480" w:lineRule="exact"/>
              <w:ind w:firstLine="480" w:firstLineChars="200"/>
              <w:rPr>
                <w:color w:val="auto"/>
                <w:sz w:val="24"/>
              </w:rPr>
            </w:pPr>
            <w:r>
              <w:rPr>
                <w:rFonts w:hint="eastAsia"/>
                <w:color w:val="auto"/>
                <w:sz w:val="24"/>
                <w:lang w:bidi="ar"/>
              </w:rPr>
              <w:t>为美化环境和减少污染，道路两侧地面进行绿化，绿化系数</w:t>
            </w:r>
            <w:r>
              <w:rPr>
                <w:color w:val="auto"/>
                <w:sz w:val="24"/>
                <w:lang w:bidi="ar"/>
              </w:rPr>
              <w:t>10%</w:t>
            </w:r>
            <w:r>
              <w:rPr>
                <w:rFonts w:hint="eastAsia"/>
                <w:color w:val="auto"/>
                <w:sz w:val="24"/>
                <w:lang w:bidi="ar"/>
              </w:rPr>
              <w:t>以上，特别是在生产区和厂前区应设绿化带，选择易管理、成活率较高的树种，同时采用常绿树与落叶树搭配的方式种植。厂前区、道路两侧空地以常青树、绿地、观赏树种为主，生产区种植防尘树种，以达到减弱噪声、防风固沙、调节气温、保持水土、改良气候的作用。</w:t>
            </w:r>
          </w:p>
          <w:p>
            <w:pPr>
              <w:adjustRightInd w:val="0"/>
              <w:snapToGrid w:val="0"/>
              <w:spacing w:line="480" w:lineRule="exact"/>
              <w:ind w:firstLine="482" w:firstLineChars="200"/>
              <w:rPr>
                <w:color w:val="auto"/>
                <w:sz w:val="24"/>
              </w:rPr>
            </w:pPr>
            <w:r>
              <w:rPr>
                <w:rFonts w:hint="eastAsia"/>
                <w:b/>
                <w:bCs/>
                <w:color w:val="auto"/>
                <w:sz w:val="24"/>
              </w:rPr>
              <w:t>6、地下水环境影响评价</w:t>
            </w:r>
          </w:p>
          <w:p>
            <w:pPr>
              <w:adjustRightInd w:val="0"/>
              <w:snapToGrid w:val="0"/>
              <w:spacing w:line="480" w:lineRule="exact"/>
              <w:ind w:firstLine="480" w:firstLineChars="200"/>
              <w:rPr>
                <w:color w:val="auto"/>
                <w:sz w:val="24"/>
              </w:rPr>
            </w:pPr>
            <w:r>
              <w:rPr>
                <w:rFonts w:hint="eastAsia"/>
                <w:color w:val="auto"/>
                <w:sz w:val="24"/>
              </w:rPr>
              <w:t>为防止在事故情况下项目对地下水造成影响，本次评价对项目厂区提出分区防渗的要求。</w:t>
            </w:r>
          </w:p>
          <w:p>
            <w:pPr>
              <w:adjustRightInd w:val="0"/>
              <w:snapToGrid w:val="0"/>
              <w:spacing w:line="480" w:lineRule="exact"/>
              <w:ind w:firstLine="480" w:firstLineChars="200"/>
              <w:rPr>
                <w:color w:val="auto"/>
                <w:sz w:val="24"/>
              </w:rPr>
            </w:pPr>
            <w:r>
              <w:rPr>
                <w:rFonts w:hint="eastAsia"/>
                <w:color w:val="auto"/>
                <w:sz w:val="24"/>
              </w:rPr>
              <w:t>本项目厂区防渗区应划分为重点防渗区、一般防渗区，防渗区则应按照不同分区要求，采取不同等级的防渗措施，并确保其可靠性和有效性。从而对地下水和土壤安全进行防控保护。</w:t>
            </w:r>
          </w:p>
          <w:p>
            <w:pPr>
              <w:adjustRightInd w:val="0"/>
              <w:snapToGrid w:val="0"/>
              <w:spacing w:line="480" w:lineRule="exact"/>
              <w:ind w:firstLine="480" w:firstLineChars="200"/>
              <w:rPr>
                <w:color w:val="auto"/>
                <w:sz w:val="24"/>
              </w:rPr>
            </w:pPr>
            <w:r>
              <w:rPr>
                <w:rFonts w:hint="eastAsia"/>
                <w:color w:val="auto"/>
                <w:sz w:val="24"/>
              </w:rPr>
              <w:t>本评价要求建设单位采取的各项防渗措施具体见下表。</w:t>
            </w:r>
          </w:p>
          <w:p>
            <w:pPr>
              <w:pStyle w:val="82"/>
              <w:spacing w:line="480" w:lineRule="exact"/>
              <w:ind w:firstLine="480"/>
              <w:rPr>
                <w:rFonts w:ascii="黑体" w:hAnsi="黑体" w:eastAsia="黑体"/>
                <w:color w:val="auto"/>
              </w:rPr>
            </w:pPr>
            <w:r>
              <w:rPr>
                <w:rFonts w:hint="eastAsia" w:ascii="黑体" w:hAnsi="黑体" w:eastAsia="黑体"/>
                <w:color w:val="auto"/>
              </w:rPr>
              <w:t>表4-14  本次评价要求采取的防渗处理措施一览表</w:t>
            </w:r>
          </w:p>
          <w:tbl>
            <w:tblPr>
              <w:tblStyle w:val="21"/>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741"/>
              <w:gridCol w:w="991"/>
              <w:gridCol w:w="1251"/>
              <w:gridCol w:w="4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序号</w:t>
                  </w:r>
                </w:p>
              </w:tc>
              <w:tc>
                <w:tcPr>
                  <w:tcW w:w="174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场地</w:t>
                  </w:r>
                </w:p>
              </w:tc>
              <w:tc>
                <w:tcPr>
                  <w:tcW w:w="991" w:type="dxa"/>
                  <w:vAlign w:val="center"/>
                </w:tcPr>
                <w:p>
                  <w:pPr>
                    <w:pStyle w:val="92"/>
                    <w:spacing w:before="0"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防渗</w:t>
                  </w:r>
                </w:p>
                <w:p>
                  <w:pPr>
                    <w:pStyle w:val="92"/>
                    <w:spacing w:before="0" w:line="240" w:lineRule="auto"/>
                    <w:ind w:firstLine="0" w:firstLineChars="0"/>
                    <w:jc w:val="center"/>
                    <w:rPr>
                      <w:color w:val="auto"/>
                    </w:rPr>
                  </w:pPr>
                  <w:r>
                    <w:rPr>
                      <w:rFonts w:hint="eastAsia" w:ascii="Times New Roman" w:hAnsi="Times New Roman"/>
                      <w:color w:val="auto"/>
                      <w:sz w:val="21"/>
                      <w:szCs w:val="21"/>
                    </w:rPr>
                    <w:t>分区</w:t>
                  </w:r>
                </w:p>
              </w:tc>
              <w:tc>
                <w:tcPr>
                  <w:tcW w:w="125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防渗技术要求</w:t>
                  </w:r>
                </w:p>
              </w:tc>
              <w:tc>
                <w:tcPr>
                  <w:tcW w:w="4024"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采取的防渗处理措施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1</w:t>
                  </w:r>
                </w:p>
              </w:tc>
              <w:tc>
                <w:tcPr>
                  <w:tcW w:w="174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危废暂存间</w:t>
                  </w:r>
                </w:p>
              </w:tc>
              <w:tc>
                <w:tcPr>
                  <w:tcW w:w="99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重点防渗区</w:t>
                  </w:r>
                </w:p>
              </w:tc>
              <w:tc>
                <w:tcPr>
                  <w:tcW w:w="125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等效粘土防渗层Mb≥6.0m，K≤1×10</w:t>
                  </w:r>
                  <w:r>
                    <w:rPr>
                      <w:rFonts w:hint="eastAsia" w:ascii="Times New Roman" w:hAnsi="Times New Roman"/>
                      <w:color w:val="auto"/>
                      <w:sz w:val="21"/>
                      <w:szCs w:val="21"/>
                      <w:vertAlign w:val="superscript"/>
                    </w:rPr>
                    <w:t>-7</w:t>
                  </w:r>
                  <w:r>
                    <w:rPr>
                      <w:rFonts w:hint="eastAsia" w:ascii="Times New Roman" w:hAnsi="Times New Roman"/>
                      <w:color w:val="auto"/>
                      <w:sz w:val="21"/>
                      <w:szCs w:val="21"/>
                    </w:rPr>
                    <w:t>cm/s</w:t>
                  </w:r>
                </w:p>
              </w:tc>
              <w:tc>
                <w:tcPr>
                  <w:tcW w:w="4024"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从上至下依次为：</w:t>
                  </w:r>
                  <w:r>
                    <w:rPr>
                      <w:rFonts w:hint="eastAsia" w:ascii="宋体" w:hAnsi="宋体" w:cs="宋体"/>
                      <w:color w:val="auto"/>
                      <w:sz w:val="21"/>
                      <w:szCs w:val="21"/>
                    </w:rPr>
                    <w:t>①</w:t>
                  </w:r>
                  <w:r>
                    <w:rPr>
                      <w:rFonts w:hint="eastAsia" w:ascii="Times New Roman" w:hAnsi="Times New Roman"/>
                      <w:color w:val="auto"/>
                      <w:sz w:val="21"/>
                      <w:szCs w:val="21"/>
                    </w:rPr>
                    <w:t>5mm 厚环氧砂浆面层；</w:t>
                  </w:r>
                  <w:r>
                    <w:rPr>
                      <w:rFonts w:hint="eastAsia" w:ascii="宋体" w:hAnsi="宋体" w:cs="宋体"/>
                      <w:color w:val="auto"/>
                      <w:sz w:val="21"/>
                      <w:szCs w:val="21"/>
                    </w:rPr>
                    <w:t>②</w:t>
                  </w:r>
                  <w:r>
                    <w:rPr>
                      <w:rFonts w:hint="eastAsia" w:ascii="Times New Roman" w:hAnsi="Times New Roman"/>
                      <w:color w:val="auto"/>
                      <w:sz w:val="21"/>
                      <w:szCs w:val="21"/>
                    </w:rPr>
                    <w:t>环氧玻璃钢（2 底 2 布）隔离层；</w:t>
                  </w:r>
                  <w:r>
                    <w:rPr>
                      <w:rFonts w:hint="eastAsia" w:ascii="宋体" w:hAnsi="宋体" w:cs="宋体"/>
                      <w:color w:val="auto"/>
                      <w:sz w:val="21"/>
                      <w:szCs w:val="21"/>
                    </w:rPr>
                    <w:t>③</w:t>
                  </w:r>
                  <w:r>
                    <w:rPr>
                      <w:rFonts w:hint="eastAsia" w:ascii="Times New Roman" w:hAnsi="Times New Roman"/>
                      <w:color w:val="auto"/>
                      <w:sz w:val="21"/>
                      <w:szCs w:val="21"/>
                    </w:rPr>
                    <w:t>30mm 厚 C25 细石混凝土找平层；</w:t>
                  </w:r>
                  <w:r>
                    <w:rPr>
                      <w:rFonts w:hint="eastAsia" w:ascii="宋体" w:hAnsi="宋体" w:cs="宋体"/>
                      <w:color w:val="auto"/>
                      <w:sz w:val="21"/>
                      <w:szCs w:val="21"/>
                    </w:rPr>
                    <w:t>④</w:t>
                  </w:r>
                  <w:r>
                    <w:rPr>
                      <w:rFonts w:hint="eastAsia" w:ascii="Times New Roman" w:hAnsi="Times New Roman"/>
                      <w:color w:val="auto"/>
                      <w:sz w:val="21"/>
                      <w:szCs w:val="21"/>
                    </w:rPr>
                    <w:t>150mm 厚 C20 混凝土，内配 8mm 双向钢筋，网格为 200×200；</w:t>
                  </w:r>
                  <w:r>
                    <w:rPr>
                      <w:rFonts w:hint="eastAsia" w:ascii="宋体" w:hAnsi="宋体" w:cs="宋体"/>
                      <w:color w:val="auto"/>
                      <w:sz w:val="21"/>
                      <w:szCs w:val="21"/>
                    </w:rPr>
                    <w:t>⑤</w:t>
                  </w:r>
                  <w:r>
                    <w:rPr>
                      <w:rFonts w:hint="eastAsia" w:ascii="Times New Roman" w:hAnsi="Times New Roman"/>
                      <w:color w:val="auto"/>
                      <w:sz w:val="21"/>
                      <w:szCs w:val="21"/>
                    </w:rPr>
                    <w:t>300mm 厚级配碎石，压实系数≥0.95，地基承载力特征值 fak≥100kPa；</w:t>
                  </w:r>
                  <w:r>
                    <w:rPr>
                      <w:rFonts w:hint="eastAsia" w:ascii="宋体" w:hAnsi="宋体" w:cs="宋体"/>
                      <w:color w:val="auto"/>
                      <w:sz w:val="21"/>
                      <w:szCs w:val="21"/>
                    </w:rPr>
                    <w:t>⑥</w:t>
                  </w:r>
                  <w:r>
                    <w:rPr>
                      <w:rFonts w:hint="eastAsia" w:ascii="Times New Roman" w:hAnsi="Times New Roman"/>
                      <w:color w:val="auto"/>
                      <w:sz w:val="21"/>
                      <w:szCs w:val="21"/>
                    </w:rPr>
                    <w:t>素土夯实。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2</w:t>
                  </w:r>
                </w:p>
              </w:tc>
              <w:tc>
                <w:tcPr>
                  <w:tcW w:w="174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储煤库、淋控废水收集池、洗车废水收集池、初期雨水池等区域</w:t>
                  </w:r>
                </w:p>
              </w:tc>
              <w:tc>
                <w:tcPr>
                  <w:tcW w:w="99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一般防渗区</w:t>
                  </w:r>
                </w:p>
              </w:tc>
              <w:tc>
                <w:tcPr>
                  <w:tcW w:w="125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等效粘土防渗层Mb≥1.5m，K≤1×10</w:t>
                  </w:r>
                  <w:r>
                    <w:rPr>
                      <w:rFonts w:hint="eastAsia" w:ascii="Times New Roman" w:hAnsi="Times New Roman"/>
                      <w:color w:val="auto"/>
                      <w:sz w:val="21"/>
                      <w:szCs w:val="21"/>
                      <w:vertAlign w:val="superscript"/>
                    </w:rPr>
                    <w:t>-7</w:t>
                  </w:r>
                  <w:r>
                    <w:rPr>
                      <w:rFonts w:hint="eastAsia" w:ascii="Times New Roman" w:hAnsi="Times New Roman"/>
                      <w:color w:val="auto"/>
                      <w:sz w:val="21"/>
                      <w:szCs w:val="21"/>
                    </w:rPr>
                    <w:t>cm/s</w:t>
                  </w:r>
                </w:p>
              </w:tc>
              <w:tc>
                <w:tcPr>
                  <w:tcW w:w="4024"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车间底部采用混凝土，强度等级为C30，抗渗等级为P6，地面刷防腐防渗涂料。垫层为强度等级为C10的素混凝土，基础土分层夯实。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3</w:t>
                  </w:r>
                </w:p>
              </w:tc>
              <w:tc>
                <w:tcPr>
                  <w:tcW w:w="174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办公区</w:t>
                  </w:r>
                </w:p>
              </w:tc>
              <w:tc>
                <w:tcPr>
                  <w:tcW w:w="991" w:type="dxa"/>
                  <w:vAlign w:val="center"/>
                </w:tcPr>
                <w:p>
                  <w:pPr>
                    <w:pStyle w:val="92"/>
                    <w:spacing w:before="0" w:line="240" w:lineRule="auto"/>
                    <w:ind w:firstLine="0" w:firstLineChars="0"/>
                    <w:jc w:val="center"/>
                    <w:rPr>
                      <w:color w:val="auto"/>
                    </w:rPr>
                  </w:pPr>
                  <w:r>
                    <w:rPr>
                      <w:rFonts w:hint="eastAsia" w:ascii="Times New Roman" w:hAnsi="Times New Roman"/>
                      <w:color w:val="auto"/>
                      <w:sz w:val="21"/>
                      <w:szCs w:val="21"/>
                    </w:rPr>
                    <w:t>简单防渗区</w:t>
                  </w:r>
                </w:p>
              </w:tc>
              <w:tc>
                <w:tcPr>
                  <w:tcW w:w="1251" w:type="dxa"/>
                  <w:vAlign w:val="center"/>
                </w:tcPr>
                <w:p>
                  <w:pPr>
                    <w:pStyle w:val="92"/>
                    <w:spacing w:before="0"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一般地面</w:t>
                  </w:r>
                </w:p>
                <w:p>
                  <w:pPr>
                    <w:pStyle w:val="92"/>
                    <w:spacing w:before="0" w:line="240" w:lineRule="auto"/>
                    <w:ind w:firstLine="0" w:firstLineChars="0"/>
                    <w:jc w:val="center"/>
                    <w:rPr>
                      <w:color w:val="auto"/>
                    </w:rPr>
                  </w:pPr>
                  <w:r>
                    <w:rPr>
                      <w:rFonts w:hint="eastAsia" w:ascii="Times New Roman" w:hAnsi="Times New Roman"/>
                      <w:color w:val="auto"/>
                      <w:sz w:val="21"/>
                      <w:szCs w:val="21"/>
                    </w:rPr>
                    <w:t>硬化</w:t>
                  </w:r>
                </w:p>
              </w:tc>
              <w:tc>
                <w:tcPr>
                  <w:tcW w:w="4024" w:type="dxa"/>
                  <w:vAlign w:val="center"/>
                </w:tcPr>
                <w:p>
                  <w:pPr>
                    <w:pStyle w:val="92"/>
                    <w:spacing w:before="0" w:line="240" w:lineRule="auto"/>
                    <w:ind w:firstLine="0" w:firstLineChars="0"/>
                    <w:jc w:val="center"/>
                    <w:rPr>
                      <w:color w:val="auto"/>
                    </w:rPr>
                  </w:pPr>
                  <w:r>
                    <w:rPr>
                      <w:rFonts w:hint="eastAsia" w:ascii="Times New Roman" w:hAnsi="Times New Roman"/>
                      <w:color w:val="auto"/>
                      <w:spacing w:val="-4"/>
                      <w:sz w:val="21"/>
                      <w:szCs w:val="21"/>
                    </w:rPr>
                    <w:t>C30混凝土硬化</w:t>
                  </w:r>
                  <w:r>
                    <w:rPr>
                      <w:rFonts w:hint="eastAsia" w:ascii="Times New Roman" w:hAnsi="Times New Roman"/>
                      <w:color w:val="auto"/>
                      <w:sz w:val="21"/>
                      <w:szCs w:val="21"/>
                    </w:rPr>
                    <w:t>；基础土分层夯实，压实系数不小于0.95。</w:t>
                  </w:r>
                </w:p>
              </w:tc>
            </w:tr>
          </w:tbl>
          <w:p>
            <w:pPr>
              <w:adjustRightInd w:val="0"/>
              <w:snapToGrid w:val="0"/>
              <w:spacing w:line="480" w:lineRule="exact"/>
              <w:ind w:firstLine="480" w:firstLineChars="200"/>
              <w:rPr>
                <w:color w:val="auto"/>
                <w:sz w:val="24"/>
              </w:rPr>
            </w:pPr>
            <w:r>
              <w:rPr>
                <w:rFonts w:hint="eastAsia" w:ascii="宋体" w:hAnsi="宋体" w:cs="宋体"/>
                <w:color w:val="auto"/>
                <w:sz w:val="24"/>
                <w:szCs w:val="24"/>
              </w:rPr>
              <w:t>本次评价要求建设单位加强环保措施的运行管理，保证其稳定运行，降低气态污染物的排放，同时加强车间地面维护工作，防止地面出现裂缝等，降低污染物入渗对地下水环境的影响。</w:t>
            </w:r>
          </w:p>
          <w:p>
            <w:pPr>
              <w:adjustRightInd w:val="0"/>
              <w:snapToGrid w:val="0"/>
              <w:spacing w:line="480" w:lineRule="exact"/>
              <w:ind w:firstLine="482" w:firstLineChars="200"/>
              <w:rPr>
                <w:color w:val="auto"/>
                <w:sz w:val="24"/>
              </w:rPr>
            </w:pPr>
            <w:r>
              <w:rPr>
                <w:rFonts w:hint="eastAsia"/>
                <w:b/>
                <w:bCs/>
                <w:color w:val="auto"/>
                <w:sz w:val="24"/>
              </w:rPr>
              <w:t>7、</w:t>
            </w:r>
            <w:r>
              <w:rPr>
                <w:rFonts w:hint="eastAsia"/>
                <w:b/>
                <w:bCs/>
                <w:color w:val="auto"/>
                <w:kern w:val="0"/>
                <w:sz w:val="24"/>
              </w:rPr>
              <w:t>土壤环境影响评价</w:t>
            </w:r>
          </w:p>
          <w:p>
            <w:pPr>
              <w:adjustRightInd w:val="0"/>
              <w:snapToGrid w:val="0"/>
              <w:spacing w:line="480" w:lineRule="exact"/>
              <w:ind w:firstLine="480" w:firstLineChars="200"/>
              <w:rPr>
                <w:bCs/>
                <w:color w:val="auto"/>
                <w:sz w:val="24"/>
              </w:rPr>
            </w:pPr>
            <w:r>
              <w:rPr>
                <w:bCs/>
                <w:color w:val="auto"/>
                <w:sz w:val="24"/>
              </w:rPr>
              <w:t>本项目土壤污染源主要为危废暂存间暂存的危险废物泄露，由于地面开裂或者防渗性能没有达到相关要求，从而下渗对土壤造成污染。</w:t>
            </w:r>
          </w:p>
          <w:p>
            <w:pPr>
              <w:adjustRightInd w:val="0"/>
              <w:snapToGrid w:val="0"/>
              <w:spacing w:line="480" w:lineRule="exact"/>
              <w:ind w:firstLine="480" w:firstLineChars="200"/>
              <w:rPr>
                <w:bCs/>
                <w:color w:val="auto"/>
                <w:sz w:val="24"/>
              </w:rPr>
            </w:pPr>
            <w:r>
              <w:rPr>
                <w:bCs/>
                <w:color w:val="auto"/>
                <w:sz w:val="24"/>
              </w:rPr>
              <w:t>根据《危险废物贮存污染控制标准》（GB18597-2001）及《危险废物转移联单管理办法》（国家环境保护总局令 第五号）的要求，本报告对项目产生的危险废物的贮存、管理提出如下要求：</w:t>
            </w:r>
          </w:p>
          <w:p>
            <w:pPr>
              <w:adjustRightInd w:val="0"/>
              <w:snapToGrid w:val="0"/>
              <w:spacing w:line="480" w:lineRule="exact"/>
              <w:ind w:firstLine="480" w:firstLineChars="200"/>
              <w:rPr>
                <w:bCs/>
                <w:color w:val="auto"/>
                <w:sz w:val="24"/>
              </w:rPr>
            </w:pPr>
            <w:r>
              <w:rPr>
                <w:bCs/>
                <w:color w:val="auto"/>
                <w:sz w:val="24"/>
              </w:rPr>
              <w:t>1）建危险废物贮存专用库房。基础必须防渗，防渗层为至少1m厚粘土层（渗透系数≤10</w:t>
            </w:r>
            <w:r>
              <w:rPr>
                <w:bCs/>
                <w:color w:val="auto"/>
                <w:sz w:val="24"/>
                <w:vertAlign w:val="superscript"/>
              </w:rPr>
              <w:t>-7</w:t>
            </w:r>
            <w:r>
              <w:rPr>
                <w:bCs/>
                <w:color w:val="auto"/>
                <w:sz w:val="24"/>
              </w:rPr>
              <w:t>cm/s），或2mm厚高密度聚乙烯，或至少2mm厚的其它人工材料，渗透系数≤10</w:t>
            </w:r>
            <w:r>
              <w:rPr>
                <w:bCs/>
                <w:color w:val="auto"/>
                <w:sz w:val="24"/>
                <w:vertAlign w:val="superscript"/>
              </w:rPr>
              <w:t>-10</w:t>
            </w:r>
            <w:r>
              <w:rPr>
                <w:bCs/>
                <w:color w:val="auto"/>
                <w:sz w:val="24"/>
              </w:rPr>
              <w:t>cm/s。</w:t>
            </w:r>
          </w:p>
          <w:p>
            <w:pPr>
              <w:adjustRightInd w:val="0"/>
              <w:snapToGrid w:val="0"/>
              <w:spacing w:line="480" w:lineRule="exact"/>
              <w:ind w:firstLine="480" w:firstLineChars="200"/>
              <w:rPr>
                <w:bCs/>
                <w:color w:val="auto"/>
                <w:sz w:val="24"/>
              </w:rPr>
            </w:pPr>
            <w:r>
              <w:rPr>
                <w:bCs/>
                <w:color w:val="auto"/>
                <w:sz w:val="24"/>
              </w:rPr>
              <w:t>2）危险废物贮存间，采取防风、防雨、防晒、防渗漏等措施。</w:t>
            </w:r>
          </w:p>
          <w:p>
            <w:pPr>
              <w:adjustRightInd w:val="0"/>
              <w:snapToGrid w:val="0"/>
              <w:spacing w:line="480" w:lineRule="exact"/>
              <w:ind w:firstLine="480" w:firstLineChars="200"/>
              <w:rPr>
                <w:bCs/>
                <w:color w:val="auto"/>
                <w:sz w:val="24"/>
              </w:rPr>
            </w:pPr>
            <w:r>
              <w:rPr>
                <w:bCs/>
                <w:color w:val="auto"/>
                <w:sz w:val="24"/>
              </w:rPr>
              <w:t>3）必须有耐腐蚀的硬化地面，且表面无裂隙；</w:t>
            </w:r>
          </w:p>
          <w:p>
            <w:pPr>
              <w:adjustRightInd w:val="0"/>
              <w:snapToGrid w:val="0"/>
              <w:spacing w:line="480" w:lineRule="exact"/>
              <w:ind w:firstLine="480" w:firstLineChars="200"/>
              <w:rPr>
                <w:bCs/>
                <w:color w:val="auto"/>
                <w:sz w:val="24"/>
              </w:rPr>
            </w:pPr>
            <w:r>
              <w:rPr>
                <w:bCs/>
                <w:color w:val="auto"/>
                <w:sz w:val="24"/>
              </w:rPr>
              <w:t>4）设施内要有安全照明设施和观察窗口；</w:t>
            </w:r>
          </w:p>
          <w:p>
            <w:pPr>
              <w:adjustRightInd w:val="0"/>
              <w:snapToGrid w:val="0"/>
              <w:spacing w:line="480" w:lineRule="exact"/>
              <w:ind w:firstLine="480" w:firstLineChars="200"/>
              <w:rPr>
                <w:bCs/>
                <w:color w:val="auto"/>
                <w:sz w:val="24"/>
              </w:rPr>
            </w:pPr>
            <w:r>
              <w:rPr>
                <w:bCs/>
                <w:color w:val="auto"/>
                <w:sz w:val="24"/>
              </w:rPr>
              <w:t>5）暂存间的地面设置导流槽、集液池；</w:t>
            </w:r>
          </w:p>
          <w:p>
            <w:pPr>
              <w:adjustRightInd w:val="0"/>
              <w:snapToGrid w:val="0"/>
              <w:spacing w:line="480" w:lineRule="exact"/>
              <w:ind w:firstLine="480" w:firstLineChars="200"/>
              <w:rPr>
                <w:bCs/>
                <w:color w:val="auto"/>
                <w:sz w:val="24"/>
              </w:rPr>
            </w:pPr>
            <w:r>
              <w:rPr>
                <w:bCs/>
                <w:color w:val="auto"/>
                <w:sz w:val="24"/>
              </w:rPr>
              <w:t>6）危废暂存间采取专人负责制；</w:t>
            </w:r>
          </w:p>
          <w:p>
            <w:pPr>
              <w:adjustRightInd w:val="0"/>
              <w:snapToGrid w:val="0"/>
              <w:spacing w:line="480" w:lineRule="exact"/>
              <w:ind w:firstLine="480" w:firstLineChars="200"/>
              <w:rPr>
                <w:bCs/>
                <w:color w:val="auto"/>
                <w:sz w:val="24"/>
              </w:rPr>
            </w:pPr>
            <w:r>
              <w:rPr>
                <w:bCs/>
                <w:color w:val="auto"/>
                <w:sz w:val="24"/>
              </w:rPr>
              <w:t>7）盛装危险废物的容器上必须粘贴符合《危险废物贮存污染控制标准》（GB18597-2001）的标签。危险废物贮存房不得接受未粘贴上述标签或标签填写不规范的危险废物；</w:t>
            </w:r>
          </w:p>
          <w:p>
            <w:pPr>
              <w:adjustRightInd w:val="0"/>
              <w:snapToGrid w:val="0"/>
              <w:spacing w:line="480" w:lineRule="exact"/>
              <w:ind w:firstLine="480" w:firstLineChars="200"/>
              <w:rPr>
                <w:bCs/>
                <w:color w:val="auto"/>
                <w:sz w:val="24"/>
              </w:rPr>
            </w:pPr>
            <w:r>
              <w:rPr>
                <w:bCs/>
                <w:color w:val="auto"/>
                <w:sz w:val="24"/>
              </w:rPr>
              <w:t>8）必须做好危险废物记录，记录上须注明危险废物名称、来源、数量、特性和包装容器的类别、入库日期、存放库位、废物出库日期及接收单位。危险废物的记录和货单在危险废物回收后继续保留三年；</w:t>
            </w:r>
          </w:p>
          <w:p>
            <w:pPr>
              <w:adjustRightInd w:val="0"/>
              <w:snapToGrid w:val="0"/>
              <w:spacing w:line="480" w:lineRule="exact"/>
              <w:ind w:firstLine="480" w:firstLineChars="200"/>
              <w:rPr>
                <w:bCs/>
                <w:color w:val="auto"/>
                <w:sz w:val="24"/>
              </w:rPr>
            </w:pPr>
            <w:r>
              <w:rPr>
                <w:bCs/>
                <w:color w:val="auto"/>
                <w:sz w:val="24"/>
              </w:rPr>
              <w:t>9）必须定期对所贮存的危险废物包装容器及贮存设施进行检查，发现破损，应及时采取措施清理更换；</w:t>
            </w:r>
          </w:p>
          <w:p>
            <w:pPr>
              <w:adjustRightInd w:val="0"/>
              <w:snapToGrid w:val="0"/>
              <w:spacing w:line="480" w:lineRule="exact"/>
              <w:ind w:firstLine="480" w:firstLineChars="200"/>
              <w:rPr>
                <w:bCs/>
                <w:color w:val="auto"/>
                <w:sz w:val="24"/>
              </w:rPr>
            </w:pPr>
            <w:r>
              <w:rPr>
                <w:bCs/>
                <w:color w:val="auto"/>
                <w:sz w:val="24"/>
              </w:rPr>
              <w:t>10）危险废物贮存库房设置灭火器等防火设备，做好火灾的预防工作；通过采取上述措施，能够有效保证危险废物贮存、转运过程中不会发生污染土壤的泄漏事故。本项目的运营不会对土壤形成明显不利影响。</w:t>
            </w:r>
          </w:p>
          <w:p>
            <w:pPr>
              <w:adjustRightInd w:val="0"/>
              <w:snapToGrid w:val="0"/>
              <w:spacing w:line="480" w:lineRule="exact"/>
              <w:ind w:firstLine="482" w:firstLineChars="200"/>
              <w:rPr>
                <w:color w:val="auto"/>
                <w:sz w:val="24"/>
              </w:rPr>
            </w:pPr>
            <w:r>
              <w:rPr>
                <w:rFonts w:hint="eastAsia"/>
                <w:b/>
                <w:bCs/>
                <w:color w:val="auto"/>
                <w:sz w:val="24"/>
              </w:rPr>
              <w:t>8、环境风险影响分析</w:t>
            </w:r>
          </w:p>
          <w:p>
            <w:pPr>
              <w:spacing w:line="480" w:lineRule="exact"/>
              <w:ind w:firstLine="480" w:firstLineChars="200"/>
              <w:rPr>
                <w:rFonts w:ascii="宋体" w:hAnsi="宋体" w:cs="宋体"/>
                <w:color w:val="auto"/>
                <w:sz w:val="24"/>
              </w:rPr>
            </w:pPr>
            <w:r>
              <w:rPr>
                <w:rFonts w:hint="eastAsia" w:ascii="宋体" w:hAnsi="宋体" w:cs="宋体"/>
                <w:color w:val="auto"/>
                <w:sz w:val="24"/>
              </w:rPr>
              <w:t>本项目</w:t>
            </w:r>
            <w:r>
              <w:rPr>
                <w:rFonts w:hint="eastAsia" w:ascii="宋体" w:hAnsi="宋体" w:cs="宋体"/>
                <w:color w:val="auto"/>
                <w:sz w:val="24"/>
                <w:lang w:eastAsia="zh-CN"/>
              </w:rPr>
              <w:t>涉及的</w:t>
            </w:r>
            <w:r>
              <w:rPr>
                <w:rFonts w:hint="eastAsia" w:ascii="宋体" w:hAnsi="宋体" w:cs="宋体"/>
                <w:color w:val="auto"/>
                <w:sz w:val="24"/>
              </w:rPr>
              <w:t>危险物质为废矿物油，项目在运行过程中存在着发生火灾、爆炸等突发风险事故的可能性。</w:t>
            </w:r>
          </w:p>
          <w:p>
            <w:pPr>
              <w:adjustRightInd w:val="0"/>
              <w:snapToGrid w:val="0"/>
              <w:spacing w:line="480" w:lineRule="exact"/>
              <w:ind w:firstLine="480" w:firstLineChars="200"/>
              <w:rPr>
                <w:rFonts w:ascii="宋体" w:hAnsi="宋体" w:cs="宋体"/>
                <w:bCs/>
                <w:color w:val="auto"/>
                <w:sz w:val="24"/>
              </w:rPr>
            </w:pPr>
            <w:r>
              <w:rPr>
                <w:rFonts w:hint="eastAsia" w:ascii="宋体" w:hAnsi="宋体" w:cs="宋体"/>
                <w:color w:val="auto"/>
                <w:sz w:val="24"/>
              </w:rPr>
              <w:t>根据《建设项目环境</w:t>
            </w:r>
            <w:r>
              <w:rPr>
                <w:rFonts w:hint="eastAsia"/>
                <w:color w:val="auto"/>
                <w:sz w:val="24"/>
              </w:rPr>
              <w:t>风险评价技术导则（HJ169-2018）》，本项目危险物质数量和临界量比值（Q）见下表。</w:t>
            </w:r>
          </w:p>
          <w:p>
            <w:pPr>
              <w:pStyle w:val="82"/>
              <w:spacing w:line="480" w:lineRule="exact"/>
              <w:ind w:firstLine="480"/>
              <w:rPr>
                <w:rFonts w:ascii="黑体" w:hAnsi="黑体" w:eastAsia="黑体"/>
                <w:color w:val="auto"/>
              </w:rPr>
            </w:pPr>
            <w:r>
              <w:rPr>
                <w:rFonts w:hint="eastAsia" w:ascii="黑体" w:hAnsi="黑体" w:eastAsia="黑体"/>
                <w:color w:val="auto"/>
              </w:rPr>
              <w:t>表4-15  危险物质数量和临界量比值表</w:t>
            </w:r>
          </w:p>
          <w:tbl>
            <w:tblPr>
              <w:tblStyle w:val="21"/>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364"/>
              <w:gridCol w:w="1431"/>
              <w:gridCol w:w="1105"/>
              <w:gridCol w:w="1855"/>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Align w:val="center"/>
                </w:tcPr>
                <w:p>
                  <w:pPr>
                    <w:autoSpaceDE w:val="0"/>
                    <w:autoSpaceDN w:val="0"/>
                    <w:adjustRightInd w:val="0"/>
                    <w:snapToGrid w:val="0"/>
                    <w:jc w:val="center"/>
                    <w:rPr>
                      <w:bCs/>
                      <w:color w:val="auto"/>
                      <w:sz w:val="24"/>
                    </w:rPr>
                  </w:pPr>
                  <w:r>
                    <w:rPr>
                      <w:color w:val="auto"/>
                    </w:rPr>
                    <w:t>类别</w:t>
                  </w:r>
                </w:p>
              </w:tc>
              <w:tc>
                <w:tcPr>
                  <w:tcW w:w="1364" w:type="dxa"/>
                  <w:vAlign w:val="center"/>
                </w:tcPr>
                <w:p>
                  <w:pPr>
                    <w:autoSpaceDE w:val="0"/>
                    <w:autoSpaceDN w:val="0"/>
                    <w:adjustRightInd w:val="0"/>
                    <w:snapToGrid w:val="0"/>
                    <w:jc w:val="center"/>
                    <w:rPr>
                      <w:bCs/>
                      <w:color w:val="auto"/>
                      <w:sz w:val="24"/>
                    </w:rPr>
                  </w:pPr>
                  <w:r>
                    <w:rPr>
                      <w:color w:val="auto"/>
                    </w:rPr>
                    <w:t>化学品名称</w:t>
                  </w:r>
                </w:p>
              </w:tc>
              <w:tc>
                <w:tcPr>
                  <w:tcW w:w="1431" w:type="dxa"/>
                  <w:vAlign w:val="center"/>
                </w:tcPr>
                <w:p>
                  <w:pPr>
                    <w:autoSpaceDE w:val="0"/>
                    <w:autoSpaceDN w:val="0"/>
                    <w:adjustRightInd w:val="0"/>
                    <w:snapToGrid w:val="0"/>
                    <w:jc w:val="center"/>
                    <w:rPr>
                      <w:bCs/>
                      <w:color w:val="auto"/>
                      <w:sz w:val="24"/>
                    </w:rPr>
                  </w:pPr>
                  <w:r>
                    <w:rPr>
                      <w:color w:val="auto"/>
                    </w:rPr>
                    <w:t>物质存在量</w:t>
                  </w:r>
                </w:p>
              </w:tc>
              <w:tc>
                <w:tcPr>
                  <w:tcW w:w="1105" w:type="dxa"/>
                  <w:vAlign w:val="center"/>
                </w:tcPr>
                <w:p>
                  <w:pPr>
                    <w:autoSpaceDE w:val="0"/>
                    <w:autoSpaceDN w:val="0"/>
                    <w:adjustRightInd w:val="0"/>
                    <w:snapToGrid w:val="0"/>
                    <w:jc w:val="center"/>
                    <w:rPr>
                      <w:bCs/>
                      <w:color w:val="auto"/>
                      <w:sz w:val="24"/>
                    </w:rPr>
                  </w:pPr>
                  <w:r>
                    <w:rPr>
                      <w:color w:val="auto"/>
                    </w:rPr>
                    <w:t>临界量</w:t>
                  </w:r>
                </w:p>
              </w:tc>
              <w:tc>
                <w:tcPr>
                  <w:tcW w:w="1855" w:type="dxa"/>
                  <w:vAlign w:val="center"/>
                </w:tcPr>
                <w:p>
                  <w:pPr>
                    <w:autoSpaceDE w:val="0"/>
                    <w:autoSpaceDN w:val="0"/>
                    <w:adjustRightInd w:val="0"/>
                    <w:snapToGrid w:val="0"/>
                    <w:jc w:val="center"/>
                    <w:rPr>
                      <w:bCs/>
                      <w:color w:val="auto"/>
                      <w:sz w:val="24"/>
                    </w:rPr>
                  </w:pPr>
                  <w:r>
                    <w:rPr>
                      <w:color w:val="auto"/>
                    </w:rPr>
                    <w:t>该种危险物质Q值</w:t>
                  </w:r>
                </w:p>
              </w:tc>
              <w:tc>
                <w:tcPr>
                  <w:tcW w:w="1585" w:type="dxa"/>
                  <w:vAlign w:val="center"/>
                </w:tcPr>
                <w:p>
                  <w:pPr>
                    <w:autoSpaceDE w:val="0"/>
                    <w:autoSpaceDN w:val="0"/>
                    <w:adjustRightInd w:val="0"/>
                    <w:snapToGrid w:val="0"/>
                    <w:jc w:val="center"/>
                    <w:rPr>
                      <w:bCs/>
                      <w:color w:val="auto"/>
                      <w:sz w:val="24"/>
                    </w:rPr>
                  </w:pPr>
                  <w:r>
                    <w:rPr>
                      <w:color w:val="auto"/>
                    </w:rPr>
                    <w:t>环境风险潜势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Align w:val="center"/>
                </w:tcPr>
                <w:p>
                  <w:pPr>
                    <w:autoSpaceDE w:val="0"/>
                    <w:autoSpaceDN w:val="0"/>
                    <w:adjustRightInd w:val="0"/>
                    <w:snapToGrid w:val="0"/>
                    <w:jc w:val="center"/>
                    <w:rPr>
                      <w:bCs/>
                      <w:color w:val="auto"/>
                      <w:sz w:val="24"/>
                    </w:rPr>
                  </w:pPr>
                  <w:r>
                    <w:rPr>
                      <w:color w:val="auto"/>
                    </w:rPr>
                    <w:t>易燃液体</w:t>
                  </w:r>
                </w:p>
              </w:tc>
              <w:tc>
                <w:tcPr>
                  <w:tcW w:w="1364" w:type="dxa"/>
                  <w:vAlign w:val="center"/>
                </w:tcPr>
                <w:p>
                  <w:pPr>
                    <w:autoSpaceDE w:val="0"/>
                    <w:autoSpaceDN w:val="0"/>
                    <w:adjustRightInd w:val="0"/>
                    <w:snapToGrid w:val="0"/>
                    <w:jc w:val="center"/>
                    <w:rPr>
                      <w:bCs/>
                      <w:color w:val="auto"/>
                      <w:sz w:val="24"/>
                    </w:rPr>
                  </w:pPr>
                  <w:r>
                    <w:rPr>
                      <w:color w:val="auto"/>
                    </w:rPr>
                    <w:t>废矿物油</w:t>
                  </w:r>
                </w:p>
              </w:tc>
              <w:tc>
                <w:tcPr>
                  <w:tcW w:w="1431" w:type="dxa"/>
                  <w:vAlign w:val="center"/>
                </w:tcPr>
                <w:p>
                  <w:pPr>
                    <w:autoSpaceDE w:val="0"/>
                    <w:autoSpaceDN w:val="0"/>
                    <w:adjustRightInd w:val="0"/>
                    <w:snapToGrid w:val="0"/>
                    <w:jc w:val="center"/>
                    <w:rPr>
                      <w:bCs/>
                      <w:color w:val="auto"/>
                      <w:sz w:val="24"/>
                    </w:rPr>
                  </w:pPr>
                  <w:r>
                    <w:rPr>
                      <w:rFonts w:eastAsia="方正姚体"/>
                      <w:color w:val="auto"/>
                    </w:rPr>
                    <w:t>0.5t</w:t>
                  </w:r>
                </w:p>
              </w:tc>
              <w:tc>
                <w:tcPr>
                  <w:tcW w:w="1105" w:type="dxa"/>
                  <w:vAlign w:val="center"/>
                </w:tcPr>
                <w:p>
                  <w:pPr>
                    <w:autoSpaceDE w:val="0"/>
                    <w:autoSpaceDN w:val="0"/>
                    <w:adjustRightInd w:val="0"/>
                    <w:snapToGrid w:val="0"/>
                    <w:jc w:val="center"/>
                    <w:rPr>
                      <w:bCs/>
                      <w:color w:val="auto"/>
                      <w:sz w:val="24"/>
                    </w:rPr>
                  </w:pPr>
                  <w:r>
                    <w:rPr>
                      <w:rFonts w:eastAsia="方正姚体"/>
                      <w:color w:val="auto"/>
                    </w:rPr>
                    <w:t>2500t</w:t>
                  </w:r>
                </w:p>
              </w:tc>
              <w:tc>
                <w:tcPr>
                  <w:tcW w:w="1855" w:type="dxa"/>
                  <w:vAlign w:val="center"/>
                </w:tcPr>
                <w:p>
                  <w:pPr>
                    <w:autoSpaceDE w:val="0"/>
                    <w:autoSpaceDN w:val="0"/>
                    <w:adjustRightInd w:val="0"/>
                    <w:snapToGrid w:val="0"/>
                    <w:jc w:val="center"/>
                    <w:rPr>
                      <w:bCs/>
                      <w:color w:val="auto"/>
                      <w:sz w:val="24"/>
                    </w:rPr>
                  </w:pPr>
                  <w:r>
                    <w:rPr>
                      <w:color w:val="auto"/>
                    </w:rPr>
                    <w:t>0.000</w:t>
                  </w:r>
                  <w:r>
                    <w:rPr>
                      <w:rFonts w:hint="eastAsia"/>
                      <w:color w:val="auto"/>
                    </w:rPr>
                    <w:t>2</w:t>
                  </w:r>
                </w:p>
              </w:tc>
              <w:tc>
                <w:tcPr>
                  <w:tcW w:w="1585" w:type="dxa"/>
                  <w:vAlign w:val="center"/>
                </w:tcPr>
                <w:p>
                  <w:pPr>
                    <w:autoSpaceDE w:val="0"/>
                    <w:autoSpaceDN w:val="0"/>
                    <w:adjustRightInd w:val="0"/>
                    <w:snapToGrid w:val="0"/>
                    <w:jc w:val="center"/>
                    <w:rPr>
                      <w:bCs/>
                      <w:color w:val="auto"/>
                      <w:sz w:val="24"/>
                    </w:rPr>
                  </w:pPr>
                  <w:r>
                    <w:rPr>
                      <w:color w:val="auto"/>
                    </w:rPr>
                    <w:t>Ⅰ</w:t>
                  </w:r>
                </w:p>
              </w:tc>
            </w:tr>
          </w:tbl>
          <w:p>
            <w:pPr>
              <w:adjustRightInd w:val="0"/>
              <w:snapToGrid w:val="0"/>
              <w:spacing w:line="480" w:lineRule="exact"/>
              <w:ind w:firstLine="480" w:firstLineChars="200"/>
              <w:rPr>
                <w:bCs/>
                <w:color w:val="auto"/>
                <w:sz w:val="24"/>
              </w:rPr>
            </w:pPr>
            <w:r>
              <w:rPr>
                <w:bCs/>
                <w:color w:val="auto"/>
                <w:sz w:val="24"/>
              </w:rPr>
              <w:t>综上所述，本项目危险物质数量与临界量比值Q&lt;1。根据《建设项目环境风险评价技术导则（HJ169-2018）》附录C，当Q&lt;1时，该项目环境风险潜势为Ⅰ。进行简单分析即可。</w:t>
            </w:r>
          </w:p>
          <w:p>
            <w:pPr>
              <w:adjustRightInd w:val="0"/>
              <w:snapToGrid w:val="0"/>
              <w:spacing w:line="480" w:lineRule="exact"/>
              <w:ind w:firstLine="480" w:firstLineChars="200"/>
              <w:rPr>
                <w:bCs/>
                <w:color w:val="auto"/>
                <w:sz w:val="24"/>
              </w:rPr>
            </w:pPr>
            <w:r>
              <w:rPr>
                <w:bCs/>
                <w:color w:val="auto"/>
                <w:sz w:val="24"/>
              </w:rPr>
              <w:t>废矿物油储量较小，且桶装储存于危废暂存间内，严格按照《危险废物贮存污染控制标准》（GB18597-2001）及《危险废物转移联单管理办法》（国家环境保护总局令第5号）的相关要求，对项目产生的废矿物油进行贮存、管理和转运，对周围环境产生的风险影响较小。</w:t>
            </w:r>
          </w:p>
          <w:p>
            <w:pPr>
              <w:adjustRightInd w:val="0"/>
              <w:snapToGrid w:val="0"/>
              <w:spacing w:line="480" w:lineRule="exact"/>
              <w:ind w:firstLine="480" w:firstLineChars="200"/>
              <w:rPr>
                <w:rFonts w:ascii="宋体" w:hAnsi="宋体" w:cs="宋体"/>
                <w:bCs/>
                <w:color w:val="auto"/>
                <w:sz w:val="24"/>
              </w:rPr>
            </w:pPr>
            <w:r>
              <w:rPr>
                <w:rFonts w:hint="eastAsia"/>
                <w:color w:val="auto"/>
                <w:sz w:val="24"/>
              </w:rPr>
              <w:t>本项目环境风险简单分析内容见下表。</w:t>
            </w:r>
          </w:p>
          <w:p>
            <w:pPr>
              <w:pStyle w:val="82"/>
              <w:spacing w:line="480" w:lineRule="exact"/>
              <w:ind w:firstLine="480"/>
              <w:rPr>
                <w:rFonts w:ascii="黑体" w:hAnsi="黑体" w:eastAsia="黑体"/>
                <w:color w:val="auto"/>
              </w:rPr>
            </w:pPr>
            <w:r>
              <w:rPr>
                <w:rFonts w:hint="eastAsia" w:ascii="黑体" w:hAnsi="黑体" w:eastAsia="黑体"/>
                <w:color w:val="auto"/>
              </w:rPr>
              <w:t>表4-16  建设项目环境风险简单分析内容表</w:t>
            </w:r>
          </w:p>
          <w:tbl>
            <w:tblPr>
              <w:tblStyle w:val="21"/>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73"/>
              <w:gridCol w:w="2536"/>
              <w:gridCol w:w="950"/>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jc w:val="center"/>
                    <w:rPr>
                      <w:bCs/>
                      <w:color w:val="auto"/>
                    </w:rPr>
                  </w:pPr>
                  <w:r>
                    <w:rPr>
                      <w:color w:val="auto"/>
                    </w:rPr>
                    <w:t>建设项目名称</w:t>
                  </w:r>
                </w:p>
              </w:tc>
              <w:tc>
                <w:tcPr>
                  <w:tcW w:w="6858" w:type="dxa"/>
                  <w:gridSpan w:val="4"/>
                  <w:vAlign w:val="center"/>
                </w:tcPr>
                <w:p>
                  <w:pPr>
                    <w:jc w:val="center"/>
                    <w:rPr>
                      <w:bCs/>
                      <w:color w:val="auto"/>
                    </w:rPr>
                  </w:pPr>
                  <w:r>
                    <w:rPr>
                      <w:bCs/>
                      <w:color w:val="auto"/>
                    </w:rPr>
                    <w:t>繁峙县繁云富煤炭经销有限公司智能化储煤基地建设项目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jc w:val="center"/>
                    <w:rPr>
                      <w:bCs/>
                      <w:color w:val="auto"/>
                    </w:rPr>
                  </w:pPr>
                  <w:r>
                    <w:rPr>
                      <w:color w:val="auto"/>
                    </w:rPr>
                    <w:t>建设地点</w:t>
                  </w:r>
                </w:p>
              </w:tc>
              <w:tc>
                <w:tcPr>
                  <w:tcW w:w="6858" w:type="dxa"/>
                  <w:gridSpan w:val="4"/>
                  <w:vAlign w:val="center"/>
                </w:tcPr>
                <w:p>
                  <w:pPr>
                    <w:jc w:val="center"/>
                    <w:rPr>
                      <w:bCs/>
                      <w:color w:val="auto"/>
                    </w:rPr>
                  </w:pPr>
                  <w:r>
                    <w:rPr>
                      <w:bCs/>
                      <w:color w:val="auto"/>
                    </w:rPr>
                    <w:t>山西省忻州市繁峙县平型关镇云雾峪村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jc w:val="center"/>
                    <w:rPr>
                      <w:color w:val="auto"/>
                    </w:rPr>
                  </w:pPr>
                  <w:r>
                    <w:rPr>
                      <w:color w:val="auto"/>
                    </w:rPr>
                    <w:t>地理坐标</w:t>
                  </w:r>
                </w:p>
              </w:tc>
              <w:tc>
                <w:tcPr>
                  <w:tcW w:w="873" w:type="dxa"/>
                  <w:vAlign w:val="center"/>
                </w:tcPr>
                <w:p>
                  <w:pPr>
                    <w:jc w:val="center"/>
                    <w:rPr>
                      <w:bCs/>
                      <w:color w:val="auto"/>
                    </w:rPr>
                  </w:pPr>
                  <w:r>
                    <w:rPr>
                      <w:color w:val="auto"/>
                    </w:rPr>
                    <w:t>经度</w:t>
                  </w:r>
                </w:p>
              </w:tc>
              <w:tc>
                <w:tcPr>
                  <w:tcW w:w="2536" w:type="dxa"/>
                  <w:vAlign w:val="center"/>
                </w:tcPr>
                <w:p>
                  <w:pPr>
                    <w:jc w:val="center"/>
                    <w:rPr>
                      <w:bCs/>
                      <w:color w:val="auto"/>
                    </w:rPr>
                  </w:pPr>
                  <w:r>
                    <w:rPr>
                      <w:bCs/>
                      <w:color w:val="auto"/>
                    </w:rPr>
                    <w:t>E113°49′13.505″</w:t>
                  </w:r>
                </w:p>
              </w:tc>
              <w:tc>
                <w:tcPr>
                  <w:tcW w:w="950" w:type="dxa"/>
                  <w:vAlign w:val="center"/>
                </w:tcPr>
                <w:p>
                  <w:pPr>
                    <w:jc w:val="center"/>
                    <w:rPr>
                      <w:bCs/>
                      <w:color w:val="auto"/>
                    </w:rPr>
                  </w:pPr>
                  <w:r>
                    <w:rPr>
                      <w:color w:val="auto"/>
                    </w:rPr>
                    <w:t>纬度</w:t>
                  </w:r>
                </w:p>
              </w:tc>
              <w:tc>
                <w:tcPr>
                  <w:tcW w:w="2499" w:type="dxa"/>
                  <w:vAlign w:val="center"/>
                </w:tcPr>
                <w:p>
                  <w:pPr>
                    <w:jc w:val="center"/>
                    <w:rPr>
                      <w:bCs/>
                      <w:color w:val="auto"/>
                    </w:rPr>
                  </w:pPr>
                  <w:r>
                    <w:rPr>
                      <w:bCs/>
                      <w:color w:val="auto"/>
                    </w:rPr>
                    <w:t>N39°13′22.056″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spacing w:line="320" w:lineRule="exact"/>
                    <w:jc w:val="center"/>
                    <w:rPr>
                      <w:color w:val="auto"/>
                    </w:rPr>
                  </w:pPr>
                  <w:r>
                    <w:rPr>
                      <w:rFonts w:hint="eastAsia"/>
                      <w:color w:val="auto"/>
                    </w:rPr>
                    <w:t>主要危险物质及分布</w:t>
                  </w:r>
                </w:p>
              </w:tc>
              <w:tc>
                <w:tcPr>
                  <w:tcW w:w="6858" w:type="dxa"/>
                  <w:gridSpan w:val="4"/>
                  <w:vAlign w:val="center"/>
                </w:tcPr>
                <w:p>
                  <w:pPr>
                    <w:spacing w:line="320" w:lineRule="exact"/>
                    <w:jc w:val="center"/>
                    <w:rPr>
                      <w:color w:val="auto"/>
                    </w:rPr>
                  </w:pPr>
                  <w:r>
                    <w:rPr>
                      <w:rFonts w:hint="eastAsia"/>
                      <w:color w:val="auto"/>
                    </w:rPr>
                    <w:t>矿物油储存桶破裂、泄漏风险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spacing w:line="320" w:lineRule="exact"/>
                    <w:jc w:val="center"/>
                    <w:rPr>
                      <w:color w:val="auto"/>
                    </w:rPr>
                  </w:pPr>
                  <w:r>
                    <w:rPr>
                      <w:rFonts w:hint="eastAsia"/>
                      <w:color w:val="auto"/>
                    </w:rPr>
                    <w:t>环境影响途径及危害后果（大气、地表水、地下水等）</w:t>
                  </w:r>
                </w:p>
              </w:tc>
              <w:tc>
                <w:tcPr>
                  <w:tcW w:w="6858" w:type="dxa"/>
                  <w:gridSpan w:val="4"/>
                  <w:vAlign w:val="center"/>
                </w:tcPr>
                <w:p>
                  <w:pPr>
                    <w:spacing w:line="320" w:lineRule="exact"/>
                    <w:jc w:val="center"/>
                    <w:rPr>
                      <w:color w:val="auto"/>
                    </w:rPr>
                  </w:pPr>
                  <w:r>
                    <w:rPr>
                      <w:rFonts w:hint="eastAsia"/>
                      <w:color w:val="auto"/>
                    </w:rPr>
                    <w:t>项目原辅料均采用陆路汽车或槽车运输，所有润滑油、机油运输均委托专业运输单位担任运输任务，项目运输风险影响相对较小；而物料储存系统风险影响相对较大，项目矿物油储存桶破裂、泄漏将影响正常的生产，并且很容易下渗影响地下水，甚至威胁人群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spacing w:line="320" w:lineRule="exact"/>
                    <w:jc w:val="center"/>
                    <w:rPr>
                      <w:color w:val="auto"/>
                    </w:rPr>
                  </w:pPr>
                  <w:r>
                    <w:rPr>
                      <w:rFonts w:hint="eastAsia"/>
                      <w:color w:val="auto"/>
                    </w:rPr>
                    <w:t>风险防控措施要求</w:t>
                  </w:r>
                </w:p>
              </w:tc>
              <w:tc>
                <w:tcPr>
                  <w:tcW w:w="6858" w:type="dxa"/>
                  <w:gridSpan w:val="4"/>
                  <w:vAlign w:val="center"/>
                </w:tcPr>
                <w:p>
                  <w:pPr>
                    <w:spacing w:line="320" w:lineRule="exact"/>
                    <w:jc w:val="center"/>
                    <w:rPr>
                      <w:color w:val="auto"/>
                    </w:rPr>
                  </w:pPr>
                  <w:r>
                    <w:rPr>
                      <w:rFonts w:hint="eastAsia"/>
                      <w:color w:val="auto"/>
                    </w:rPr>
                    <w:t>本项目使用矿物油（机油、润滑油）的设备底部均进行防渗、并设置钢制托盘收集废油，危废暂存间建成具有防水、防渗、防流失、防晒的专用危险废物贮存设施贮存危险废物。贮存设施必须防渗，基础必须防渗，防渗层为至少1米厚粘土层（渗透系数≤10</w:t>
                  </w:r>
                  <w:r>
                    <w:rPr>
                      <w:rFonts w:hint="eastAsia"/>
                      <w:color w:val="auto"/>
                      <w:vertAlign w:val="superscript"/>
                    </w:rPr>
                    <w:t>-7</w:t>
                  </w:r>
                  <w:r>
                    <w:rPr>
                      <w:rFonts w:hint="eastAsia"/>
                      <w:color w:val="auto"/>
                    </w:rPr>
                    <w:t>cm/s)，或2毫米厚高密度聚乙烯，或至少2毫米厚的其它人工材料，渗透系数≤10</w:t>
                  </w:r>
                  <w:r>
                    <w:rPr>
                      <w:rFonts w:hint="eastAsia"/>
                      <w:color w:val="auto"/>
                      <w:vertAlign w:val="superscript"/>
                    </w:rPr>
                    <w:t>-10</w:t>
                  </w:r>
                  <w:r>
                    <w:rPr>
                      <w:rFonts w:hint="eastAsia"/>
                      <w:color w:val="auto"/>
                    </w:rPr>
                    <w:t>cm/s。有足够地面承载能力，并能确保雨水不会流至贮存设施内，贮存设施应封闭，以防风、防雨、防晒、防渗漏。采取环评要求措施后，出现险情的风险度较低。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2" w:type="dxa"/>
                  <w:gridSpan w:val="5"/>
                  <w:vAlign w:val="center"/>
                </w:tcPr>
                <w:p>
                  <w:pPr>
                    <w:spacing w:line="320" w:lineRule="exact"/>
                    <w:jc w:val="center"/>
                    <w:rPr>
                      <w:color w:val="auto"/>
                    </w:rPr>
                  </w:pPr>
                  <w:r>
                    <w:rPr>
                      <w:rFonts w:hint="eastAsia"/>
                      <w:color w:val="auto"/>
                    </w:rPr>
                    <w:t>填表说明（列出项目相关信息及评价说明）</w:t>
                  </w:r>
                </w:p>
                <w:p>
                  <w:pPr>
                    <w:spacing w:line="320" w:lineRule="exact"/>
                    <w:jc w:val="center"/>
                    <w:rPr>
                      <w:color w:val="auto"/>
                    </w:rPr>
                  </w:pPr>
                  <w:r>
                    <w:rPr>
                      <w:rFonts w:hint="eastAsia"/>
                      <w:color w:val="auto"/>
                    </w:rPr>
                    <w:t>本项目涉及附录B中的风险物质主要为废矿物油</w:t>
                  </w:r>
                </w:p>
              </w:tc>
            </w:tr>
          </w:tbl>
          <w:p>
            <w:pPr>
              <w:adjustRightInd w:val="0"/>
              <w:snapToGrid w:val="0"/>
              <w:spacing w:line="480" w:lineRule="exact"/>
              <w:ind w:firstLine="482" w:firstLineChars="200"/>
              <w:rPr>
                <w:color w:val="auto"/>
                <w:sz w:val="24"/>
              </w:rPr>
            </w:pPr>
            <w:r>
              <w:rPr>
                <w:rFonts w:hint="eastAsia"/>
                <w:b/>
                <w:bCs/>
                <w:color w:val="auto"/>
                <w:sz w:val="24"/>
              </w:rPr>
              <w:t>9、</w:t>
            </w:r>
            <w:r>
              <w:rPr>
                <w:rFonts w:hint="eastAsia" w:hAnsi="宋体"/>
                <w:b/>
                <w:color w:val="auto"/>
                <w:sz w:val="24"/>
                <w:szCs w:val="20"/>
              </w:rPr>
              <w:t>环保设备投资估算</w:t>
            </w:r>
          </w:p>
          <w:p>
            <w:pPr>
              <w:adjustRightInd w:val="0"/>
              <w:snapToGrid w:val="0"/>
              <w:spacing w:line="480" w:lineRule="exact"/>
              <w:ind w:firstLine="480" w:firstLineChars="200"/>
              <w:rPr>
                <w:color w:val="auto"/>
                <w:sz w:val="24"/>
              </w:rPr>
            </w:pPr>
            <w:r>
              <w:rPr>
                <w:rFonts w:hint="eastAsia"/>
                <w:color w:val="auto"/>
                <w:sz w:val="24"/>
              </w:rPr>
              <w:t>本项目主要环保投资估算见下表。</w:t>
            </w:r>
          </w:p>
          <w:p>
            <w:pPr>
              <w:pStyle w:val="82"/>
              <w:spacing w:line="480" w:lineRule="exact"/>
              <w:ind w:firstLine="480"/>
              <w:rPr>
                <w:rFonts w:ascii="黑体" w:hAnsi="黑体" w:eastAsia="黑体"/>
                <w:color w:val="auto"/>
              </w:rPr>
            </w:pPr>
            <w:r>
              <w:rPr>
                <w:rFonts w:hint="eastAsia" w:ascii="黑体" w:hAnsi="黑体" w:eastAsia="黑体"/>
                <w:color w:val="auto"/>
              </w:rPr>
              <w:t>表4-17  本项目环保设备投资估算表 （万元）</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54"/>
              <w:gridCol w:w="1228"/>
              <w:gridCol w:w="4609"/>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pPr>
                    <w:spacing w:line="320" w:lineRule="exact"/>
                    <w:jc w:val="center"/>
                    <w:rPr>
                      <w:bCs/>
                      <w:color w:val="auto"/>
                    </w:rPr>
                  </w:pPr>
                  <w:r>
                    <w:rPr>
                      <w:rFonts w:hint="eastAsia"/>
                      <w:bCs/>
                      <w:color w:val="auto"/>
                    </w:rPr>
                    <w:t>项目</w:t>
                  </w:r>
                </w:p>
              </w:tc>
              <w:tc>
                <w:tcPr>
                  <w:tcW w:w="673" w:type="pct"/>
                  <w:vAlign w:val="center"/>
                </w:tcPr>
                <w:p>
                  <w:pPr>
                    <w:spacing w:line="320" w:lineRule="exact"/>
                    <w:jc w:val="center"/>
                    <w:rPr>
                      <w:bCs/>
                      <w:color w:val="auto"/>
                    </w:rPr>
                  </w:pPr>
                  <w:r>
                    <w:rPr>
                      <w:rFonts w:hint="eastAsia"/>
                      <w:bCs/>
                      <w:color w:val="auto"/>
                    </w:rPr>
                    <w:t>污染环节</w:t>
                  </w:r>
                </w:p>
              </w:tc>
              <w:tc>
                <w:tcPr>
                  <w:tcW w:w="716" w:type="pct"/>
                  <w:vAlign w:val="center"/>
                </w:tcPr>
                <w:p>
                  <w:pPr>
                    <w:spacing w:line="320" w:lineRule="exact"/>
                    <w:jc w:val="center"/>
                    <w:rPr>
                      <w:bCs/>
                      <w:color w:val="auto"/>
                    </w:rPr>
                  </w:pPr>
                  <w:r>
                    <w:rPr>
                      <w:rFonts w:hint="eastAsia"/>
                      <w:bCs/>
                      <w:color w:val="auto"/>
                    </w:rPr>
                    <w:t>污染物</w:t>
                  </w:r>
                </w:p>
              </w:tc>
              <w:tc>
                <w:tcPr>
                  <w:tcW w:w="2688" w:type="pct"/>
                  <w:vAlign w:val="center"/>
                </w:tcPr>
                <w:p>
                  <w:pPr>
                    <w:spacing w:line="320" w:lineRule="exact"/>
                    <w:jc w:val="center"/>
                    <w:rPr>
                      <w:bCs/>
                      <w:color w:val="auto"/>
                    </w:rPr>
                  </w:pPr>
                  <w:r>
                    <w:rPr>
                      <w:rFonts w:hint="eastAsia"/>
                      <w:bCs/>
                      <w:color w:val="auto"/>
                    </w:rPr>
                    <w:t>环保设施</w:t>
                  </w:r>
                </w:p>
              </w:tc>
              <w:tc>
                <w:tcPr>
                  <w:tcW w:w="529" w:type="pct"/>
                  <w:vAlign w:val="center"/>
                </w:tcPr>
                <w:p>
                  <w:pPr>
                    <w:jc w:val="center"/>
                    <w:rPr>
                      <w:bCs/>
                      <w:color w:val="auto"/>
                    </w:rPr>
                  </w:pPr>
                  <w:r>
                    <w:rPr>
                      <w:rFonts w:hint="eastAsia"/>
                      <w:bCs/>
                      <w:color w:val="auto"/>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restart"/>
                  <w:vAlign w:val="center"/>
                </w:tcPr>
                <w:p>
                  <w:pPr>
                    <w:spacing w:line="320" w:lineRule="exact"/>
                    <w:jc w:val="center"/>
                    <w:rPr>
                      <w:bCs/>
                      <w:color w:val="auto"/>
                    </w:rPr>
                  </w:pPr>
                  <w:r>
                    <w:rPr>
                      <w:rFonts w:hint="eastAsia"/>
                      <w:bCs/>
                      <w:color w:val="auto"/>
                    </w:rPr>
                    <w:t>废气</w:t>
                  </w:r>
                </w:p>
              </w:tc>
              <w:tc>
                <w:tcPr>
                  <w:tcW w:w="673" w:type="pct"/>
                  <w:vAlign w:val="center"/>
                </w:tcPr>
                <w:p>
                  <w:pPr>
                    <w:spacing w:line="320" w:lineRule="exact"/>
                    <w:jc w:val="center"/>
                    <w:rPr>
                      <w:color w:val="auto"/>
                      <w:szCs w:val="18"/>
                    </w:rPr>
                  </w:pPr>
                  <w:r>
                    <w:rPr>
                      <w:rFonts w:hint="eastAsia"/>
                      <w:color w:val="auto"/>
                    </w:rPr>
                    <w:t>运输扬尘</w:t>
                  </w:r>
                </w:p>
              </w:tc>
              <w:tc>
                <w:tcPr>
                  <w:tcW w:w="716" w:type="pct"/>
                  <w:vAlign w:val="center"/>
                </w:tcPr>
                <w:p>
                  <w:pPr>
                    <w:spacing w:line="320" w:lineRule="exact"/>
                    <w:jc w:val="center"/>
                    <w:rPr>
                      <w:bCs/>
                      <w:color w:val="auto"/>
                    </w:rPr>
                  </w:pPr>
                  <w:r>
                    <w:rPr>
                      <w:rFonts w:hint="eastAsia"/>
                      <w:bCs/>
                      <w:color w:val="auto"/>
                    </w:rPr>
                    <w:t>扬尘</w:t>
                  </w:r>
                </w:p>
              </w:tc>
              <w:tc>
                <w:tcPr>
                  <w:tcW w:w="2688" w:type="pct"/>
                  <w:vAlign w:val="center"/>
                </w:tcPr>
                <w:p>
                  <w:pPr>
                    <w:spacing w:line="320" w:lineRule="exact"/>
                    <w:rPr>
                      <w:bCs/>
                      <w:color w:val="auto"/>
                    </w:rPr>
                  </w:pPr>
                  <w:r>
                    <w:rPr>
                      <w:rFonts w:hint="eastAsia"/>
                      <w:color w:val="auto"/>
                    </w:rPr>
                    <w:t>运输车辆限制超载，采用篷布苫盖；厂区进出口以及每座煤棚出口处分别设1座车辆清洗平台对车身及轮胎进行冲洗；厂区对地面、道路进行全部硬化和厂界绿化，同时配备移动洒水车进行洒水抑尘</w:t>
                  </w:r>
                  <w:r>
                    <w:rPr>
                      <w:rFonts w:hint="eastAsia"/>
                      <w:bCs/>
                      <w:color w:val="auto"/>
                    </w:rPr>
                    <w:t>。</w:t>
                  </w:r>
                </w:p>
              </w:tc>
              <w:tc>
                <w:tcPr>
                  <w:tcW w:w="529" w:type="pct"/>
                  <w:vAlign w:val="center"/>
                </w:tcPr>
                <w:p>
                  <w:pPr>
                    <w:jc w:val="center"/>
                    <w:rPr>
                      <w:bCs/>
                      <w:color w:val="auto"/>
                    </w:rPr>
                  </w:pPr>
                  <w:r>
                    <w:rPr>
                      <w:rFonts w:hint="eastAsia"/>
                      <w:bCs/>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673" w:type="pct"/>
                  <w:vAlign w:val="center"/>
                </w:tcPr>
                <w:p>
                  <w:pPr>
                    <w:spacing w:line="320" w:lineRule="exact"/>
                    <w:jc w:val="center"/>
                    <w:rPr>
                      <w:color w:val="auto"/>
                    </w:rPr>
                  </w:pPr>
                  <w:r>
                    <w:rPr>
                      <w:color w:val="auto"/>
                      <w:lang w:bidi="ar"/>
                    </w:rPr>
                    <w:t>煤炭储存及装卸扬尘</w:t>
                  </w:r>
                </w:p>
              </w:tc>
              <w:tc>
                <w:tcPr>
                  <w:tcW w:w="716" w:type="pct"/>
                  <w:vAlign w:val="center"/>
                </w:tcPr>
                <w:p>
                  <w:pPr>
                    <w:spacing w:line="320" w:lineRule="exact"/>
                    <w:jc w:val="center"/>
                    <w:rPr>
                      <w:bCs/>
                      <w:color w:val="auto"/>
                    </w:rPr>
                  </w:pPr>
                  <w:r>
                    <w:rPr>
                      <w:rFonts w:hint="eastAsia"/>
                      <w:bCs/>
                      <w:color w:val="auto"/>
                    </w:rPr>
                    <w:t>粉尘</w:t>
                  </w:r>
                </w:p>
              </w:tc>
              <w:tc>
                <w:tcPr>
                  <w:tcW w:w="2688" w:type="pct"/>
                  <w:vAlign w:val="center"/>
                </w:tcPr>
                <w:p>
                  <w:pPr>
                    <w:spacing w:line="320" w:lineRule="exact"/>
                    <w:rPr>
                      <w:color w:val="auto"/>
                      <w:kern w:val="0"/>
                    </w:rPr>
                  </w:pPr>
                  <w:r>
                    <w:rPr>
                      <w:color w:val="auto"/>
                    </w:rPr>
                    <w:t>尽可能缩小装卸时的高差，</w:t>
                  </w:r>
                  <w:r>
                    <w:rPr>
                      <w:color w:val="auto"/>
                      <w:spacing w:val="4"/>
                    </w:rPr>
                    <w:t>建设全封闭储煤棚，并设</w:t>
                  </w:r>
                  <w:r>
                    <w:rPr>
                      <w:rFonts w:hint="eastAsia"/>
                      <w:color w:val="auto"/>
                      <w:spacing w:val="4"/>
                    </w:rPr>
                    <w:t>置</w:t>
                  </w:r>
                  <w:r>
                    <w:rPr>
                      <w:color w:val="auto"/>
                      <w:spacing w:val="4"/>
                    </w:rPr>
                    <w:t>能够覆盖全</w:t>
                  </w:r>
                  <w:r>
                    <w:rPr>
                      <w:rFonts w:hint="eastAsia"/>
                      <w:color w:val="auto"/>
                      <w:spacing w:val="4"/>
                    </w:rPr>
                    <w:t>库</w:t>
                  </w:r>
                  <w:r>
                    <w:rPr>
                      <w:color w:val="auto"/>
                      <w:spacing w:val="4"/>
                    </w:rPr>
                    <w:t>的喷雾洒水装置，</w:t>
                  </w:r>
                  <w:r>
                    <w:rPr>
                      <w:rFonts w:hint="eastAsia"/>
                      <w:color w:val="auto"/>
                      <w:spacing w:val="4"/>
                    </w:rPr>
                    <w:t>每座储库设置1台移动式雾炮，在装卸时采取喷雾抑尘。</w:t>
                  </w:r>
                </w:p>
              </w:tc>
              <w:tc>
                <w:tcPr>
                  <w:tcW w:w="529" w:type="pct"/>
                  <w:vAlign w:val="center"/>
                </w:tcPr>
                <w:p>
                  <w:pPr>
                    <w:jc w:val="center"/>
                    <w:rPr>
                      <w:bCs/>
                      <w:color w:val="auto"/>
                    </w:rPr>
                  </w:pPr>
                  <w:r>
                    <w:rPr>
                      <w:rFonts w:hint="eastAsia"/>
                      <w:bCs/>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restart"/>
                  <w:vAlign w:val="center"/>
                </w:tcPr>
                <w:p>
                  <w:pPr>
                    <w:spacing w:line="320" w:lineRule="exact"/>
                    <w:jc w:val="center"/>
                    <w:rPr>
                      <w:bCs/>
                      <w:color w:val="auto"/>
                    </w:rPr>
                  </w:pPr>
                  <w:r>
                    <w:rPr>
                      <w:rFonts w:hint="eastAsia"/>
                      <w:bCs/>
                      <w:color w:val="auto"/>
                    </w:rPr>
                    <w:t>水污染</w:t>
                  </w:r>
                </w:p>
              </w:tc>
              <w:tc>
                <w:tcPr>
                  <w:tcW w:w="673" w:type="pct"/>
                  <w:vAlign w:val="center"/>
                </w:tcPr>
                <w:p>
                  <w:pPr>
                    <w:spacing w:line="320" w:lineRule="exact"/>
                    <w:jc w:val="center"/>
                    <w:rPr>
                      <w:bCs/>
                      <w:color w:val="auto"/>
                      <w:szCs w:val="18"/>
                    </w:rPr>
                  </w:pPr>
                  <w:r>
                    <w:rPr>
                      <w:rFonts w:hint="eastAsia"/>
                      <w:color w:val="auto"/>
                    </w:rPr>
                    <w:t>储煤棚淋控废水</w:t>
                  </w:r>
                </w:p>
              </w:tc>
              <w:tc>
                <w:tcPr>
                  <w:tcW w:w="716" w:type="pct"/>
                  <w:vAlign w:val="center"/>
                </w:tcPr>
                <w:p>
                  <w:pPr>
                    <w:spacing w:line="320" w:lineRule="exact"/>
                    <w:jc w:val="center"/>
                    <w:rPr>
                      <w:bCs/>
                      <w:color w:val="auto"/>
                    </w:rPr>
                  </w:pPr>
                  <w:r>
                    <w:rPr>
                      <w:rFonts w:hint="eastAsia"/>
                      <w:bCs/>
                      <w:color w:val="auto"/>
                    </w:rPr>
                    <w:t>SS</w:t>
                  </w:r>
                </w:p>
              </w:tc>
              <w:tc>
                <w:tcPr>
                  <w:tcW w:w="2688" w:type="pct"/>
                  <w:vAlign w:val="center"/>
                </w:tcPr>
                <w:p>
                  <w:pPr>
                    <w:spacing w:line="320" w:lineRule="exact"/>
                    <w:rPr>
                      <w:color w:val="auto"/>
                    </w:rPr>
                  </w:pPr>
                  <w:r>
                    <w:rPr>
                      <w:color w:val="auto"/>
                    </w:rPr>
                    <w:t>每座储煤库外均设置1座100m</w:t>
                  </w:r>
                  <w:r>
                    <w:rPr>
                      <w:color w:val="auto"/>
                      <w:vertAlign w:val="superscript"/>
                    </w:rPr>
                    <w:t>3</w:t>
                  </w:r>
                  <w:r>
                    <w:rPr>
                      <w:color w:val="auto"/>
                    </w:rPr>
                    <w:t>淋控废水收集池、1座100m</w:t>
                  </w:r>
                  <w:r>
                    <w:rPr>
                      <w:color w:val="auto"/>
                      <w:vertAlign w:val="superscript"/>
                    </w:rPr>
                    <w:t>3</w:t>
                  </w:r>
                  <w:r>
                    <w:rPr>
                      <w:color w:val="auto"/>
                    </w:rPr>
                    <w:t>清水池，储煤场淋控废水经淋控废水收集池收集沉淀处理后返回清水池回用，不外排</w:t>
                  </w:r>
                  <w:r>
                    <w:rPr>
                      <w:rFonts w:hint="eastAsia"/>
                      <w:color w:val="auto"/>
                    </w:rPr>
                    <w:t>。</w:t>
                  </w:r>
                </w:p>
              </w:tc>
              <w:tc>
                <w:tcPr>
                  <w:tcW w:w="529" w:type="pct"/>
                  <w:vAlign w:val="center"/>
                </w:tcPr>
                <w:p>
                  <w:pPr>
                    <w:jc w:val="center"/>
                    <w:rPr>
                      <w:bCs/>
                      <w:color w:val="auto"/>
                    </w:rPr>
                  </w:pPr>
                  <w:r>
                    <w:rPr>
                      <w:rFonts w:hint="eastAsia"/>
                      <w:bCs/>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673" w:type="pct"/>
                  <w:vAlign w:val="center"/>
                </w:tcPr>
                <w:p>
                  <w:pPr>
                    <w:spacing w:line="320" w:lineRule="exact"/>
                    <w:jc w:val="center"/>
                    <w:rPr>
                      <w:color w:val="auto"/>
                    </w:rPr>
                  </w:pPr>
                  <w:r>
                    <w:rPr>
                      <w:rFonts w:hint="eastAsia"/>
                      <w:color w:val="auto"/>
                    </w:rPr>
                    <w:t>洗车废水</w:t>
                  </w:r>
                </w:p>
              </w:tc>
              <w:tc>
                <w:tcPr>
                  <w:tcW w:w="716" w:type="pct"/>
                  <w:vAlign w:val="center"/>
                </w:tcPr>
                <w:p>
                  <w:pPr>
                    <w:spacing w:line="320" w:lineRule="exact"/>
                    <w:jc w:val="center"/>
                    <w:rPr>
                      <w:bCs/>
                      <w:color w:val="auto"/>
                    </w:rPr>
                  </w:pPr>
                  <w:r>
                    <w:rPr>
                      <w:rFonts w:hint="eastAsia"/>
                      <w:bCs/>
                      <w:color w:val="auto"/>
                    </w:rPr>
                    <w:t>SS</w:t>
                  </w:r>
                </w:p>
              </w:tc>
              <w:tc>
                <w:tcPr>
                  <w:tcW w:w="2688" w:type="pct"/>
                  <w:vAlign w:val="center"/>
                </w:tcPr>
                <w:p>
                  <w:pPr>
                    <w:spacing w:line="320" w:lineRule="exact"/>
                    <w:rPr>
                      <w:bCs/>
                      <w:color w:val="auto"/>
                    </w:rPr>
                  </w:pPr>
                  <w:r>
                    <w:rPr>
                      <w:bCs/>
                      <w:color w:val="auto"/>
                    </w:rPr>
                    <w:t>厂区进出口</w:t>
                  </w:r>
                  <w:r>
                    <w:rPr>
                      <w:rFonts w:hint="eastAsia"/>
                      <w:bCs/>
                      <w:color w:val="auto"/>
                    </w:rPr>
                    <w:t>以及每座煤棚出口处</w:t>
                  </w:r>
                  <w:r>
                    <w:rPr>
                      <w:bCs/>
                      <w:color w:val="auto"/>
                    </w:rPr>
                    <w:t>设</w:t>
                  </w:r>
                  <w:r>
                    <w:rPr>
                      <w:rFonts w:hint="eastAsia"/>
                      <w:bCs/>
                      <w:color w:val="auto"/>
                    </w:rPr>
                    <w:t>1座</w:t>
                  </w:r>
                  <w:r>
                    <w:rPr>
                      <w:bCs/>
                      <w:color w:val="auto"/>
                    </w:rPr>
                    <w:t>车辆清洗平台对车身及轮胎进行冲洗；</w:t>
                  </w:r>
                  <w:r>
                    <w:rPr>
                      <w:rFonts w:hint="eastAsia"/>
                      <w:bCs/>
                      <w:color w:val="auto"/>
                    </w:rPr>
                    <w:t>每座洗车平台</w:t>
                  </w:r>
                  <w:r>
                    <w:rPr>
                      <w:color w:val="auto"/>
                      <w:lang w:bidi="ar"/>
                    </w:rPr>
                    <w:t>配套</w:t>
                  </w:r>
                  <w:r>
                    <w:rPr>
                      <w:bCs/>
                      <w:color w:val="auto"/>
                    </w:rPr>
                    <w:t>设置收集池、清水池、沉淀池各1座，每个水池</w:t>
                  </w:r>
                  <w:r>
                    <w:rPr>
                      <w:rFonts w:hint="eastAsia"/>
                      <w:bCs/>
                      <w:color w:val="auto"/>
                    </w:rPr>
                    <w:t>10</w:t>
                  </w:r>
                  <w:r>
                    <w:rPr>
                      <w:bCs/>
                      <w:color w:val="auto"/>
                    </w:rPr>
                    <w:t>m</w:t>
                  </w:r>
                  <w:r>
                    <w:rPr>
                      <w:bCs/>
                      <w:color w:val="auto"/>
                      <w:vertAlign w:val="superscript"/>
                    </w:rPr>
                    <w:t>3</w:t>
                  </w:r>
                  <w:r>
                    <w:rPr>
                      <w:bCs/>
                      <w:color w:val="auto"/>
                    </w:rPr>
                    <w:t>，</w:t>
                  </w:r>
                  <w:r>
                    <w:rPr>
                      <w:color w:val="auto"/>
                      <w:lang w:bidi="ar"/>
                    </w:rPr>
                    <w:t>洗车废水经沉淀池沉淀后由水泵泵入清水池循环利用，不外排。</w:t>
                  </w:r>
                </w:p>
              </w:tc>
              <w:tc>
                <w:tcPr>
                  <w:tcW w:w="529" w:type="pct"/>
                  <w:vAlign w:val="center"/>
                </w:tcPr>
                <w:p>
                  <w:pPr>
                    <w:jc w:val="center"/>
                    <w:rPr>
                      <w:bCs/>
                      <w:color w:val="auto"/>
                    </w:rPr>
                  </w:pPr>
                  <w:r>
                    <w:rPr>
                      <w:rFonts w:hint="eastAsia"/>
                      <w:bCs/>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673" w:type="pct"/>
                  <w:vAlign w:val="center"/>
                </w:tcPr>
                <w:p>
                  <w:pPr>
                    <w:spacing w:line="320" w:lineRule="exact"/>
                    <w:jc w:val="center"/>
                    <w:rPr>
                      <w:color w:val="auto"/>
                      <w:szCs w:val="18"/>
                    </w:rPr>
                  </w:pPr>
                  <w:r>
                    <w:rPr>
                      <w:rFonts w:hint="eastAsia"/>
                      <w:color w:val="auto"/>
                    </w:rPr>
                    <w:t>初期雨水</w:t>
                  </w:r>
                </w:p>
              </w:tc>
              <w:tc>
                <w:tcPr>
                  <w:tcW w:w="716" w:type="pct"/>
                  <w:vAlign w:val="center"/>
                </w:tcPr>
                <w:p>
                  <w:pPr>
                    <w:spacing w:line="320" w:lineRule="exact"/>
                    <w:jc w:val="center"/>
                    <w:rPr>
                      <w:bCs/>
                      <w:color w:val="auto"/>
                    </w:rPr>
                  </w:pPr>
                  <w:r>
                    <w:rPr>
                      <w:rFonts w:hint="eastAsia"/>
                      <w:bCs/>
                      <w:color w:val="auto"/>
                    </w:rPr>
                    <w:t>SS</w:t>
                  </w:r>
                </w:p>
              </w:tc>
              <w:tc>
                <w:tcPr>
                  <w:tcW w:w="2688" w:type="pct"/>
                  <w:vAlign w:val="center"/>
                </w:tcPr>
                <w:p>
                  <w:pPr>
                    <w:spacing w:line="320" w:lineRule="exact"/>
                    <w:rPr>
                      <w:color w:val="auto"/>
                    </w:rPr>
                  </w:pPr>
                  <w:r>
                    <w:rPr>
                      <w:color w:val="auto"/>
                      <w:spacing w:val="4"/>
                    </w:rPr>
                    <w:t>设导流渠用于收集厂区内初期雨水，厂区地块1内建设1座不小于300m</w:t>
                  </w:r>
                  <w:r>
                    <w:rPr>
                      <w:color w:val="auto"/>
                      <w:spacing w:val="4"/>
                      <w:vertAlign w:val="superscript"/>
                    </w:rPr>
                    <w:t>3</w:t>
                  </w:r>
                  <w:r>
                    <w:rPr>
                      <w:color w:val="auto"/>
                      <w:spacing w:val="4"/>
                    </w:rPr>
                    <w:t>的初期雨水池，收集厂区内产生的初期雨水；收集15min的初期雨水后，经切换装置将雨水由厂区北侧排出厂区；收集的初期雨水经沉淀后回用于厂区道路浇洒抑尘，不外排</w:t>
                  </w:r>
                  <w:r>
                    <w:rPr>
                      <w:color w:val="auto"/>
                    </w:rPr>
                    <w:t>。</w:t>
                  </w:r>
                </w:p>
              </w:tc>
              <w:tc>
                <w:tcPr>
                  <w:tcW w:w="529" w:type="pct"/>
                  <w:vAlign w:val="center"/>
                </w:tcPr>
                <w:p>
                  <w:pPr>
                    <w:jc w:val="center"/>
                    <w:rPr>
                      <w:bCs/>
                      <w:color w:val="auto"/>
                    </w:rPr>
                  </w:pPr>
                  <w:r>
                    <w:rPr>
                      <w:rFonts w:hint="eastAsia"/>
                      <w:bCs/>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673" w:type="pct"/>
                  <w:vAlign w:val="center"/>
                </w:tcPr>
                <w:p>
                  <w:pPr>
                    <w:spacing w:line="320" w:lineRule="exact"/>
                    <w:jc w:val="center"/>
                    <w:rPr>
                      <w:bCs/>
                      <w:color w:val="auto"/>
                      <w:szCs w:val="18"/>
                    </w:rPr>
                  </w:pPr>
                  <w:r>
                    <w:rPr>
                      <w:rFonts w:hint="eastAsia"/>
                      <w:color w:val="auto"/>
                    </w:rPr>
                    <w:t>生活污水</w:t>
                  </w:r>
                </w:p>
              </w:tc>
              <w:tc>
                <w:tcPr>
                  <w:tcW w:w="716" w:type="pct"/>
                  <w:vAlign w:val="center"/>
                </w:tcPr>
                <w:p>
                  <w:pPr>
                    <w:spacing w:line="320" w:lineRule="exact"/>
                    <w:jc w:val="center"/>
                    <w:rPr>
                      <w:bCs/>
                      <w:color w:val="auto"/>
                    </w:rPr>
                  </w:pPr>
                  <w:r>
                    <w:rPr>
                      <w:rFonts w:hint="eastAsia"/>
                      <w:bCs/>
                      <w:color w:val="auto"/>
                    </w:rPr>
                    <w:t>COD、BOD、氨氮、SS</w:t>
                  </w:r>
                </w:p>
              </w:tc>
              <w:tc>
                <w:tcPr>
                  <w:tcW w:w="2688" w:type="pct"/>
                  <w:vAlign w:val="center"/>
                </w:tcPr>
                <w:p>
                  <w:pPr>
                    <w:spacing w:line="320" w:lineRule="exact"/>
                    <w:rPr>
                      <w:color w:val="auto"/>
                    </w:rPr>
                  </w:pPr>
                  <w:r>
                    <w:rPr>
                      <w:rFonts w:hint="eastAsia" w:cs="宋体"/>
                      <w:color w:val="auto"/>
                      <w:kern w:val="0"/>
                    </w:rPr>
                    <w:t>本项目使用旱厕，定期清掏用于农田施肥；生活盥洗废水于厂区泼洒抑尘不外排。</w:t>
                  </w:r>
                </w:p>
              </w:tc>
              <w:tc>
                <w:tcPr>
                  <w:tcW w:w="529" w:type="pct"/>
                  <w:vAlign w:val="center"/>
                </w:tcPr>
                <w:p>
                  <w:pPr>
                    <w:jc w:val="center"/>
                    <w:rPr>
                      <w:bCs/>
                      <w:color w:val="auto"/>
                    </w:rPr>
                  </w:pPr>
                  <w:r>
                    <w:rPr>
                      <w:rFonts w:hint="eastAsia"/>
                      <w:bCs/>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restart"/>
                  <w:vAlign w:val="center"/>
                </w:tcPr>
                <w:p>
                  <w:pPr>
                    <w:spacing w:line="320" w:lineRule="exact"/>
                    <w:jc w:val="center"/>
                    <w:rPr>
                      <w:bCs/>
                      <w:color w:val="auto"/>
                    </w:rPr>
                  </w:pPr>
                  <w:r>
                    <w:rPr>
                      <w:rFonts w:hint="eastAsia"/>
                      <w:bCs/>
                      <w:color w:val="auto"/>
                    </w:rPr>
                    <w:t>固废</w:t>
                  </w:r>
                </w:p>
              </w:tc>
              <w:tc>
                <w:tcPr>
                  <w:tcW w:w="1389" w:type="pct"/>
                  <w:gridSpan w:val="2"/>
                  <w:vAlign w:val="center"/>
                </w:tcPr>
                <w:p>
                  <w:pPr>
                    <w:autoSpaceDE w:val="0"/>
                    <w:autoSpaceDN w:val="0"/>
                    <w:jc w:val="center"/>
                    <w:rPr>
                      <w:bCs/>
                      <w:color w:val="auto"/>
                    </w:rPr>
                  </w:pPr>
                  <w:r>
                    <w:rPr>
                      <w:rFonts w:hint="eastAsia"/>
                      <w:color w:val="auto"/>
                    </w:rPr>
                    <w:t>淋控水池、洗车废水池、初期雨水池沉淀的底泥</w:t>
                  </w:r>
                </w:p>
              </w:tc>
              <w:tc>
                <w:tcPr>
                  <w:tcW w:w="2688" w:type="pct"/>
                  <w:vAlign w:val="center"/>
                </w:tcPr>
                <w:p>
                  <w:pPr>
                    <w:autoSpaceDE w:val="0"/>
                    <w:autoSpaceDN w:val="0"/>
                    <w:spacing w:line="320" w:lineRule="exact"/>
                    <w:rPr>
                      <w:color w:val="auto"/>
                    </w:rPr>
                  </w:pPr>
                  <w:r>
                    <w:rPr>
                      <w:rFonts w:hint="eastAsia"/>
                      <w:color w:val="auto"/>
                    </w:rPr>
                    <w:t>主要成分为煤泥，收集后作为产品外售。</w:t>
                  </w:r>
                </w:p>
              </w:tc>
              <w:tc>
                <w:tcPr>
                  <w:tcW w:w="529" w:type="pct"/>
                  <w:vAlign w:val="center"/>
                </w:tcPr>
                <w:p>
                  <w:pPr>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1389" w:type="pct"/>
                  <w:gridSpan w:val="2"/>
                  <w:vAlign w:val="center"/>
                </w:tcPr>
                <w:p>
                  <w:pPr>
                    <w:spacing w:line="320" w:lineRule="exact"/>
                    <w:jc w:val="center"/>
                    <w:rPr>
                      <w:bCs/>
                      <w:color w:val="auto"/>
                    </w:rPr>
                  </w:pPr>
                  <w:r>
                    <w:rPr>
                      <w:rFonts w:hint="eastAsia"/>
                      <w:color w:val="auto"/>
                    </w:rPr>
                    <w:t>设备维修保养产生的废机油、废棉纱、废手套、废机油桶</w:t>
                  </w:r>
                </w:p>
              </w:tc>
              <w:tc>
                <w:tcPr>
                  <w:tcW w:w="2688" w:type="pct"/>
                  <w:vAlign w:val="center"/>
                </w:tcPr>
                <w:p>
                  <w:pPr>
                    <w:autoSpaceDE w:val="0"/>
                    <w:autoSpaceDN w:val="0"/>
                    <w:spacing w:line="320" w:lineRule="exact"/>
                    <w:rPr>
                      <w:color w:val="auto"/>
                    </w:rPr>
                  </w:pPr>
                  <w:r>
                    <w:rPr>
                      <w:rFonts w:hint="eastAsia"/>
                      <w:color w:val="auto"/>
                    </w:rPr>
                    <w:t>收集后在厂区内新建的危险废物暂存间进行暂存，最后由有资质的单位进行收集处置。</w:t>
                  </w:r>
                </w:p>
              </w:tc>
              <w:tc>
                <w:tcPr>
                  <w:tcW w:w="529" w:type="pct"/>
                  <w:vAlign w:val="center"/>
                </w:tcPr>
                <w:p>
                  <w:pPr>
                    <w:jc w:val="center"/>
                    <w:rPr>
                      <w:bCs/>
                      <w:color w:val="auto"/>
                    </w:rPr>
                  </w:pPr>
                  <w:r>
                    <w:rPr>
                      <w:rFonts w:hint="eastAsia"/>
                      <w:bCs/>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Merge w:val="continue"/>
                  <w:vAlign w:val="center"/>
                </w:tcPr>
                <w:p>
                  <w:pPr>
                    <w:spacing w:line="320" w:lineRule="exact"/>
                    <w:jc w:val="center"/>
                    <w:rPr>
                      <w:bCs/>
                      <w:color w:val="auto"/>
                    </w:rPr>
                  </w:pPr>
                </w:p>
              </w:tc>
              <w:tc>
                <w:tcPr>
                  <w:tcW w:w="1389" w:type="pct"/>
                  <w:gridSpan w:val="2"/>
                  <w:vAlign w:val="center"/>
                </w:tcPr>
                <w:p>
                  <w:pPr>
                    <w:spacing w:line="320" w:lineRule="exact"/>
                    <w:jc w:val="center"/>
                    <w:rPr>
                      <w:color w:val="auto"/>
                    </w:rPr>
                  </w:pPr>
                  <w:r>
                    <w:rPr>
                      <w:rFonts w:hint="eastAsia"/>
                      <w:color w:val="auto"/>
                    </w:rPr>
                    <w:t>生活垃圾</w:t>
                  </w:r>
                </w:p>
              </w:tc>
              <w:tc>
                <w:tcPr>
                  <w:tcW w:w="2688" w:type="pct"/>
                  <w:vAlign w:val="center"/>
                </w:tcPr>
                <w:p>
                  <w:pPr>
                    <w:autoSpaceDE w:val="0"/>
                    <w:autoSpaceDN w:val="0"/>
                    <w:spacing w:line="320" w:lineRule="exact"/>
                    <w:rPr>
                      <w:color w:val="auto"/>
                    </w:rPr>
                  </w:pPr>
                  <w:r>
                    <w:rPr>
                      <w:color w:val="auto"/>
                      <w:lang w:bidi="ar"/>
                    </w:rPr>
                    <w:t>在厂区内设封闭式垃圾收集箱，收集后送当地环卫部门指定地点统一处理</w:t>
                  </w:r>
                  <w:r>
                    <w:rPr>
                      <w:rFonts w:hint="eastAsia"/>
                      <w:bCs/>
                      <w:color w:val="auto"/>
                    </w:rPr>
                    <w:t>。</w:t>
                  </w:r>
                </w:p>
              </w:tc>
              <w:tc>
                <w:tcPr>
                  <w:tcW w:w="529" w:type="pct"/>
                  <w:vAlign w:val="center"/>
                </w:tcPr>
                <w:p>
                  <w:pPr>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3" w:type="pct"/>
                  <w:vAlign w:val="center"/>
                </w:tcPr>
                <w:p>
                  <w:pPr>
                    <w:spacing w:line="320" w:lineRule="exact"/>
                    <w:jc w:val="center"/>
                    <w:rPr>
                      <w:bCs/>
                      <w:color w:val="auto"/>
                    </w:rPr>
                  </w:pPr>
                  <w:r>
                    <w:rPr>
                      <w:rFonts w:hint="eastAsia"/>
                      <w:bCs/>
                      <w:color w:val="auto"/>
                    </w:rPr>
                    <w:t>噪声</w:t>
                  </w:r>
                </w:p>
              </w:tc>
              <w:tc>
                <w:tcPr>
                  <w:tcW w:w="1389" w:type="pct"/>
                  <w:gridSpan w:val="2"/>
                  <w:vAlign w:val="center"/>
                </w:tcPr>
                <w:p>
                  <w:pPr>
                    <w:spacing w:line="320" w:lineRule="exact"/>
                    <w:jc w:val="center"/>
                    <w:rPr>
                      <w:color w:val="auto"/>
                    </w:rPr>
                  </w:pPr>
                  <w:r>
                    <w:rPr>
                      <w:rFonts w:hint="eastAsia"/>
                      <w:color w:val="auto"/>
                    </w:rPr>
                    <w:t>设备</w:t>
                  </w:r>
                  <w:r>
                    <w:rPr>
                      <w:rFonts w:hint="eastAsia"/>
                      <w:bCs/>
                      <w:color w:val="auto"/>
                    </w:rPr>
                    <w:t>噪声</w:t>
                  </w:r>
                </w:p>
              </w:tc>
              <w:tc>
                <w:tcPr>
                  <w:tcW w:w="2688" w:type="pct"/>
                  <w:vAlign w:val="center"/>
                </w:tcPr>
                <w:p>
                  <w:pPr>
                    <w:spacing w:line="320" w:lineRule="exact"/>
                    <w:rPr>
                      <w:color w:val="auto"/>
                    </w:rPr>
                  </w:pPr>
                  <w:r>
                    <w:rPr>
                      <w:rFonts w:hint="eastAsia"/>
                      <w:bCs/>
                      <w:color w:val="auto"/>
                      <w:spacing w:val="4"/>
                    </w:rPr>
                    <w:t>选用低噪声设备，隔声、基础减振，定期维护；加强管理。</w:t>
                  </w:r>
                  <w:r>
                    <w:rPr>
                      <w:bCs/>
                      <w:color w:val="auto"/>
                      <w:lang w:bidi="ar"/>
                    </w:rPr>
                    <w:t>运输车辆及时保养，在通过村庄时禁鸣，减速慢行，降低运输噪声</w:t>
                  </w:r>
                  <w:r>
                    <w:rPr>
                      <w:rFonts w:hint="eastAsia"/>
                      <w:bCs/>
                      <w:color w:val="auto"/>
                      <w:lang w:bidi="ar"/>
                    </w:rPr>
                    <w:t>。</w:t>
                  </w:r>
                </w:p>
              </w:tc>
              <w:tc>
                <w:tcPr>
                  <w:tcW w:w="529" w:type="pct"/>
                  <w:vAlign w:val="center"/>
                </w:tcPr>
                <w:p>
                  <w:pPr>
                    <w:jc w:val="center"/>
                    <w:rPr>
                      <w:bCs/>
                      <w:color w:val="auto"/>
                    </w:rPr>
                  </w:pPr>
                  <w:r>
                    <w:rPr>
                      <w:rFonts w:hint="eastAsia"/>
                      <w:bCs/>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70" w:type="pct"/>
                  <w:gridSpan w:val="4"/>
                  <w:vAlign w:val="center"/>
                </w:tcPr>
                <w:p>
                  <w:pPr>
                    <w:spacing w:line="320" w:lineRule="exact"/>
                    <w:jc w:val="center"/>
                    <w:rPr>
                      <w:bCs/>
                      <w:color w:val="auto"/>
                    </w:rPr>
                  </w:pPr>
                  <w:r>
                    <w:rPr>
                      <w:rFonts w:hint="eastAsia"/>
                      <w:bCs/>
                      <w:color w:val="auto"/>
                    </w:rPr>
                    <w:t>合计</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245</w:t>
                  </w:r>
                </w:p>
              </w:tc>
            </w:tr>
          </w:tbl>
          <w:p>
            <w:pPr>
              <w:adjustRightInd w:val="0"/>
              <w:snapToGrid w:val="0"/>
              <w:spacing w:line="480" w:lineRule="exact"/>
              <w:ind w:firstLine="480" w:firstLineChars="200"/>
              <w:rPr>
                <w:color w:val="auto"/>
                <w:sz w:val="24"/>
              </w:rPr>
            </w:pPr>
            <w:r>
              <w:rPr>
                <w:rFonts w:hint="eastAsia"/>
                <w:color w:val="auto"/>
                <w:sz w:val="24"/>
              </w:rPr>
              <w:t>综上，本项目环保投资为245万元，占总投资的2.04%。</w:t>
            </w: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p>
            <w:pPr>
              <w:adjustRightInd w:val="0"/>
              <w:snapToGrid w:val="0"/>
              <w:spacing w:line="480" w:lineRule="exact"/>
              <w:ind w:firstLine="480" w:firstLineChars="200"/>
              <w:rPr>
                <w:color w:val="auto"/>
                <w:sz w:val="24"/>
              </w:rPr>
            </w:pPr>
          </w:p>
        </w:tc>
      </w:tr>
    </w:tbl>
    <w:p>
      <w:pPr>
        <w:spacing w:line="40" w:lineRule="exact"/>
        <w:rPr>
          <w:color w:val="auto"/>
        </w:rPr>
      </w:pPr>
    </w:p>
    <w:p>
      <w:pPr>
        <w:spacing w:line="40" w:lineRule="exact"/>
        <w:rPr>
          <w:color w:val="auto"/>
        </w:rPr>
        <w:sectPr>
          <w:pgSz w:w="11906" w:h="16838"/>
          <w:pgMar w:top="1701" w:right="1531" w:bottom="1701" w:left="1531" w:header="1134" w:footer="992" w:gutter="0"/>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490"/>
        <w:gridCol w:w="1050"/>
        <w:gridCol w:w="3301"/>
        <w:gridCol w:w="21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tcBorders>
              <w:tl2br w:val="single" w:color="auto" w:sz="4" w:space="0"/>
            </w:tcBorders>
            <w:vAlign w:val="center"/>
          </w:tcPr>
          <w:p>
            <w:pPr>
              <w:adjustRightInd w:val="0"/>
              <w:snapToGrid w:val="0"/>
              <w:ind w:firstLine="420" w:firstLineChars="200"/>
              <w:rPr>
                <w:color w:val="auto"/>
              </w:rPr>
            </w:pPr>
            <w:r>
              <w:rPr>
                <w:rFonts w:hint="eastAsia"/>
                <w:color w:val="auto"/>
              </w:rPr>
              <w:t>内容</w:t>
            </w:r>
          </w:p>
          <w:p>
            <w:pPr>
              <w:adjustRightInd w:val="0"/>
              <w:snapToGrid w:val="0"/>
              <w:rPr>
                <w:color w:val="auto"/>
              </w:rPr>
            </w:pPr>
            <w:r>
              <w:rPr>
                <w:rFonts w:hint="eastAsia"/>
                <w:color w:val="auto"/>
              </w:rPr>
              <w:t>要素</w:t>
            </w:r>
          </w:p>
        </w:tc>
        <w:tc>
          <w:tcPr>
            <w:tcW w:w="1490" w:type="dxa"/>
            <w:vAlign w:val="center"/>
          </w:tcPr>
          <w:p>
            <w:pPr>
              <w:adjustRightInd w:val="0"/>
              <w:snapToGrid w:val="0"/>
              <w:jc w:val="center"/>
              <w:rPr>
                <w:color w:val="auto"/>
              </w:rPr>
            </w:pPr>
            <w:r>
              <w:rPr>
                <w:rFonts w:hint="eastAsia"/>
                <w:color w:val="auto"/>
              </w:rPr>
              <w:t>排放口(编号、</w:t>
            </w:r>
          </w:p>
          <w:p>
            <w:pPr>
              <w:adjustRightInd w:val="0"/>
              <w:snapToGrid w:val="0"/>
              <w:jc w:val="center"/>
              <w:rPr>
                <w:color w:val="auto"/>
              </w:rPr>
            </w:pPr>
            <w:r>
              <w:rPr>
                <w:rFonts w:hint="eastAsia"/>
                <w:color w:val="auto"/>
              </w:rPr>
              <w:t>名称)/污染源</w:t>
            </w:r>
          </w:p>
        </w:tc>
        <w:tc>
          <w:tcPr>
            <w:tcW w:w="1050" w:type="dxa"/>
            <w:vAlign w:val="center"/>
          </w:tcPr>
          <w:p>
            <w:pPr>
              <w:adjustRightInd w:val="0"/>
              <w:snapToGrid w:val="0"/>
              <w:jc w:val="center"/>
              <w:rPr>
                <w:color w:val="auto"/>
              </w:rPr>
            </w:pPr>
            <w:r>
              <w:rPr>
                <w:rFonts w:hint="eastAsia"/>
                <w:color w:val="auto"/>
              </w:rPr>
              <w:t>污染物项目</w:t>
            </w:r>
          </w:p>
        </w:tc>
        <w:tc>
          <w:tcPr>
            <w:tcW w:w="3301" w:type="dxa"/>
            <w:vAlign w:val="center"/>
          </w:tcPr>
          <w:p>
            <w:pPr>
              <w:adjustRightInd w:val="0"/>
              <w:snapToGrid w:val="0"/>
              <w:jc w:val="center"/>
              <w:rPr>
                <w:color w:val="auto"/>
              </w:rPr>
            </w:pPr>
            <w:r>
              <w:rPr>
                <w:rFonts w:hint="eastAsia"/>
                <w:color w:val="auto"/>
              </w:rPr>
              <w:t>环境保护措施</w:t>
            </w:r>
          </w:p>
        </w:tc>
        <w:tc>
          <w:tcPr>
            <w:tcW w:w="2106" w:type="dxa"/>
            <w:vAlign w:val="center"/>
          </w:tcPr>
          <w:p>
            <w:pPr>
              <w:adjustRightInd w:val="0"/>
              <w:snapToGrid w:val="0"/>
              <w:jc w:val="center"/>
              <w:rPr>
                <w:color w:val="auto"/>
              </w:rPr>
            </w:pPr>
            <w:r>
              <w:rPr>
                <w:rFonts w:hint="eastAsia"/>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restart"/>
            <w:vAlign w:val="center"/>
          </w:tcPr>
          <w:p>
            <w:pPr>
              <w:adjustRightInd w:val="0"/>
              <w:snapToGrid w:val="0"/>
              <w:jc w:val="center"/>
              <w:rPr>
                <w:color w:val="auto"/>
              </w:rPr>
            </w:pPr>
            <w:r>
              <w:rPr>
                <w:rFonts w:hint="eastAsia"/>
                <w:color w:val="auto"/>
              </w:rPr>
              <w:t>大气环境</w:t>
            </w:r>
          </w:p>
        </w:tc>
        <w:tc>
          <w:tcPr>
            <w:tcW w:w="1490" w:type="dxa"/>
            <w:vAlign w:val="center"/>
          </w:tcPr>
          <w:p>
            <w:pPr>
              <w:spacing w:line="320" w:lineRule="exact"/>
              <w:jc w:val="center"/>
              <w:rPr>
                <w:color w:val="auto"/>
              </w:rPr>
            </w:pPr>
            <w:r>
              <w:rPr>
                <w:rFonts w:hint="eastAsia"/>
                <w:color w:val="auto"/>
              </w:rPr>
              <w:t>运输扬尘</w:t>
            </w:r>
          </w:p>
        </w:tc>
        <w:tc>
          <w:tcPr>
            <w:tcW w:w="1050" w:type="dxa"/>
            <w:vAlign w:val="center"/>
          </w:tcPr>
          <w:p>
            <w:pPr>
              <w:spacing w:line="320" w:lineRule="exact"/>
              <w:jc w:val="center"/>
              <w:rPr>
                <w:color w:val="auto"/>
              </w:rPr>
            </w:pPr>
            <w:r>
              <w:rPr>
                <w:rFonts w:hint="eastAsia"/>
                <w:bCs/>
                <w:color w:val="auto"/>
              </w:rPr>
              <w:t>扬尘</w:t>
            </w:r>
          </w:p>
        </w:tc>
        <w:tc>
          <w:tcPr>
            <w:tcW w:w="3301" w:type="dxa"/>
            <w:vAlign w:val="center"/>
          </w:tcPr>
          <w:p>
            <w:pPr>
              <w:spacing w:line="320" w:lineRule="exact"/>
              <w:rPr>
                <w:color w:val="auto"/>
              </w:rPr>
            </w:pPr>
            <w:r>
              <w:rPr>
                <w:rFonts w:hint="eastAsia"/>
                <w:color w:val="auto"/>
              </w:rPr>
              <w:t>运输车辆限制超载，采用篷布苫盖；厂区进出口以及每座煤棚出口处分别设1座车辆清洗平台对车身及轮胎进行冲洗；厂区对地面、道路进行全部硬化和厂界绿化，同时配备移动洒水车进行洒水抑尘</w:t>
            </w:r>
            <w:r>
              <w:rPr>
                <w:rFonts w:hint="eastAsia"/>
                <w:bCs/>
                <w:color w:val="auto"/>
              </w:rPr>
              <w:t>。</w:t>
            </w:r>
          </w:p>
        </w:tc>
        <w:tc>
          <w:tcPr>
            <w:tcW w:w="2106" w:type="dxa"/>
            <w:vMerge w:val="restart"/>
            <w:vAlign w:val="center"/>
          </w:tcPr>
          <w:p>
            <w:pPr>
              <w:adjustRightInd w:val="0"/>
              <w:snapToGrid w:val="0"/>
              <w:jc w:val="center"/>
              <w:rPr>
                <w:color w:val="auto"/>
              </w:rPr>
            </w:pPr>
            <w:r>
              <w:rPr>
                <w:rFonts w:hint="eastAsia"/>
                <w:color w:val="auto"/>
              </w:rPr>
              <w:t>《煤炭洗选行业污染物排放标准》（DB14/2270-2021）中的限值要求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490" w:type="dxa"/>
            <w:vAlign w:val="center"/>
          </w:tcPr>
          <w:p>
            <w:pPr>
              <w:spacing w:line="320" w:lineRule="exact"/>
              <w:jc w:val="center"/>
              <w:rPr>
                <w:color w:val="auto"/>
              </w:rPr>
            </w:pPr>
            <w:r>
              <w:rPr>
                <w:color w:val="auto"/>
                <w:lang w:bidi="ar"/>
              </w:rPr>
              <w:t>煤炭储存及装卸扬尘</w:t>
            </w:r>
          </w:p>
        </w:tc>
        <w:tc>
          <w:tcPr>
            <w:tcW w:w="1050" w:type="dxa"/>
            <w:vAlign w:val="center"/>
          </w:tcPr>
          <w:p>
            <w:pPr>
              <w:spacing w:line="320" w:lineRule="exact"/>
              <w:jc w:val="center"/>
              <w:rPr>
                <w:bCs/>
                <w:color w:val="auto"/>
              </w:rPr>
            </w:pPr>
            <w:r>
              <w:rPr>
                <w:rFonts w:hint="eastAsia"/>
                <w:bCs/>
                <w:color w:val="auto"/>
              </w:rPr>
              <w:t>粉尘</w:t>
            </w:r>
          </w:p>
        </w:tc>
        <w:tc>
          <w:tcPr>
            <w:tcW w:w="3301" w:type="dxa"/>
            <w:vAlign w:val="center"/>
          </w:tcPr>
          <w:p>
            <w:pPr>
              <w:spacing w:line="320" w:lineRule="exact"/>
              <w:rPr>
                <w:bCs/>
                <w:color w:val="auto"/>
              </w:rPr>
            </w:pPr>
            <w:r>
              <w:rPr>
                <w:color w:val="auto"/>
              </w:rPr>
              <w:t>尽可能缩小装卸时的高差，</w:t>
            </w:r>
            <w:r>
              <w:rPr>
                <w:color w:val="auto"/>
                <w:spacing w:val="4"/>
              </w:rPr>
              <w:t>建设全封闭储煤棚，并设</w:t>
            </w:r>
            <w:r>
              <w:rPr>
                <w:rFonts w:hint="eastAsia"/>
                <w:color w:val="auto"/>
                <w:spacing w:val="4"/>
              </w:rPr>
              <w:t>置</w:t>
            </w:r>
            <w:r>
              <w:rPr>
                <w:color w:val="auto"/>
                <w:spacing w:val="4"/>
              </w:rPr>
              <w:t>能够覆盖全</w:t>
            </w:r>
            <w:r>
              <w:rPr>
                <w:rFonts w:hint="eastAsia"/>
                <w:color w:val="auto"/>
                <w:spacing w:val="4"/>
              </w:rPr>
              <w:t>库</w:t>
            </w:r>
            <w:r>
              <w:rPr>
                <w:color w:val="auto"/>
                <w:spacing w:val="4"/>
              </w:rPr>
              <w:t>的喷雾洒水装置，</w:t>
            </w:r>
            <w:r>
              <w:rPr>
                <w:rFonts w:hint="eastAsia"/>
                <w:color w:val="auto"/>
                <w:spacing w:val="4"/>
              </w:rPr>
              <w:t>每座储库设置1台移动式雾炮，在装卸时采取喷雾抑尘。</w:t>
            </w:r>
          </w:p>
        </w:tc>
        <w:tc>
          <w:tcPr>
            <w:tcW w:w="2106" w:type="dxa"/>
            <w:vMerge w:val="continue"/>
            <w:vAlign w:val="center"/>
          </w:tcPr>
          <w:p>
            <w:pPr>
              <w:adjustRightInd w:val="0"/>
              <w:snapToGrid w:val="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restart"/>
            <w:vAlign w:val="center"/>
          </w:tcPr>
          <w:p>
            <w:pPr>
              <w:adjustRightInd w:val="0"/>
              <w:snapToGrid w:val="0"/>
              <w:jc w:val="center"/>
              <w:rPr>
                <w:color w:val="auto"/>
              </w:rPr>
            </w:pPr>
            <w:r>
              <w:rPr>
                <w:rFonts w:hint="eastAsia"/>
                <w:color w:val="auto"/>
              </w:rPr>
              <w:t>地表水环境</w:t>
            </w:r>
          </w:p>
        </w:tc>
        <w:tc>
          <w:tcPr>
            <w:tcW w:w="1490" w:type="dxa"/>
            <w:vAlign w:val="center"/>
          </w:tcPr>
          <w:p>
            <w:pPr>
              <w:spacing w:line="320" w:lineRule="exact"/>
              <w:jc w:val="center"/>
              <w:rPr>
                <w:color w:val="auto"/>
              </w:rPr>
            </w:pPr>
            <w:r>
              <w:rPr>
                <w:rFonts w:hint="eastAsia"/>
                <w:color w:val="auto"/>
              </w:rPr>
              <w:t>储煤棚淋控废水</w:t>
            </w:r>
          </w:p>
        </w:tc>
        <w:tc>
          <w:tcPr>
            <w:tcW w:w="1050" w:type="dxa"/>
            <w:vAlign w:val="center"/>
          </w:tcPr>
          <w:p>
            <w:pPr>
              <w:spacing w:line="320" w:lineRule="exact"/>
              <w:jc w:val="center"/>
              <w:rPr>
                <w:color w:val="auto"/>
              </w:rPr>
            </w:pPr>
            <w:r>
              <w:rPr>
                <w:rFonts w:hint="eastAsia"/>
                <w:bCs/>
                <w:color w:val="auto"/>
              </w:rPr>
              <w:t>SS</w:t>
            </w:r>
          </w:p>
        </w:tc>
        <w:tc>
          <w:tcPr>
            <w:tcW w:w="3301" w:type="dxa"/>
            <w:vAlign w:val="center"/>
          </w:tcPr>
          <w:p>
            <w:pPr>
              <w:spacing w:line="320" w:lineRule="exact"/>
              <w:rPr>
                <w:color w:val="auto"/>
              </w:rPr>
            </w:pPr>
            <w:r>
              <w:rPr>
                <w:color w:val="auto"/>
              </w:rPr>
              <w:t>每座储煤库外均设置1座100m</w:t>
            </w:r>
            <w:r>
              <w:rPr>
                <w:color w:val="auto"/>
                <w:vertAlign w:val="superscript"/>
              </w:rPr>
              <w:t>3</w:t>
            </w:r>
            <w:r>
              <w:rPr>
                <w:color w:val="auto"/>
              </w:rPr>
              <w:t>淋控废水收集池、1座100m</w:t>
            </w:r>
            <w:r>
              <w:rPr>
                <w:color w:val="auto"/>
                <w:vertAlign w:val="superscript"/>
              </w:rPr>
              <w:t>3</w:t>
            </w:r>
            <w:r>
              <w:rPr>
                <w:color w:val="auto"/>
              </w:rPr>
              <w:t>清水池，储煤场淋控废水经淋控废水收集池收集沉淀处理后返回清水池回用，不外排</w:t>
            </w:r>
            <w:r>
              <w:rPr>
                <w:rFonts w:hint="eastAsia"/>
                <w:color w:val="auto"/>
              </w:rPr>
              <w:t>。</w:t>
            </w:r>
          </w:p>
        </w:tc>
        <w:tc>
          <w:tcPr>
            <w:tcW w:w="210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490" w:type="dxa"/>
            <w:vAlign w:val="center"/>
          </w:tcPr>
          <w:p>
            <w:pPr>
              <w:spacing w:line="320" w:lineRule="exact"/>
              <w:jc w:val="center"/>
              <w:rPr>
                <w:color w:val="auto"/>
              </w:rPr>
            </w:pPr>
            <w:r>
              <w:rPr>
                <w:rFonts w:hint="eastAsia"/>
                <w:color w:val="auto"/>
              </w:rPr>
              <w:t>洗车废水</w:t>
            </w:r>
          </w:p>
        </w:tc>
        <w:tc>
          <w:tcPr>
            <w:tcW w:w="1050" w:type="dxa"/>
            <w:vAlign w:val="center"/>
          </w:tcPr>
          <w:p>
            <w:pPr>
              <w:spacing w:line="320" w:lineRule="exact"/>
              <w:jc w:val="center"/>
              <w:rPr>
                <w:bCs/>
                <w:color w:val="auto"/>
              </w:rPr>
            </w:pPr>
            <w:r>
              <w:rPr>
                <w:rFonts w:hint="eastAsia"/>
                <w:bCs/>
                <w:color w:val="auto"/>
              </w:rPr>
              <w:t>SS</w:t>
            </w:r>
          </w:p>
        </w:tc>
        <w:tc>
          <w:tcPr>
            <w:tcW w:w="3301" w:type="dxa"/>
            <w:vAlign w:val="center"/>
          </w:tcPr>
          <w:p>
            <w:pPr>
              <w:spacing w:line="320" w:lineRule="exact"/>
              <w:rPr>
                <w:bCs/>
                <w:color w:val="auto"/>
              </w:rPr>
            </w:pPr>
            <w:r>
              <w:rPr>
                <w:bCs/>
                <w:color w:val="auto"/>
              </w:rPr>
              <w:t>厂区进出口</w:t>
            </w:r>
            <w:r>
              <w:rPr>
                <w:rFonts w:hint="eastAsia"/>
                <w:bCs/>
                <w:color w:val="auto"/>
              </w:rPr>
              <w:t>以及每座煤棚出口处</w:t>
            </w:r>
            <w:r>
              <w:rPr>
                <w:bCs/>
                <w:color w:val="auto"/>
              </w:rPr>
              <w:t>设</w:t>
            </w:r>
            <w:r>
              <w:rPr>
                <w:rFonts w:hint="eastAsia"/>
                <w:bCs/>
                <w:color w:val="auto"/>
              </w:rPr>
              <w:t>1座</w:t>
            </w:r>
            <w:r>
              <w:rPr>
                <w:bCs/>
                <w:color w:val="auto"/>
              </w:rPr>
              <w:t>车辆清洗平台对车身及轮胎进行冲洗；</w:t>
            </w:r>
            <w:r>
              <w:rPr>
                <w:rFonts w:hint="eastAsia"/>
                <w:bCs/>
                <w:color w:val="auto"/>
              </w:rPr>
              <w:t>每座洗车平台</w:t>
            </w:r>
            <w:r>
              <w:rPr>
                <w:color w:val="auto"/>
                <w:lang w:bidi="ar"/>
              </w:rPr>
              <w:t>配套</w:t>
            </w:r>
            <w:r>
              <w:rPr>
                <w:bCs/>
                <w:color w:val="auto"/>
              </w:rPr>
              <w:t>设置收集池、清水池、沉淀池各1座，每个水池</w:t>
            </w:r>
            <w:r>
              <w:rPr>
                <w:rFonts w:hint="eastAsia"/>
                <w:bCs/>
                <w:color w:val="auto"/>
              </w:rPr>
              <w:t>10</w:t>
            </w:r>
            <w:r>
              <w:rPr>
                <w:bCs/>
                <w:color w:val="auto"/>
              </w:rPr>
              <w:t>m</w:t>
            </w:r>
            <w:r>
              <w:rPr>
                <w:bCs/>
                <w:color w:val="auto"/>
                <w:vertAlign w:val="superscript"/>
              </w:rPr>
              <w:t>3</w:t>
            </w:r>
            <w:r>
              <w:rPr>
                <w:bCs/>
                <w:color w:val="auto"/>
              </w:rPr>
              <w:t>，</w:t>
            </w:r>
            <w:r>
              <w:rPr>
                <w:color w:val="auto"/>
                <w:lang w:bidi="ar"/>
              </w:rPr>
              <w:t>洗车废水经沉淀池沉淀后由水泵泵入清水池循环利用，不外排。</w:t>
            </w:r>
          </w:p>
        </w:tc>
        <w:tc>
          <w:tcPr>
            <w:tcW w:w="210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490" w:type="dxa"/>
            <w:vAlign w:val="center"/>
          </w:tcPr>
          <w:p>
            <w:pPr>
              <w:spacing w:line="320" w:lineRule="exact"/>
              <w:jc w:val="center"/>
              <w:rPr>
                <w:color w:val="auto"/>
                <w:szCs w:val="18"/>
              </w:rPr>
            </w:pPr>
            <w:r>
              <w:rPr>
                <w:rFonts w:hint="eastAsia"/>
                <w:color w:val="auto"/>
              </w:rPr>
              <w:t>初期雨水</w:t>
            </w:r>
          </w:p>
        </w:tc>
        <w:tc>
          <w:tcPr>
            <w:tcW w:w="1050" w:type="dxa"/>
            <w:vAlign w:val="center"/>
          </w:tcPr>
          <w:p>
            <w:pPr>
              <w:spacing w:line="320" w:lineRule="exact"/>
              <w:jc w:val="center"/>
              <w:rPr>
                <w:bCs/>
                <w:color w:val="auto"/>
              </w:rPr>
            </w:pPr>
            <w:r>
              <w:rPr>
                <w:rFonts w:hint="eastAsia"/>
                <w:bCs/>
                <w:color w:val="auto"/>
              </w:rPr>
              <w:t>SS</w:t>
            </w:r>
          </w:p>
        </w:tc>
        <w:tc>
          <w:tcPr>
            <w:tcW w:w="3301" w:type="dxa"/>
            <w:vAlign w:val="center"/>
          </w:tcPr>
          <w:p>
            <w:pPr>
              <w:spacing w:line="320" w:lineRule="exact"/>
              <w:rPr>
                <w:color w:val="auto"/>
              </w:rPr>
            </w:pPr>
            <w:r>
              <w:rPr>
                <w:color w:val="auto"/>
                <w:spacing w:val="4"/>
              </w:rPr>
              <w:t>设导流渠用于收集厂区内初期雨水，厂区地块1内建设1座不小于300m</w:t>
            </w:r>
            <w:r>
              <w:rPr>
                <w:color w:val="auto"/>
                <w:spacing w:val="4"/>
                <w:vertAlign w:val="superscript"/>
              </w:rPr>
              <w:t>3</w:t>
            </w:r>
            <w:r>
              <w:rPr>
                <w:color w:val="auto"/>
                <w:spacing w:val="4"/>
              </w:rPr>
              <w:t>的初期雨水池，收集厂区内产生的初期雨水；收集15min的初期雨水后，经切换装置将雨水由厂区北侧排出厂区；收集的初期雨水经沉淀后回用于厂区道路浇洒抑尘，不外排</w:t>
            </w:r>
            <w:r>
              <w:rPr>
                <w:color w:val="auto"/>
              </w:rPr>
              <w:t>。</w:t>
            </w:r>
          </w:p>
        </w:tc>
        <w:tc>
          <w:tcPr>
            <w:tcW w:w="210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490" w:type="dxa"/>
            <w:vAlign w:val="center"/>
          </w:tcPr>
          <w:p>
            <w:pPr>
              <w:spacing w:line="320" w:lineRule="exact"/>
              <w:jc w:val="center"/>
              <w:rPr>
                <w:color w:val="auto"/>
              </w:rPr>
            </w:pPr>
            <w:r>
              <w:rPr>
                <w:rFonts w:hint="eastAsia"/>
                <w:color w:val="auto"/>
              </w:rPr>
              <w:t>生活污水</w:t>
            </w:r>
          </w:p>
        </w:tc>
        <w:tc>
          <w:tcPr>
            <w:tcW w:w="1050" w:type="dxa"/>
            <w:vAlign w:val="center"/>
          </w:tcPr>
          <w:p>
            <w:pPr>
              <w:spacing w:line="320" w:lineRule="exact"/>
              <w:jc w:val="center"/>
              <w:rPr>
                <w:color w:val="auto"/>
              </w:rPr>
            </w:pPr>
            <w:r>
              <w:rPr>
                <w:rFonts w:hint="eastAsia"/>
                <w:bCs/>
                <w:color w:val="auto"/>
              </w:rPr>
              <w:t>COD、BOD、氨氮、SS</w:t>
            </w:r>
          </w:p>
        </w:tc>
        <w:tc>
          <w:tcPr>
            <w:tcW w:w="3301" w:type="dxa"/>
            <w:vAlign w:val="center"/>
          </w:tcPr>
          <w:p>
            <w:pPr>
              <w:spacing w:line="320" w:lineRule="exact"/>
              <w:rPr>
                <w:color w:val="auto"/>
              </w:rPr>
            </w:pPr>
            <w:r>
              <w:rPr>
                <w:rFonts w:hint="eastAsia" w:cs="宋体"/>
                <w:color w:val="auto"/>
                <w:kern w:val="0"/>
              </w:rPr>
              <w:t>本项目使用旱厕，定期清掏用于农田施肥；生活盥洗废水于厂区泼洒抑尘不外排。</w:t>
            </w:r>
          </w:p>
        </w:tc>
        <w:tc>
          <w:tcPr>
            <w:tcW w:w="210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声环境</w:t>
            </w:r>
          </w:p>
        </w:tc>
        <w:tc>
          <w:tcPr>
            <w:tcW w:w="1490" w:type="dxa"/>
            <w:vAlign w:val="center"/>
          </w:tcPr>
          <w:p>
            <w:pPr>
              <w:adjustRightInd w:val="0"/>
              <w:snapToGrid w:val="0"/>
              <w:jc w:val="center"/>
              <w:rPr>
                <w:color w:val="auto"/>
              </w:rPr>
            </w:pPr>
            <w:r>
              <w:rPr>
                <w:rFonts w:hint="eastAsia"/>
                <w:color w:val="auto"/>
              </w:rPr>
              <w:t>设备</w:t>
            </w:r>
            <w:r>
              <w:rPr>
                <w:rFonts w:hint="eastAsia"/>
                <w:bCs/>
                <w:color w:val="auto"/>
              </w:rPr>
              <w:t>噪声</w:t>
            </w:r>
          </w:p>
        </w:tc>
        <w:tc>
          <w:tcPr>
            <w:tcW w:w="1050" w:type="dxa"/>
            <w:vAlign w:val="center"/>
          </w:tcPr>
          <w:p>
            <w:pPr>
              <w:adjustRightInd w:val="0"/>
              <w:snapToGrid w:val="0"/>
              <w:jc w:val="center"/>
              <w:rPr>
                <w:color w:val="auto"/>
              </w:rPr>
            </w:pPr>
            <w:r>
              <w:rPr>
                <w:rFonts w:hint="eastAsia"/>
                <w:color w:val="auto"/>
              </w:rPr>
              <w:t>噪声</w:t>
            </w:r>
          </w:p>
        </w:tc>
        <w:tc>
          <w:tcPr>
            <w:tcW w:w="3301" w:type="dxa"/>
            <w:vAlign w:val="center"/>
          </w:tcPr>
          <w:p>
            <w:pPr>
              <w:adjustRightInd w:val="0"/>
              <w:snapToGrid w:val="0"/>
              <w:rPr>
                <w:color w:val="auto"/>
              </w:rPr>
            </w:pPr>
            <w:r>
              <w:rPr>
                <w:rFonts w:hint="eastAsia"/>
                <w:bCs/>
                <w:color w:val="auto"/>
                <w:spacing w:val="4"/>
              </w:rPr>
              <w:t>选用低噪声设备，隔声、基础减振，定期维护；加强管理。</w:t>
            </w:r>
            <w:r>
              <w:rPr>
                <w:bCs/>
                <w:color w:val="auto"/>
                <w:lang w:bidi="ar"/>
              </w:rPr>
              <w:t>运输车辆及时保养，在通过村庄时禁鸣，减速慢行，降低运输噪声</w:t>
            </w:r>
            <w:r>
              <w:rPr>
                <w:rFonts w:hint="eastAsia"/>
                <w:bCs/>
                <w:color w:val="auto"/>
                <w:lang w:bidi="ar"/>
              </w:rPr>
              <w:t>。</w:t>
            </w:r>
          </w:p>
        </w:tc>
        <w:tc>
          <w:tcPr>
            <w:tcW w:w="2106" w:type="dxa"/>
            <w:vAlign w:val="center"/>
          </w:tcPr>
          <w:p>
            <w:pPr>
              <w:adjustRightInd w:val="0"/>
              <w:snapToGrid w:val="0"/>
              <w:jc w:val="center"/>
              <w:rPr>
                <w:color w:val="auto"/>
              </w:rPr>
            </w:pPr>
            <w:r>
              <w:rPr>
                <w:rFonts w:hint="eastAsia"/>
                <w:color w:val="auto"/>
              </w:rPr>
              <w:t>《工业企业厂界环境噪声排放标准》（GB12348-2008）中2类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电磁辐射</w:t>
            </w:r>
          </w:p>
        </w:tc>
        <w:tc>
          <w:tcPr>
            <w:tcW w:w="1490" w:type="dxa"/>
            <w:vAlign w:val="center"/>
          </w:tcPr>
          <w:p>
            <w:pPr>
              <w:adjustRightInd w:val="0"/>
              <w:snapToGrid w:val="0"/>
              <w:jc w:val="center"/>
              <w:rPr>
                <w:color w:val="auto"/>
              </w:rPr>
            </w:pPr>
            <w:r>
              <w:rPr>
                <w:rFonts w:hint="eastAsia"/>
                <w:color w:val="auto"/>
              </w:rPr>
              <w:t>/</w:t>
            </w:r>
          </w:p>
        </w:tc>
        <w:tc>
          <w:tcPr>
            <w:tcW w:w="1050" w:type="dxa"/>
            <w:vAlign w:val="center"/>
          </w:tcPr>
          <w:p>
            <w:pPr>
              <w:adjustRightInd w:val="0"/>
              <w:snapToGrid w:val="0"/>
              <w:jc w:val="center"/>
              <w:rPr>
                <w:color w:val="auto"/>
              </w:rPr>
            </w:pPr>
            <w:r>
              <w:rPr>
                <w:rFonts w:hint="eastAsia"/>
                <w:color w:val="auto"/>
              </w:rPr>
              <w:t>/</w:t>
            </w:r>
          </w:p>
        </w:tc>
        <w:tc>
          <w:tcPr>
            <w:tcW w:w="3301" w:type="dxa"/>
            <w:vAlign w:val="center"/>
          </w:tcPr>
          <w:p>
            <w:pPr>
              <w:adjustRightInd w:val="0"/>
              <w:snapToGrid w:val="0"/>
              <w:jc w:val="center"/>
              <w:rPr>
                <w:color w:val="auto"/>
              </w:rPr>
            </w:pPr>
            <w:r>
              <w:rPr>
                <w:rFonts w:hint="eastAsia"/>
                <w:color w:val="auto"/>
              </w:rPr>
              <w:t>/</w:t>
            </w:r>
          </w:p>
        </w:tc>
        <w:tc>
          <w:tcPr>
            <w:tcW w:w="2106" w:type="dxa"/>
            <w:vAlign w:val="center"/>
          </w:tcPr>
          <w:p>
            <w:pPr>
              <w:adjustRightInd w:val="0"/>
              <w:snapToGrid w:val="0"/>
              <w:jc w:val="center"/>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固体废物</w:t>
            </w:r>
          </w:p>
        </w:tc>
        <w:tc>
          <w:tcPr>
            <w:tcW w:w="7947" w:type="dxa"/>
            <w:gridSpan w:val="4"/>
            <w:vAlign w:val="center"/>
          </w:tcPr>
          <w:p>
            <w:pPr>
              <w:adjustRightInd w:val="0"/>
              <w:snapToGrid w:val="0"/>
              <w:spacing w:line="480" w:lineRule="exact"/>
              <w:rPr>
                <w:color w:val="auto"/>
              </w:rPr>
            </w:pPr>
            <w:r>
              <w:rPr>
                <w:rFonts w:hint="eastAsia"/>
                <w:color w:val="auto"/>
              </w:rPr>
              <w:t>①淋控水池、洗车废水池、初期雨水池沉淀的底泥主要成分为煤泥，收集后作为产品外售。</w:t>
            </w:r>
          </w:p>
          <w:p>
            <w:pPr>
              <w:adjustRightInd w:val="0"/>
              <w:snapToGrid w:val="0"/>
              <w:spacing w:line="480" w:lineRule="exact"/>
              <w:rPr>
                <w:color w:val="auto"/>
              </w:rPr>
            </w:pPr>
            <w:r>
              <w:rPr>
                <w:rFonts w:hint="eastAsia"/>
                <w:color w:val="auto"/>
              </w:rPr>
              <w:t>②设备维修保养产生的废机油、废棉纱、废手套、废机油桶收集后在厂区内新建的危险废物暂存间进行暂存，最后由有资质的单位进行收集处置。</w:t>
            </w:r>
          </w:p>
          <w:p>
            <w:pPr>
              <w:adjustRightInd w:val="0"/>
              <w:snapToGrid w:val="0"/>
              <w:spacing w:line="480" w:lineRule="exact"/>
              <w:rPr>
                <w:color w:val="auto"/>
              </w:rPr>
            </w:pPr>
            <w:r>
              <w:rPr>
                <w:rFonts w:hint="eastAsia"/>
                <w:color w:val="auto"/>
              </w:rPr>
              <w:t>③</w:t>
            </w:r>
            <w:r>
              <w:rPr>
                <w:color w:val="auto"/>
                <w:lang w:bidi="ar"/>
              </w:rPr>
              <w:t>在厂区内设封闭式垃圾收集箱，收集后送当地环卫部门指定地点统一处理</w:t>
            </w:r>
            <w:r>
              <w:rPr>
                <w:rFonts w:hint="eastAsia"/>
                <w:bCs/>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土壤及地下水污染防治措施</w:t>
            </w:r>
          </w:p>
        </w:tc>
        <w:tc>
          <w:tcPr>
            <w:tcW w:w="7947" w:type="dxa"/>
            <w:gridSpan w:val="4"/>
            <w:vAlign w:val="center"/>
          </w:tcPr>
          <w:p>
            <w:pPr>
              <w:adjustRightInd w:val="0"/>
              <w:snapToGrid w:val="0"/>
              <w:spacing w:line="480" w:lineRule="exact"/>
              <w:rPr>
                <w:color w:val="auto"/>
              </w:rPr>
            </w:pPr>
            <w:r>
              <w:rPr>
                <w:rFonts w:hint="eastAsia"/>
                <w:color w:val="auto"/>
              </w:rPr>
              <w:t>本项目厂区防渗区应划分为重点防渗区、一般防渗区，防渗区则应按照不同分区要求，采取不同等级的防渗措施，并确保其可靠性和有效性。从而对地下水和土壤安全进行防控保护。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生态保护措施</w:t>
            </w:r>
          </w:p>
        </w:tc>
        <w:tc>
          <w:tcPr>
            <w:tcW w:w="7947" w:type="dxa"/>
            <w:gridSpan w:val="4"/>
            <w:vAlign w:val="center"/>
          </w:tcPr>
          <w:p>
            <w:pPr>
              <w:adjustRightInd w:val="0"/>
              <w:snapToGrid w:val="0"/>
              <w:spacing w:line="480" w:lineRule="exact"/>
              <w:rPr>
                <w:color w:val="auto"/>
              </w:rPr>
            </w:pPr>
            <w:r>
              <w:rPr>
                <w:rFonts w:hint="eastAsia"/>
                <w:color w:val="auto"/>
              </w:rPr>
              <w:t>为美化环境和减少污染，道路两侧地面进行绿化，绿化系数10%以上，特别是在生产区和厂前区应设绿化带，选择易管理、成活率较高的树种，同时采用常绿树与落叶树搭配的方式种植。厂前区、道路两侧空地以常青树、绿地、观赏树种为主，生产区种植防尘树种，以达到减弱噪声、防风固沙、调节气温、保持水土、改良气候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spacing w:val="-8"/>
              </w:rPr>
            </w:pPr>
            <w:r>
              <w:rPr>
                <w:rFonts w:hint="eastAsia"/>
                <w:color w:val="auto"/>
                <w:spacing w:val="-8"/>
              </w:rPr>
              <w:t>环境风险</w:t>
            </w:r>
          </w:p>
          <w:p>
            <w:pPr>
              <w:adjustRightInd w:val="0"/>
              <w:snapToGrid w:val="0"/>
              <w:jc w:val="center"/>
              <w:rPr>
                <w:color w:val="auto"/>
                <w:spacing w:val="-8"/>
              </w:rPr>
            </w:pPr>
            <w:r>
              <w:rPr>
                <w:rFonts w:hint="eastAsia"/>
                <w:color w:val="auto"/>
                <w:spacing w:val="-8"/>
              </w:rPr>
              <w:t>防范措施</w:t>
            </w:r>
          </w:p>
        </w:tc>
        <w:tc>
          <w:tcPr>
            <w:tcW w:w="7947" w:type="dxa"/>
            <w:gridSpan w:val="4"/>
            <w:vAlign w:val="center"/>
          </w:tcPr>
          <w:p>
            <w:pPr>
              <w:adjustRightInd w:val="0"/>
              <w:snapToGrid w:val="0"/>
              <w:spacing w:line="480" w:lineRule="exact"/>
              <w:rPr>
                <w:color w:val="auto"/>
              </w:rPr>
            </w:pPr>
            <w:r>
              <w:rPr>
                <w:rFonts w:hint="eastAsia"/>
                <w:color w:val="auto"/>
              </w:rPr>
              <w:t>废矿物油储量较小，且桶装储存于危废暂存间内，严格按照《危险废物贮存污染控制标准》（GB18597-2001）及《危险废物转移联单管理办法》（国家环境保护总局令第5号）的相关要求，对项目产生的废矿物油进行贮存、管理和转运，对周围环境产生的风险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spacing w:val="-8"/>
              </w:rPr>
            </w:pPr>
            <w:r>
              <w:rPr>
                <w:rFonts w:hint="eastAsia"/>
                <w:color w:val="auto"/>
                <w:spacing w:val="-8"/>
              </w:rPr>
              <w:t>其他环境</w:t>
            </w:r>
          </w:p>
          <w:p>
            <w:pPr>
              <w:adjustRightInd w:val="0"/>
              <w:snapToGrid w:val="0"/>
              <w:jc w:val="center"/>
              <w:rPr>
                <w:color w:val="auto"/>
                <w:spacing w:val="-8"/>
              </w:rPr>
            </w:pPr>
            <w:r>
              <w:rPr>
                <w:rFonts w:hint="eastAsia"/>
                <w:color w:val="auto"/>
                <w:spacing w:val="-8"/>
              </w:rPr>
              <w:t>管理要求</w:t>
            </w:r>
          </w:p>
        </w:tc>
        <w:tc>
          <w:tcPr>
            <w:tcW w:w="7947" w:type="dxa"/>
            <w:gridSpan w:val="4"/>
            <w:vAlign w:val="center"/>
          </w:tcPr>
          <w:p>
            <w:pPr>
              <w:adjustRightInd w:val="0"/>
              <w:snapToGrid w:val="0"/>
              <w:spacing w:line="480" w:lineRule="exact"/>
              <w:ind w:firstLine="420" w:firstLineChars="200"/>
              <w:rPr>
                <w:b/>
                <w:color w:val="auto"/>
                <w:szCs w:val="18"/>
              </w:rPr>
            </w:pPr>
            <w:r>
              <w:rPr>
                <w:rFonts w:hint="eastAsia"/>
                <w:color w:val="auto"/>
                <w:szCs w:val="18"/>
              </w:rPr>
              <w:t>1、</w:t>
            </w:r>
            <w:r>
              <w:rPr>
                <w:rFonts w:hint="eastAsia"/>
                <w:b/>
                <w:color w:val="auto"/>
                <w:szCs w:val="18"/>
              </w:rPr>
              <w:t>环境管理计划</w:t>
            </w:r>
          </w:p>
          <w:p>
            <w:pPr>
              <w:adjustRightInd w:val="0"/>
              <w:snapToGrid w:val="0"/>
              <w:spacing w:line="480" w:lineRule="exact"/>
              <w:ind w:firstLine="420" w:firstLineChars="200"/>
              <w:rPr>
                <w:b/>
                <w:color w:val="auto"/>
                <w:szCs w:val="18"/>
              </w:rPr>
            </w:pPr>
            <w:r>
              <w:rPr>
                <w:rFonts w:hint="eastAsia"/>
                <w:bCs/>
                <w:color w:val="auto"/>
                <w:szCs w:val="18"/>
              </w:rPr>
              <w:t>本工程环境管理工作计划见表5-1。</w:t>
            </w:r>
          </w:p>
          <w:p>
            <w:pPr>
              <w:autoSpaceDE w:val="0"/>
              <w:autoSpaceDN w:val="0"/>
              <w:adjustRightInd w:val="0"/>
              <w:snapToGrid w:val="0"/>
              <w:spacing w:line="480" w:lineRule="exact"/>
              <w:jc w:val="center"/>
              <w:rPr>
                <w:rFonts w:ascii="黑体" w:hAnsi="黑体" w:eastAsia="黑体"/>
                <w:bCs/>
                <w:color w:val="auto"/>
                <w:szCs w:val="18"/>
              </w:rPr>
            </w:pPr>
            <w:r>
              <w:rPr>
                <w:rFonts w:hint="eastAsia" w:ascii="黑体" w:hAnsi="黑体" w:eastAsia="黑体"/>
                <w:bCs/>
                <w:color w:val="auto"/>
                <w:szCs w:val="18"/>
              </w:rPr>
              <w:t>表5-1  环境管理工作计划表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6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4" w:type="pct"/>
                  <w:vAlign w:val="center"/>
                </w:tcPr>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阶段</w:t>
                  </w:r>
                </w:p>
              </w:tc>
              <w:tc>
                <w:tcPr>
                  <w:tcW w:w="3946" w:type="pct"/>
                  <w:vAlign w:val="center"/>
                </w:tcPr>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环境管理</w:t>
                  </w:r>
                </w:p>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机构的职能</w:t>
                  </w:r>
                </w:p>
              </w:tc>
              <w:tc>
                <w:tcPr>
                  <w:tcW w:w="3946" w:type="pct"/>
                  <w:vAlign w:val="center"/>
                </w:tcPr>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根据国家</w:t>
                  </w:r>
                  <w:r>
                    <w:rPr>
                      <w:rFonts w:hint="eastAsia" w:ascii="Times New Roman" w:hAnsi="Times New Roman" w:cs="Times New Roman"/>
                      <w:bCs/>
                      <w:color w:val="auto"/>
                      <w:lang w:eastAsia="zh-CN"/>
                    </w:rPr>
                    <w:t>建设项目</w:t>
                  </w:r>
                  <w:r>
                    <w:rPr>
                      <w:rFonts w:hint="eastAsia" w:ascii="Times New Roman" w:hAnsi="Times New Roman" w:cs="Times New Roman"/>
                      <w:bCs/>
                      <w:color w:val="auto"/>
                    </w:rPr>
                    <w:t>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建设期</w:t>
                  </w:r>
                </w:p>
              </w:tc>
              <w:tc>
                <w:tcPr>
                  <w:tcW w:w="3946" w:type="pct"/>
                  <w:vAlign w:val="center"/>
                </w:tcPr>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1、合理选址，减少用地。</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2、施工便道定期洒水。</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3、临时用地恢复绿化。</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4、路基防护与加固</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5、夜间严禁进行打桩等噪声大的施工作业。</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6、施工营地加强环境管理。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调试期</w:t>
                  </w:r>
                </w:p>
              </w:tc>
              <w:tc>
                <w:tcPr>
                  <w:tcW w:w="3946" w:type="pct"/>
                  <w:vAlign w:val="center"/>
                </w:tcPr>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1、申领排污许可证。</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2、对噪声防治效果进行检测。</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3、对各设施不定期进行检查。</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4、记录各项环保设施的试运行状况，针对出现问题提出完善意见。</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5、总结试运行期的生产经验，健全前期制定各项管理制度。</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6、生产装置生产三个月内，进行环保设施的竣工验收。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生产运行期</w:t>
                  </w:r>
                </w:p>
              </w:tc>
              <w:tc>
                <w:tcPr>
                  <w:tcW w:w="3946" w:type="pct"/>
                  <w:vAlign w:val="center"/>
                </w:tcPr>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1、严格执行各项生产及环境管理制度，保证生产的正常进行。</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2、设立环保设施运行卡，对环保设施定期进行检查维护，做到勤查、勤记、勤养护。</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3、按照监测计划组织厂内的污染源监测，对不达标装置立即寻找原因，及时处理。</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4、不断加强技术培训，组织企业技术交流，提高操作水平，保持操作工人队伍稳定。</w:t>
                  </w:r>
                </w:p>
                <w:p>
                  <w:pPr>
                    <w:pStyle w:val="11"/>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5、建立环境管理台账制度，应真实记录基本信息、产污设施运行管理信息、污染防治设施运行管理信息、监测记录信息及其他环境管理信息等；按照电子台账和纸质台账两种记录形式同步管理。</w:t>
                  </w:r>
                </w:p>
              </w:tc>
            </w:tr>
          </w:tbl>
          <w:p>
            <w:pPr>
              <w:adjustRightInd w:val="0"/>
              <w:snapToGrid w:val="0"/>
              <w:spacing w:line="480" w:lineRule="exact"/>
              <w:ind w:firstLine="422" w:firstLineChars="200"/>
              <w:rPr>
                <w:b/>
                <w:bCs/>
                <w:color w:val="auto"/>
                <w:szCs w:val="18"/>
              </w:rPr>
            </w:pPr>
            <w:bookmarkStart w:id="6" w:name="_Toc15842"/>
            <w:r>
              <w:rPr>
                <w:rFonts w:hint="eastAsia"/>
                <w:b/>
                <w:bCs/>
                <w:color w:val="auto"/>
                <w:szCs w:val="18"/>
              </w:rPr>
              <w:t>2、排污口规范化设置</w:t>
            </w:r>
            <w:bookmarkEnd w:id="6"/>
          </w:p>
          <w:p>
            <w:pPr>
              <w:adjustRightInd w:val="0"/>
              <w:snapToGrid w:val="0"/>
              <w:spacing w:line="480" w:lineRule="exact"/>
              <w:ind w:firstLine="420" w:firstLineChars="200"/>
              <w:rPr>
                <w:bCs/>
                <w:color w:val="auto"/>
                <w:szCs w:val="18"/>
              </w:rPr>
            </w:pPr>
            <w:r>
              <w:rPr>
                <w:rFonts w:hint="eastAsia"/>
                <w:bCs/>
                <w:color w:val="auto"/>
                <w:szCs w:val="18"/>
              </w:rPr>
              <w:t>项目需要按照要求设立排污口。废气、废水排放口应进行规范化设计，具备采样、监测条件，排放口附近树立环保图形标志牌。排污口应符合“一明显、二合理、三便于”的要求，即环保标志</w:t>
            </w:r>
            <w:bookmarkStart w:id="7" w:name="_GoBack"/>
            <w:bookmarkEnd w:id="7"/>
            <w:r>
              <w:rPr>
                <w:rFonts w:hint="eastAsia"/>
                <w:bCs/>
                <w:color w:val="auto"/>
                <w:szCs w:val="18"/>
              </w:rPr>
              <w:t>明显，排污口设置合理，排污去向合理，便于采集样品，便于监测计量，便于公众监督管理。</w:t>
            </w:r>
          </w:p>
          <w:p>
            <w:pPr>
              <w:adjustRightInd w:val="0"/>
              <w:snapToGrid w:val="0"/>
              <w:spacing w:line="480" w:lineRule="exact"/>
              <w:ind w:firstLine="420" w:firstLineChars="200"/>
              <w:rPr>
                <w:bCs/>
                <w:color w:val="auto"/>
                <w:szCs w:val="18"/>
              </w:rPr>
            </w:pPr>
            <w:r>
              <w:rPr>
                <w:rFonts w:hint="eastAsia"/>
                <w:bCs/>
                <w:color w:val="auto"/>
                <w:szCs w:val="18"/>
              </w:rPr>
              <w:t>按照国家环境保护总局制定的《（环境保护图形标志）实施细则（试行）》（环监</w:t>
            </w:r>
            <w:r>
              <w:rPr>
                <w:rFonts w:hint="eastAsia"/>
                <w:bCs/>
                <w:color w:val="auto"/>
                <w:szCs w:val="18"/>
                <w:lang w:eastAsia="zh-CN"/>
              </w:rPr>
              <w:t>〔</w:t>
            </w:r>
            <w:r>
              <w:rPr>
                <w:rFonts w:hint="eastAsia"/>
                <w:bCs/>
                <w:color w:val="auto"/>
                <w:szCs w:val="18"/>
              </w:rPr>
              <w:t>1996</w:t>
            </w:r>
            <w:r>
              <w:rPr>
                <w:rFonts w:hint="eastAsia"/>
                <w:bCs/>
                <w:color w:val="auto"/>
                <w:szCs w:val="18"/>
                <w:lang w:eastAsia="zh-CN"/>
              </w:rPr>
              <w:t>〕</w:t>
            </w:r>
            <w:r>
              <w:rPr>
                <w:rFonts w:hint="eastAsia"/>
                <w:bCs/>
                <w:color w:val="auto"/>
                <w:szCs w:val="18"/>
              </w:rPr>
              <w:t>463号）的规定，在各排污口树立</w:t>
            </w:r>
            <w:r>
              <w:rPr>
                <w:rFonts w:hint="eastAsia"/>
                <w:bCs/>
                <w:color w:val="auto"/>
                <w:szCs w:val="18"/>
                <w:lang w:eastAsia="zh-CN"/>
              </w:rPr>
              <w:t>相应</w:t>
            </w:r>
            <w:r>
              <w:rPr>
                <w:rFonts w:hint="eastAsia"/>
                <w:bCs/>
                <w:color w:val="auto"/>
                <w:szCs w:val="18"/>
              </w:rPr>
              <w:t>的环境保护图形标志牌，具体要求见表5-2。</w:t>
            </w:r>
          </w:p>
          <w:p>
            <w:pPr>
              <w:autoSpaceDE w:val="0"/>
              <w:autoSpaceDN w:val="0"/>
              <w:adjustRightInd w:val="0"/>
              <w:snapToGrid w:val="0"/>
              <w:spacing w:line="480" w:lineRule="exact"/>
              <w:jc w:val="center"/>
              <w:rPr>
                <w:rFonts w:ascii="黑体" w:hAnsi="黑体" w:eastAsia="黑体"/>
                <w:bCs/>
                <w:color w:val="auto"/>
                <w:szCs w:val="18"/>
              </w:rPr>
            </w:pPr>
          </w:p>
          <w:p>
            <w:pPr>
              <w:autoSpaceDE w:val="0"/>
              <w:autoSpaceDN w:val="0"/>
              <w:adjustRightInd w:val="0"/>
              <w:snapToGrid w:val="0"/>
              <w:spacing w:line="480" w:lineRule="exact"/>
              <w:jc w:val="center"/>
              <w:rPr>
                <w:rFonts w:ascii="黑体" w:hAnsi="黑体" w:eastAsia="黑体"/>
                <w:bCs/>
                <w:color w:val="auto"/>
                <w:szCs w:val="18"/>
              </w:rPr>
            </w:pPr>
          </w:p>
          <w:p>
            <w:pPr>
              <w:autoSpaceDE w:val="0"/>
              <w:autoSpaceDN w:val="0"/>
              <w:adjustRightInd w:val="0"/>
              <w:snapToGrid w:val="0"/>
              <w:spacing w:line="480" w:lineRule="exact"/>
              <w:jc w:val="center"/>
              <w:rPr>
                <w:rFonts w:ascii="黑体" w:hAnsi="黑体" w:eastAsia="黑体"/>
                <w:bCs/>
                <w:color w:val="auto"/>
                <w:szCs w:val="18"/>
              </w:rPr>
            </w:pPr>
          </w:p>
          <w:p>
            <w:pPr>
              <w:autoSpaceDE w:val="0"/>
              <w:autoSpaceDN w:val="0"/>
              <w:adjustRightInd w:val="0"/>
              <w:snapToGrid w:val="0"/>
              <w:spacing w:line="480" w:lineRule="exact"/>
              <w:jc w:val="center"/>
              <w:rPr>
                <w:rFonts w:ascii="黑体" w:hAnsi="黑体" w:eastAsia="黑体"/>
                <w:bCs/>
                <w:color w:val="auto"/>
                <w:szCs w:val="18"/>
              </w:rPr>
            </w:pPr>
          </w:p>
          <w:p>
            <w:pPr>
              <w:autoSpaceDE w:val="0"/>
              <w:autoSpaceDN w:val="0"/>
              <w:adjustRightInd w:val="0"/>
              <w:snapToGrid w:val="0"/>
              <w:spacing w:line="480" w:lineRule="exact"/>
              <w:jc w:val="center"/>
              <w:rPr>
                <w:rFonts w:ascii="黑体" w:hAnsi="黑体" w:eastAsia="黑体"/>
                <w:bCs/>
                <w:color w:val="auto"/>
                <w:szCs w:val="18"/>
              </w:rPr>
            </w:pPr>
          </w:p>
          <w:p>
            <w:pPr>
              <w:autoSpaceDE w:val="0"/>
              <w:autoSpaceDN w:val="0"/>
              <w:adjustRightInd w:val="0"/>
              <w:snapToGrid w:val="0"/>
              <w:spacing w:line="480" w:lineRule="exact"/>
              <w:jc w:val="center"/>
              <w:rPr>
                <w:rFonts w:ascii="黑体" w:hAnsi="黑体" w:eastAsia="黑体"/>
                <w:bCs/>
                <w:color w:val="auto"/>
                <w:szCs w:val="18"/>
              </w:rPr>
            </w:pPr>
            <w:r>
              <w:rPr>
                <w:rFonts w:hint="eastAsia" w:ascii="黑体" w:hAnsi="黑体" w:eastAsia="黑体"/>
                <w:bCs/>
                <w:color w:val="auto"/>
                <w:szCs w:val="18"/>
              </w:rPr>
              <w:t>表5-2  环境保护图形标志</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336"/>
              <w:gridCol w:w="1656"/>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18" w:type="pct"/>
                  <w:vAlign w:val="center"/>
                </w:tcPr>
                <w:p>
                  <w:pPr>
                    <w:rPr>
                      <w:color w:val="auto"/>
                    </w:rPr>
                  </w:pPr>
                  <w:r>
                    <w:rPr>
                      <w:color w:val="auto"/>
                    </w:rPr>
                    <w:fldChar w:fldCharType="begin"/>
                  </w:r>
                  <w:r>
                    <w:rPr>
                      <w:color w:val="auto"/>
                    </w:rPr>
                    <w:instrText xml:space="preserve"> HYPERLINK "http://www.biaozhi.net/eNews/news/200602/0029_0000000905.shtml"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"http://www.biaozhi.net/enews/UploadFiles/smallImg/781.gif" \* MERGEFORMATINET </w:instrText>
                  </w:r>
                  <w:r>
                    <w:rPr>
                      <w:color w:val="auto"/>
                    </w:rPr>
                    <w:fldChar w:fldCharType="separate"/>
                  </w:r>
                  <w:r>
                    <w:rPr>
                      <w:color w:val="auto"/>
                    </w:rPr>
                    <w:pict>
                      <v:shape id="_x0000_i1037" o:spt="75" alt="点击看大图及详细资料" type="#_x0000_t75" style="height:72pt;width:72pt;" filled="f" o:preferrelative="t" stroked="f" coordsize="21600,21600">
                        <v:path/>
                        <v:fill on="f" focussize="0,0"/>
                        <v:stroke on="f" joinstyle="miter"/>
                        <v:imagedata r:id="rId44" r:href="rId45"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545" w:type="pct"/>
                  <w:vAlign w:val="center"/>
                </w:tcPr>
                <w:p>
                  <w:pPr>
                    <w:rPr>
                      <w:color w:val="auto"/>
                    </w:rPr>
                  </w:pPr>
                  <w:r>
                    <w:rPr>
                      <w:rFonts w:hint="eastAsia"/>
                      <w:color w:val="auto"/>
                    </w:rPr>
                    <w:t>简介：污水排放口</w:t>
                  </w:r>
                </w:p>
                <w:p>
                  <w:pPr>
                    <w:rPr>
                      <w:color w:val="auto"/>
                    </w:rPr>
                  </w:pPr>
                  <w:r>
                    <w:rPr>
                      <w:rFonts w:hint="eastAsia"/>
                      <w:color w:val="auto"/>
                    </w:rPr>
                    <w:t>污水排放口提示图形符号</w:t>
                  </w:r>
                </w:p>
                <w:p>
                  <w:pPr>
                    <w:rPr>
                      <w:color w:val="auto"/>
                    </w:rPr>
                  </w:pPr>
                  <w:r>
                    <w:rPr>
                      <w:rFonts w:hint="eastAsia"/>
                      <w:color w:val="auto"/>
                    </w:rPr>
                    <w:t>污水排放口</w:t>
                  </w:r>
                </w:p>
                <w:p>
                  <w:pPr>
                    <w:rPr>
                      <w:color w:val="auto"/>
                    </w:rPr>
                  </w:pPr>
                  <w:r>
                    <w:rPr>
                      <w:rFonts w:hint="eastAsia"/>
                      <w:color w:val="auto"/>
                    </w:rPr>
                    <w:t>表示污水向水体排放</w:t>
                  </w:r>
                </w:p>
              </w:tc>
              <w:tc>
                <w:tcPr>
                  <w:tcW w:w="1062" w:type="pct"/>
                  <w:vAlign w:val="center"/>
                </w:tcPr>
                <w:p>
                  <w:pPr>
                    <w:rPr>
                      <w:color w:val="auto"/>
                    </w:rPr>
                  </w:pPr>
                  <w:r>
                    <w:rPr>
                      <w:color w:val="auto"/>
                    </w:rPr>
                    <w:fldChar w:fldCharType="begin"/>
                  </w:r>
                  <w:r>
                    <w:rPr>
                      <w:color w:val="auto"/>
                    </w:rPr>
                    <w:instrText xml:space="preserve"> HYPERLINK "http://www.biaozhi.net/eNews/news/200602/0029_0000000909.shtml"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"http://www.biaozhi.net/enews/UploadFiles/smallImg/785.gif" \* MERGEFORMATINET </w:instrText>
                  </w:r>
                  <w:r>
                    <w:rPr>
                      <w:color w:val="auto"/>
                    </w:rPr>
                    <w:fldChar w:fldCharType="separate"/>
                  </w:r>
                  <w:r>
                    <w:rPr>
                      <w:color w:val="auto"/>
                    </w:rPr>
                    <w:pict>
                      <v:shape id="_x0000_i1038" o:spt="75" alt="点击看大图及详细资料" type="#_x0000_t75" style="height:72pt;width:72pt;" filled="f" o:preferrelative="t" stroked="f" coordsize="21600,21600">
                        <v:path/>
                        <v:fill on="f" focussize="0,0"/>
                        <v:stroke on="f" joinstyle="miter"/>
                        <v:imagedata r:id="rId46" r:href="rId47"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376" w:type="pct"/>
                  <w:vAlign w:val="center"/>
                </w:tcPr>
                <w:p>
                  <w:pPr>
                    <w:rPr>
                      <w:color w:val="auto"/>
                    </w:rPr>
                  </w:pPr>
                  <w:r>
                    <w:rPr>
                      <w:rFonts w:hint="eastAsia"/>
                      <w:color w:val="auto"/>
                    </w:rPr>
                    <w:t>简介：噪声排放源</w:t>
                  </w:r>
                </w:p>
                <w:p>
                  <w:pPr>
                    <w:rPr>
                      <w:color w:val="auto"/>
                    </w:rPr>
                  </w:pPr>
                  <w:r>
                    <w:rPr>
                      <w:rFonts w:hint="eastAsia"/>
                      <w:color w:val="auto"/>
                    </w:rPr>
                    <w:t>提示图形符号</w:t>
                  </w:r>
                </w:p>
                <w:p>
                  <w:pPr>
                    <w:rPr>
                      <w:color w:val="auto"/>
                    </w:rPr>
                  </w:pPr>
                  <w:r>
                    <w:rPr>
                      <w:rFonts w:hint="eastAsia"/>
                      <w:color w:val="auto"/>
                    </w:rPr>
                    <w:t>噪声排放源</w:t>
                  </w:r>
                </w:p>
                <w:p>
                  <w:pPr>
                    <w:rPr>
                      <w:color w:val="auto"/>
                    </w:rPr>
                  </w:pPr>
                  <w:r>
                    <w:rPr>
                      <w:rFonts w:hint="eastAsia"/>
                      <w:color w:val="auto"/>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018" w:type="pct"/>
                  <w:vAlign w:val="center"/>
                </w:tcPr>
                <w:p>
                  <w:pPr>
                    <w:rPr>
                      <w:color w:val="auto"/>
                    </w:rPr>
                  </w:pPr>
                  <w:r>
                    <w:rPr>
                      <w:color w:val="auto"/>
                    </w:rPr>
                    <w:fldChar w:fldCharType="begin"/>
                  </w:r>
                  <w:r>
                    <w:rPr>
                      <w:color w:val="auto"/>
                    </w:rPr>
                    <w:instrText xml:space="preserve"> HYPERLINK "http://www.biaozhi.net/eNews/news/200602/0029_0000000907.shtml"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"http://www.biaozhi.net/enews/UploadFiles/smallImg/783.gif" \* MERGEFORMATINET </w:instrText>
                  </w:r>
                  <w:r>
                    <w:rPr>
                      <w:color w:val="auto"/>
                    </w:rPr>
                    <w:fldChar w:fldCharType="separate"/>
                  </w:r>
                  <w:r>
                    <w:rPr>
                      <w:color w:val="auto"/>
                    </w:rPr>
                    <w:pict>
                      <v:shape id="_x0000_i1039" o:spt="75" alt="点击看大图及详细资料" type="#_x0000_t75" style="height:72pt;width:72pt;" filled="f" o:preferrelative="t" stroked="f" coordsize="21600,21600">
                        <v:path/>
                        <v:fill on="f" focussize="0,0"/>
                        <v:stroke on="f" joinstyle="miter"/>
                        <v:imagedata r:id="rId48" r:href="rId49"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545" w:type="pct"/>
                  <w:vAlign w:val="center"/>
                </w:tcPr>
                <w:p>
                  <w:pPr>
                    <w:rPr>
                      <w:color w:val="auto"/>
                    </w:rPr>
                  </w:pPr>
                  <w:r>
                    <w:rPr>
                      <w:rFonts w:hint="eastAsia"/>
                      <w:color w:val="auto"/>
                    </w:rPr>
                    <w:t>简介：废气排放口</w:t>
                  </w:r>
                </w:p>
                <w:p>
                  <w:pPr>
                    <w:rPr>
                      <w:color w:val="auto"/>
                    </w:rPr>
                  </w:pPr>
                  <w:r>
                    <w:rPr>
                      <w:rFonts w:hint="eastAsia"/>
                      <w:color w:val="auto"/>
                    </w:rPr>
                    <w:t>提示图形符号</w:t>
                  </w:r>
                </w:p>
                <w:p>
                  <w:pPr>
                    <w:rPr>
                      <w:color w:val="auto"/>
                    </w:rPr>
                  </w:pPr>
                  <w:r>
                    <w:rPr>
                      <w:rFonts w:hint="eastAsia"/>
                      <w:color w:val="auto"/>
                    </w:rPr>
                    <w:t>废气排放口</w:t>
                  </w:r>
                </w:p>
                <w:p>
                  <w:pPr>
                    <w:rPr>
                      <w:color w:val="auto"/>
                    </w:rPr>
                  </w:pPr>
                  <w:r>
                    <w:rPr>
                      <w:rFonts w:hint="eastAsia"/>
                      <w:color w:val="auto"/>
                    </w:rPr>
                    <w:t>表示废气向大气环境排放</w:t>
                  </w:r>
                </w:p>
              </w:tc>
              <w:tc>
                <w:tcPr>
                  <w:tcW w:w="1062" w:type="pct"/>
                  <w:vAlign w:val="center"/>
                </w:tcPr>
                <w:p>
                  <w:pPr>
                    <w:rPr>
                      <w:color w:val="auto"/>
                    </w:rPr>
                  </w:pP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"C:\\Users\\zgl\\Documents\\Administrator\\AppData\\Roaming\\Tencent\\Users\\1049960459\\TIM\\WinTemp\\RichOle\\%5b2OM$Q~9VA%603U0OK~8X)9(6.png"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"F:\\环评报告\\Administrator\\AppData\\Roaming\\Tencent\\Users\\1049960459\\TIM\\WinTemp\\RichOle\\%255b2OM$Q~9VA%25603U0OK~8X)9(6.png" \* MERGEFORMATINET </w:instrText>
                  </w:r>
                  <w:r>
                    <w:rPr>
                      <w:rFonts w:hint="eastAsia"/>
                      <w:color w:val="auto"/>
                    </w:rPr>
                    <w:fldChar w:fldCharType="separate"/>
                  </w:r>
                  <w:r>
                    <w:rPr>
                      <w:color w:val="auto"/>
                    </w:rPr>
                    <w:fldChar w:fldCharType="begin"/>
                  </w:r>
                  <w:r>
                    <w:rPr>
                      <w:color w:val="auto"/>
                    </w:rPr>
                    <w:instrText xml:space="preserve"> </w:instrText>
                  </w:r>
                  <w:r>
                    <w:rPr>
                      <w:rFonts w:hint="eastAsia"/>
                      <w:color w:val="auto"/>
                    </w:rPr>
                    <w:instrText xml:space="preserve">INCLUDEPICTURE  "F:\\环评报告\\Administrator\\AppData\\Roaming\\Tencent\\Users\\1049960459\\TIM\\WinTemp\\RichOle\\%2525252525252525252525252525252525255b2OM$Q~9VA%252525252525252525252525252525252525603U0OK~8X)9(6.png" \* MERGEFORMATINET</w:instrText>
                  </w:r>
                  <w:r>
                    <w:rPr>
                      <w:color w:val="auto"/>
                    </w:rPr>
                    <w:instrText xml:space="preserve"> </w:instrText>
                  </w:r>
                  <w:r>
                    <w:rPr>
                      <w:color w:val="auto"/>
                    </w:rPr>
                    <w:fldChar w:fldCharType="separate"/>
                  </w:r>
                  <w:r>
                    <w:rPr>
                      <w:color w:val="auto"/>
                    </w:rPr>
                    <w:pict>
                      <v:shape id="_x0000_i1040" o:spt="75" alt="[2OM$Q~9VA`3U0OK~8X)9(6" type="#_x0000_t75" style="height:72pt;width:72pt;" filled="f" o:preferrelative="t" stroked="f" coordsize="21600,21600">
                        <v:path/>
                        <v:fill on="f" focussize="0,0"/>
                        <v:stroke on="f" joinstyle="miter"/>
                        <v:imagedata r:id="rId50" r:href="rId51"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376" w:type="pct"/>
                  <w:vAlign w:val="center"/>
                </w:tcPr>
                <w:p>
                  <w:pPr>
                    <w:rPr>
                      <w:color w:val="auto"/>
                    </w:rPr>
                  </w:pPr>
                  <w:r>
                    <w:rPr>
                      <w:rFonts w:hint="eastAsia"/>
                      <w:color w:val="auto"/>
                    </w:rPr>
                    <w:t>简介：一般固体废弃物</w:t>
                  </w:r>
                </w:p>
                <w:p>
                  <w:pPr>
                    <w:rPr>
                      <w:color w:val="auto"/>
                    </w:rPr>
                  </w:pPr>
                  <w:r>
                    <w:rPr>
                      <w:rFonts w:hint="eastAsia"/>
                      <w:color w:val="auto"/>
                    </w:rPr>
                    <w:t>提示图形符号</w:t>
                  </w:r>
                </w:p>
                <w:p>
                  <w:pPr>
                    <w:rPr>
                      <w:color w:val="auto"/>
                    </w:rPr>
                  </w:pPr>
                  <w:r>
                    <w:rPr>
                      <w:rFonts w:hint="eastAsia"/>
                      <w:color w:val="auto"/>
                    </w:rPr>
                    <w:t>表示一般固体废弃物贮存、处置场</w:t>
                  </w:r>
                </w:p>
              </w:tc>
            </w:tr>
          </w:tbl>
          <w:p>
            <w:pPr>
              <w:pStyle w:val="85"/>
              <w:numPr>
                <w:ilvl w:val="0"/>
                <w:numId w:val="0"/>
              </w:numPr>
              <w:spacing w:line="480" w:lineRule="exact"/>
              <w:ind w:firstLine="422" w:firstLineChars="200"/>
              <w:rPr>
                <w:rFonts w:ascii="Times New Roman" w:hAnsi="Times New Roman" w:eastAsia="宋体"/>
                <w:color w:val="auto"/>
                <w:szCs w:val="21"/>
              </w:rPr>
            </w:pPr>
            <w:r>
              <w:rPr>
                <w:rFonts w:hint="eastAsia" w:ascii="Times New Roman" w:hAnsi="Times New Roman" w:eastAsia="宋体"/>
                <w:color w:val="auto"/>
                <w:szCs w:val="21"/>
              </w:rPr>
              <w:t>3、管理监测信息公开</w:t>
            </w:r>
          </w:p>
          <w:p>
            <w:pPr>
              <w:spacing w:line="480" w:lineRule="exact"/>
              <w:ind w:firstLine="420" w:firstLineChars="200"/>
              <w:rPr>
                <w:color w:val="auto"/>
                <w:szCs w:val="18"/>
              </w:rPr>
            </w:pPr>
            <w:r>
              <w:rPr>
                <w:rFonts w:hint="eastAsia"/>
                <w:color w:val="auto"/>
                <w:szCs w:val="18"/>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spacing w:line="480" w:lineRule="exact"/>
              <w:ind w:firstLine="420" w:firstLineChars="200"/>
              <w:rPr>
                <w:color w:val="auto"/>
                <w:szCs w:val="18"/>
              </w:rPr>
            </w:pPr>
            <w:r>
              <w:rPr>
                <w:rFonts w:hint="eastAsia"/>
                <w:color w:val="auto"/>
                <w:szCs w:val="18"/>
              </w:rPr>
              <w:t>1）基础信息，包括单位名称、组织机构代码、法定代表人、生产地址、联系方式，以及生产经营和管理服务的主要内容、产品及规模；</w:t>
            </w:r>
          </w:p>
          <w:p>
            <w:pPr>
              <w:spacing w:line="480" w:lineRule="exact"/>
              <w:ind w:firstLine="420" w:firstLineChars="200"/>
              <w:rPr>
                <w:color w:val="auto"/>
                <w:szCs w:val="18"/>
              </w:rPr>
            </w:pPr>
            <w:r>
              <w:rPr>
                <w:rFonts w:hint="eastAsia"/>
                <w:color w:val="auto"/>
                <w:szCs w:val="18"/>
              </w:rPr>
              <w:t>2）排污信息，包括主要污染物及特征污染物的名称、排放方式、排放口数量和分布情况、排放浓度和总量、超标情况以及执行的污染物排放标准、核定的排放总量；</w:t>
            </w:r>
          </w:p>
          <w:p>
            <w:pPr>
              <w:spacing w:line="480" w:lineRule="exact"/>
              <w:ind w:firstLine="420" w:firstLineChars="200"/>
              <w:rPr>
                <w:color w:val="auto"/>
                <w:szCs w:val="18"/>
              </w:rPr>
            </w:pPr>
            <w:r>
              <w:rPr>
                <w:rFonts w:hint="eastAsia"/>
                <w:color w:val="auto"/>
                <w:szCs w:val="18"/>
              </w:rPr>
              <w:t>3）防治污染设施的建设和运行情况；</w:t>
            </w:r>
          </w:p>
          <w:p>
            <w:pPr>
              <w:spacing w:line="480" w:lineRule="exact"/>
              <w:ind w:firstLine="420" w:firstLineChars="200"/>
              <w:rPr>
                <w:color w:val="auto"/>
                <w:szCs w:val="18"/>
              </w:rPr>
            </w:pPr>
            <w:r>
              <w:rPr>
                <w:rFonts w:hint="eastAsia"/>
                <w:color w:val="auto"/>
                <w:szCs w:val="18"/>
              </w:rPr>
              <w:t>4）建设项目环境影响评价及其他环境保护行政许可情况；</w:t>
            </w:r>
          </w:p>
          <w:p>
            <w:pPr>
              <w:spacing w:line="480" w:lineRule="exact"/>
              <w:ind w:firstLine="420" w:firstLineChars="200"/>
              <w:rPr>
                <w:color w:val="auto"/>
                <w:szCs w:val="18"/>
              </w:rPr>
            </w:pPr>
            <w:r>
              <w:rPr>
                <w:rFonts w:hint="eastAsia"/>
                <w:color w:val="auto"/>
                <w:szCs w:val="18"/>
              </w:rPr>
              <w:t>5）其他应当公开的环境信息。如竣工环境保护验收备案、自行监测工作开展情况及监测结果。</w:t>
            </w:r>
          </w:p>
          <w:p>
            <w:pPr>
              <w:spacing w:line="480" w:lineRule="exact"/>
              <w:ind w:firstLine="422" w:firstLineChars="200"/>
              <w:rPr>
                <w:b/>
                <w:bCs/>
                <w:color w:val="auto"/>
                <w:szCs w:val="18"/>
              </w:rPr>
            </w:pPr>
            <w:r>
              <w:rPr>
                <w:rFonts w:hint="eastAsia"/>
                <w:b/>
                <w:bCs/>
                <w:color w:val="auto"/>
                <w:szCs w:val="18"/>
              </w:rPr>
              <w:t>4、其他管理要求</w:t>
            </w:r>
          </w:p>
          <w:p>
            <w:pPr>
              <w:spacing w:line="480" w:lineRule="exact"/>
              <w:ind w:firstLine="420" w:firstLineChars="200"/>
              <w:rPr>
                <w:color w:val="auto"/>
                <w:szCs w:val="18"/>
              </w:rPr>
            </w:pPr>
            <w:r>
              <w:rPr>
                <w:rFonts w:hint="eastAsia"/>
                <w:color w:val="auto"/>
                <w:szCs w:val="18"/>
              </w:rPr>
              <w:t>项目建设完成以后，及时办理排污许可证，并进行竣工环境保护验收。</w:t>
            </w:r>
          </w:p>
          <w:p>
            <w:pPr>
              <w:spacing w:line="480" w:lineRule="exact"/>
              <w:ind w:firstLine="420" w:firstLineChars="200"/>
              <w:rPr>
                <w:color w:val="auto"/>
                <w:szCs w:val="18"/>
              </w:rPr>
            </w:pPr>
          </w:p>
          <w:p>
            <w:pPr>
              <w:spacing w:line="480" w:lineRule="exact"/>
              <w:ind w:firstLine="420" w:firstLineChars="200"/>
              <w:rPr>
                <w:color w:val="auto"/>
                <w:szCs w:val="18"/>
              </w:rPr>
            </w:pPr>
          </w:p>
          <w:p>
            <w:pPr>
              <w:spacing w:line="480" w:lineRule="exact"/>
              <w:ind w:firstLine="420" w:firstLineChars="200"/>
              <w:rPr>
                <w:color w:val="auto"/>
                <w:szCs w:val="18"/>
              </w:rPr>
            </w:pPr>
          </w:p>
          <w:p>
            <w:pPr>
              <w:spacing w:line="480" w:lineRule="exact"/>
              <w:ind w:firstLine="420" w:firstLineChars="200"/>
              <w:rPr>
                <w:color w:val="auto"/>
                <w:szCs w:val="18"/>
              </w:rPr>
            </w:pPr>
          </w:p>
          <w:p>
            <w:pPr>
              <w:spacing w:line="480" w:lineRule="exact"/>
              <w:ind w:firstLine="420" w:firstLineChars="200"/>
              <w:rPr>
                <w:color w:val="auto"/>
              </w:rPr>
            </w:pPr>
          </w:p>
        </w:tc>
      </w:tr>
    </w:tbl>
    <w:p>
      <w:pPr>
        <w:rPr>
          <w:color w:val="auto"/>
        </w:rPr>
        <w:sectPr>
          <w:pgSz w:w="11906" w:h="16838"/>
          <w:pgMar w:top="1701" w:right="1531" w:bottom="1701" w:left="1531" w:header="1134" w:footer="992" w:gutter="0"/>
          <w:cols w:space="425" w:num="1"/>
          <w:docGrid w:type="lines" w:linePitch="312" w:charSpace="0"/>
        </w:sectPr>
      </w:pPr>
    </w:p>
    <w:p>
      <w:pPr>
        <w:pStyle w:val="16"/>
        <w:spacing w:before="0" w:beforeAutospacing="0" w:after="0" w:afterAutospacing="0"/>
        <w:jc w:val="center"/>
        <w:outlineLvl w:val="0"/>
        <w:rPr>
          <w:rFonts w:ascii="黑体" w:hAnsi="黑体" w:eastAsia="黑体"/>
          <w:color w:val="auto"/>
          <w:sz w:val="30"/>
          <w:szCs w:val="30"/>
        </w:rPr>
      </w:pPr>
      <w:r>
        <w:rPr>
          <w:rFonts w:hint="eastAsia" w:ascii="黑体" w:hAnsi="黑体" w:eastAsia="黑体"/>
          <w:color w:val="auto"/>
          <w:sz w:val="30"/>
          <w:szCs w:val="30"/>
        </w:rPr>
        <w:t>六、</w:t>
      </w:r>
      <w:r>
        <w:rPr>
          <w:rFonts w:hint="eastAsia" w:ascii="黑体" w:hAnsi="黑体" w:eastAsia="黑体"/>
          <w:snapToGrid w:val="0"/>
          <w:color w:val="auto"/>
          <w:sz w:val="30"/>
          <w:szCs w:val="30"/>
        </w:rPr>
        <w:t>结论</w:t>
      </w:r>
    </w:p>
    <w:tbl>
      <w:tblPr>
        <w:tblStyle w:val="21"/>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7" w:hRule="atLeast"/>
        </w:trPr>
        <w:tc>
          <w:tcPr>
            <w:tcW w:w="9214" w:type="dxa"/>
            <w:vAlign w:val="center"/>
          </w:tcPr>
          <w:p>
            <w:pPr>
              <w:adjustRightInd w:val="0"/>
              <w:snapToGrid w:val="0"/>
              <w:spacing w:line="480" w:lineRule="exact"/>
              <w:ind w:firstLine="482" w:firstLineChars="200"/>
              <w:rPr>
                <w:bCs/>
                <w:color w:val="auto"/>
              </w:rPr>
            </w:pPr>
            <w:r>
              <w:rPr>
                <w:rFonts w:hint="eastAsia"/>
                <w:b/>
                <w:color w:val="auto"/>
                <w:sz w:val="24"/>
                <w:szCs w:val="24"/>
              </w:rPr>
              <w:t>综上所述，本项目在严格采取本环评规定的环保措施后，各项污染物可以达标排放或综合利用，对区域环境质量影响较小。本项目应严格执行环保管理部门制定的政策和规定，并认真落实环评报告表中所提的环保措施。从环保角度考虑，评价认为该项目建设可行。</w:t>
            </w:r>
          </w:p>
        </w:tc>
      </w:tr>
    </w:tbl>
    <w:p>
      <w:pPr>
        <w:rPr>
          <w:color w:val="auto"/>
        </w:rPr>
        <w:sectPr>
          <w:pgSz w:w="11906" w:h="16838"/>
          <w:pgMar w:top="1701" w:right="1531" w:bottom="1701" w:left="1531" w:header="1134" w:footer="992" w:gutter="0"/>
          <w:cols w:space="425" w:num="1"/>
          <w:docGrid w:type="lines" w:linePitch="312" w:charSpace="0"/>
        </w:sectPr>
      </w:pPr>
    </w:p>
    <w:p>
      <w:pPr>
        <w:pStyle w:val="16"/>
        <w:adjustRightInd w:val="0"/>
        <w:snapToGrid w:val="0"/>
        <w:spacing w:before="156" w:beforeLines="50" w:beforeAutospacing="0" w:after="156" w:afterLines="5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741"/>
        <w:gridCol w:w="1521"/>
        <w:gridCol w:w="1456"/>
        <w:gridCol w:w="1521"/>
        <w:gridCol w:w="1559"/>
        <w:gridCol w:w="1418"/>
        <w:gridCol w:w="1843"/>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64" w:type="dxa"/>
            <w:tcBorders>
              <w:tl2br w:val="single" w:color="auto" w:sz="4" w:space="0"/>
            </w:tcBorders>
            <w:tcMar>
              <w:left w:w="28" w:type="dxa"/>
              <w:right w:w="28" w:type="dxa"/>
            </w:tcMar>
            <w:vAlign w:val="center"/>
          </w:tcPr>
          <w:p>
            <w:pPr>
              <w:pStyle w:val="27"/>
              <w:spacing w:beforeLines="0" w:afterLines="0" w:line="240" w:lineRule="auto"/>
              <w:jc w:val="right"/>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项目</w:t>
            </w:r>
          </w:p>
          <w:p>
            <w:pPr>
              <w:pStyle w:val="27"/>
              <w:spacing w:beforeLines="0" w:afterLines="0" w:line="240" w:lineRule="auto"/>
              <w:jc w:val="left"/>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分类</w:t>
            </w:r>
          </w:p>
        </w:tc>
        <w:tc>
          <w:tcPr>
            <w:tcW w:w="1741"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污染物名称</w:t>
            </w:r>
          </w:p>
        </w:tc>
        <w:tc>
          <w:tcPr>
            <w:tcW w:w="1521"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现有工程</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1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①</w:t>
            </w:r>
            <w:r>
              <w:rPr>
                <w:rFonts w:hint="eastAsia" w:ascii="Times New Roman" w:hAnsi="Times New Roman" w:eastAsia="黑体" w:cs="Times New Roman"/>
                <w:snapToGrid w:val="0"/>
                <w:color w:val="auto"/>
                <w:kern w:val="21"/>
                <w:szCs w:val="21"/>
              </w:rPr>
              <w:fldChar w:fldCharType="end"/>
            </w:r>
          </w:p>
        </w:tc>
        <w:tc>
          <w:tcPr>
            <w:tcW w:w="1456"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现有工程</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许可排放量</w:t>
            </w:r>
          </w:p>
          <w:p>
            <w:pPr>
              <w:pStyle w:val="27"/>
              <w:spacing w:beforeLines="0" w:afterLines="0"/>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2 \* GB3 \* MERGEFORMAT </w:instrText>
            </w:r>
            <w:r>
              <w:rPr>
                <w:rFonts w:hint="eastAsia" w:ascii="Times New Roman" w:hAnsi="Times New Roman" w:eastAsia="黑体" w:cs="Times New Roman"/>
                <w:snapToGrid w:val="0"/>
                <w:color w:val="auto"/>
                <w:kern w:val="21"/>
                <w:szCs w:val="21"/>
              </w:rPr>
              <w:fldChar w:fldCharType="separate"/>
            </w:r>
            <w:r>
              <w:rPr>
                <w:rFonts w:hint="eastAsia"/>
                <w:snapToGrid w:val="0"/>
                <w:color w:val="auto"/>
                <w:kern w:val="21"/>
                <w:szCs w:val="21"/>
              </w:rPr>
              <w:t>②</w:t>
            </w:r>
            <w:r>
              <w:rPr>
                <w:rFonts w:hint="eastAsia" w:ascii="Times New Roman" w:hAnsi="Times New Roman" w:eastAsia="黑体" w:cs="Times New Roman"/>
                <w:snapToGrid w:val="0"/>
                <w:color w:val="auto"/>
                <w:kern w:val="21"/>
                <w:szCs w:val="21"/>
              </w:rPr>
              <w:fldChar w:fldCharType="end"/>
            </w:r>
          </w:p>
        </w:tc>
        <w:tc>
          <w:tcPr>
            <w:tcW w:w="1521"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在建工程</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3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③</w:t>
            </w:r>
            <w:r>
              <w:rPr>
                <w:rFonts w:hint="eastAsia" w:ascii="Times New Roman" w:hAnsi="Times New Roman" w:eastAsia="黑体" w:cs="Times New Roman"/>
                <w:snapToGrid w:val="0"/>
                <w:color w:val="auto"/>
                <w:kern w:val="21"/>
                <w:szCs w:val="21"/>
              </w:rPr>
              <w:fldChar w:fldCharType="end"/>
            </w:r>
          </w:p>
        </w:tc>
        <w:tc>
          <w:tcPr>
            <w:tcW w:w="1559"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本项目</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4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④</w:t>
            </w:r>
            <w:r>
              <w:rPr>
                <w:rFonts w:hint="eastAsia" w:ascii="Times New Roman" w:hAnsi="Times New Roman" w:eastAsia="黑体" w:cs="Times New Roman"/>
                <w:snapToGrid w:val="0"/>
                <w:color w:val="auto"/>
                <w:kern w:val="21"/>
                <w:szCs w:val="21"/>
              </w:rPr>
              <w:fldChar w:fldCharType="end"/>
            </w:r>
          </w:p>
        </w:tc>
        <w:tc>
          <w:tcPr>
            <w:tcW w:w="1418"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以新带老</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削减量（新建项目不填）</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5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⑤</w:t>
            </w:r>
            <w:r>
              <w:rPr>
                <w:rFonts w:hint="eastAsia" w:ascii="Times New Roman" w:hAnsi="Times New Roman" w:eastAsia="黑体" w:cs="Times New Roman"/>
                <w:snapToGrid w:val="0"/>
                <w:color w:val="auto"/>
                <w:kern w:val="21"/>
                <w:szCs w:val="21"/>
              </w:rPr>
              <w:fldChar w:fldCharType="end"/>
            </w:r>
          </w:p>
        </w:tc>
        <w:tc>
          <w:tcPr>
            <w:tcW w:w="1843"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本项目建成后</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全厂排放量（固体废物产生量）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6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⑥</w:t>
            </w:r>
            <w:r>
              <w:rPr>
                <w:rFonts w:hint="eastAsia" w:ascii="Times New Roman" w:hAnsi="Times New Roman" w:eastAsia="黑体" w:cs="Times New Roman"/>
                <w:snapToGrid w:val="0"/>
                <w:color w:val="auto"/>
                <w:kern w:val="21"/>
                <w:szCs w:val="21"/>
              </w:rPr>
              <w:fldChar w:fldCharType="end"/>
            </w:r>
          </w:p>
        </w:tc>
        <w:tc>
          <w:tcPr>
            <w:tcW w:w="1465" w:type="dxa"/>
            <w:tcMar>
              <w:left w:w="28" w:type="dxa"/>
              <w:right w:w="28" w:type="dxa"/>
            </w:tcMar>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变化量</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7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⑦</w:t>
            </w:r>
            <w:r>
              <w:rPr>
                <w:rFonts w:hint="eastAsia" w:ascii="Times New Roman" w:hAnsi="Times New Roman" w:eastAsia="黑体" w:cs="Times New Roman"/>
                <w:snapToGrid w:val="0"/>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废气</w:t>
            </w:r>
          </w:p>
        </w:tc>
        <w:tc>
          <w:tcPr>
            <w:tcW w:w="174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颗粒物</w:t>
            </w: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Merge w:val="restart"/>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废水</w:t>
            </w:r>
          </w:p>
        </w:tc>
        <w:tc>
          <w:tcPr>
            <w:tcW w:w="174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Merge w:val="continue"/>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74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一般工业</w:t>
            </w:r>
          </w:p>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固体废物</w:t>
            </w:r>
          </w:p>
        </w:tc>
        <w:tc>
          <w:tcPr>
            <w:tcW w:w="1741" w:type="dxa"/>
            <w:vAlign w:val="center"/>
          </w:tcPr>
          <w:p>
            <w:pPr>
              <w:autoSpaceDE w:val="0"/>
              <w:autoSpaceDN w:val="0"/>
              <w:jc w:val="center"/>
              <w:rPr>
                <w:rFonts w:ascii="黑体" w:hAnsi="黑体" w:eastAsia="黑体" w:cs="黑体"/>
                <w:snapToGrid w:val="0"/>
                <w:color w:val="auto"/>
                <w:kern w:val="21"/>
              </w:rPr>
            </w:pPr>
            <w:r>
              <w:rPr>
                <w:rFonts w:hint="eastAsia" w:ascii="黑体" w:hAnsi="黑体" w:eastAsia="黑体" w:cs="黑体"/>
                <w:color w:val="auto"/>
              </w:rPr>
              <w:t>淋控水池、洗车废水池、初期雨水池沉淀的底泥</w:t>
            </w: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12</w:t>
            </w: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12</w:t>
            </w: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Merge w:val="restart"/>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危险废物</w:t>
            </w:r>
          </w:p>
        </w:tc>
        <w:tc>
          <w:tcPr>
            <w:tcW w:w="174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设备维修、保养产生的废矿物油</w:t>
            </w: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0.5</w:t>
            </w: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0.5</w:t>
            </w: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64" w:type="dxa"/>
            <w:vMerge w:val="continue"/>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74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设备维修、保养产生的废棉纱、废手套、废机油桶</w:t>
            </w: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456"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21"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559"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0.05</w:t>
            </w:r>
          </w:p>
        </w:tc>
        <w:tc>
          <w:tcPr>
            <w:tcW w:w="1418"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p>
        </w:tc>
        <w:tc>
          <w:tcPr>
            <w:tcW w:w="1843"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0.05</w:t>
            </w:r>
          </w:p>
        </w:tc>
        <w:tc>
          <w:tcPr>
            <w:tcW w:w="1465" w:type="dxa"/>
            <w:vAlign w:val="center"/>
          </w:tcPr>
          <w:p>
            <w:pPr>
              <w:pStyle w:val="27"/>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+0.05</w:t>
            </w:r>
          </w:p>
        </w:tc>
      </w:tr>
    </w:tbl>
    <w:p>
      <w:pPr>
        <w:pStyle w:val="27"/>
        <w:spacing w:before="249" w:beforeLines="80" w:after="31"/>
        <w:jc w:val="left"/>
        <w:rPr>
          <w:snapToGrid w:val="0"/>
          <w:color w:val="auto"/>
          <w:spacing w:val="-6"/>
          <w:kern w:val="21"/>
          <w:szCs w:val="21"/>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p>
      <w:pPr>
        <w:rPr>
          <w:color w:val="auto"/>
        </w:rPr>
      </w:pPr>
    </w:p>
    <w:p>
      <w:pPr>
        <w:rPr>
          <w:color w:val="auto"/>
        </w:rPr>
      </w:pPr>
    </w:p>
    <w:p>
      <w:pPr>
        <w:rPr>
          <w:color w:val="auto"/>
        </w:rPr>
      </w:pPr>
    </w:p>
    <w:p>
      <w:pPr>
        <w:pStyle w:val="19"/>
        <w:ind w:left="0" w:leftChars="0" w:firstLine="0" w:firstLineChars="0"/>
        <w:jc w:val="center"/>
        <w:rPr>
          <w:color w:val="auto"/>
        </w:rPr>
        <w:sectPr>
          <w:footerReference r:id="rId6" w:type="default"/>
          <w:pgSz w:w="16840" w:h="11907" w:orient="landscape"/>
          <w:pgMar w:top="1531" w:right="1531" w:bottom="1531" w:left="1531" w:header="1134" w:footer="992" w:gutter="0"/>
          <w:cols w:space="0" w:num="1"/>
          <w:rtlGutter w:val="0"/>
          <w:docGrid w:type="lines" w:linePitch="312" w:charSpace="0"/>
        </w:sectPr>
      </w:pPr>
    </w:p>
    <w:p>
      <w:r>
        <w:rPr>
          <w:rFonts w:hint="eastAsia" w:eastAsia="宋体"/>
          <w:color w:val="auto"/>
          <w:lang w:eastAsia="zh-CN"/>
        </w:rPr>
        <w:drawing>
          <wp:inline distT="0" distB="0" distL="114300" distR="114300">
            <wp:extent cx="6468110" cy="9151620"/>
            <wp:effectExtent l="0" t="0" r="8890" b="11430"/>
            <wp:docPr id="129" name="图片 129" descr="繁云富  资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繁云富  资质页"/>
                    <pic:cNvPicPr>
                      <a:picLocks noChangeAspect="1"/>
                    </pic:cNvPicPr>
                  </pic:nvPicPr>
                  <pic:blipFill>
                    <a:blip r:embed="rId52"/>
                    <a:stretch>
                      <a:fillRect/>
                    </a:stretch>
                  </pic:blipFill>
                  <pic:spPr>
                    <a:xfrm>
                      <a:off x="0" y="0"/>
                      <a:ext cx="6468110" cy="9151620"/>
                    </a:xfrm>
                    <a:prstGeom prst="rect">
                      <a:avLst/>
                    </a:prstGeom>
                  </pic:spPr>
                </pic:pic>
              </a:graphicData>
            </a:graphic>
          </wp:inline>
        </w:drawing>
      </w:r>
    </w:p>
    <w:sectPr>
      <w:pgSz w:w="11907" w:h="16840"/>
      <w:pgMar w:top="850" w:right="850" w:bottom="850" w:left="850" w:header="567" w:footer="567"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767D88-AE85-418C-A0F2-0477D1D05D9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4160E479-ED87-48EC-B770-818EECC196D1}"/>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3" w:fontKey="{8B47A444-FA96-417C-9701-169CF5C6EA7A}"/>
  </w:font>
  <w:font w:name="等线 Light">
    <w:altName w:val="宋体"/>
    <w:panose1 w:val="02010600030101010101"/>
    <w:charset w:val="86"/>
    <w:family w:val="auto"/>
    <w:pitch w:val="default"/>
    <w:sig w:usb0="00000000" w:usb1="00000000" w:usb2="00000016" w:usb3="00000000" w:csb0="0004000F" w:csb1="00000000"/>
  </w:font>
  <w:font w:name="Times new romon">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4" w:fontKey="{F0F709D8-C65E-4BBB-B335-D859EC9CF8E2}"/>
  </w:font>
  <w:font w:name="楷体_GB2312">
    <w:panose1 w:val="02010609030101010101"/>
    <w:charset w:val="86"/>
    <w:family w:val="modern"/>
    <w:pitch w:val="default"/>
    <w:sig w:usb0="00000001" w:usb1="080E0000" w:usb2="00000000" w:usb3="00000000" w:csb0="00040000" w:csb1="00000000"/>
    <w:embedRegular r:id="rId5" w:fontKey="{96E0195E-BED7-4553-B889-865E1526B352}"/>
  </w:font>
  <w:font w:name="方正小标宋_GBK">
    <w:panose1 w:val="03000509000000000000"/>
    <w:charset w:val="86"/>
    <w:family w:val="script"/>
    <w:pitch w:val="default"/>
    <w:sig w:usb0="00000001" w:usb1="080E0000" w:usb2="00000000" w:usb3="00000000" w:csb0="00040000" w:csb1="00000000"/>
    <w:embedRegular r:id="rId6" w:fontKey="{26AE351F-3A80-408D-AAB4-96B8A8012162}"/>
  </w:font>
  <w:font w:name="Wingdings 2">
    <w:panose1 w:val="05020102010507070707"/>
    <w:charset w:val="02"/>
    <w:family w:val="roman"/>
    <w:pitch w:val="default"/>
    <w:sig w:usb0="00000000" w:usb1="00000000" w:usb2="00000000" w:usb3="00000000" w:csb0="80000000" w:csb1="00000000"/>
    <w:embedRegular r:id="rId7" w:fontKey="{48E1FC2D-E878-4EF1-91C8-3FF1710A899E}"/>
  </w:font>
  <w:font w:name="微软雅黑">
    <w:panose1 w:val="020B0503020204020204"/>
    <w:charset w:val="86"/>
    <w:family w:val="swiss"/>
    <w:pitch w:val="default"/>
    <w:sig w:usb0="80000287" w:usb1="280F3C52" w:usb2="00000016" w:usb3="00000000" w:csb0="0004001F" w:csb1="00000000"/>
    <w:embedRegular r:id="rId8" w:fontKey="{63894B90-4C83-48AE-8593-0748E4A8063F}"/>
  </w:font>
  <w:font w:name="方正姚体">
    <w:panose1 w:val="02010601030101010101"/>
    <w:charset w:val="86"/>
    <w:family w:val="auto"/>
    <w:pitch w:val="default"/>
    <w:sig w:usb0="00000003" w:usb1="080E0000" w:usb2="00000000" w:usb3="00000000" w:csb0="00040000" w:csb1="00000000"/>
    <w:embedRegular r:id="rId9" w:fontKey="{3ED522A4-8EA6-4484-895D-471114DCB35D}"/>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4"/>
        <w:szCs w:val="24"/>
      </w:rP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27807"/>
    </w:sdtPr>
    <w:sdtEndPr>
      <w:rPr>
        <w:sz w:val="21"/>
        <w:szCs w:val="21"/>
      </w:rPr>
    </w:sdtEndPr>
    <w:sdtContent>
      <w:p>
        <w:pPr>
          <w:pStyle w:val="1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407EF"/>
    <w:multiLevelType w:val="singleLevel"/>
    <w:tmpl w:val="362407EF"/>
    <w:lvl w:ilvl="0" w:tentative="0">
      <w:start w:val="1"/>
      <w:numFmt w:val="decimal"/>
      <w:pStyle w:val="85"/>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FhODY4YTIyOWNmZDE1YzJhZGI1ZGMzYTg3MDFiMzIifQ=="/>
  </w:docVars>
  <w:rsids>
    <w:rsidRoot w:val="00172A27"/>
    <w:rsid w:val="00005A1E"/>
    <w:rsid w:val="00005E56"/>
    <w:rsid w:val="00007239"/>
    <w:rsid w:val="000100FA"/>
    <w:rsid w:val="00021AD4"/>
    <w:rsid w:val="00023A38"/>
    <w:rsid w:val="00025FB7"/>
    <w:rsid w:val="0003706A"/>
    <w:rsid w:val="00037996"/>
    <w:rsid w:val="000379A5"/>
    <w:rsid w:val="00044190"/>
    <w:rsid w:val="00045575"/>
    <w:rsid w:val="000660F5"/>
    <w:rsid w:val="000665C9"/>
    <w:rsid w:val="00067861"/>
    <w:rsid w:val="0006787D"/>
    <w:rsid w:val="00067FF1"/>
    <w:rsid w:val="000759B5"/>
    <w:rsid w:val="00082531"/>
    <w:rsid w:val="00082D65"/>
    <w:rsid w:val="00083C9E"/>
    <w:rsid w:val="00096CDE"/>
    <w:rsid w:val="000A1016"/>
    <w:rsid w:val="000A644C"/>
    <w:rsid w:val="000B22E7"/>
    <w:rsid w:val="000B4054"/>
    <w:rsid w:val="000B4874"/>
    <w:rsid w:val="000C0409"/>
    <w:rsid w:val="000C5273"/>
    <w:rsid w:val="000C5278"/>
    <w:rsid w:val="000C6E63"/>
    <w:rsid w:val="000C71E8"/>
    <w:rsid w:val="000D0A60"/>
    <w:rsid w:val="000D0D49"/>
    <w:rsid w:val="000D3330"/>
    <w:rsid w:val="000D3588"/>
    <w:rsid w:val="000D3C1F"/>
    <w:rsid w:val="000D70AF"/>
    <w:rsid w:val="000D7EE9"/>
    <w:rsid w:val="000E039D"/>
    <w:rsid w:val="000E121B"/>
    <w:rsid w:val="000E42DA"/>
    <w:rsid w:val="000E54B7"/>
    <w:rsid w:val="000F348F"/>
    <w:rsid w:val="000F362D"/>
    <w:rsid w:val="000F37BD"/>
    <w:rsid w:val="00106083"/>
    <w:rsid w:val="00110C38"/>
    <w:rsid w:val="001130E2"/>
    <w:rsid w:val="0011550E"/>
    <w:rsid w:val="00120892"/>
    <w:rsid w:val="00124C28"/>
    <w:rsid w:val="001340AB"/>
    <w:rsid w:val="001368E2"/>
    <w:rsid w:val="001412CF"/>
    <w:rsid w:val="001416CC"/>
    <w:rsid w:val="001456E5"/>
    <w:rsid w:val="001478AA"/>
    <w:rsid w:val="0015129A"/>
    <w:rsid w:val="001516EA"/>
    <w:rsid w:val="001532EE"/>
    <w:rsid w:val="001578C7"/>
    <w:rsid w:val="001729D7"/>
    <w:rsid w:val="00172A27"/>
    <w:rsid w:val="00175A7A"/>
    <w:rsid w:val="00180257"/>
    <w:rsid w:val="00180602"/>
    <w:rsid w:val="001810F9"/>
    <w:rsid w:val="001812D8"/>
    <w:rsid w:val="00182295"/>
    <w:rsid w:val="0018317D"/>
    <w:rsid w:val="00184659"/>
    <w:rsid w:val="00187D79"/>
    <w:rsid w:val="00190B9E"/>
    <w:rsid w:val="00191AE7"/>
    <w:rsid w:val="00193298"/>
    <w:rsid w:val="001A0EF0"/>
    <w:rsid w:val="001A1E7B"/>
    <w:rsid w:val="001B1B53"/>
    <w:rsid w:val="001B25B4"/>
    <w:rsid w:val="001B51A1"/>
    <w:rsid w:val="001B5956"/>
    <w:rsid w:val="001B5E8B"/>
    <w:rsid w:val="001C6F8C"/>
    <w:rsid w:val="001D0933"/>
    <w:rsid w:val="001D438E"/>
    <w:rsid w:val="001D559A"/>
    <w:rsid w:val="001D7188"/>
    <w:rsid w:val="001D7CF6"/>
    <w:rsid w:val="001E0945"/>
    <w:rsid w:val="001F1CAB"/>
    <w:rsid w:val="001F4853"/>
    <w:rsid w:val="001F500E"/>
    <w:rsid w:val="001F60D2"/>
    <w:rsid w:val="001F6861"/>
    <w:rsid w:val="00201A0D"/>
    <w:rsid w:val="002041D2"/>
    <w:rsid w:val="00225062"/>
    <w:rsid w:val="00225407"/>
    <w:rsid w:val="00231467"/>
    <w:rsid w:val="002349F7"/>
    <w:rsid w:val="00240237"/>
    <w:rsid w:val="00243CA7"/>
    <w:rsid w:val="002472FF"/>
    <w:rsid w:val="00250FA7"/>
    <w:rsid w:val="0025148D"/>
    <w:rsid w:val="00254DC7"/>
    <w:rsid w:val="0025624D"/>
    <w:rsid w:val="0025640C"/>
    <w:rsid w:val="00260791"/>
    <w:rsid w:val="0026106B"/>
    <w:rsid w:val="002728B8"/>
    <w:rsid w:val="00273610"/>
    <w:rsid w:val="00276398"/>
    <w:rsid w:val="002769A8"/>
    <w:rsid w:val="00276C0F"/>
    <w:rsid w:val="00290056"/>
    <w:rsid w:val="00293C95"/>
    <w:rsid w:val="0029463B"/>
    <w:rsid w:val="00294CB0"/>
    <w:rsid w:val="002A115E"/>
    <w:rsid w:val="002A59D9"/>
    <w:rsid w:val="002B24E0"/>
    <w:rsid w:val="002C14FA"/>
    <w:rsid w:val="002C2974"/>
    <w:rsid w:val="002C5BE0"/>
    <w:rsid w:val="002D0F75"/>
    <w:rsid w:val="002D4653"/>
    <w:rsid w:val="002D634C"/>
    <w:rsid w:val="002E21A0"/>
    <w:rsid w:val="002E5166"/>
    <w:rsid w:val="002E543D"/>
    <w:rsid w:val="002E63DA"/>
    <w:rsid w:val="002E6B0B"/>
    <w:rsid w:val="002F507A"/>
    <w:rsid w:val="00301C1E"/>
    <w:rsid w:val="00302EF4"/>
    <w:rsid w:val="0030520A"/>
    <w:rsid w:val="00306A53"/>
    <w:rsid w:val="003128F5"/>
    <w:rsid w:val="00316CB2"/>
    <w:rsid w:val="0032445E"/>
    <w:rsid w:val="00325858"/>
    <w:rsid w:val="00326978"/>
    <w:rsid w:val="00327ABE"/>
    <w:rsid w:val="0033186C"/>
    <w:rsid w:val="00336834"/>
    <w:rsid w:val="00347294"/>
    <w:rsid w:val="00351950"/>
    <w:rsid w:val="003536CD"/>
    <w:rsid w:val="003572B6"/>
    <w:rsid w:val="0036466F"/>
    <w:rsid w:val="003665F6"/>
    <w:rsid w:val="00367082"/>
    <w:rsid w:val="00370F99"/>
    <w:rsid w:val="0037673C"/>
    <w:rsid w:val="00381BD7"/>
    <w:rsid w:val="00386FEE"/>
    <w:rsid w:val="00396F10"/>
    <w:rsid w:val="003B0E87"/>
    <w:rsid w:val="003B2B4C"/>
    <w:rsid w:val="003B2CF0"/>
    <w:rsid w:val="003B3E18"/>
    <w:rsid w:val="003B4B5B"/>
    <w:rsid w:val="003C0140"/>
    <w:rsid w:val="003C141D"/>
    <w:rsid w:val="003C2855"/>
    <w:rsid w:val="003C2B5A"/>
    <w:rsid w:val="003C4ED4"/>
    <w:rsid w:val="003C52EC"/>
    <w:rsid w:val="003D3EAF"/>
    <w:rsid w:val="003D51AF"/>
    <w:rsid w:val="003D77BD"/>
    <w:rsid w:val="003E4865"/>
    <w:rsid w:val="003E54C3"/>
    <w:rsid w:val="003E6D91"/>
    <w:rsid w:val="003F1DE0"/>
    <w:rsid w:val="003F3A88"/>
    <w:rsid w:val="003F4606"/>
    <w:rsid w:val="003F719B"/>
    <w:rsid w:val="00406010"/>
    <w:rsid w:val="00417B37"/>
    <w:rsid w:val="00425F22"/>
    <w:rsid w:val="00434CF8"/>
    <w:rsid w:val="00435C92"/>
    <w:rsid w:val="00437F4B"/>
    <w:rsid w:val="00444ABD"/>
    <w:rsid w:val="00463714"/>
    <w:rsid w:val="004654C2"/>
    <w:rsid w:val="0047031C"/>
    <w:rsid w:val="00475AEE"/>
    <w:rsid w:val="0048411D"/>
    <w:rsid w:val="0048602C"/>
    <w:rsid w:val="004879A9"/>
    <w:rsid w:val="004905ED"/>
    <w:rsid w:val="004909F6"/>
    <w:rsid w:val="00493763"/>
    <w:rsid w:val="004964E4"/>
    <w:rsid w:val="004B0568"/>
    <w:rsid w:val="004B499C"/>
    <w:rsid w:val="004B4AED"/>
    <w:rsid w:val="004B4B8C"/>
    <w:rsid w:val="004C2182"/>
    <w:rsid w:val="004C40E7"/>
    <w:rsid w:val="004D4D69"/>
    <w:rsid w:val="004D4F5F"/>
    <w:rsid w:val="004D5420"/>
    <w:rsid w:val="004D7363"/>
    <w:rsid w:val="004E06BC"/>
    <w:rsid w:val="004E1362"/>
    <w:rsid w:val="004E2BC5"/>
    <w:rsid w:val="004E329D"/>
    <w:rsid w:val="004E32D3"/>
    <w:rsid w:val="004E432D"/>
    <w:rsid w:val="004E4677"/>
    <w:rsid w:val="004E4B19"/>
    <w:rsid w:val="004E7EA2"/>
    <w:rsid w:val="004F21EF"/>
    <w:rsid w:val="004F3174"/>
    <w:rsid w:val="004F6279"/>
    <w:rsid w:val="004F72F0"/>
    <w:rsid w:val="00506FCE"/>
    <w:rsid w:val="005107CB"/>
    <w:rsid w:val="005123C6"/>
    <w:rsid w:val="00515760"/>
    <w:rsid w:val="00516F8E"/>
    <w:rsid w:val="0051777A"/>
    <w:rsid w:val="005208FA"/>
    <w:rsid w:val="0053010B"/>
    <w:rsid w:val="005340CB"/>
    <w:rsid w:val="00537786"/>
    <w:rsid w:val="005438A3"/>
    <w:rsid w:val="00545011"/>
    <w:rsid w:val="00550033"/>
    <w:rsid w:val="00550981"/>
    <w:rsid w:val="005533E2"/>
    <w:rsid w:val="00555E10"/>
    <w:rsid w:val="00563203"/>
    <w:rsid w:val="00565F6C"/>
    <w:rsid w:val="00566B8D"/>
    <w:rsid w:val="00566C82"/>
    <w:rsid w:val="005716A3"/>
    <w:rsid w:val="00575F8C"/>
    <w:rsid w:val="0057742D"/>
    <w:rsid w:val="00580EBC"/>
    <w:rsid w:val="0058423D"/>
    <w:rsid w:val="005846F4"/>
    <w:rsid w:val="00584A46"/>
    <w:rsid w:val="00586E81"/>
    <w:rsid w:val="0059109A"/>
    <w:rsid w:val="00594484"/>
    <w:rsid w:val="005A3F82"/>
    <w:rsid w:val="005C1665"/>
    <w:rsid w:val="005D6280"/>
    <w:rsid w:val="005D6A44"/>
    <w:rsid w:val="005D7BF7"/>
    <w:rsid w:val="005E0048"/>
    <w:rsid w:val="005E063A"/>
    <w:rsid w:val="005E34E2"/>
    <w:rsid w:val="005E35A6"/>
    <w:rsid w:val="005E432B"/>
    <w:rsid w:val="005F39F3"/>
    <w:rsid w:val="005F5336"/>
    <w:rsid w:val="005F5544"/>
    <w:rsid w:val="005F5AB5"/>
    <w:rsid w:val="005F7FDB"/>
    <w:rsid w:val="00600E2D"/>
    <w:rsid w:val="006051D7"/>
    <w:rsid w:val="006117A2"/>
    <w:rsid w:val="006117CD"/>
    <w:rsid w:val="0061392B"/>
    <w:rsid w:val="00613B5D"/>
    <w:rsid w:val="006215A1"/>
    <w:rsid w:val="00622EAF"/>
    <w:rsid w:val="00630D0E"/>
    <w:rsid w:val="00632EAB"/>
    <w:rsid w:val="0063545D"/>
    <w:rsid w:val="0064070B"/>
    <w:rsid w:val="006451E1"/>
    <w:rsid w:val="006458D4"/>
    <w:rsid w:val="006548B7"/>
    <w:rsid w:val="00656977"/>
    <w:rsid w:val="006637A2"/>
    <w:rsid w:val="00665255"/>
    <w:rsid w:val="00667439"/>
    <w:rsid w:val="00671389"/>
    <w:rsid w:val="00673FB7"/>
    <w:rsid w:val="006741B4"/>
    <w:rsid w:val="00677688"/>
    <w:rsid w:val="006817A5"/>
    <w:rsid w:val="00682B2D"/>
    <w:rsid w:val="006834CE"/>
    <w:rsid w:val="00686BE8"/>
    <w:rsid w:val="006906D8"/>
    <w:rsid w:val="00690F44"/>
    <w:rsid w:val="00695560"/>
    <w:rsid w:val="00695CBD"/>
    <w:rsid w:val="006A4230"/>
    <w:rsid w:val="006A65F4"/>
    <w:rsid w:val="006B0F78"/>
    <w:rsid w:val="006B5030"/>
    <w:rsid w:val="006C0DA5"/>
    <w:rsid w:val="006C3546"/>
    <w:rsid w:val="006E56BF"/>
    <w:rsid w:val="006E5C2F"/>
    <w:rsid w:val="006E606E"/>
    <w:rsid w:val="006E7AFE"/>
    <w:rsid w:val="006F0F84"/>
    <w:rsid w:val="006F5EE9"/>
    <w:rsid w:val="00712114"/>
    <w:rsid w:val="00712993"/>
    <w:rsid w:val="007140FD"/>
    <w:rsid w:val="007144B5"/>
    <w:rsid w:val="007162BE"/>
    <w:rsid w:val="00716ABF"/>
    <w:rsid w:val="00716C00"/>
    <w:rsid w:val="00717891"/>
    <w:rsid w:val="00725D99"/>
    <w:rsid w:val="007261B0"/>
    <w:rsid w:val="0073382A"/>
    <w:rsid w:val="0073537E"/>
    <w:rsid w:val="00735460"/>
    <w:rsid w:val="00737BEF"/>
    <w:rsid w:val="00745321"/>
    <w:rsid w:val="00745E66"/>
    <w:rsid w:val="00747158"/>
    <w:rsid w:val="00751E45"/>
    <w:rsid w:val="00752C9F"/>
    <w:rsid w:val="007647C5"/>
    <w:rsid w:val="00764B22"/>
    <w:rsid w:val="0076500B"/>
    <w:rsid w:val="00770A3B"/>
    <w:rsid w:val="00776F41"/>
    <w:rsid w:val="00786A89"/>
    <w:rsid w:val="007909FF"/>
    <w:rsid w:val="00790EC5"/>
    <w:rsid w:val="00795FBC"/>
    <w:rsid w:val="007A4651"/>
    <w:rsid w:val="007A5295"/>
    <w:rsid w:val="007B03E1"/>
    <w:rsid w:val="007B04CD"/>
    <w:rsid w:val="007B365B"/>
    <w:rsid w:val="007C0C12"/>
    <w:rsid w:val="007C2B61"/>
    <w:rsid w:val="007D1334"/>
    <w:rsid w:val="007E0730"/>
    <w:rsid w:val="007E0AB1"/>
    <w:rsid w:val="00813A2E"/>
    <w:rsid w:val="00815F33"/>
    <w:rsid w:val="00816FCF"/>
    <w:rsid w:val="008215CC"/>
    <w:rsid w:val="00831301"/>
    <w:rsid w:val="00834734"/>
    <w:rsid w:val="00835F88"/>
    <w:rsid w:val="008401CC"/>
    <w:rsid w:val="00840C77"/>
    <w:rsid w:val="00840ECF"/>
    <w:rsid w:val="00841E5A"/>
    <w:rsid w:val="00853B3E"/>
    <w:rsid w:val="00855BB9"/>
    <w:rsid w:val="00861AB8"/>
    <w:rsid w:val="00861E4F"/>
    <w:rsid w:val="008627D9"/>
    <w:rsid w:val="0086417C"/>
    <w:rsid w:val="008644E5"/>
    <w:rsid w:val="0088051E"/>
    <w:rsid w:val="00883B86"/>
    <w:rsid w:val="00887FB8"/>
    <w:rsid w:val="00890930"/>
    <w:rsid w:val="00894A22"/>
    <w:rsid w:val="008A304F"/>
    <w:rsid w:val="008A608A"/>
    <w:rsid w:val="008A60D1"/>
    <w:rsid w:val="008B1217"/>
    <w:rsid w:val="008B1E87"/>
    <w:rsid w:val="008B3CB9"/>
    <w:rsid w:val="008B46B0"/>
    <w:rsid w:val="008B47BD"/>
    <w:rsid w:val="008C1571"/>
    <w:rsid w:val="008C399F"/>
    <w:rsid w:val="008C47B2"/>
    <w:rsid w:val="008C5944"/>
    <w:rsid w:val="008C7756"/>
    <w:rsid w:val="008D6113"/>
    <w:rsid w:val="008D68E4"/>
    <w:rsid w:val="008E37E4"/>
    <w:rsid w:val="008E54C2"/>
    <w:rsid w:val="008F062F"/>
    <w:rsid w:val="008F5BF0"/>
    <w:rsid w:val="00901921"/>
    <w:rsid w:val="0090289B"/>
    <w:rsid w:val="00902A7B"/>
    <w:rsid w:val="00905A84"/>
    <w:rsid w:val="00911C5F"/>
    <w:rsid w:val="00916E22"/>
    <w:rsid w:val="00921C61"/>
    <w:rsid w:val="009264C5"/>
    <w:rsid w:val="0092650F"/>
    <w:rsid w:val="009270A6"/>
    <w:rsid w:val="009330A0"/>
    <w:rsid w:val="009438F0"/>
    <w:rsid w:val="00945130"/>
    <w:rsid w:val="00945B64"/>
    <w:rsid w:val="00953506"/>
    <w:rsid w:val="009538F6"/>
    <w:rsid w:val="00957FFA"/>
    <w:rsid w:val="00967E4D"/>
    <w:rsid w:val="00971E18"/>
    <w:rsid w:val="009758F2"/>
    <w:rsid w:val="00982851"/>
    <w:rsid w:val="0098609A"/>
    <w:rsid w:val="0099301B"/>
    <w:rsid w:val="00993916"/>
    <w:rsid w:val="009961C6"/>
    <w:rsid w:val="009A0EF6"/>
    <w:rsid w:val="009A1C8B"/>
    <w:rsid w:val="009A631A"/>
    <w:rsid w:val="009A6FCF"/>
    <w:rsid w:val="009A75F1"/>
    <w:rsid w:val="009B04FD"/>
    <w:rsid w:val="009B3A06"/>
    <w:rsid w:val="009B3B18"/>
    <w:rsid w:val="009B51FF"/>
    <w:rsid w:val="009B5BCF"/>
    <w:rsid w:val="009C1647"/>
    <w:rsid w:val="009C2768"/>
    <w:rsid w:val="009C73AE"/>
    <w:rsid w:val="009D2ED6"/>
    <w:rsid w:val="009D2FD7"/>
    <w:rsid w:val="009F47A5"/>
    <w:rsid w:val="009F6E2B"/>
    <w:rsid w:val="00A0485D"/>
    <w:rsid w:val="00A04C8C"/>
    <w:rsid w:val="00A06DB8"/>
    <w:rsid w:val="00A16AED"/>
    <w:rsid w:val="00A21DD4"/>
    <w:rsid w:val="00A252A0"/>
    <w:rsid w:val="00A26699"/>
    <w:rsid w:val="00A27A85"/>
    <w:rsid w:val="00A32472"/>
    <w:rsid w:val="00A35608"/>
    <w:rsid w:val="00A357A3"/>
    <w:rsid w:val="00A35D1C"/>
    <w:rsid w:val="00A36BFF"/>
    <w:rsid w:val="00A42B0F"/>
    <w:rsid w:val="00A43052"/>
    <w:rsid w:val="00A432E2"/>
    <w:rsid w:val="00A52587"/>
    <w:rsid w:val="00A570E8"/>
    <w:rsid w:val="00A570EC"/>
    <w:rsid w:val="00A611BA"/>
    <w:rsid w:val="00A623DB"/>
    <w:rsid w:val="00A650CB"/>
    <w:rsid w:val="00A658DB"/>
    <w:rsid w:val="00A708FA"/>
    <w:rsid w:val="00A82813"/>
    <w:rsid w:val="00A87872"/>
    <w:rsid w:val="00A94C44"/>
    <w:rsid w:val="00A9514B"/>
    <w:rsid w:val="00A95405"/>
    <w:rsid w:val="00A97E46"/>
    <w:rsid w:val="00AA25DC"/>
    <w:rsid w:val="00AC18A3"/>
    <w:rsid w:val="00AC307C"/>
    <w:rsid w:val="00AD3FEB"/>
    <w:rsid w:val="00AE1E85"/>
    <w:rsid w:val="00AE3321"/>
    <w:rsid w:val="00B00563"/>
    <w:rsid w:val="00B076DD"/>
    <w:rsid w:val="00B07CB7"/>
    <w:rsid w:val="00B12F95"/>
    <w:rsid w:val="00B13004"/>
    <w:rsid w:val="00B217A0"/>
    <w:rsid w:val="00B21E32"/>
    <w:rsid w:val="00B27068"/>
    <w:rsid w:val="00B2775B"/>
    <w:rsid w:val="00B30605"/>
    <w:rsid w:val="00B44140"/>
    <w:rsid w:val="00B45855"/>
    <w:rsid w:val="00B4732B"/>
    <w:rsid w:val="00B5008C"/>
    <w:rsid w:val="00B51DDF"/>
    <w:rsid w:val="00B572E4"/>
    <w:rsid w:val="00B60784"/>
    <w:rsid w:val="00B70FAA"/>
    <w:rsid w:val="00B7221E"/>
    <w:rsid w:val="00B72D09"/>
    <w:rsid w:val="00B73CB0"/>
    <w:rsid w:val="00B81E4C"/>
    <w:rsid w:val="00B82A2B"/>
    <w:rsid w:val="00B82D2D"/>
    <w:rsid w:val="00B842BA"/>
    <w:rsid w:val="00B84D9D"/>
    <w:rsid w:val="00B86121"/>
    <w:rsid w:val="00B86E1D"/>
    <w:rsid w:val="00B87B33"/>
    <w:rsid w:val="00B910DB"/>
    <w:rsid w:val="00B91476"/>
    <w:rsid w:val="00B937DA"/>
    <w:rsid w:val="00B95B5E"/>
    <w:rsid w:val="00BA2748"/>
    <w:rsid w:val="00BA2DFF"/>
    <w:rsid w:val="00BA35E5"/>
    <w:rsid w:val="00BA51B0"/>
    <w:rsid w:val="00BA51B2"/>
    <w:rsid w:val="00BA5CAB"/>
    <w:rsid w:val="00BB2C42"/>
    <w:rsid w:val="00BB3908"/>
    <w:rsid w:val="00BC05B7"/>
    <w:rsid w:val="00BC30D1"/>
    <w:rsid w:val="00BC5F2B"/>
    <w:rsid w:val="00BC6632"/>
    <w:rsid w:val="00BD1B75"/>
    <w:rsid w:val="00BD3858"/>
    <w:rsid w:val="00BD4D5B"/>
    <w:rsid w:val="00BD5F5F"/>
    <w:rsid w:val="00BE4061"/>
    <w:rsid w:val="00BE5AE6"/>
    <w:rsid w:val="00BE76D1"/>
    <w:rsid w:val="00BE7787"/>
    <w:rsid w:val="00BF4E6E"/>
    <w:rsid w:val="00BF651D"/>
    <w:rsid w:val="00BF761A"/>
    <w:rsid w:val="00C0744B"/>
    <w:rsid w:val="00C1144A"/>
    <w:rsid w:val="00C179EB"/>
    <w:rsid w:val="00C22D3C"/>
    <w:rsid w:val="00C23EB9"/>
    <w:rsid w:val="00C26EC9"/>
    <w:rsid w:val="00C35439"/>
    <w:rsid w:val="00C371FC"/>
    <w:rsid w:val="00C37C3D"/>
    <w:rsid w:val="00C40219"/>
    <w:rsid w:val="00C551F8"/>
    <w:rsid w:val="00C55478"/>
    <w:rsid w:val="00C56A7A"/>
    <w:rsid w:val="00C625CC"/>
    <w:rsid w:val="00C728D9"/>
    <w:rsid w:val="00C81A51"/>
    <w:rsid w:val="00C81B75"/>
    <w:rsid w:val="00C81D1F"/>
    <w:rsid w:val="00C85B90"/>
    <w:rsid w:val="00C85C3E"/>
    <w:rsid w:val="00C868DF"/>
    <w:rsid w:val="00C972F9"/>
    <w:rsid w:val="00CA0B79"/>
    <w:rsid w:val="00CA2765"/>
    <w:rsid w:val="00CA4A65"/>
    <w:rsid w:val="00CA6F75"/>
    <w:rsid w:val="00CA7009"/>
    <w:rsid w:val="00CC3FB0"/>
    <w:rsid w:val="00CC49B4"/>
    <w:rsid w:val="00CD0701"/>
    <w:rsid w:val="00CD41DE"/>
    <w:rsid w:val="00CE3BBC"/>
    <w:rsid w:val="00CE4623"/>
    <w:rsid w:val="00CE7B58"/>
    <w:rsid w:val="00CF2C02"/>
    <w:rsid w:val="00CF2D3E"/>
    <w:rsid w:val="00CF54DC"/>
    <w:rsid w:val="00CF6291"/>
    <w:rsid w:val="00D03220"/>
    <w:rsid w:val="00D07DEA"/>
    <w:rsid w:val="00D16D01"/>
    <w:rsid w:val="00D22A15"/>
    <w:rsid w:val="00D22E3B"/>
    <w:rsid w:val="00D24DC6"/>
    <w:rsid w:val="00D25F8C"/>
    <w:rsid w:val="00D26D4D"/>
    <w:rsid w:val="00D31372"/>
    <w:rsid w:val="00D357EC"/>
    <w:rsid w:val="00D6036E"/>
    <w:rsid w:val="00D6625C"/>
    <w:rsid w:val="00D67963"/>
    <w:rsid w:val="00D7417B"/>
    <w:rsid w:val="00D76209"/>
    <w:rsid w:val="00D8641D"/>
    <w:rsid w:val="00D93321"/>
    <w:rsid w:val="00D95871"/>
    <w:rsid w:val="00D95E5F"/>
    <w:rsid w:val="00DA1AA8"/>
    <w:rsid w:val="00DA1EA6"/>
    <w:rsid w:val="00DA2798"/>
    <w:rsid w:val="00DA300C"/>
    <w:rsid w:val="00DB0B79"/>
    <w:rsid w:val="00DB1259"/>
    <w:rsid w:val="00DB6785"/>
    <w:rsid w:val="00DC68B9"/>
    <w:rsid w:val="00DD254C"/>
    <w:rsid w:val="00DD3CD0"/>
    <w:rsid w:val="00DD6C2C"/>
    <w:rsid w:val="00DE0C00"/>
    <w:rsid w:val="00DE1826"/>
    <w:rsid w:val="00DE437E"/>
    <w:rsid w:val="00DE6053"/>
    <w:rsid w:val="00DF19EE"/>
    <w:rsid w:val="00DF3B16"/>
    <w:rsid w:val="00E128EF"/>
    <w:rsid w:val="00E1483A"/>
    <w:rsid w:val="00E24CC8"/>
    <w:rsid w:val="00E3281E"/>
    <w:rsid w:val="00E366CB"/>
    <w:rsid w:val="00E379D0"/>
    <w:rsid w:val="00E40260"/>
    <w:rsid w:val="00E448F7"/>
    <w:rsid w:val="00E47118"/>
    <w:rsid w:val="00E5183F"/>
    <w:rsid w:val="00E5206B"/>
    <w:rsid w:val="00E53EFE"/>
    <w:rsid w:val="00E54AC1"/>
    <w:rsid w:val="00E55EF2"/>
    <w:rsid w:val="00E56FB0"/>
    <w:rsid w:val="00E673BB"/>
    <w:rsid w:val="00E6774B"/>
    <w:rsid w:val="00E67F2C"/>
    <w:rsid w:val="00E71DB0"/>
    <w:rsid w:val="00E73E27"/>
    <w:rsid w:val="00E749DF"/>
    <w:rsid w:val="00E75A51"/>
    <w:rsid w:val="00E80B07"/>
    <w:rsid w:val="00E826AD"/>
    <w:rsid w:val="00E850E1"/>
    <w:rsid w:val="00E91A23"/>
    <w:rsid w:val="00E92620"/>
    <w:rsid w:val="00E948A7"/>
    <w:rsid w:val="00E977C7"/>
    <w:rsid w:val="00EA6BAB"/>
    <w:rsid w:val="00EB41F6"/>
    <w:rsid w:val="00EB6640"/>
    <w:rsid w:val="00EB7B41"/>
    <w:rsid w:val="00EC0DB6"/>
    <w:rsid w:val="00EC2E99"/>
    <w:rsid w:val="00EC4F0E"/>
    <w:rsid w:val="00ED4D2B"/>
    <w:rsid w:val="00ED5D0E"/>
    <w:rsid w:val="00ED5FA1"/>
    <w:rsid w:val="00EE1439"/>
    <w:rsid w:val="00EE3379"/>
    <w:rsid w:val="00EE42FD"/>
    <w:rsid w:val="00EE62B3"/>
    <w:rsid w:val="00EE7FB9"/>
    <w:rsid w:val="00EF2EC1"/>
    <w:rsid w:val="00EF57D3"/>
    <w:rsid w:val="00EF5F68"/>
    <w:rsid w:val="00F0141B"/>
    <w:rsid w:val="00F047CE"/>
    <w:rsid w:val="00F06E6A"/>
    <w:rsid w:val="00F07B7B"/>
    <w:rsid w:val="00F10D5E"/>
    <w:rsid w:val="00F124CC"/>
    <w:rsid w:val="00F14D96"/>
    <w:rsid w:val="00F14DEF"/>
    <w:rsid w:val="00F14E81"/>
    <w:rsid w:val="00F157B9"/>
    <w:rsid w:val="00F4281C"/>
    <w:rsid w:val="00F445A3"/>
    <w:rsid w:val="00F51EB4"/>
    <w:rsid w:val="00F56CF3"/>
    <w:rsid w:val="00F60501"/>
    <w:rsid w:val="00F60638"/>
    <w:rsid w:val="00F61008"/>
    <w:rsid w:val="00F6379B"/>
    <w:rsid w:val="00F7023F"/>
    <w:rsid w:val="00F709C1"/>
    <w:rsid w:val="00F72F30"/>
    <w:rsid w:val="00F73226"/>
    <w:rsid w:val="00F752DD"/>
    <w:rsid w:val="00F75E2D"/>
    <w:rsid w:val="00F771E2"/>
    <w:rsid w:val="00F77480"/>
    <w:rsid w:val="00F77A49"/>
    <w:rsid w:val="00F81DDF"/>
    <w:rsid w:val="00F92875"/>
    <w:rsid w:val="00FA0572"/>
    <w:rsid w:val="00FA15F6"/>
    <w:rsid w:val="00FA3484"/>
    <w:rsid w:val="00FA6626"/>
    <w:rsid w:val="00FA69CB"/>
    <w:rsid w:val="00FA76A2"/>
    <w:rsid w:val="00FB15D4"/>
    <w:rsid w:val="00FB589A"/>
    <w:rsid w:val="00FB67BF"/>
    <w:rsid w:val="00FC0016"/>
    <w:rsid w:val="00FC3401"/>
    <w:rsid w:val="00FC60CE"/>
    <w:rsid w:val="00FC72D2"/>
    <w:rsid w:val="00FD1645"/>
    <w:rsid w:val="00FD4FA1"/>
    <w:rsid w:val="00FD66FD"/>
    <w:rsid w:val="00FE1B40"/>
    <w:rsid w:val="00FE2AB0"/>
    <w:rsid w:val="00FF68B5"/>
    <w:rsid w:val="02BC30A7"/>
    <w:rsid w:val="036E267D"/>
    <w:rsid w:val="05471D94"/>
    <w:rsid w:val="05DC53FD"/>
    <w:rsid w:val="06166002"/>
    <w:rsid w:val="0802771E"/>
    <w:rsid w:val="0877387E"/>
    <w:rsid w:val="087D5842"/>
    <w:rsid w:val="09E6107C"/>
    <w:rsid w:val="0AA34C5A"/>
    <w:rsid w:val="0C160BA1"/>
    <w:rsid w:val="0C6C3175"/>
    <w:rsid w:val="0D1B2812"/>
    <w:rsid w:val="0D36034E"/>
    <w:rsid w:val="0D6E38DE"/>
    <w:rsid w:val="0DA91814"/>
    <w:rsid w:val="0E1D2763"/>
    <w:rsid w:val="0E434E7F"/>
    <w:rsid w:val="0E5A03D3"/>
    <w:rsid w:val="0EDF2288"/>
    <w:rsid w:val="0FF85291"/>
    <w:rsid w:val="10246CD9"/>
    <w:rsid w:val="104A573F"/>
    <w:rsid w:val="104D0DD2"/>
    <w:rsid w:val="110F4FB2"/>
    <w:rsid w:val="125F1290"/>
    <w:rsid w:val="13E866B0"/>
    <w:rsid w:val="14325227"/>
    <w:rsid w:val="146B26BB"/>
    <w:rsid w:val="16775356"/>
    <w:rsid w:val="17112BA5"/>
    <w:rsid w:val="17587860"/>
    <w:rsid w:val="188A39C4"/>
    <w:rsid w:val="191927D4"/>
    <w:rsid w:val="199076A2"/>
    <w:rsid w:val="19964797"/>
    <w:rsid w:val="1A8614E2"/>
    <w:rsid w:val="1AED5784"/>
    <w:rsid w:val="1B8D3E30"/>
    <w:rsid w:val="1D372C07"/>
    <w:rsid w:val="1D3A3B36"/>
    <w:rsid w:val="1DFD2216"/>
    <w:rsid w:val="1ED12DD9"/>
    <w:rsid w:val="1FD038B1"/>
    <w:rsid w:val="20B64B15"/>
    <w:rsid w:val="216D4A72"/>
    <w:rsid w:val="21D37880"/>
    <w:rsid w:val="224858B3"/>
    <w:rsid w:val="225318EF"/>
    <w:rsid w:val="22755619"/>
    <w:rsid w:val="22A04AF7"/>
    <w:rsid w:val="232E450F"/>
    <w:rsid w:val="2438200B"/>
    <w:rsid w:val="24961D0D"/>
    <w:rsid w:val="250F5C5D"/>
    <w:rsid w:val="252A1FFB"/>
    <w:rsid w:val="27C952E2"/>
    <w:rsid w:val="27D462FD"/>
    <w:rsid w:val="287068C1"/>
    <w:rsid w:val="28C23075"/>
    <w:rsid w:val="29AE5AA6"/>
    <w:rsid w:val="2A417C35"/>
    <w:rsid w:val="2AA56730"/>
    <w:rsid w:val="2AF12B7A"/>
    <w:rsid w:val="2B482C09"/>
    <w:rsid w:val="2E0E21B3"/>
    <w:rsid w:val="2E187E18"/>
    <w:rsid w:val="2E505904"/>
    <w:rsid w:val="2E51745C"/>
    <w:rsid w:val="2E9E285C"/>
    <w:rsid w:val="302A50FC"/>
    <w:rsid w:val="30F02616"/>
    <w:rsid w:val="31CB3F73"/>
    <w:rsid w:val="31D80C57"/>
    <w:rsid w:val="31E74094"/>
    <w:rsid w:val="32AB72CC"/>
    <w:rsid w:val="330A669B"/>
    <w:rsid w:val="33B835E1"/>
    <w:rsid w:val="33C76823"/>
    <w:rsid w:val="34541B4A"/>
    <w:rsid w:val="35197A4C"/>
    <w:rsid w:val="352F465E"/>
    <w:rsid w:val="354A7C20"/>
    <w:rsid w:val="354C3247"/>
    <w:rsid w:val="35DD3857"/>
    <w:rsid w:val="37000F79"/>
    <w:rsid w:val="373C2345"/>
    <w:rsid w:val="384064AA"/>
    <w:rsid w:val="384B4DE5"/>
    <w:rsid w:val="38885C78"/>
    <w:rsid w:val="38C743D2"/>
    <w:rsid w:val="38F947C9"/>
    <w:rsid w:val="39556CD1"/>
    <w:rsid w:val="39BE1343"/>
    <w:rsid w:val="39F85ACE"/>
    <w:rsid w:val="39FE19AD"/>
    <w:rsid w:val="3AF72F82"/>
    <w:rsid w:val="3B8A2182"/>
    <w:rsid w:val="3B8F4DF4"/>
    <w:rsid w:val="3BB71777"/>
    <w:rsid w:val="3BF65BD7"/>
    <w:rsid w:val="3D0F2EA3"/>
    <w:rsid w:val="3DE94C21"/>
    <w:rsid w:val="3EA34C54"/>
    <w:rsid w:val="3EBC76DA"/>
    <w:rsid w:val="409206D5"/>
    <w:rsid w:val="426F70D4"/>
    <w:rsid w:val="432435BA"/>
    <w:rsid w:val="43FC7E34"/>
    <w:rsid w:val="451236C9"/>
    <w:rsid w:val="45201869"/>
    <w:rsid w:val="45B44E57"/>
    <w:rsid w:val="46321BFC"/>
    <w:rsid w:val="467D1B4B"/>
    <w:rsid w:val="473A07C7"/>
    <w:rsid w:val="48333D5F"/>
    <w:rsid w:val="48336869"/>
    <w:rsid w:val="48A7484E"/>
    <w:rsid w:val="494C582B"/>
    <w:rsid w:val="4A40077C"/>
    <w:rsid w:val="4A4E0151"/>
    <w:rsid w:val="4A895CED"/>
    <w:rsid w:val="4BAD493A"/>
    <w:rsid w:val="4C7F64B0"/>
    <w:rsid w:val="4CDE27F7"/>
    <w:rsid w:val="4D6A0C7B"/>
    <w:rsid w:val="4DB270C4"/>
    <w:rsid w:val="4E0F4DE0"/>
    <w:rsid w:val="4E6D75EF"/>
    <w:rsid w:val="4E747F16"/>
    <w:rsid w:val="4F945352"/>
    <w:rsid w:val="4FA65E0A"/>
    <w:rsid w:val="50B5354F"/>
    <w:rsid w:val="516C6D58"/>
    <w:rsid w:val="5215604D"/>
    <w:rsid w:val="52326C6A"/>
    <w:rsid w:val="539C1BED"/>
    <w:rsid w:val="53AC47FA"/>
    <w:rsid w:val="53E82D8C"/>
    <w:rsid w:val="54767200"/>
    <w:rsid w:val="54B41BB8"/>
    <w:rsid w:val="54F76B7B"/>
    <w:rsid w:val="55187206"/>
    <w:rsid w:val="55227ACD"/>
    <w:rsid w:val="5582797D"/>
    <w:rsid w:val="583B394C"/>
    <w:rsid w:val="59225288"/>
    <w:rsid w:val="598148CA"/>
    <w:rsid w:val="5AD738A8"/>
    <w:rsid w:val="5B1F1D55"/>
    <w:rsid w:val="5B22468D"/>
    <w:rsid w:val="5B291E67"/>
    <w:rsid w:val="5C971E1A"/>
    <w:rsid w:val="5D1C543C"/>
    <w:rsid w:val="5DCC3675"/>
    <w:rsid w:val="5E186CDF"/>
    <w:rsid w:val="5F9E149B"/>
    <w:rsid w:val="60AC7C12"/>
    <w:rsid w:val="61FC6176"/>
    <w:rsid w:val="632D381B"/>
    <w:rsid w:val="66250709"/>
    <w:rsid w:val="66265476"/>
    <w:rsid w:val="67464553"/>
    <w:rsid w:val="677B6983"/>
    <w:rsid w:val="683040D9"/>
    <w:rsid w:val="691B3B5C"/>
    <w:rsid w:val="692B00E5"/>
    <w:rsid w:val="69753C38"/>
    <w:rsid w:val="69B56A04"/>
    <w:rsid w:val="69B67D29"/>
    <w:rsid w:val="6B72644A"/>
    <w:rsid w:val="6C69623A"/>
    <w:rsid w:val="6CC129BC"/>
    <w:rsid w:val="6CD06D9A"/>
    <w:rsid w:val="6D69551A"/>
    <w:rsid w:val="6DDD1463"/>
    <w:rsid w:val="6DFB0400"/>
    <w:rsid w:val="6E083D81"/>
    <w:rsid w:val="6F070B6D"/>
    <w:rsid w:val="6F297C7F"/>
    <w:rsid w:val="6F847F0F"/>
    <w:rsid w:val="6FE72BEC"/>
    <w:rsid w:val="70077E32"/>
    <w:rsid w:val="70207AAF"/>
    <w:rsid w:val="702E733C"/>
    <w:rsid w:val="70334C61"/>
    <w:rsid w:val="7058462B"/>
    <w:rsid w:val="72AA6F05"/>
    <w:rsid w:val="754A6BE8"/>
    <w:rsid w:val="76223B82"/>
    <w:rsid w:val="771262B3"/>
    <w:rsid w:val="771D3258"/>
    <w:rsid w:val="77256B71"/>
    <w:rsid w:val="779979E0"/>
    <w:rsid w:val="77EC236D"/>
    <w:rsid w:val="78153E6C"/>
    <w:rsid w:val="782642CC"/>
    <w:rsid w:val="78CB7852"/>
    <w:rsid w:val="7A222739"/>
    <w:rsid w:val="7A8F7F06"/>
    <w:rsid w:val="7BE97480"/>
    <w:rsid w:val="7CDB38E3"/>
    <w:rsid w:val="7D7B201F"/>
    <w:rsid w:val="7D9F4D2D"/>
    <w:rsid w:val="7DBD6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5"/>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6"/>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5"/>
    <w:qFormat/>
    <w:uiPriority w:val="0"/>
    <w:pPr>
      <w:ind w:firstLine="420"/>
    </w:pPr>
    <w:rPr>
      <w:sz w:val="32"/>
      <w:szCs w:val="20"/>
    </w:rPr>
  </w:style>
  <w:style w:type="paragraph" w:styleId="7">
    <w:name w:val="annotation text"/>
    <w:basedOn w:val="1"/>
    <w:link w:val="43"/>
    <w:semiHidden/>
    <w:unhideWhenUsed/>
    <w:qFormat/>
    <w:uiPriority w:val="0"/>
    <w:pPr>
      <w:jc w:val="left"/>
    </w:pPr>
  </w:style>
  <w:style w:type="paragraph" w:styleId="8">
    <w:name w:val="Body Text"/>
    <w:basedOn w:val="1"/>
    <w:link w:val="49"/>
    <w:qFormat/>
    <w:uiPriority w:val="0"/>
    <w:pPr>
      <w:widowControl/>
      <w:snapToGrid w:val="0"/>
      <w:spacing w:before="60" w:after="160" w:line="259" w:lineRule="auto"/>
      <w:ind w:right="113"/>
    </w:pPr>
    <w:rPr>
      <w:kern w:val="0"/>
      <w:sz w:val="18"/>
      <w:szCs w:val="20"/>
    </w:rPr>
  </w:style>
  <w:style w:type="paragraph" w:styleId="9">
    <w:name w:val="Body Text Indent"/>
    <w:basedOn w:val="1"/>
    <w:link w:val="50"/>
    <w:qFormat/>
    <w:uiPriority w:val="0"/>
    <w:pPr>
      <w:spacing w:after="120"/>
      <w:ind w:left="420" w:leftChars="200"/>
    </w:pPr>
    <w:rPr>
      <w:kern w:val="0"/>
      <w:sz w:val="24"/>
      <w:szCs w:val="20"/>
    </w:rPr>
  </w:style>
  <w:style w:type="paragraph" w:styleId="10">
    <w:name w:val="Block Text"/>
    <w:basedOn w:val="1"/>
    <w:qFormat/>
    <w:uiPriority w:val="0"/>
    <w:pPr>
      <w:spacing w:after="120"/>
      <w:ind w:left="1440" w:leftChars="700" w:right="1440" w:rightChars="700"/>
    </w:pPr>
    <w:rPr>
      <w:szCs w:val="24"/>
    </w:rPr>
  </w:style>
  <w:style w:type="paragraph" w:styleId="11">
    <w:name w:val="Plain Text"/>
    <w:basedOn w:val="1"/>
    <w:link w:val="51"/>
    <w:qFormat/>
    <w:uiPriority w:val="0"/>
    <w:pPr>
      <w:spacing w:line="420" w:lineRule="exact"/>
      <w:ind w:firstLine="200" w:firstLineChars="200"/>
    </w:pPr>
    <w:rPr>
      <w:rFonts w:ascii="宋体" w:hAnsi="Courier New" w:cs="Courier New"/>
    </w:rPr>
  </w:style>
  <w:style w:type="paragraph" w:styleId="12">
    <w:name w:val="Date"/>
    <w:basedOn w:val="1"/>
    <w:next w:val="1"/>
    <w:link w:val="57"/>
    <w:qFormat/>
    <w:uiPriority w:val="0"/>
    <w:pPr>
      <w:ind w:left="100" w:leftChars="2500"/>
    </w:pPr>
    <w:rPr>
      <w:kern w:val="0"/>
      <w:sz w:val="24"/>
      <w:szCs w:val="20"/>
    </w:rPr>
  </w:style>
  <w:style w:type="paragraph" w:styleId="13">
    <w:name w:val="Balloon Text"/>
    <w:basedOn w:val="1"/>
    <w:link w:val="53"/>
    <w:qFormat/>
    <w:uiPriority w:val="0"/>
    <w:rPr>
      <w:kern w:val="0"/>
      <w:sz w:val="18"/>
      <w:szCs w:val="20"/>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4"/>
    <w:unhideWhenUsed/>
    <w:qFormat/>
    <w:uiPriority w:val="0"/>
    <w:pPr>
      <w:widowControl/>
      <w:spacing w:before="100" w:beforeAutospacing="1" w:after="100" w:afterAutospacing="1"/>
      <w:jc w:val="left"/>
    </w:pPr>
    <w:rPr>
      <w:rFonts w:ascii="宋体" w:hAnsi="宋体" w:cs="宋体"/>
      <w:kern w:val="0"/>
      <w:sz w:val="24"/>
      <w:szCs w:val="24"/>
    </w:rPr>
  </w:style>
  <w:style w:type="paragraph" w:styleId="17">
    <w:name w:val="annotation subject"/>
    <w:basedOn w:val="7"/>
    <w:next w:val="7"/>
    <w:link w:val="44"/>
    <w:semiHidden/>
    <w:unhideWhenUsed/>
    <w:qFormat/>
    <w:uiPriority w:val="0"/>
    <w:rPr>
      <w:b/>
      <w:bCs/>
    </w:rPr>
  </w:style>
  <w:style w:type="paragraph" w:styleId="18">
    <w:name w:val="Body Text First Indent"/>
    <w:basedOn w:val="8"/>
    <w:link w:val="54"/>
    <w:qFormat/>
    <w:uiPriority w:val="0"/>
    <w:pPr>
      <w:widowControl w:val="0"/>
      <w:snapToGrid/>
      <w:spacing w:before="0" w:after="120" w:line="240" w:lineRule="auto"/>
      <w:ind w:right="0" w:firstLine="420" w:firstLineChars="100"/>
    </w:pPr>
    <w:rPr>
      <w:kern w:val="2"/>
      <w:sz w:val="21"/>
      <w:szCs w:val="24"/>
    </w:rPr>
  </w:style>
  <w:style w:type="paragraph" w:styleId="19">
    <w:name w:val="Body Text First Indent 2"/>
    <w:basedOn w:val="9"/>
    <w:next w:val="1"/>
    <w:link w:val="55"/>
    <w:qFormat/>
    <w:uiPriority w:val="0"/>
    <w:pPr>
      <w:ind w:firstLine="420" w:firstLineChars="200"/>
    </w:pPr>
    <w:rPr>
      <w:kern w:val="2"/>
      <w:sz w:val="21"/>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563C1" w:themeColor="hyperlink"/>
      <w:u w:val="single"/>
      <w14:textFill>
        <w14:solidFill>
          <w14:schemeClr w14:val="hlink"/>
        </w14:solidFill>
      </w14:textFill>
    </w:rPr>
  </w:style>
  <w:style w:type="character" w:styleId="25">
    <w:name w:val="annotation reference"/>
    <w:basedOn w:val="22"/>
    <w:semiHidden/>
    <w:unhideWhenUsed/>
    <w:qFormat/>
    <w:uiPriority w:val="0"/>
    <w:rPr>
      <w:sz w:val="21"/>
      <w:szCs w:val="21"/>
    </w:rPr>
  </w:style>
  <w:style w:type="paragraph" w:customStyle="1" w:styleId="26">
    <w:name w:val="表格标题"/>
    <w:basedOn w:val="1"/>
    <w:qFormat/>
    <w:uiPriority w:val="0"/>
    <w:pPr>
      <w:spacing w:before="120" w:after="100" w:afterAutospacing="1" w:line="320" w:lineRule="atLeast"/>
      <w:jc w:val="center"/>
    </w:pPr>
  </w:style>
  <w:style w:type="paragraph" w:customStyle="1" w:styleId="27">
    <w:name w:val="表格"/>
    <w:basedOn w:val="1"/>
    <w:next w:val="1"/>
    <w:link w:val="39"/>
    <w:qFormat/>
    <w:uiPriority w:val="0"/>
    <w:pPr>
      <w:adjustRightInd w:val="0"/>
      <w:snapToGrid w:val="0"/>
      <w:spacing w:beforeLines="10" w:afterLines="10" w:line="256" w:lineRule="auto"/>
      <w:jc w:val="center"/>
    </w:pPr>
    <w:rPr>
      <w:rFonts w:ascii="宋体" w:hAnsi="宋体" w:cs="宋体"/>
      <w:kern w:val="0"/>
      <w:sz w:val="20"/>
      <w:szCs w:val="20"/>
    </w:rPr>
  </w:style>
  <w:style w:type="paragraph" w:customStyle="1" w:styleId="28">
    <w:name w:val="Default"/>
    <w:basedOn w:val="1"/>
    <w:qFormat/>
    <w:uiPriority w:val="0"/>
    <w:pPr>
      <w:autoSpaceDE w:val="0"/>
      <w:autoSpaceDN w:val="0"/>
      <w:adjustRightInd w:val="0"/>
      <w:jc w:val="left"/>
    </w:pPr>
    <w:rPr>
      <w:rFonts w:ascii="宋体" w:hAnsi="宋体" w:cs="宋体"/>
      <w:color w:val="000000"/>
      <w:kern w:val="0"/>
      <w:sz w:val="24"/>
      <w:szCs w:val="24"/>
    </w:rPr>
  </w:style>
  <w:style w:type="paragraph" w:customStyle="1" w:styleId="29">
    <w:name w:val="样式2"/>
    <w:basedOn w:val="1"/>
    <w:qFormat/>
    <w:uiPriority w:val="0"/>
    <w:pPr>
      <w:spacing w:line="400" w:lineRule="exact"/>
      <w:ind w:firstLine="200" w:firstLineChars="200"/>
    </w:pPr>
    <w:rPr>
      <w:sz w:val="24"/>
      <w:szCs w:val="24"/>
    </w:rPr>
  </w:style>
  <w:style w:type="character" w:customStyle="1" w:styleId="30">
    <w:name w:val="页眉 字符"/>
    <w:basedOn w:val="22"/>
    <w:link w:val="15"/>
    <w:qFormat/>
    <w:uiPriority w:val="0"/>
    <w:rPr>
      <w:rFonts w:ascii="Times New Roman" w:hAnsi="Times New Roman" w:eastAsia="宋体" w:cs="Times New Roman"/>
      <w:sz w:val="18"/>
      <w:szCs w:val="18"/>
    </w:rPr>
  </w:style>
  <w:style w:type="character" w:customStyle="1" w:styleId="31">
    <w:name w:val="页脚 字符"/>
    <w:basedOn w:val="22"/>
    <w:link w:val="14"/>
    <w:qFormat/>
    <w:uiPriority w:val="99"/>
    <w:rPr>
      <w:rFonts w:ascii="Times New Roman" w:hAnsi="Times New Roman" w:eastAsia="宋体" w:cs="Times New Roman"/>
      <w:sz w:val="18"/>
      <w:szCs w:val="18"/>
    </w:rPr>
  </w:style>
  <w:style w:type="character" w:customStyle="1" w:styleId="32">
    <w:name w:val="环评2018 Char"/>
    <w:link w:val="33"/>
    <w:qFormat/>
    <w:uiPriority w:val="0"/>
    <w:rPr>
      <w:rFonts w:ascii="Times new romon" w:hAnsi="Times new romon" w:eastAsia="仿宋"/>
      <w:color w:val="0000FF"/>
      <w:sz w:val="28"/>
      <w:szCs w:val="28"/>
    </w:rPr>
  </w:style>
  <w:style w:type="paragraph" w:customStyle="1" w:styleId="33">
    <w:name w:val="环评2018"/>
    <w:basedOn w:val="1"/>
    <w:link w:val="32"/>
    <w:qFormat/>
    <w:uiPriority w:val="0"/>
    <w:pPr>
      <w:autoSpaceDE w:val="0"/>
      <w:autoSpaceDN w:val="0"/>
      <w:adjustRightInd w:val="0"/>
      <w:spacing w:line="440" w:lineRule="exact"/>
      <w:ind w:firstLine="560" w:firstLineChars="200"/>
    </w:pPr>
    <w:rPr>
      <w:rFonts w:ascii="Times new romon" w:hAnsi="Times new romon" w:eastAsia="仿宋" w:cstheme="minorBidi"/>
      <w:color w:val="0000FF"/>
      <w:sz w:val="28"/>
      <w:szCs w:val="28"/>
    </w:rPr>
  </w:style>
  <w:style w:type="character" w:customStyle="1" w:styleId="34">
    <w:name w:val="普通(网站) 字符1"/>
    <w:link w:val="16"/>
    <w:qFormat/>
    <w:locked/>
    <w:uiPriority w:val="99"/>
    <w:rPr>
      <w:rFonts w:ascii="宋体" w:hAnsi="宋体" w:eastAsia="宋体" w:cs="宋体"/>
      <w:kern w:val="0"/>
      <w:sz w:val="24"/>
      <w:szCs w:val="24"/>
    </w:rPr>
  </w:style>
  <w:style w:type="character" w:customStyle="1" w:styleId="35">
    <w:name w:val="正文缩进 字符"/>
    <w:basedOn w:val="22"/>
    <w:link w:val="6"/>
    <w:qFormat/>
    <w:uiPriority w:val="0"/>
    <w:rPr>
      <w:rFonts w:ascii="Times New Roman" w:hAnsi="Times New Roman" w:eastAsia="宋体" w:cs="Times New Roman"/>
      <w:sz w:val="32"/>
      <w:szCs w:val="20"/>
    </w:rPr>
  </w:style>
  <w:style w:type="paragraph" w:customStyle="1" w:styleId="36">
    <w:name w:val="表格文字"/>
    <w:basedOn w:val="1"/>
    <w:next w:val="1"/>
    <w:link w:val="37"/>
    <w:qFormat/>
    <w:uiPriority w:val="0"/>
    <w:pPr>
      <w:snapToGrid w:val="0"/>
      <w:jc w:val="center"/>
    </w:pPr>
  </w:style>
  <w:style w:type="character" w:customStyle="1" w:styleId="37">
    <w:name w:val="表格文字 Char Char"/>
    <w:link w:val="36"/>
    <w:qFormat/>
    <w:uiPriority w:val="0"/>
    <w:rPr>
      <w:rFonts w:ascii="Times New Roman" w:hAnsi="Times New Roman" w:eastAsia="宋体" w:cs="Times New Roman"/>
      <w:szCs w:val="21"/>
    </w:rPr>
  </w:style>
  <w:style w:type="character" w:customStyle="1" w:styleId="38">
    <w:name w:val="普通(网站) 字符"/>
    <w:qFormat/>
    <w:locked/>
    <w:uiPriority w:val="0"/>
    <w:rPr>
      <w:rFonts w:ascii="宋体" w:hAnsi="宋体" w:eastAsia="宋体"/>
      <w:sz w:val="24"/>
    </w:rPr>
  </w:style>
  <w:style w:type="character" w:customStyle="1" w:styleId="39">
    <w:name w:val="表格 Char"/>
    <w:link w:val="27"/>
    <w:qFormat/>
    <w:locked/>
    <w:uiPriority w:val="0"/>
    <w:rPr>
      <w:rFonts w:ascii="宋体" w:hAnsi="宋体" w:eastAsia="宋体" w:cs="宋体"/>
      <w:kern w:val="0"/>
      <w:sz w:val="20"/>
      <w:szCs w:val="20"/>
    </w:rPr>
  </w:style>
  <w:style w:type="paragraph" w:customStyle="1" w:styleId="40">
    <w:name w:val="Table Paragraph"/>
    <w:basedOn w:val="1"/>
    <w:qFormat/>
    <w:uiPriority w:val="0"/>
    <w:pPr>
      <w:autoSpaceDE w:val="0"/>
      <w:autoSpaceDN w:val="0"/>
      <w:adjustRightInd w:val="0"/>
      <w:jc w:val="left"/>
    </w:pPr>
    <w:rPr>
      <w:kern w:val="0"/>
      <w:sz w:val="24"/>
      <w:szCs w:val="24"/>
    </w:rPr>
  </w:style>
  <w:style w:type="paragraph" w:customStyle="1" w:styleId="41">
    <w:name w:val="密封件正文"/>
    <w:basedOn w:val="1"/>
    <w:link w:val="42"/>
    <w:qFormat/>
    <w:uiPriority w:val="0"/>
    <w:pPr>
      <w:tabs>
        <w:tab w:val="left" w:pos="1455"/>
      </w:tabs>
      <w:spacing w:line="480" w:lineRule="exact"/>
      <w:ind w:firstLine="496" w:firstLineChars="200"/>
    </w:pPr>
    <w:rPr>
      <w:rFonts w:cs="宋体"/>
      <w:spacing w:val="4"/>
      <w:sz w:val="24"/>
      <w:szCs w:val="24"/>
    </w:rPr>
  </w:style>
  <w:style w:type="character" w:customStyle="1" w:styleId="42">
    <w:name w:val="密封件正文 字符"/>
    <w:link w:val="41"/>
    <w:qFormat/>
    <w:uiPriority w:val="0"/>
    <w:rPr>
      <w:rFonts w:ascii="Times New Roman" w:hAnsi="Times New Roman" w:eastAsia="宋体" w:cs="宋体"/>
      <w:spacing w:val="4"/>
      <w:sz w:val="24"/>
      <w:szCs w:val="24"/>
    </w:rPr>
  </w:style>
  <w:style w:type="character" w:customStyle="1" w:styleId="43">
    <w:name w:val="批注文字 字符"/>
    <w:basedOn w:val="22"/>
    <w:link w:val="7"/>
    <w:qFormat/>
    <w:uiPriority w:val="0"/>
    <w:rPr>
      <w:rFonts w:ascii="Times New Roman" w:hAnsi="Times New Roman" w:eastAsia="宋体" w:cs="Times New Roman"/>
      <w:szCs w:val="21"/>
    </w:rPr>
  </w:style>
  <w:style w:type="character" w:customStyle="1" w:styleId="44">
    <w:name w:val="批注主题 字符"/>
    <w:basedOn w:val="43"/>
    <w:link w:val="17"/>
    <w:semiHidden/>
    <w:qFormat/>
    <w:uiPriority w:val="0"/>
    <w:rPr>
      <w:rFonts w:ascii="Times New Roman" w:hAnsi="Times New Roman" w:eastAsia="宋体" w:cs="Times New Roman"/>
      <w:b/>
      <w:bCs/>
      <w:szCs w:val="21"/>
    </w:rPr>
  </w:style>
  <w:style w:type="character" w:customStyle="1" w:styleId="45">
    <w:name w:val="标题 1 字符"/>
    <w:basedOn w:val="22"/>
    <w:link w:val="2"/>
    <w:qFormat/>
    <w:uiPriority w:val="99"/>
    <w:rPr>
      <w:rFonts w:ascii="Times New Roman" w:hAnsi="Times New Roman" w:eastAsia="黑体" w:cs="Times New Roman"/>
      <w:b/>
      <w:bCs/>
      <w:color w:val="000000"/>
      <w:kern w:val="44"/>
      <w:sz w:val="30"/>
      <w:szCs w:val="30"/>
    </w:rPr>
  </w:style>
  <w:style w:type="character" w:customStyle="1" w:styleId="46">
    <w:name w:val="标题 2 字符"/>
    <w:basedOn w:val="22"/>
    <w:link w:val="3"/>
    <w:semiHidden/>
    <w:qFormat/>
    <w:uiPriority w:val="0"/>
    <w:rPr>
      <w:rFonts w:asciiTheme="majorHAnsi" w:hAnsiTheme="majorHAnsi" w:eastAsiaTheme="majorEastAsia" w:cstheme="majorBidi"/>
      <w:b/>
      <w:bCs/>
      <w:sz w:val="32"/>
      <w:szCs w:val="32"/>
    </w:rPr>
  </w:style>
  <w:style w:type="character" w:customStyle="1" w:styleId="47">
    <w:name w:val="标题 3 字符"/>
    <w:basedOn w:val="22"/>
    <w:link w:val="4"/>
    <w:semiHidden/>
    <w:qFormat/>
    <w:uiPriority w:val="0"/>
    <w:rPr>
      <w:rFonts w:ascii="Times New Roman" w:hAnsi="Times New Roman" w:eastAsia="宋体" w:cs="Times New Roman"/>
      <w:b/>
      <w:bCs/>
      <w:sz w:val="32"/>
      <w:szCs w:val="32"/>
    </w:rPr>
  </w:style>
  <w:style w:type="character" w:customStyle="1" w:styleId="48">
    <w:name w:val="标题 4 字符"/>
    <w:basedOn w:val="22"/>
    <w:link w:val="5"/>
    <w:semiHidden/>
    <w:qFormat/>
    <w:uiPriority w:val="0"/>
    <w:rPr>
      <w:rFonts w:asciiTheme="majorHAnsi" w:hAnsiTheme="majorHAnsi" w:eastAsiaTheme="majorEastAsia" w:cstheme="majorBidi"/>
      <w:b/>
      <w:bCs/>
      <w:sz w:val="28"/>
      <w:szCs w:val="28"/>
    </w:rPr>
  </w:style>
  <w:style w:type="character" w:customStyle="1" w:styleId="49">
    <w:name w:val="正文文本 字符"/>
    <w:basedOn w:val="22"/>
    <w:link w:val="8"/>
    <w:qFormat/>
    <w:uiPriority w:val="0"/>
    <w:rPr>
      <w:rFonts w:ascii="Times New Roman" w:hAnsi="Times New Roman" w:eastAsia="宋体" w:cs="Times New Roman"/>
      <w:kern w:val="0"/>
      <w:sz w:val="18"/>
      <w:szCs w:val="20"/>
    </w:rPr>
  </w:style>
  <w:style w:type="character" w:customStyle="1" w:styleId="50">
    <w:name w:val="正文文本缩进 字符"/>
    <w:basedOn w:val="22"/>
    <w:link w:val="9"/>
    <w:qFormat/>
    <w:uiPriority w:val="0"/>
    <w:rPr>
      <w:rFonts w:ascii="Times New Roman" w:hAnsi="Times New Roman" w:eastAsia="宋体" w:cs="Times New Roman"/>
      <w:kern w:val="0"/>
      <w:sz w:val="24"/>
      <w:szCs w:val="20"/>
    </w:rPr>
  </w:style>
  <w:style w:type="character" w:customStyle="1" w:styleId="51">
    <w:name w:val="纯文本 字符"/>
    <w:basedOn w:val="22"/>
    <w:link w:val="11"/>
    <w:qFormat/>
    <w:uiPriority w:val="0"/>
    <w:rPr>
      <w:rFonts w:ascii="宋体" w:hAnsi="Courier New" w:eastAsia="宋体" w:cs="Courier New"/>
      <w:szCs w:val="21"/>
    </w:rPr>
  </w:style>
  <w:style w:type="character" w:customStyle="1" w:styleId="52">
    <w:name w:val="日期 字符"/>
    <w:basedOn w:val="22"/>
    <w:semiHidden/>
    <w:qFormat/>
    <w:uiPriority w:val="0"/>
    <w:rPr>
      <w:rFonts w:ascii="Times New Roman" w:hAnsi="Times New Roman" w:eastAsia="宋体" w:cs="Times New Roman"/>
      <w:szCs w:val="21"/>
    </w:rPr>
  </w:style>
  <w:style w:type="character" w:customStyle="1" w:styleId="53">
    <w:name w:val="批注框文本 字符"/>
    <w:basedOn w:val="22"/>
    <w:link w:val="13"/>
    <w:qFormat/>
    <w:uiPriority w:val="0"/>
    <w:rPr>
      <w:rFonts w:ascii="Times New Roman" w:hAnsi="Times New Roman" w:eastAsia="宋体" w:cs="Times New Roman"/>
      <w:kern w:val="0"/>
      <w:sz w:val="18"/>
      <w:szCs w:val="20"/>
    </w:rPr>
  </w:style>
  <w:style w:type="character" w:customStyle="1" w:styleId="54">
    <w:name w:val="正文文本首行缩进 字符"/>
    <w:basedOn w:val="49"/>
    <w:link w:val="18"/>
    <w:qFormat/>
    <w:uiPriority w:val="0"/>
    <w:rPr>
      <w:rFonts w:ascii="Times New Roman" w:hAnsi="Times New Roman" w:eastAsia="宋体" w:cs="Times New Roman"/>
      <w:kern w:val="0"/>
      <w:sz w:val="18"/>
      <w:szCs w:val="24"/>
    </w:rPr>
  </w:style>
  <w:style w:type="character" w:customStyle="1" w:styleId="55">
    <w:name w:val="正文文本首行缩进 2 字符"/>
    <w:basedOn w:val="50"/>
    <w:link w:val="19"/>
    <w:qFormat/>
    <w:uiPriority w:val="0"/>
    <w:rPr>
      <w:rFonts w:ascii="Times New Roman" w:hAnsi="Times New Roman" w:eastAsia="宋体" w:cs="Times New Roman"/>
      <w:kern w:val="0"/>
      <w:sz w:val="24"/>
      <w:szCs w:val="24"/>
    </w:rPr>
  </w:style>
  <w:style w:type="character" w:customStyle="1" w:styleId="56">
    <w:name w:val="页脚 字符1"/>
    <w:qFormat/>
    <w:locked/>
    <w:uiPriority w:val="99"/>
    <w:rPr>
      <w:sz w:val="18"/>
    </w:rPr>
  </w:style>
  <w:style w:type="character" w:customStyle="1" w:styleId="57">
    <w:name w:val="日期 字符1"/>
    <w:link w:val="12"/>
    <w:qFormat/>
    <w:locked/>
    <w:uiPriority w:val="0"/>
    <w:rPr>
      <w:rFonts w:ascii="Times New Roman" w:hAnsi="Times New Roman" w:eastAsia="宋体" w:cs="Times New Roman"/>
      <w:kern w:val="0"/>
      <w:sz w:val="24"/>
      <w:szCs w:val="20"/>
    </w:rPr>
  </w:style>
  <w:style w:type="character" w:customStyle="1" w:styleId="58">
    <w:name w:val="正文文本 字符1"/>
    <w:semiHidden/>
    <w:qFormat/>
    <w:uiPriority w:val="0"/>
    <w:rPr>
      <w:rFonts w:ascii="Times New Roman" w:hAnsi="Times New Roman" w:eastAsia="宋体"/>
      <w:sz w:val="24"/>
    </w:rPr>
  </w:style>
  <w:style w:type="character" w:customStyle="1" w:styleId="59">
    <w:name w:val="批注文字 字符1"/>
    <w:semiHidden/>
    <w:qFormat/>
    <w:uiPriority w:val="0"/>
    <w:rPr>
      <w:rFonts w:ascii="Times New Roman" w:hAnsi="Times New Roman" w:eastAsia="宋体"/>
      <w:sz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1 Char"/>
    <w:basedOn w:val="1"/>
    <w:qFormat/>
    <w:uiPriority w:val="0"/>
    <w:pPr>
      <w:spacing w:line="360" w:lineRule="auto"/>
      <w:ind w:firstLine="1446" w:firstLineChars="200"/>
    </w:pPr>
    <w:rPr>
      <w:sz w:val="24"/>
      <w:szCs w:val="22"/>
    </w:rPr>
  </w:style>
  <w:style w:type="paragraph" w:customStyle="1" w:styleId="63">
    <w:name w:val="标准正文"/>
    <w:basedOn w:val="1"/>
    <w:qFormat/>
    <w:uiPriority w:val="0"/>
    <w:pPr>
      <w:spacing w:line="480" w:lineRule="auto"/>
      <w:ind w:firstLine="560" w:firstLineChars="200"/>
    </w:pPr>
    <w:rPr>
      <w:sz w:val="28"/>
      <w:szCs w:val="20"/>
    </w:rPr>
  </w:style>
  <w:style w:type="paragraph" w:customStyle="1" w:styleId="64">
    <w:name w:val="表格内容样式"/>
    <w:next w:val="1"/>
    <w:qFormat/>
    <w:uiPriority w:val="0"/>
    <w:pPr>
      <w:jc w:val="center"/>
    </w:pPr>
    <w:rPr>
      <w:rFonts w:ascii="Times New Roman" w:hAnsi="Times New Roman" w:eastAsia="宋体" w:cs="Times New Roman"/>
      <w:sz w:val="21"/>
      <w:szCs w:val="22"/>
      <w:lang w:val="en-US" w:eastAsia="zh-CN" w:bidi="ar-SA"/>
    </w:rPr>
  </w:style>
  <w:style w:type="paragraph" w:customStyle="1" w:styleId="65">
    <w:name w:val="表文字"/>
    <w:basedOn w:val="1"/>
    <w:qFormat/>
    <w:uiPriority w:val="0"/>
    <w:pPr>
      <w:overflowPunct w:val="0"/>
      <w:autoSpaceDE w:val="0"/>
      <w:autoSpaceDN w:val="0"/>
      <w:adjustRightInd w:val="0"/>
      <w:jc w:val="center"/>
      <w:textAlignment w:val="baseline"/>
    </w:pPr>
    <w:rPr>
      <w:kern w:val="0"/>
      <w:szCs w:val="20"/>
    </w:rPr>
  </w:style>
  <w:style w:type="character" w:customStyle="1" w:styleId="66">
    <w:name w:val="正文内容 Char"/>
    <w:link w:val="67"/>
    <w:qFormat/>
    <w:uiPriority w:val="0"/>
    <w:rPr>
      <w:sz w:val="24"/>
      <w:szCs w:val="24"/>
    </w:rPr>
  </w:style>
  <w:style w:type="paragraph" w:customStyle="1" w:styleId="67">
    <w:name w:val="正文内容"/>
    <w:link w:val="66"/>
    <w:qFormat/>
    <w:uiPriority w:val="0"/>
    <w:pPr>
      <w:widowControl w:val="0"/>
      <w:snapToGrid w:val="0"/>
      <w:spacing w:before="60" w:after="60" w:line="480" w:lineRule="exact"/>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68">
    <w:name w:val="表格内容5号 Char"/>
    <w:basedOn w:val="22"/>
    <w:link w:val="69"/>
    <w:qFormat/>
    <w:uiPriority w:val="0"/>
    <w:rPr>
      <w:szCs w:val="24"/>
    </w:rPr>
  </w:style>
  <w:style w:type="paragraph" w:customStyle="1" w:styleId="69">
    <w:name w:val="表格内容5号"/>
    <w:link w:val="68"/>
    <w:qFormat/>
    <w:uiPriority w:val="0"/>
    <w:pPr>
      <w:snapToGrid w:val="0"/>
      <w:spacing w:line="240" w:lineRule="atLeast"/>
      <w:jc w:val="center"/>
    </w:pPr>
    <w:rPr>
      <w:rFonts w:asciiTheme="minorHAnsi" w:hAnsiTheme="minorHAnsi" w:eastAsiaTheme="minorEastAsia" w:cstheme="minorBidi"/>
      <w:kern w:val="2"/>
      <w:sz w:val="21"/>
      <w:szCs w:val="24"/>
      <w:lang w:val="en-US" w:eastAsia="zh-CN" w:bidi="ar-SA"/>
    </w:rPr>
  </w:style>
  <w:style w:type="paragraph" w:customStyle="1" w:styleId="70">
    <w:name w:val="zwb_无格式"/>
    <w:basedOn w:val="1"/>
    <w:qFormat/>
    <w:uiPriority w:val="0"/>
    <w:pPr>
      <w:widowControl/>
    </w:pPr>
    <w:rPr>
      <w:szCs w:val="24"/>
    </w:rPr>
  </w:style>
  <w:style w:type="paragraph" w:customStyle="1" w:styleId="71">
    <w:name w:val="表格ST"/>
    <w:qForma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72">
    <w:name w:val="表格表头"/>
    <w:basedOn w:val="1"/>
    <w:qFormat/>
    <w:uiPriority w:val="0"/>
    <w:pPr>
      <w:spacing w:line="360" w:lineRule="auto"/>
      <w:jc w:val="center"/>
    </w:pPr>
    <w:rPr>
      <w:b/>
      <w:szCs w:val="22"/>
    </w:rPr>
  </w:style>
  <w:style w:type="character" w:customStyle="1" w:styleId="73">
    <w:name w:val="表格内容 Char"/>
    <w:link w:val="74"/>
    <w:qFormat/>
    <w:locked/>
    <w:uiPriority w:val="0"/>
    <w:rPr>
      <w:rFonts w:eastAsia="仿宋_GB2312"/>
      <w:sz w:val="24"/>
      <w:szCs w:val="24"/>
    </w:rPr>
  </w:style>
  <w:style w:type="paragraph" w:customStyle="1" w:styleId="74">
    <w:name w:val="表格内容"/>
    <w:link w:val="73"/>
    <w:qFormat/>
    <w:uiPriority w:val="0"/>
    <w:pPr>
      <w:widowControl w:val="0"/>
      <w:snapToGrid w:val="0"/>
      <w:spacing w:line="240" w:lineRule="atLeast"/>
      <w:jc w:val="center"/>
    </w:pPr>
    <w:rPr>
      <w:rFonts w:eastAsia="仿宋_GB2312" w:asciiTheme="minorHAnsi" w:hAnsiTheme="minorHAnsi" w:cstheme="minorBidi"/>
      <w:kern w:val="2"/>
      <w:sz w:val="24"/>
      <w:szCs w:val="24"/>
      <w:lang w:val="en-US" w:eastAsia="zh-CN" w:bidi="ar-SA"/>
    </w:rPr>
  </w:style>
  <w:style w:type="character" w:customStyle="1" w:styleId="75">
    <w:name w:val="标题HT Char Char"/>
    <w:link w:val="76"/>
    <w:qFormat/>
    <w:uiPriority w:val="0"/>
    <w:rPr>
      <w:rFonts w:ascii="Arial" w:hAnsi="Arial" w:eastAsia="黑体"/>
      <w:sz w:val="24"/>
      <w:szCs w:val="24"/>
    </w:rPr>
  </w:style>
  <w:style w:type="paragraph" w:customStyle="1" w:styleId="76">
    <w:name w:val="标题HT"/>
    <w:link w:val="75"/>
    <w:qFormat/>
    <w:uiPriority w:val="0"/>
    <w:pPr>
      <w:snapToGrid w:val="0"/>
      <w:spacing w:line="480" w:lineRule="exact"/>
      <w:ind w:firstLine="482"/>
    </w:pPr>
    <w:rPr>
      <w:rFonts w:ascii="Arial" w:hAnsi="Arial" w:eastAsia="黑体" w:cstheme="minorBidi"/>
      <w:kern w:val="2"/>
      <w:sz w:val="24"/>
      <w:szCs w:val="24"/>
      <w:lang w:val="en-US" w:eastAsia="zh-CN" w:bidi="ar-SA"/>
    </w:rPr>
  </w:style>
  <w:style w:type="paragraph" w:customStyle="1" w:styleId="77">
    <w:name w:val="表格文字L16"/>
    <w:basedOn w:val="1"/>
    <w:qFormat/>
    <w:uiPriority w:val="0"/>
    <w:pPr>
      <w:adjustRightInd w:val="0"/>
      <w:snapToGrid w:val="0"/>
      <w:spacing w:line="320" w:lineRule="exact"/>
      <w:ind w:firstLine="200" w:firstLineChars="200"/>
      <w:jc w:val="center"/>
    </w:pPr>
    <w:rPr>
      <w:color w:val="000000"/>
      <w:kern w:val="32"/>
      <w:sz w:val="24"/>
      <w:szCs w:val="20"/>
    </w:rPr>
  </w:style>
  <w:style w:type="character" w:customStyle="1" w:styleId="78">
    <w:name w:val="李表头常用格式 字符"/>
    <w:link w:val="79"/>
    <w:qFormat/>
    <w:uiPriority w:val="0"/>
    <w:rPr>
      <w:rFonts w:ascii="黑体" w:hAnsi="宋体" w:eastAsia="黑体" w:cs="黑体"/>
      <w:color w:val="000000"/>
      <w:szCs w:val="21"/>
    </w:rPr>
  </w:style>
  <w:style w:type="paragraph" w:customStyle="1" w:styleId="79">
    <w:name w:val="李表头常用格式"/>
    <w:basedOn w:val="10"/>
    <w:link w:val="78"/>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80">
    <w:name w:val="表中"/>
    <w:basedOn w:val="1"/>
    <w:qFormat/>
    <w:uiPriority w:val="0"/>
    <w:pPr>
      <w:spacing w:line="360" w:lineRule="exact"/>
      <w:jc w:val="center"/>
    </w:pPr>
    <w:rPr>
      <w:rFonts w:ascii="Calibri" w:hAnsi="Calibri"/>
    </w:rPr>
  </w:style>
  <w:style w:type="character" w:customStyle="1" w:styleId="81">
    <w:name w:val="图表标题 Char"/>
    <w:link w:val="82"/>
    <w:qFormat/>
    <w:uiPriority w:val="0"/>
    <w:rPr>
      <w:sz w:val="24"/>
      <w:szCs w:val="24"/>
    </w:rPr>
  </w:style>
  <w:style w:type="paragraph" w:customStyle="1" w:styleId="82">
    <w:name w:val="图表标题"/>
    <w:link w:val="81"/>
    <w:qFormat/>
    <w:uiPriority w:val="0"/>
    <w:pPr>
      <w:snapToGrid w:val="0"/>
      <w:spacing w:line="360" w:lineRule="exact"/>
      <w:jc w:val="center"/>
    </w:pPr>
    <w:rPr>
      <w:rFonts w:asciiTheme="minorHAnsi" w:hAnsiTheme="minorHAnsi" w:eastAsiaTheme="minorEastAsia" w:cstheme="minorBidi"/>
      <w:kern w:val="2"/>
      <w:sz w:val="24"/>
      <w:szCs w:val="24"/>
      <w:lang w:val="en-US" w:eastAsia="zh-CN" w:bidi="ar-SA"/>
    </w:rPr>
  </w:style>
  <w:style w:type="character" w:customStyle="1" w:styleId="83">
    <w:name w:val="5号表格 Char"/>
    <w:link w:val="84"/>
    <w:qFormat/>
    <w:uiPriority w:val="0"/>
    <w:rPr>
      <w:bCs/>
      <w:szCs w:val="21"/>
    </w:rPr>
  </w:style>
  <w:style w:type="paragraph" w:customStyle="1" w:styleId="84">
    <w:name w:val="5号表格"/>
    <w:link w:val="83"/>
    <w:qFormat/>
    <w:uiPriority w:val="0"/>
    <w:pPr>
      <w:snapToGrid w:val="0"/>
      <w:jc w:val="center"/>
    </w:pPr>
    <w:rPr>
      <w:rFonts w:asciiTheme="minorHAnsi" w:hAnsiTheme="minorHAnsi" w:eastAsiaTheme="minorEastAsia" w:cstheme="minorBidi"/>
      <w:bCs/>
      <w:kern w:val="2"/>
      <w:sz w:val="21"/>
      <w:szCs w:val="21"/>
      <w:lang w:val="en-US" w:eastAsia="zh-CN" w:bidi="ar-SA"/>
    </w:rPr>
  </w:style>
  <w:style w:type="paragraph" w:customStyle="1" w:styleId="85">
    <w:name w:val="样式 标题 4 + 段前: 5 磅 段后: 3 磅 行距: 固定值 26 磅"/>
    <w:basedOn w:val="5"/>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paragraph" w:styleId="86">
    <w:name w:val="List Paragraph"/>
    <w:basedOn w:val="1"/>
    <w:qFormat/>
    <w:uiPriority w:val="34"/>
    <w:pPr>
      <w:ind w:firstLine="420" w:firstLineChars="200"/>
    </w:pPr>
    <w:rPr>
      <w:rFonts w:ascii="Calibri" w:hAnsi="Calibri"/>
      <w:szCs w:val="20"/>
    </w:rPr>
  </w:style>
  <w:style w:type="character" w:customStyle="1" w:styleId="87">
    <w:name w:val="未处理的提及1"/>
    <w:basedOn w:val="22"/>
    <w:semiHidden/>
    <w:unhideWhenUsed/>
    <w:qFormat/>
    <w:uiPriority w:val="99"/>
    <w:rPr>
      <w:color w:val="605E5C"/>
      <w:shd w:val="clear" w:color="auto" w:fill="E1DFDD"/>
    </w:rPr>
  </w:style>
  <w:style w:type="character" w:customStyle="1" w:styleId="88">
    <w:name w:val="【表中文字】 Char"/>
    <w:link w:val="89"/>
    <w:qFormat/>
    <w:locked/>
    <w:uiPriority w:val="0"/>
    <w:rPr>
      <w:lang w:val="zh-CN"/>
    </w:rPr>
  </w:style>
  <w:style w:type="paragraph" w:customStyle="1" w:styleId="89">
    <w:name w:val="【表中文字】"/>
    <w:basedOn w:val="1"/>
    <w:link w:val="88"/>
    <w:qFormat/>
    <w:uiPriority w:val="0"/>
    <w:pPr>
      <w:widowControl/>
      <w:jc w:val="center"/>
    </w:pPr>
    <w:rPr>
      <w:rFonts w:asciiTheme="minorHAnsi" w:hAnsiTheme="minorHAnsi" w:eastAsiaTheme="minorEastAsia" w:cstheme="minorBidi"/>
      <w:szCs w:val="22"/>
      <w:lang w:val="zh-CN"/>
    </w:rPr>
  </w:style>
  <w:style w:type="paragraph" w:customStyle="1" w:styleId="90">
    <w:name w:val="正文1"/>
    <w:basedOn w:val="1"/>
    <w:link w:val="91"/>
    <w:qFormat/>
    <w:uiPriority w:val="0"/>
    <w:pPr>
      <w:adjustRightInd w:val="0"/>
      <w:spacing w:line="360" w:lineRule="auto"/>
      <w:ind w:firstLine="567"/>
      <w:jc w:val="center"/>
      <w:textAlignment w:val="baseline"/>
    </w:pPr>
    <w:rPr>
      <w:kern w:val="0"/>
      <w:sz w:val="24"/>
    </w:rPr>
  </w:style>
  <w:style w:type="character" w:customStyle="1" w:styleId="91">
    <w:name w:val="正文1 Char Char"/>
    <w:link w:val="90"/>
    <w:qFormat/>
    <w:uiPriority w:val="0"/>
    <w:rPr>
      <w:rFonts w:ascii="Times New Roman" w:hAnsi="Times New Roman" w:eastAsia="宋体" w:cs="Times New Roman"/>
      <w:kern w:val="0"/>
      <w:sz w:val="24"/>
      <w:szCs w:val="21"/>
    </w:rPr>
  </w:style>
  <w:style w:type="paragraph" w:customStyle="1" w:styleId="92">
    <w:name w:val="正文01"/>
    <w:basedOn w:val="1"/>
    <w:qFormat/>
    <w:uiPriority w:val="0"/>
    <w:pPr>
      <w:spacing w:before="60" w:line="460" w:lineRule="exact"/>
      <w:ind w:firstLine="200" w:firstLineChars="200"/>
    </w:pPr>
    <w:rPr>
      <w:rFonts w:ascii="Arial" w:hAnsi="Arial"/>
      <w:kern w:val="0"/>
      <w:sz w:val="24"/>
      <w:szCs w:val="24"/>
    </w:rPr>
  </w:style>
  <w:style w:type="character" w:customStyle="1" w:styleId="93">
    <w:name w:val="未处理的提及2"/>
    <w:basedOn w:val="22"/>
    <w:semiHidden/>
    <w:unhideWhenUsed/>
    <w:qFormat/>
    <w:uiPriority w:val="99"/>
    <w:rPr>
      <w:color w:val="605E5C"/>
      <w:shd w:val="clear" w:color="auto" w:fill="E1DFDD"/>
    </w:rPr>
  </w:style>
  <w:style w:type="paragraph" w:customStyle="1" w:styleId="94">
    <w:name w:val="样式 5号表格 + (符号) 宋体 行距: 最小值 0 磅"/>
    <w:basedOn w:val="1"/>
    <w:semiHidden/>
    <w:qFormat/>
    <w:uiPriority w:val="0"/>
    <w:pPr>
      <w:widowControl/>
      <w:snapToGrid w:val="0"/>
      <w:spacing w:line="0" w:lineRule="atLeast"/>
      <w:jc w:val="center"/>
    </w:pPr>
    <w:rPr>
      <w:rFonts w:hAnsi="宋体" w:cs="宋体"/>
      <w:szCs w:val="20"/>
    </w:rPr>
  </w:style>
  <w:style w:type="paragraph" w:customStyle="1" w:styleId="95">
    <w:name w:val="表格样式1"/>
    <w:basedOn w:val="1"/>
    <w:link w:val="96"/>
    <w:qFormat/>
    <w:uiPriority w:val="0"/>
    <w:pPr>
      <w:adjustRightInd w:val="0"/>
      <w:snapToGrid w:val="0"/>
      <w:jc w:val="center"/>
    </w:pPr>
    <w:rPr>
      <w:rFonts w:hint="eastAsia" w:ascii="等线" w:hAnsi="等线" w:eastAsia="等线"/>
    </w:rPr>
  </w:style>
  <w:style w:type="character" w:customStyle="1" w:styleId="96">
    <w:name w:val="表格样式1 Char"/>
    <w:basedOn w:val="22"/>
    <w:link w:val="95"/>
    <w:qFormat/>
    <w:uiPriority w:val="0"/>
  </w:style>
  <w:style w:type="table" w:customStyle="1" w:styleId="97">
    <w:name w:val="网格型1"/>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98">
    <w:name w:val="表格样式（新） 字符"/>
    <w:basedOn w:val="22"/>
    <w:link w:val="99"/>
    <w:qFormat/>
    <w:uiPriority w:val="0"/>
    <w:rPr>
      <w:rFonts w:hint="default" w:ascii="Times New Roman" w:hAnsi="Times New Roman" w:eastAsia="宋体" w:cs="Times New Roman"/>
      <w:kern w:val="0"/>
      <w:sz w:val="24"/>
      <w:szCs w:val="20"/>
    </w:rPr>
  </w:style>
  <w:style w:type="paragraph" w:customStyle="1" w:styleId="99">
    <w:name w:val="表格样式（新）"/>
    <w:basedOn w:val="1"/>
    <w:link w:val="98"/>
    <w:qFormat/>
    <w:uiPriority w:val="0"/>
    <w:pPr>
      <w:adjustRightInd w:val="0"/>
      <w:snapToGrid w:val="0"/>
      <w:jc w:val="center"/>
    </w:pPr>
    <w:rPr>
      <w:kern w:val="0"/>
      <w:sz w:val="24"/>
      <w:szCs w:val="20"/>
    </w:rPr>
  </w:style>
  <w:style w:type="paragraph" w:customStyle="1" w:styleId="100">
    <w:name w:val="0正文"/>
    <w:basedOn w:val="9"/>
    <w:qFormat/>
    <w:uiPriority w:val="0"/>
    <w:pPr>
      <w:framePr w:hSpace="180" w:wrap="notBeside" w:vAnchor="margin" w:hAnchor="margin" w:y="327"/>
      <w:spacing w:after="0" w:line="300" w:lineRule="auto"/>
      <w:ind w:left="0" w:leftChars="0" w:firstLine="200" w:firstLineChars="200"/>
    </w:pPr>
    <w:rPr>
      <w:rFonts w:cs="宋体"/>
      <w:kern w:val="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numbering" Target="numbering.xml"/><Relationship Id="rId52" Type="http://schemas.openxmlformats.org/officeDocument/2006/relationships/image" Target="media/image29.jpeg"/><Relationship Id="rId51" Type="http://schemas.openxmlformats.org/officeDocument/2006/relationships/image" Target="file:///F:\&#29615;&#35780;&#25253;&#21578;\Administrator\AppData\Roaming\Tencent\Users\1049960459\TIM\WinTemp\RichOle\%252525252525252525252525252525252525252525252525252525255b2OM$Q~9VA%25252525252525252525252525252525252525252525252525252525603U0OK~8X)9(6.png" TargetMode="External"/><Relationship Id="rId50" Type="http://schemas.openxmlformats.org/officeDocument/2006/relationships/image" Target="media/image28.png"/><Relationship Id="rId5" Type="http://schemas.openxmlformats.org/officeDocument/2006/relationships/footer" Target="footer2.xml"/><Relationship Id="rId49" Type="http://schemas.openxmlformats.org/officeDocument/2006/relationships/image" Target="http://www.biaozhi.net/enews/UploadFiles/smallImg/783.gif" TargetMode="External"/><Relationship Id="rId48" Type="http://schemas.openxmlformats.org/officeDocument/2006/relationships/image" Target="media/image27.png"/><Relationship Id="rId47" Type="http://schemas.openxmlformats.org/officeDocument/2006/relationships/image" Target="http://www.biaozhi.net/enews/UploadFiles/smallImg/785.gif" TargetMode="External"/><Relationship Id="rId46" Type="http://schemas.openxmlformats.org/officeDocument/2006/relationships/image" Target="media/image26.png"/><Relationship Id="rId45" Type="http://schemas.openxmlformats.org/officeDocument/2006/relationships/image" Target="http://www.biaozhi.net/enews/UploadFiles/smallImg/781.gif" TargetMode="External"/><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wmf"/><Relationship Id="rId4" Type="http://schemas.openxmlformats.org/officeDocument/2006/relationships/header" Target="header1.xml"/><Relationship Id="rId39" Type="http://schemas.openxmlformats.org/officeDocument/2006/relationships/oleObject" Target="embeddings/oleObject9.bin"/><Relationship Id="rId38" Type="http://schemas.openxmlformats.org/officeDocument/2006/relationships/image" Target="media/image20.wmf"/><Relationship Id="rId37" Type="http://schemas.openxmlformats.org/officeDocument/2006/relationships/oleObject" Target="embeddings/oleObject8.bin"/><Relationship Id="rId36" Type="http://schemas.openxmlformats.org/officeDocument/2006/relationships/image" Target="media/image19.wmf"/><Relationship Id="rId35" Type="http://schemas.openxmlformats.org/officeDocument/2006/relationships/oleObject" Target="embeddings/oleObject7.bin"/><Relationship Id="rId34" Type="http://schemas.openxmlformats.org/officeDocument/2006/relationships/image" Target="media/image18.wmf"/><Relationship Id="rId33" Type="http://schemas.openxmlformats.org/officeDocument/2006/relationships/oleObject" Target="embeddings/oleObject6.bin"/><Relationship Id="rId32" Type="http://schemas.openxmlformats.org/officeDocument/2006/relationships/image" Target="media/image17.wmf"/><Relationship Id="rId31" Type="http://schemas.openxmlformats.org/officeDocument/2006/relationships/oleObject" Target="embeddings/oleObject5.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5.wmf"/><Relationship Id="rId27" Type="http://schemas.openxmlformats.org/officeDocument/2006/relationships/oleObject" Target="embeddings/oleObject3.bin"/><Relationship Id="rId26" Type="http://schemas.openxmlformats.org/officeDocument/2006/relationships/image" Target="media/image14.wmf"/><Relationship Id="rId25" Type="http://schemas.openxmlformats.org/officeDocument/2006/relationships/oleObject" Target="embeddings/oleObject2.bin"/><Relationship Id="rId24" Type="http://schemas.openxmlformats.org/officeDocument/2006/relationships/image" Target="media/image13.wmf"/><Relationship Id="rId23" Type="http://schemas.openxmlformats.org/officeDocument/2006/relationships/oleObject" Target="embeddings/oleObject1.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package" Target="embeddings/Microsoft_Visio___3.vsdx"/><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package" Target="embeddings/Microsoft_Visio___2.vsdx"/><Relationship Id="rId15" Type="http://schemas.openxmlformats.org/officeDocument/2006/relationships/image" Target="media/image7.emf"/><Relationship Id="rId14" Type="http://schemas.openxmlformats.org/officeDocument/2006/relationships/package" Target="embeddings/Microsoft_Visio___1.vsdx"/><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C20C5-4C28-48C3-AB9C-67C92811E37E}">
  <ds:schemaRefs/>
</ds:datastoreItem>
</file>

<file path=docProps/app.xml><?xml version="1.0" encoding="utf-8"?>
<Properties xmlns="http://schemas.openxmlformats.org/officeDocument/2006/extended-properties" xmlns:vt="http://schemas.openxmlformats.org/officeDocument/2006/docPropsVTypes">
  <Template>Normal.dotm</Template>
  <Pages>72</Pages>
  <Words>40141</Words>
  <Characters>44582</Characters>
  <Lines>636</Lines>
  <Paragraphs>179</Paragraphs>
  <TotalTime>9</TotalTime>
  <ScaleCrop>false</ScaleCrop>
  <LinksUpToDate>false</LinksUpToDate>
  <CharactersWithSpaces>44920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2021-12-26T11:34:00Z</dcterms:created>
  <dc:creator>Z GL</dc:creator>
  <cp:lastModifiedBy>左</cp:lastModifiedBy>
  <dcterms:modified xsi:type="dcterms:W3CDTF">2022-06-29T08:34:28Z</dcterms:modified>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171A06CA3AF449E5AFCA25E34AE8BBE6</vt:lpwstr>
  </property>
</Properties>
</file>